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15" w:lineRule="atLeast"/>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36"/>
          <w:szCs w:val="36"/>
          <w:lang w:val="en-US" w:eastAsia="zh-CN" w:bidi="ar"/>
        </w:rPr>
        <w:t>馆陶县医保局信息公开工作年度报告</w:t>
      </w:r>
    </w:p>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7"/>
          <w:szCs w:val="27"/>
          <w:lang w:val="en-US" w:eastAsia="zh-CN" w:bidi="ar"/>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ascii="微软雅黑" w:hAnsi="微软雅黑" w:eastAsia="微软雅黑" w:cs="微软雅黑"/>
          <w:i w:val="0"/>
          <w:iCs w:val="0"/>
          <w:caps w:val="0"/>
          <w:color w:val="000000"/>
          <w:spacing w:val="0"/>
          <w:kern w:val="0"/>
          <w:sz w:val="27"/>
          <w:szCs w:val="27"/>
          <w:bdr w:val="none" w:color="auto" w:sz="0" w:space="0"/>
          <w:lang w:val="en-US" w:eastAsia="zh-CN" w:bidi="ar"/>
        </w:rPr>
        <w:t>20</w:t>
      </w: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22年，馆陶县医保局认真贯彻落实《中华人民共和国政府信息公开条例》的要求，进一步完善公开工作制度，继续加大公开工作力度，不断丰富公开工作内容，确保实现全局政府信息公开工作取得实效。</w:t>
      </w:r>
    </w:p>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7"/>
          <w:szCs w:val="27"/>
          <w:lang w:val="en-US" w:eastAsia="zh-CN" w:bidi="ar"/>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15"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2022年，馆陶县医保局在政府信息公开网站上共发布29条信息。</w:t>
      </w:r>
      <w:r>
        <w:rPr>
          <w:rFonts w:hint="eastAsia" w:ascii="宋体" w:hAnsi="宋体" w:eastAsia="宋体" w:cs="宋体"/>
          <w:i w:val="0"/>
          <w:iCs w:val="0"/>
          <w:caps w:val="0"/>
          <w:color w:val="000000"/>
          <w:spacing w:val="0"/>
          <w:kern w:val="0"/>
          <w:sz w:val="24"/>
          <w:szCs w:val="24"/>
          <w:bdr w:val="none" w:color="auto" w:sz="0" w:space="0"/>
          <w:lang w:val="en-US" w:eastAsia="zh-CN" w:bidi="ar"/>
        </w:rPr>
        <w:t> </w:t>
      </w:r>
    </w:p>
    <w:tbl>
      <w:tblPr>
        <w:tblW w:w="8140" w:type="dxa"/>
        <w:jc w:val="center"/>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113"/>
        <w:gridCol w:w="1875"/>
        <w:gridCol w:w="1271"/>
        <w:gridCol w:w="1881"/>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第二十条第（一）项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本年制发件数</w:t>
            </w:r>
          </w:p>
        </w:tc>
        <w:tc>
          <w:tcPr>
            <w:tcW w:w="1271"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本年废止件数</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现行有效件数</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127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行政规范性文件</w:t>
            </w:r>
          </w:p>
        </w:tc>
        <w:tc>
          <w:tcPr>
            <w:tcW w:w="187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127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第二十条第（五）项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5027" w:type="dxa"/>
            <w:gridSpan w:val="3"/>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本年处理决定数量</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行政许可</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其他对外管理服务事项</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第二十条第（六）项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5027" w:type="dxa"/>
            <w:gridSpan w:val="3"/>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本年处理决定数量</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行政处罚</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行政强制</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第二十条第（八）项</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5027" w:type="dxa"/>
            <w:gridSpan w:val="3"/>
            <w:tcBorders>
              <w:top w:val="nil"/>
              <w:left w:val="nil"/>
              <w:bottom w:val="single" w:color="auto" w:sz="8" w:space="0"/>
              <w:right w:val="single" w:color="000000"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本年收费金额（单位：万元）</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行政事业性收费</w:t>
            </w:r>
          </w:p>
        </w:tc>
        <w:tc>
          <w:tcPr>
            <w:tcW w:w="5027" w:type="dxa"/>
            <w:gridSpan w:val="3"/>
            <w:tcBorders>
              <w:top w:val="nil"/>
              <w:left w:val="nil"/>
              <w:bottom w:val="single" w:color="auto" w:sz="8" w:space="0"/>
              <w:right w:val="single" w:color="000000"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r>
    </w:tbl>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sz w:val="24"/>
          <w:szCs w:val="24"/>
        </w:rPr>
      </w:pPr>
      <w:r>
        <w:rPr>
          <w:rFonts w:ascii="黑体" w:hAnsi="宋体" w:eastAsia="黑体" w:cs="黑体"/>
          <w:i w:val="0"/>
          <w:iCs w:val="0"/>
          <w:caps w:val="0"/>
          <w:color w:val="000000"/>
          <w:spacing w:val="0"/>
          <w:kern w:val="0"/>
          <w:sz w:val="32"/>
          <w:szCs w:val="32"/>
          <w:lang w:val="en-US" w:eastAsia="zh-CN" w:bidi="ar"/>
        </w:rPr>
        <w:t>三、收到和处理政府信息公开申请情况</w:t>
      </w:r>
    </w:p>
    <w:tbl>
      <w:tblPr>
        <w:tblW w:w="9071" w:type="dxa"/>
        <w:jc w:val="center"/>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616"/>
        <w:gridCol w:w="853"/>
        <w:gridCol w:w="2040"/>
        <w:gridCol w:w="800"/>
        <w:gridCol w:w="744"/>
        <w:gridCol w:w="744"/>
        <w:gridCol w:w="800"/>
        <w:gridCol w:w="955"/>
        <w:gridCol w:w="702"/>
        <w:gridCol w:w="817"/>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申请人情况</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13"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13"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一、本年新收政府信息公开申请数量</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二、上年结转政府信息公开申请数量</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三、本年度办理结果</w:t>
            </w:r>
          </w:p>
        </w:tc>
        <w:tc>
          <w:tcPr>
            <w:tcW w:w="2940"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ascii="楷体" w:hAnsi="楷体" w:eastAsia="楷体" w:cs="楷体"/>
                <w:kern w:val="0"/>
                <w:sz w:val="20"/>
                <w:szCs w:val="20"/>
                <w:lang w:val="en-US" w:eastAsia="zh-CN" w:bidi="ar"/>
              </w:rPr>
              <w:t>（一）予以公开</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940"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（二）部分公开（区分处理的，只计这一情形，不计其他情形）</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（三）不予公开</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1.属于国家秘密</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2.其他法律行政法规禁止公开</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3.危及“三安全一稳定”</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4.保护第三方合法权益</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5.属于三类内部事务信息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6.属于四类过程性信息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7.属于行政执法案卷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8.属于行政查询事项</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（四）无法提供</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1.本机关不掌握相关政府信息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2.没有现成信息需要另行制作</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3.补正后申请内容仍不明确</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（五）不予处理</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1.信访举报投诉类申请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2.重复申请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3.要求提供公开出版物</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4.无正当理由大量反复申请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89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5.要求行政机关确认或重新出具已获取信息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restart"/>
            <w:tcBorders>
              <w:top w:val="nil"/>
              <w:left w:val="nil"/>
              <w:bottom w:val="dotted" w:color="D3D3D3" w:sz="6"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（六）其他处理</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1.申请人无正当理由逾期不补正、行政机关不再处理其政府信息公开申请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98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dotted" w:color="D3D3D3" w:sz="6"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2.申请人逾期未按收费通知缴纳费用、行政机关不再处理其政府公开信息申请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854" w:type="dxa"/>
            <w:vMerge w:val="continue"/>
            <w:tcBorders>
              <w:top w:val="nil"/>
              <w:left w:val="nil"/>
              <w:bottom w:val="dotted" w:color="D3D3D3" w:sz="6"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3.其他</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64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2940"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（七）总计</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rHeight w:val="751" w:hRule="atLeast"/>
          <w:jc w:val="center"/>
        </w:trPr>
        <w:tc>
          <w:tcPr>
            <w:tcW w:w="3556"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四、结转下年度继续办理</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bl>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7"/>
          <w:szCs w:val="27"/>
          <w:lang w:val="en-US" w:eastAsia="zh-CN" w:bidi="ar"/>
        </w:rPr>
        <w:t> </w:t>
      </w:r>
      <w:r>
        <w:rPr>
          <w:rFonts w:hint="eastAsia" w:ascii="黑体" w:hAnsi="宋体" w:eastAsia="黑体" w:cs="黑体"/>
          <w:i w:val="0"/>
          <w:iCs w:val="0"/>
          <w:caps w:val="0"/>
          <w:color w:val="000000"/>
          <w:spacing w:val="0"/>
          <w:kern w:val="0"/>
          <w:sz w:val="32"/>
          <w:szCs w:val="32"/>
          <w:lang w:val="en-US" w:eastAsia="zh-CN" w:bidi="ar"/>
        </w:rPr>
        <w:t>四、政府信息公开行政复议、行政诉讼情况</w:t>
      </w:r>
    </w:p>
    <w:p>
      <w:pPr>
        <w:keepNext w:val="0"/>
        <w:keepLines w:val="0"/>
        <w:widowControl/>
        <w:suppressLineNumbers w:val="0"/>
        <w:spacing w:before="0" w:beforeAutospacing="0" w:after="0" w:afterAutospacing="0" w:line="15" w:lineRule="atLeast"/>
        <w:ind w:left="0" w:right="0" w:firstLine="48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7"/>
          <w:szCs w:val="27"/>
          <w:lang w:val="en-US" w:eastAsia="zh-CN" w:bidi="ar"/>
        </w:rPr>
        <w:t> </w:t>
      </w:r>
    </w:p>
    <w:tbl>
      <w:tblPr>
        <w:tblW w:w="9071" w:type="dxa"/>
        <w:jc w:val="center"/>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行政诉讼</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复议后起诉</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hAnsi="宋体" w:eastAsia="宋体" w:cs="宋体"/>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黑体" w:hAnsi="宋体" w:eastAsia="黑体" w:cs="黑体"/>
          <w:i w:val="0"/>
          <w:iCs w:val="0"/>
          <w:caps w:val="0"/>
          <w:color w:val="000000"/>
          <w:spacing w:val="0"/>
          <w:kern w:val="0"/>
          <w:sz w:val="32"/>
          <w:szCs w:val="32"/>
          <w:lang w:val="en-US" w:eastAsia="zh-CN" w:bidi="ar"/>
        </w:rPr>
        <w:t>   </w:t>
      </w:r>
      <w:r>
        <w:rPr>
          <w:rFonts w:hint="eastAsia" w:ascii="宋体" w:hAnsi="宋体" w:eastAsia="宋体" w:cs="宋体"/>
          <w:b/>
          <w:bCs/>
          <w:i w:val="0"/>
          <w:iCs w:val="0"/>
          <w:caps w:val="0"/>
          <w:color w:val="000000"/>
          <w:spacing w:val="0"/>
          <w:kern w:val="0"/>
          <w:sz w:val="27"/>
          <w:szCs w:val="27"/>
          <w:lang w:val="en-US" w:eastAsia="zh-CN" w:bidi="ar"/>
        </w:rPr>
        <w:t>五、存在的主要问题及改进情况</w:t>
      </w:r>
    </w:p>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7"/>
          <w:szCs w:val="27"/>
          <w:lang w:val="en-US" w:eastAsia="zh-CN" w:bidi="ar"/>
        </w:rPr>
        <w:t>县医保局积极落实国家关于政务公开工作的各项要求，深入推进政务公开工作，取得了一些进展，但仍存一些问题，主要表现在：政务的工作机制还需进一步完善，主动公开的内容和公开方式与群众日益增长的需求还存在一定差距，政务公开的智能化智慧化水平还有待提高。2022年，将采取以下措施加以改进：一是进一步加强培训。提升全员对政务公开工作的认识，主动了解政务公开工作的新要求，提高政务公开工作的质量和实效。二是进一步深入落实政务公开工作各项要求。组织落实政务公开领导小组成员单位的职责，认真做好政务公开相关栏目的内容保障工作和政府信息公开申请的办理工作。落实重大决策征求意见制度，以及政策解读文稿与政策文件同步报批制度。三是进一步做好政府信息依申请公开工作。及时妥善处理政府信息公开申请，对不属于政府信息公开申请的事项，给予规范指引。四是进一步加强政务公开保障力度。破解政务公开工作当前所面临的工作量大、内容保障服务有限等困局，为政务公开工作持续推进创造有利条件。</w:t>
      </w:r>
    </w:p>
    <w:p>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7"/>
          <w:szCs w:val="27"/>
          <w:lang w:val="en-US" w:eastAsia="zh-CN" w:bidi="ar"/>
        </w:rPr>
        <w:t>六、其他需要报告的事项</w:t>
      </w:r>
    </w:p>
    <w:p>
      <w:pPr>
        <w:keepNext w:val="0"/>
        <w:keepLines w:val="0"/>
        <w:widowControl/>
        <w:suppressLineNumbers w:val="0"/>
        <w:spacing w:before="0" w:beforeAutospacing="0" w:after="0" w:afterAutospacing="0" w:line="15" w:lineRule="atLeast"/>
        <w:ind w:left="0" w:right="0" w:firstLine="1400"/>
        <w:jc w:val="left"/>
        <w:rPr>
          <w:rFonts w:hint="eastAsia" w:ascii="宋体" w:hAnsi="宋体" w:eastAsia="宋体" w:cs="宋体"/>
          <w:i w:val="0"/>
          <w:iCs w:val="0"/>
          <w:caps w:val="0"/>
          <w:color w:val="000000"/>
          <w:spacing w:val="0"/>
          <w:sz w:val="24"/>
          <w:szCs w:val="24"/>
        </w:rPr>
      </w:pPr>
    </w:p>
    <w:p>
      <w:pPr>
        <w:keepNext w:val="0"/>
        <w:keepLines w:val="0"/>
        <w:widowControl/>
        <w:suppressLineNumbers w:val="0"/>
        <w:spacing w:before="0" w:beforeAutospacing="0" w:after="0" w:afterAutospacing="0" w:line="15" w:lineRule="atLeast"/>
        <w:ind w:left="0" w:right="0" w:firstLine="14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NjA1NjE4MjVjMDNlYWYyYjY2ZWFjZDk4YWUxNjUifQ=="/>
  </w:docVars>
  <w:rsids>
    <w:rsidRoot w:val="00000000"/>
    <w:rsid w:val="59071A38"/>
    <w:rsid w:val="7E40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2024-01-29T05:54:00Z</dcterms:created>
  <dc:creator>Administrator</dc:creator>
  <cp:lastModifiedBy>奥特曼</cp:lastModifiedBy>
  <dcterms:modified xsi:type="dcterms:W3CDTF">2024-01-29T06:00:36Z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716400130E6840E4B7322BB9872AD39B_12</vt:lpwstr>
  </property>
</Properties>
</file>