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54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BFBFB"/>
        </w:rPr>
        <w:t>馆陶县卫生健康局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BFBFB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BFBFB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BFBFB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根据《2023政务公开工作考核指标》的相关要求，我单位进行自查自评，现报告如下。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我单位共涉及人大建议1份，政协提案1份，均已答复完毕并向社会公开。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我单位已通过政府门户网站及时、规范、集中公开卫生健康监管信息的情况，包括卫生健康“双随机”监督、季度饮用水水质监测、医疗机构信息变更、卫健系统监督检查等信息。其中，季度饮用水水质监测4次；卫生健康“双随机”监督8次，其他公示21次，共计公示35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批次。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 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第二十条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 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本年废止件数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第二十条 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第二十条 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第二十条 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333333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 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2．申请人逾期未按收费通知要求缴纳费用、行政机关不再处理其政府信息公开申请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kern w:val="0"/>
          <w:sz w:val="18"/>
          <w:szCs w:val="18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BFBFB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BFBFB"/>
          <w:lang w:val="en-US" w:eastAsia="zh-CN" w:bidi="ar"/>
        </w:rPr>
        <w:t> 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在政务信息公开工作中做了一些工作，仍然存在许多不容忽视的问题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:一是网管技术人员达不到专业要求；二是部分公开栏目指南不够完善，综合服务水平不强；三是网站信息更新速度有待提高，以满足广大人民群众对卫生健康工作信息的需求。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BFBFB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无其他需要报告事项</w:t>
      </w:r>
      <w:r>
        <w:rPr>
          <w:rFonts w:hint="eastAsia" w:ascii="微软雅黑" w:hAnsi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BFBFB"/>
          <w:lang w:val="en-US" w:eastAsia="zh-CN" w:bidi="ar"/>
        </w:rPr>
        <w:t>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EC6649C"/>
    <w:rsid w:val="4A1474D8"/>
    <w:rsid w:val="5C5B775C"/>
    <w:rsid w:val="65E10E75"/>
    <w:rsid w:val="769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金鑫</cp:lastModifiedBy>
  <cp:lastPrinted>2024-01-29T03:50:00Z</cp:lastPrinted>
  <dcterms:modified xsi:type="dcterms:W3CDTF">2025-01-22T02:11:52Z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