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54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</w:rPr>
        <w:t>馆陶县卫生健康局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</w:rPr>
        <w:t>2023年政府信息公开工作年度报告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根据《2023政务公开工作考核指标》的相关要求，我单位进行自查自评，现报告如下。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我单位共涉及人大建议8份，政协提案13份，均已答复完毕并向社会公开。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我单位已通过政府门户网站及时、规范、集中公开卫生健康监管信息的情况，包括疫情防控信息公开、卫生健康“双随机”监督、季度饮用水水质监测、医疗机构信息变更、卫健系统监督检查等信息。其中，季度饮用水水质监测4次；卫生健康“双随机”监督12次，其他公示11次，共计公示48批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在政务信息公开工作中做了一些工作，仍然存在许多不容忽视的问题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:一是网管技术人员达不到专业要求；二是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部分公开栏目指南不够完善，综合服务水平不强；三是网站信息更新速度有待提高，以满足广大人民群众对卫生健康工作信息的需求。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无其他需要报告事项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EC6649C"/>
    <w:rsid w:val="448935AF"/>
    <w:rsid w:val="4A1474D8"/>
    <w:rsid w:val="65E1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2024-01-29T03:50:00Z</cp:lastPrinted>
  <dcterms:modified xsi:type="dcterms:W3CDTF">2024-06-14T02:31:04Z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