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27"/>
          <w:szCs w:val="27"/>
          <w:shd w:val="clear" w:fill="FBFBFB"/>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BFBFB"/>
          <w:lang w:val="en-US" w:eastAsia="zh-CN" w:bidi="ar"/>
        </w:rPr>
        <w:t> </w:t>
      </w:r>
      <w:r>
        <w:rPr>
          <w:rFonts w:hint="eastAsia" w:ascii="方正小标宋_GBK" w:hAnsi="方正小标宋_GBK" w:eastAsia="方正小标宋_GBK" w:cs="方正小标宋_GBK"/>
          <w:b/>
          <w:bCs/>
          <w:i w:val="0"/>
          <w:iCs w:val="0"/>
          <w:caps w:val="0"/>
          <w:color w:val="000000"/>
          <w:spacing w:val="0"/>
          <w:kern w:val="0"/>
          <w:sz w:val="44"/>
          <w:szCs w:val="44"/>
          <w:shd w:val="clear" w:fill="FBFBFB"/>
          <w:lang w:val="en-US" w:eastAsia="zh-CN" w:bidi="ar"/>
        </w:rPr>
        <w:t>邯郸市生态环境局馆陶县分局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b/>
          <w:bCs/>
          <w:i w:val="0"/>
          <w:iCs w:val="0"/>
          <w:caps w:val="0"/>
          <w:color w:val="333333"/>
          <w:spacing w:val="0"/>
          <w:kern w:val="0"/>
          <w:sz w:val="44"/>
          <w:szCs w:val="44"/>
          <w:shd w:val="clear" w:fill="FBFBFB"/>
          <w:lang w:val="en-US" w:eastAsia="zh-CN" w:bidi="ar"/>
        </w:rPr>
        <w:t>2023年政府信息公开工作年度报告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b/>
          <w:bCs/>
          <w:i w:val="0"/>
          <w:iCs w:val="0"/>
          <w:caps w:val="0"/>
          <w:color w:val="333333"/>
          <w:spacing w:val="0"/>
          <w:kern w:val="0"/>
          <w:sz w:val="36"/>
          <w:szCs w:val="36"/>
          <w:shd w:val="clear" w:fill="FBFBFB"/>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firstLineChars="200"/>
        <w:jc w:val="both"/>
        <w:rPr>
          <w:rFonts w:hint="eastAsia" w:ascii="黑体" w:hAnsi="黑体" w:eastAsia="黑体" w:cs="黑体"/>
          <w:b/>
          <w:bCs/>
          <w:i w:val="0"/>
          <w:iCs w:val="0"/>
          <w:caps w:val="0"/>
          <w:color w:val="333333"/>
          <w:spacing w:val="0"/>
          <w:kern w:val="0"/>
          <w:sz w:val="32"/>
          <w:szCs w:val="32"/>
          <w:shd w:val="clear" w:fill="FBFBFB"/>
          <w:lang w:val="en-US" w:eastAsia="zh-CN" w:bidi="ar"/>
        </w:rPr>
      </w:pPr>
      <w:r>
        <w:rPr>
          <w:rFonts w:hint="eastAsia" w:ascii="黑体" w:hAnsi="黑体" w:eastAsia="黑体" w:cs="黑体"/>
          <w:b/>
          <w:bCs/>
          <w:i w:val="0"/>
          <w:iCs w:val="0"/>
          <w:caps w:val="0"/>
          <w:color w:val="333333"/>
          <w:spacing w:val="0"/>
          <w:kern w:val="0"/>
          <w:sz w:val="32"/>
          <w:szCs w:val="32"/>
          <w:shd w:val="clear" w:fill="FBFBFB"/>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color w:val="333333"/>
          <w:sz w:val="32"/>
          <w:szCs w:val="32"/>
        </w:rPr>
      </w:pPr>
      <w:r>
        <w:rPr>
          <w:rFonts w:ascii="仿宋_GB2312" w:hAnsi="微软雅黑" w:eastAsia="仿宋_GB2312" w:cs="仿宋_GB2312"/>
          <w:i w:val="0"/>
          <w:iCs w:val="0"/>
          <w:caps w:val="0"/>
          <w:color w:val="333333"/>
          <w:spacing w:val="0"/>
          <w:kern w:val="0"/>
          <w:sz w:val="32"/>
          <w:szCs w:val="32"/>
          <w:shd w:val="clear" w:fill="FBFBFB"/>
          <w:lang w:val="en-US" w:eastAsia="zh-CN" w:bidi="ar"/>
        </w:rPr>
        <w:t>我局通过政府信息公开平台将权责清单中的生态环境保护领域行政检查、行政处罚、行政强制事项单独形成综合行政执法事项清单即事项清单</w:t>
      </w:r>
      <w:r>
        <w:rPr>
          <w:rFonts w:hint="eastAsia" w:ascii="仿宋_GB2312" w:hAnsi="微软雅黑" w:eastAsia="仿宋_GB2312" w:cs="仿宋_GB2312"/>
          <w:i w:val="0"/>
          <w:iCs w:val="0"/>
          <w:caps w:val="0"/>
          <w:color w:val="333333"/>
          <w:spacing w:val="0"/>
          <w:kern w:val="0"/>
          <w:sz w:val="32"/>
          <w:szCs w:val="32"/>
          <w:shd w:val="clear" w:fill="FBFBFB"/>
          <w:lang w:val="en-US" w:eastAsia="zh-CN" w:bidi="ar"/>
        </w:rPr>
        <w:t>,在政府门户网站上公开；统筹推进疫情防控、经济社会发展和生态环境差异化管控要求，以便发挥环境守法企业在日常监督中的正面激励和示范带动作用，公开了生态环境监督执法正面清单；及时发布空气质量状况和集中式饮用水水源水质状况，便利公众查询了解空气和饮用水水质量情况；每月定期公开“双随机、一公开”情况，公平、有效、透明地进行事中事后监管，推进环境执法公平、规范、有效开展；按照《中华人民共和国行政处罚法》第四条,行政处罚遵循公正、公开的原则，对2023年11个行政处罚及时进行公开，提高了政府信息公开的透明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firstLineChars="200"/>
        <w:jc w:val="both"/>
        <w:rPr>
          <w:rFonts w:hint="eastAsia" w:ascii="黑体" w:hAnsi="黑体" w:eastAsia="黑体" w:cs="黑体"/>
          <w:b/>
          <w:bCs/>
          <w:i w:val="0"/>
          <w:iCs w:val="0"/>
          <w:caps w:val="0"/>
          <w:color w:val="333333"/>
          <w:spacing w:val="0"/>
          <w:kern w:val="0"/>
          <w:sz w:val="32"/>
          <w:szCs w:val="32"/>
          <w:shd w:val="clear" w:fill="FBFBFB"/>
          <w:lang w:val="en-US" w:eastAsia="zh-CN" w:bidi="ar"/>
        </w:rPr>
      </w:pPr>
      <w:r>
        <w:rPr>
          <w:rFonts w:hint="eastAsia" w:ascii="黑体" w:hAnsi="黑体" w:eastAsia="黑体" w:cs="黑体"/>
          <w:b/>
          <w:bCs/>
          <w:i w:val="0"/>
          <w:iCs w:val="0"/>
          <w:caps w:val="0"/>
          <w:color w:val="333333"/>
          <w:spacing w:val="0"/>
          <w:kern w:val="0"/>
          <w:sz w:val="32"/>
          <w:szCs w:val="32"/>
          <w:shd w:val="clear" w:fill="FBFBFB"/>
          <w:lang w:val="en-US" w:eastAsia="zh-CN" w:bidi="ar"/>
        </w:rPr>
        <w:t>二、主动公开政府信息情况</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522"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1"/>
                <w:szCs w:val="21"/>
                <w:lang w:val="en-US" w:eastAsia="zh-CN" w:bidi="ar"/>
              </w:rPr>
              <w:t>第二十条</w:t>
            </w:r>
            <w:r>
              <w:rPr>
                <w:rFonts w:hint="eastAsia" w:ascii="宋体" w:hAnsi="宋体" w:eastAsia="宋体" w:cs="宋体"/>
                <w:color w:val="333333"/>
                <w:kern w:val="0"/>
                <w:sz w:val="22"/>
                <w:szCs w:val="22"/>
                <w:lang w:val="en-US" w:eastAsia="zh-CN" w:bidi="ar"/>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信息内容</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本年制发件数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本年废止件数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规章</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ascii="Calibri" w:hAnsi="Calibri" w:eastAsia="宋体" w:cs="Calibri"/>
                <w:color w:val="333333"/>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行政规范性文件</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行政许可</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行政处罚</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color w:val="333333"/>
                <w:sz w:val="24"/>
                <w:szCs w:val="24"/>
                <w:lang w:val="en-US"/>
              </w:rPr>
            </w:pPr>
            <w:r>
              <w:rPr>
                <w:rFonts w:hint="eastAsia" w:ascii="Calibri" w:hAnsi="Calibri" w:eastAsia="宋体" w:cs="Calibri"/>
                <w:color w:val="333333"/>
                <w:kern w:val="0"/>
                <w:sz w:val="24"/>
                <w:szCs w:val="24"/>
                <w:lang w:val="en-US" w:eastAsia="zh-CN" w:bidi="ar"/>
              </w:rPr>
              <w:t>11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行政强制</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2"/>
                <w:szCs w:val="22"/>
                <w:lang w:val="en-US" w:eastAsia="zh-CN" w:bidi="ar"/>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本年收费金额（单位：</w:t>
            </w:r>
            <w:r>
              <w:rPr>
                <w:rFonts w:hint="default" w:ascii="Calibri" w:hAnsi="Calibri" w:eastAsia="宋体" w:cs="Calibri"/>
                <w:color w:val="333333"/>
                <w:kern w:val="0"/>
                <w:sz w:val="24"/>
                <w:szCs w:val="24"/>
                <w:lang w:val="en-US" w:eastAsia="zh-CN" w:bidi="ar"/>
              </w:rPr>
              <w:t>0</w:t>
            </w:r>
            <w:r>
              <w:rPr>
                <w:rFonts w:hint="eastAsia" w:ascii="宋体" w:hAnsi="宋体" w:eastAsia="宋体" w:cs="宋体"/>
                <w:color w:val="333333"/>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eastAsia" w:ascii="宋体" w:hAnsi="宋体" w:eastAsia="宋体" w:cs="宋体"/>
                <w:color w:val="333333"/>
                <w:kern w:val="0"/>
                <w:sz w:val="24"/>
                <w:szCs w:val="24"/>
                <w:lang w:val="en-US" w:eastAsia="zh-CN" w:bidi="ar"/>
              </w:rPr>
              <w:t>行政事业性收费</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color w:val="333333"/>
                <w:sz w:val="24"/>
                <w:szCs w:val="24"/>
              </w:rPr>
            </w:pPr>
            <w:r>
              <w:rPr>
                <w:rFonts w:hint="default" w:ascii="Calibri" w:hAnsi="Calibri" w:eastAsia="宋体" w:cs="Calibri"/>
                <w:color w:val="333333"/>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333333"/>
          <w:sz w:val="24"/>
          <w:szCs w:val="24"/>
        </w:rPr>
      </w:pPr>
      <w:r>
        <w:rPr>
          <w:rFonts w:hint="eastAsia" w:ascii="宋体" w:hAnsi="宋体" w:eastAsia="宋体" w:cs="宋体"/>
          <w:b/>
          <w:bCs/>
          <w:i w:val="0"/>
          <w:iCs w:val="0"/>
          <w:caps w:val="0"/>
          <w:color w:val="333333"/>
          <w:spacing w:val="0"/>
          <w:kern w:val="0"/>
          <w:sz w:val="27"/>
          <w:szCs w:val="27"/>
          <w:shd w:val="clear" w:fill="FBFBFB"/>
          <w:lang w:val="en-US" w:eastAsia="zh-CN" w:bidi="ar"/>
        </w:rPr>
        <w:t>   </w:t>
      </w:r>
      <w:r>
        <w:rPr>
          <w:rFonts w:hint="eastAsia" w:ascii="黑体" w:hAnsi="黑体" w:eastAsia="黑体" w:cs="黑体"/>
          <w:b/>
          <w:bCs/>
          <w:i w:val="0"/>
          <w:iCs w:val="0"/>
          <w:caps w:val="0"/>
          <w:color w:val="333333"/>
          <w:spacing w:val="0"/>
          <w:kern w:val="0"/>
          <w:sz w:val="32"/>
          <w:szCs w:val="32"/>
          <w:shd w:val="clear" w:fill="FBFBFB"/>
          <w:lang w:val="en-US" w:eastAsia="zh-CN" w:bidi="ar"/>
        </w:rPr>
        <w:t>三、收到和处理政府信息公开申请情况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6"/>
        <w:gridCol w:w="964"/>
        <w:gridCol w:w="2221"/>
        <w:gridCol w:w="840"/>
        <w:gridCol w:w="675"/>
        <w:gridCol w:w="765"/>
        <w:gridCol w:w="825"/>
        <w:gridCol w:w="775"/>
        <w:gridCol w:w="703"/>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801"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（本列数据的勾稽关系为：第一项加第二项之和，等于第三项加第四项之和）</w:t>
            </w:r>
          </w:p>
        </w:tc>
        <w:tc>
          <w:tcPr>
            <w:tcW w:w="5270"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0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840"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自然人</w:t>
            </w:r>
          </w:p>
        </w:tc>
        <w:tc>
          <w:tcPr>
            <w:tcW w:w="3743"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0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840"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社会公益组织</w:t>
            </w:r>
          </w:p>
        </w:tc>
        <w:tc>
          <w:tcPr>
            <w:tcW w:w="77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0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宋体" w:hAnsi="宋体" w:eastAsia="宋体" w:cs="宋体"/>
                <w:color w:val="333333"/>
                <w:kern w:val="0"/>
                <w:sz w:val="20"/>
                <w:szCs w:val="20"/>
                <w:lang w:val="en-US" w:eastAsia="zh-CN" w:bidi="ar"/>
              </w:rPr>
              <w:t>一、本年新收政府信息公开申请数量</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0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宋体" w:hAnsi="宋体" w:eastAsia="宋体" w:cs="宋体"/>
                <w:color w:val="333333"/>
                <w:kern w:val="0"/>
                <w:sz w:val="20"/>
                <w:szCs w:val="20"/>
                <w:lang w:val="en-US" w:eastAsia="zh-CN" w:bidi="ar"/>
              </w:rPr>
              <w:t>二、上年结转政府信息公开申请数量</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三、本年度办理结果</w:t>
            </w:r>
          </w:p>
        </w:tc>
        <w:tc>
          <w:tcPr>
            <w:tcW w:w="31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ascii="楷体" w:hAnsi="楷体" w:eastAsia="楷体" w:cs="楷体"/>
                <w:color w:val="333333"/>
                <w:kern w:val="0"/>
                <w:sz w:val="20"/>
                <w:szCs w:val="20"/>
                <w:lang w:val="en-US" w:eastAsia="zh-CN" w:bidi="ar"/>
              </w:rPr>
              <w:t>（一）予以公开</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31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（二）部分公开（区分处理的，只计这一情形，不计其他情形）</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（三）不予公开</w:t>
            </w: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1.属于国家秘密</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2.其他法律行政法规禁止公开</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3.危及“三安全一稳定”</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4.保护第三方合法权益</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5.属于三类内部事务信息</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6.属于四类过程性信息</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7.属于行政执法案卷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8.属于行政查询事项</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（四）无法提供</w:t>
            </w: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1.本机关不掌握相关政府信息</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2.没有现成信息需要另行制作</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3.补正后申请内容仍不明确</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（五）不予处理</w:t>
            </w: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1.信访举报投诉类申请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2.重复申请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3.要求提供公开出版物</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4.无正当理由大量反复申请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5.要求行政机关确认或重新出具已获取信息</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restart"/>
            <w:tcBorders>
              <w:top w:val="nil"/>
              <w:left w:val="nil"/>
              <w:bottom w:val="nil"/>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（六）其他处理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eastAsia" w:ascii="楷体" w:hAnsi="楷体" w:eastAsia="楷体" w:cs="楷体"/>
                <w:color w:val="333333"/>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cs="Calibri" w:eastAsiaTheme="minorEastAsia"/>
                <w:color w:val="333333"/>
                <w:kern w:val="0"/>
                <w:sz w:val="20"/>
                <w:szCs w:val="20"/>
                <w:lang w:val="en-US" w:eastAsia="zh-CN" w:bidi="ar"/>
              </w:rPr>
              <w:t> </w:t>
            </w: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1．申请人无正当理由逾期不补正、行政机关不再处理其政府信息公开申请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2．申请人逾期未按收费通知要求缴纳费用、行政机关不再处理其政府信息公开申请</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222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3.其他</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sz w:val="24"/>
                <w:szCs w:val="24"/>
              </w:rPr>
            </w:pPr>
          </w:p>
        </w:tc>
        <w:tc>
          <w:tcPr>
            <w:tcW w:w="31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楷体" w:hAnsi="楷体" w:eastAsia="楷体" w:cs="楷体"/>
                <w:color w:val="333333"/>
                <w:kern w:val="0"/>
                <w:sz w:val="20"/>
                <w:szCs w:val="20"/>
                <w:lang w:val="en-US" w:eastAsia="zh-CN" w:bidi="ar"/>
              </w:rPr>
              <w:t>（七）总计</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0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color w:val="333333"/>
                <w:sz w:val="24"/>
                <w:szCs w:val="24"/>
              </w:rPr>
            </w:pPr>
            <w:r>
              <w:rPr>
                <w:rFonts w:hint="eastAsia" w:ascii="宋体" w:hAnsi="宋体" w:eastAsia="宋体" w:cs="宋体"/>
                <w:color w:val="333333"/>
                <w:kern w:val="0"/>
                <w:sz w:val="20"/>
                <w:szCs w:val="20"/>
                <w:lang w:val="en-US" w:eastAsia="zh-CN" w:bidi="ar"/>
              </w:rPr>
              <w:t>四、结转下年度继续办理</w:t>
            </w:r>
          </w:p>
        </w:tc>
        <w:tc>
          <w:tcPr>
            <w:tcW w:w="84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color w:val="333333"/>
          <w:sz w:val="24"/>
          <w:szCs w:val="24"/>
        </w:rPr>
      </w:pPr>
      <w:r>
        <w:rPr>
          <w:rFonts w:hint="eastAsia" w:ascii="黑体" w:hAnsi="黑体" w:eastAsia="黑体" w:cs="黑体"/>
          <w:b/>
          <w:bCs/>
          <w:i w:val="0"/>
          <w:iCs w:val="0"/>
          <w:caps w:val="0"/>
          <w:color w:val="333333"/>
          <w:spacing w:val="0"/>
          <w:kern w:val="0"/>
          <w:sz w:val="32"/>
          <w:szCs w:val="32"/>
          <w:shd w:val="clear" w:fill="FBFBFB"/>
          <w:lang w:val="en-US" w:eastAsia="zh-CN" w:bidi="ar"/>
        </w:rPr>
        <w:t>四、政府信息公开行政复议、行政诉讼情况</w:t>
      </w:r>
      <w:r>
        <w:rPr>
          <w:rFonts w:hint="eastAsia" w:ascii="宋体" w:hAnsi="宋体" w:eastAsia="宋体" w:cs="宋体"/>
          <w:i w:val="0"/>
          <w:iCs w:val="0"/>
          <w:caps w:val="0"/>
          <w:color w:val="333333"/>
          <w:spacing w:val="0"/>
          <w:kern w:val="0"/>
          <w:sz w:val="27"/>
          <w:szCs w:val="27"/>
          <w:shd w:val="clear" w:fill="FBFBFB"/>
          <w:lang w:val="en-US" w:eastAsia="zh-CN" w:bidi="ar"/>
        </w:rPr>
        <w:t> </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kinsoku w:val="0"/>
              <w:wordWrap/>
              <w:overflowPunct w:val="0"/>
              <w:topLinePunct w:val="0"/>
              <w:autoSpaceDE w:val="0"/>
              <w:autoSpaceDN w:val="0"/>
              <w:bidi w:val="0"/>
              <w:adjustRightInd/>
              <w:snapToGrid/>
              <w:spacing w:line="3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eastAsia" w:ascii="宋体" w:hAnsi="宋体" w:eastAsia="宋体" w:cs="宋体"/>
                <w:color w:val="333333"/>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360" w:lineRule="exact"/>
              <w:ind w:left="0" w:right="0"/>
              <w:jc w:val="center"/>
              <w:textAlignment w:val="auto"/>
              <w:rPr>
                <w:color w:val="333333"/>
                <w:sz w:val="24"/>
                <w:szCs w:val="24"/>
              </w:rPr>
            </w:pPr>
            <w:r>
              <w:rPr>
                <w:rFonts w:hint="default" w:ascii="Calibri" w:hAnsi="Calibri" w:eastAsia="宋体" w:cs="Calibri"/>
                <w:color w:val="333333"/>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firstLineChars="200"/>
        <w:jc w:val="both"/>
        <w:rPr>
          <w:rFonts w:hint="eastAsia" w:ascii="黑体" w:hAnsi="黑体" w:eastAsia="黑体" w:cs="黑体"/>
          <w:b/>
          <w:bCs/>
          <w:i w:val="0"/>
          <w:iCs w:val="0"/>
          <w:caps w:val="0"/>
          <w:color w:val="auto"/>
          <w:spacing w:val="0"/>
          <w:kern w:val="0"/>
          <w:sz w:val="32"/>
          <w:szCs w:val="32"/>
          <w:shd w:val="clear" w:fill="FBFBFB"/>
          <w:lang w:val="en-US" w:eastAsia="zh-CN" w:bidi="ar"/>
        </w:rPr>
      </w:pPr>
      <w:r>
        <w:rPr>
          <w:rFonts w:hint="eastAsia" w:ascii="黑体" w:hAnsi="黑体" w:eastAsia="黑体" w:cs="黑体"/>
          <w:b/>
          <w:bCs/>
          <w:i w:val="0"/>
          <w:iCs w:val="0"/>
          <w:caps w:val="0"/>
          <w:color w:val="auto"/>
          <w:spacing w:val="0"/>
          <w:kern w:val="0"/>
          <w:sz w:val="32"/>
          <w:szCs w:val="32"/>
          <w:shd w:val="clear" w:fill="FBFBFB"/>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仿宋" w:hAnsi="仿宋" w:eastAsia="仿宋" w:cs="仿宋"/>
          <w:i w:val="0"/>
          <w:iCs w:val="0"/>
          <w:caps w:val="0"/>
          <w:color w:val="auto"/>
          <w:spacing w:val="0"/>
          <w:kern w:val="0"/>
          <w:sz w:val="32"/>
          <w:szCs w:val="32"/>
          <w:shd w:val="clear" w:fill="FBFBFB"/>
          <w:lang w:val="en-US" w:eastAsia="zh-CN" w:bidi="ar"/>
        </w:rPr>
      </w:pPr>
      <w:r>
        <w:rPr>
          <w:rFonts w:hint="eastAsia" w:ascii="仿宋" w:hAnsi="仿宋" w:eastAsia="仿宋" w:cs="仿宋"/>
          <w:i w:val="0"/>
          <w:iCs w:val="0"/>
          <w:caps w:val="0"/>
          <w:color w:val="auto"/>
          <w:spacing w:val="0"/>
          <w:kern w:val="0"/>
          <w:sz w:val="32"/>
          <w:szCs w:val="32"/>
          <w:shd w:val="clear" w:fill="FBFBFB"/>
          <w:lang w:val="en-US" w:eastAsia="zh-CN" w:bidi="ar"/>
        </w:rPr>
        <w:t>一年来，我局政务公开工作虽然取得了一定的成效，但也存在着一些问题和不足，其主要表现是思想认识不够到位、公开内容不够全面、制度建设不够完善、方法手段不够创新、监督制约机制还有待于进一步健全完善。今后，将继续完善各项工作制度，严格执行相关政策文件规定的主动公开范围和事项，进一步拓展和深化政务信息公开的内容和范围，努力提高信息公开的质量，提高工作效能，优化服务质量，加强长效机制建设，努力开创政务公开工作的新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firstLineChars="200"/>
        <w:jc w:val="both"/>
        <w:rPr>
          <w:rFonts w:hint="eastAsia" w:ascii="黑体" w:hAnsi="黑体" w:eastAsia="黑体" w:cs="黑体"/>
          <w:b/>
          <w:bCs/>
          <w:i w:val="0"/>
          <w:iCs w:val="0"/>
          <w:caps w:val="0"/>
          <w:color w:val="auto"/>
          <w:spacing w:val="0"/>
          <w:kern w:val="0"/>
          <w:sz w:val="32"/>
          <w:szCs w:val="32"/>
          <w:shd w:val="clear" w:fill="FBFBFB"/>
          <w:lang w:val="en-US" w:eastAsia="zh-CN" w:bidi="ar"/>
        </w:rPr>
      </w:pPr>
      <w:r>
        <w:rPr>
          <w:rFonts w:hint="eastAsia" w:ascii="黑体" w:hAnsi="黑体" w:eastAsia="黑体" w:cs="黑体"/>
          <w:b/>
          <w:bCs/>
          <w:i w:val="0"/>
          <w:iCs w:val="0"/>
          <w:caps w:val="0"/>
          <w:color w:val="auto"/>
          <w:spacing w:val="0"/>
          <w:kern w:val="0"/>
          <w:sz w:val="32"/>
          <w:szCs w:val="32"/>
          <w:shd w:val="clear" w:fill="FBFBFB"/>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仿宋" w:hAnsi="仿宋" w:eastAsia="仿宋" w:cs="仿宋"/>
          <w:i w:val="0"/>
          <w:iCs w:val="0"/>
          <w:caps w:val="0"/>
          <w:color w:val="auto"/>
          <w:spacing w:val="0"/>
          <w:kern w:val="0"/>
          <w:sz w:val="32"/>
          <w:szCs w:val="32"/>
          <w:shd w:val="clear" w:fill="FBFBFB"/>
          <w:lang w:val="en-US" w:eastAsia="zh-CN" w:bidi="ar"/>
        </w:rPr>
      </w:pPr>
      <w:r>
        <w:rPr>
          <w:rFonts w:hint="eastAsia" w:ascii="仿宋" w:hAnsi="仿宋" w:eastAsia="仿宋" w:cs="仿宋"/>
          <w:i w:val="0"/>
          <w:iCs w:val="0"/>
          <w:caps w:val="0"/>
          <w:color w:val="auto"/>
          <w:spacing w:val="0"/>
          <w:kern w:val="0"/>
          <w:sz w:val="32"/>
          <w:szCs w:val="32"/>
          <w:shd w:val="clear" w:fill="FBFBFB"/>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kern w:val="0"/>
          <w:sz w:val="24"/>
          <w:szCs w:val="24"/>
          <w:shd w:val="clear" w:fill="FBFBFB"/>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color w:val="333333"/>
          <w:sz w:val="24"/>
          <w:szCs w:val="24"/>
        </w:rPr>
      </w:pPr>
      <w:r>
        <w:rPr>
          <w:rFonts w:hint="eastAsia" w:ascii="宋体" w:hAnsi="宋体" w:eastAsia="宋体" w:cs="宋体"/>
          <w:i w:val="0"/>
          <w:iCs w:val="0"/>
          <w:caps w:val="0"/>
          <w:color w:val="333333"/>
          <w:spacing w:val="0"/>
          <w:kern w:val="0"/>
          <w:sz w:val="32"/>
          <w:szCs w:val="32"/>
          <w:shd w:val="clear" w:fill="FBFBFB"/>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仿宋" w:hAnsi="仿宋" w:eastAsia="仿宋" w:cs="仿宋"/>
          <w:i w:val="0"/>
          <w:iCs w:val="0"/>
          <w:caps w:val="0"/>
          <w:color w:val="auto"/>
          <w:spacing w:val="0"/>
          <w:kern w:val="0"/>
          <w:sz w:val="32"/>
          <w:szCs w:val="32"/>
          <w:shd w:val="clear" w:fill="FBFBFB"/>
          <w:lang w:val="en-US" w:eastAsia="zh-CN" w:bidi="ar"/>
        </w:rPr>
      </w:pPr>
      <w:r>
        <w:rPr>
          <w:rFonts w:hint="eastAsia" w:ascii="仿宋" w:hAnsi="仿宋" w:eastAsia="仿宋" w:cs="仿宋"/>
          <w:i w:val="0"/>
          <w:iCs w:val="0"/>
          <w:caps w:val="0"/>
          <w:color w:val="auto"/>
          <w:spacing w:val="0"/>
          <w:kern w:val="0"/>
          <w:sz w:val="32"/>
          <w:szCs w:val="32"/>
          <w:shd w:val="clear" w:fill="FBFBFB"/>
          <w:lang w:val="en-US" w:eastAsia="zh-CN" w:bidi="ar"/>
        </w:rPr>
        <w:t>                    邯郸市生态环境局馆陶县分局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color w:val="333333"/>
          <w:sz w:val="24"/>
          <w:szCs w:val="24"/>
        </w:rPr>
      </w:pPr>
      <w:r>
        <w:rPr>
          <w:rFonts w:hint="eastAsia" w:ascii="仿宋" w:hAnsi="仿宋" w:eastAsia="仿宋" w:cs="仿宋"/>
          <w:i w:val="0"/>
          <w:iCs w:val="0"/>
          <w:caps w:val="0"/>
          <w:color w:val="auto"/>
          <w:spacing w:val="0"/>
          <w:kern w:val="0"/>
          <w:sz w:val="32"/>
          <w:szCs w:val="32"/>
          <w:shd w:val="clear" w:fill="FBFBFB"/>
          <w:lang w:val="en-US" w:eastAsia="zh-CN" w:bidi="ar"/>
        </w:rPr>
        <w:t>                              2024年1月15日  </w:t>
      </w:r>
      <w:r>
        <w:rPr>
          <w:rFonts w:hint="eastAsia" w:ascii="仿宋" w:hAnsi="仿宋" w:eastAsia="仿宋" w:cs="仿宋"/>
          <w:i w:val="0"/>
          <w:iCs w:val="0"/>
          <w:caps w:val="0"/>
          <w:color w:val="333333"/>
          <w:spacing w:val="0"/>
          <w:kern w:val="0"/>
          <w:sz w:val="32"/>
          <w:szCs w:val="32"/>
          <w:shd w:val="clear" w:fill="FBFBFB"/>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ZDY1OTliOGE0NTNlYjYxOWVlNjg2YWM3YmVmMWUifQ=="/>
  </w:docVars>
  <w:rsids>
    <w:rsidRoot w:val="69033FF6"/>
    <w:rsid w:val="48E9486D"/>
    <w:rsid w:val="61A11A3C"/>
    <w:rsid w:val="6903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书香芬芳</cp:lastModifiedBy>
  <dcterms:modified xsi:type="dcterms:W3CDTF">2024-01-16T06:51:55Z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71F949B8B7344F0B96F3FC591B1189F2_13</vt:lpwstr>
  </property>
</Properties>
</file>