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馆陶县审计局</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ascii="宋体" w:hAnsi="宋体" w:eastAsia="宋体" w:cs="宋体"/>
          <w:b/>
          <w:bCs/>
          <w:color w:val="000000"/>
          <w:kern w:val="0"/>
          <w:sz w:val="36"/>
          <w:szCs w:val="36"/>
        </w:rPr>
      </w:pP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3</w:t>
      </w:r>
      <w:r>
        <w:rPr>
          <w:rFonts w:hint="eastAsia" w:ascii="方正小标宋简体" w:hAnsi="方正小标宋简体" w:eastAsia="方正小标宋简体" w:cs="方正小标宋简体"/>
          <w:b/>
          <w:bCs/>
          <w:sz w:val="44"/>
          <w:szCs w:val="44"/>
        </w:rPr>
        <w:t>年度政府信息公开工作年度报告</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0"/>
        <w:rPr>
          <w:rFonts w:hint="eastAsia" w:ascii="宋体" w:hAnsi="宋体" w:eastAsia="宋体" w:cs="宋体"/>
          <w:b/>
          <w:bCs/>
          <w:color w:val="000000"/>
          <w:kern w:val="0"/>
          <w:sz w:val="27"/>
          <w:szCs w:val="27"/>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bCs/>
          <w:color w:val="000000"/>
          <w:kern w:val="0"/>
          <w:sz w:val="27"/>
          <w:szCs w:val="27"/>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年以来，</w:t>
      </w:r>
      <w:r>
        <w:rPr>
          <w:rFonts w:hint="eastAsia" w:ascii="仿宋_GB2312" w:hAnsi="仿宋_GB2312" w:eastAsia="仿宋_GB2312" w:cs="仿宋_GB2312"/>
          <w:sz w:val="32"/>
          <w:szCs w:val="32"/>
          <w:lang w:eastAsia="zh-CN"/>
        </w:rPr>
        <w:t>馆陶县</w:t>
      </w:r>
      <w:r>
        <w:rPr>
          <w:rFonts w:hint="eastAsia" w:ascii="仿宋_GB2312" w:hAnsi="仿宋_GB2312" w:eastAsia="仿宋_GB2312" w:cs="仿宋_GB2312"/>
          <w:sz w:val="32"/>
          <w:szCs w:val="32"/>
        </w:rPr>
        <w:t>审计局坚持以习近平新时代中国特色社会主义思想为指导，全面贯彻落实党的</w:t>
      </w:r>
      <w:r>
        <w:rPr>
          <w:rFonts w:hint="eastAsia" w:ascii="仿宋_GB2312" w:hAnsi="仿宋_GB2312" w:eastAsia="仿宋_GB2312" w:cs="仿宋_GB2312"/>
          <w:sz w:val="32"/>
          <w:szCs w:val="32"/>
          <w:lang w:val="en-US" w:eastAsia="zh-CN"/>
        </w:rPr>
        <w:t>二十</w:t>
      </w:r>
      <w:r>
        <w:rPr>
          <w:rFonts w:hint="eastAsia" w:ascii="仿宋_GB2312" w:hAnsi="仿宋_GB2312" w:eastAsia="仿宋_GB2312" w:cs="仿宋_GB2312"/>
          <w:sz w:val="32"/>
          <w:szCs w:val="32"/>
        </w:rPr>
        <w:t>大和</w:t>
      </w:r>
      <w:r>
        <w:rPr>
          <w:rFonts w:hint="eastAsia" w:ascii="仿宋_GB2312" w:hAnsi="仿宋_GB2312" w:eastAsia="仿宋_GB2312" w:cs="仿宋_GB2312"/>
          <w:sz w:val="32"/>
          <w:szCs w:val="32"/>
          <w:lang w:val="en-US" w:eastAsia="zh-CN"/>
        </w:rPr>
        <w:t>二十</w:t>
      </w:r>
      <w:r>
        <w:rPr>
          <w:rFonts w:hint="eastAsia" w:ascii="仿宋_GB2312" w:hAnsi="仿宋_GB2312" w:eastAsia="仿宋_GB2312" w:cs="仿宋_GB2312"/>
          <w:sz w:val="32"/>
          <w:szCs w:val="32"/>
        </w:rPr>
        <w:t>届</w:t>
      </w:r>
      <w:bookmarkStart w:id="0" w:name="_GoBack"/>
      <w:bookmarkEnd w:id="0"/>
      <w:r>
        <w:rPr>
          <w:rFonts w:hint="eastAsia" w:ascii="仿宋_GB2312" w:hAnsi="仿宋_GB2312" w:eastAsia="仿宋_GB2312" w:cs="仿宋_GB2312"/>
          <w:sz w:val="32"/>
          <w:szCs w:val="32"/>
        </w:rPr>
        <w:t>全会以及党的二十大精神，认真按照中央、省、市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关于全面推进政务公开的决策部署要求开展本单位政务公开工作。根据国务院办公厅政府信息与政务公开办公室关于印发《中华人民共和国政府信息公开工作年度报告格式》的通知（国办公开办函〔2021〕30号）要求，本年度报告全文包括总体情况、主动公开政府信息情况、收到和处理政府信息公开申请情况、政府信息公开行政复议、行政诉讼情况、存在的主要问题及改进情况等。本报告数据统计期限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年1月1日至202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outlineLvl w:val="0"/>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审计局严格执行《中华人民共和国政府信息公开条例》，认真落实</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政府信息公开相关工作要求，结合审计法定职责，持续推进政府信息公开发布工作，更好地接受社会公众监督。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年，我局对照</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政务公开工作的</w:t>
      </w:r>
      <w:r>
        <w:rPr>
          <w:rFonts w:hint="eastAsia" w:ascii="仿宋_GB2312" w:hAnsi="仿宋_GB2312" w:eastAsia="仿宋_GB2312" w:cs="仿宋_GB2312"/>
          <w:sz w:val="32"/>
          <w:szCs w:val="32"/>
        </w:rPr>
        <w:t>要求，结合审计工作实际，建立本单位202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年政务公开工作要点，强化组织领导，明确政府信息公开受理</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室，落实专职工作人员，科学安排任务，深入推进政府信息公开各项工作开展。202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年1月1日至202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政府信息公开平台主动公开政府信息累计</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条，全文电子化率达100%。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（一）以责任落实为重点，注重体制机制建设。</w:t>
      </w:r>
      <w:r>
        <w:rPr>
          <w:rFonts w:hint="eastAsia" w:ascii="仿宋_GB2312" w:hAnsi="仿宋_GB2312" w:eastAsia="仿宋_GB2312" w:cs="仿宋_GB2312"/>
          <w:sz w:val="32"/>
          <w:szCs w:val="32"/>
        </w:rPr>
        <w:t>一是强化组织领导。</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审计局始终把信息公开的施行作为建设廉洁、勤政、务实、高效政府的一项重大任务，作为施政的一项基本制度，切实加强组织领导。成立了政府信息公开领导小组，主管副职任组长，办公室主任任副组长，相关</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室负责人为成员，办公室设在局办公室，并指定专人负责处理政府信息公开工作，强化了组织领导。二是制定完善相关制度。</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审计局根据政务信息公开工作面临的新形势、新任务，结合审计工作发展趋势，及时完善政府信息和政务公开相关制度，形成了与政务公开工作相配套的《</w:t>
      </w:r>
      <w:r>
        <w:rPr>
          <w:rFonts w:hint="eastAsia" w:ascii="仿宋_GB2312" w:hAnsi="仿宋_GB2312" w:eastAsia="仿宋_GB2312" w:cs="仿宋_GB2312"/>
          <w:sz w:val="32"/>
          <w:szCs w:val="32"/>
          <w:lang w:eastAsia="zh-CN"/>
        </w:rPr>
        <w:t>馆陶县</w:t>
      </w:r>
      <w:r>
        <w:rPr>
          <w:rFonts w:hint="eastAsia" w:ascii="仿宋_GB2312" w:hAnsi="仿宋_GB2312" w:eastAsia="仿宋_GB2312" w:cs="仿宋_GB2312"/>
          <w:sz w:val="32"/>
          <w:szCs w:val="32"/>
        </w:rPr>
        <w:t>审计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政府信息公开办法》《</w:t>
      </w:r>
      <w:r>
        <w:rPr>
          <w:rFonts w:hint="eastAsia" w:ascii="仿宋_GB2312" w:hAnsi="仿宋_GB2312" w:eastAsia="仿宋_GB2312" w:cs="仿宋_GB2312"/>
          <w:sz w:val="32"/>
          <w:szCs w:val="32"/>
          <w:lang w:eastAsia="zh-CN"/>
        </w:rPr>
        <w:t>馆陶县</w:t>
      </w:r>
      <w:r>
        <w:rPr>
          <w:rFonts w:hint="eastAsia" w:ascii="仿宋_GB2312" w:hAnsi="仿宋_GB2312" w:eastAsia="仿宋_GB2312" w:cs="仿宋_GB2312"/>
          <w:sz w:val="32"/>
          <w:szCs w:val="32"/>
        </w:rPr>
        <w:t>审计局信息公开指南》等制度办法，把政务公开工作推向法制化、规范化、经常化轨道。三是科学谋划年度工作计划。我局在安排年度工作计划时，将政务公开工作作为单位工作的基本制度，与业务工作同部署，将公开事项落实到位，细化分解任务，责任落实到个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（二）严把审核关口，提升政务公开质效。</w:t>
      </w:r>
      <w:r>
        <w:rPr>
          <w:rFonts w:hint="eastAsia" w:ascii="仿宋_GB2312" w:hAnsi="仿宋_GB2312" w:eastAsia="仿宋_GB2312" w:cs="仿宋_GB2312"/>
          <w:sz w:val="32"/>
          <w:szCs w:val="32"/>
        </w:rPr>
        <w:t>一是严把公开内容和项目关，既防止该公开的不公开，又防止不该公开的乱公开。实际工作中，</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审计局深入贯彻《政府信息公开实施意见》，根据《</w:t>
      </w:r>
      <w:r>
        <w:rPr>
          <w:rFonts w:hint="eastAsia" w:ascii="仿宋_GB2312" w:hAnsi="仿宋_GB2312" w:eastAsia="仿宋_GB2312" w:cs="仿宋_GB2312"/>
          <w:sz w:val="32"/>
          <w:szCs w:val="32"/>
          <w:lang w:eastAsia="zh-CN"/>
        </w:rPr>
        <w:t>馆陶县</w:t>
      </w:r>
      <w:r>
        <w:rPr>
          <w:rFonts w:hint="eastAsia" w:ascii="仿宋_GB2312" w:hAnsi="仿宋_GB2312" w:eastAsia="仿宋_GB2312" w:cs="仿宋_GB2312"/>
          <w:sz w:val="32"/>
          <w:szCs w:val="32"/>
        </w:rPr>
        <w:t>政务公开办法》要求，开展政府信息公开工作。二是建立完善公开信息逐级审批制度，对需要公开的信息由相关</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室起草公开文本，报领导小组办公室及有关领导逐级审批，严格把关，提高公开信息质量。三是组织人员培训。按照以自学为主、集中学习为辅的学习方式，学习政务公开政策文件，提高政务公开意识，增强政务公开工作的主动性。派专职人员参加</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政府组织的政府信息公开培训，定期维护更新信息公开平台内容。四是加大排查力度。局办公室牵头开展信息公开相关检查工作，及时发现和解决存在的问题，有力地推动了政务信息公开工作落实。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（三）突出重点领域,深化政务信息公开。</w:t>
      </w:r>
      <w:r>
        <w:rPr>
          <w:rFonts w:hint="eastAsia" w:ascii="仿宋_GB2312" w:hAnsi="仿宋_GB2312" w:eastAsia="仿宋_GB2312" w:cs="仿宋_GB2312"/>
          <w:sz w:val="32"/>
          <w:szCs w:val="32"/>
        </w:rPr>
        <w:t>一是坚持上级要求的必须公开，有效发挥了审计监督职能。二是坚持重点工作的及时公开。按照要求,重点对年度报告、政策解读、财务财政、行政执法等内容进行公开,向社会公布监督投诉电话号码、单位办公地址,保障社会公民及单位职工的知情权和监督权,接受社会各方面监督。三是坚持群众关心的主动公开。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政务公开办指导下,结合单位实际,及时公开单位的机构职能、领导简介及分工、内设机构、信息公开指南、重要会议等相关情况,进一步增强内部事务的公开性和透明度。</w:t>
      </w:r>
    </w:p>
    <w:p>
      <w:pPr>
        <w:ind w:firstLine="642" w:firstLineChars="200"/>
        <w:outlineLvl w:val="0"/>
      </w:pPr>
      <w:r>
        <w:rPr>
          <w:rFonts w:hint="eastAsia" w:ascii="黑体" w:hAnsi="黑体" w:eastAsia="黑体" w:cs="黑体"/>
          <w:b/>
          <w:bCs/>
          <w:color w:val="000000"/>
          <w:kern w:val="0"/>
          <w:sz w:val="32"/>
          <w:szCs w:val="32"/>
        </w:rPr>
        <w:t>二、主动公开政府信息情况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jc w:val="center"/>
              <w:rPr>
                <w:rFonts w:hint="eastAsia" w:eastAsiaTheme="minorEastAsia"/>
                <w:vertAlign w:val="baseline"/>
                <w:lang w:val="en-US" w:eastAsia="zh-CN"/>
              </w:rPr>
            </w:pPr>
            <w:r>
              <w:rPr>
                <w:rFonts w:hint="eastAsia" w:ascii="宋体" w:hAnsi="宋体" w:eastAsia="宋体" w:cs="宋体"/>
                <w:vertAlign w:val="baseline"/>
                <w:lang w:val="en-US" w:eastAsia="zh-CN"/>
              </w:rPr>
              <w:t>第二十条</w:t>
            </w:r>
            <w:r>
              <w:rPr>
                <w:rFonts w:hint="eastAsia" w:ascii="宋体" w:hAnsi="宋体" w:eastAsia="宋体" w:cs="宋体"/>
                <w:color w:val="000000"/>
                <w:sz w:val="22"/>
              </w:rPr>
              <w:t xml:space="preserve"> 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jc w:val="center"/>
              <w:rPr>
                <w:vertAlign w:val="baseline"/>
              </w:rPr>
            </w:pPr>
            <w:r>
              <w:rPr>
                <w:rFonts w:hint="eastAsia" w:ascii="宋体" w:hAnsi="宋体" w:eastAsia="宋体"/>
                <w:color w:val="000000"/>
                <w:sz w:val="22"/>
              </w:rPr>
              <w:t>信息内容</w:t>
            </w:r>
          </w:p>
        </w:tc>
        <w:tc>
          <w:tcPr>
            <w:tcW w:w="2130" w:type="dxa"/>
            <w:vAlign w:val="center"/>
          </w:tcPr>
          <w:p>
            <w:pPr>
              <w:jc w:val="center"/>
              <w:rPr>
                <w:vertAlign w:val="baseline"/>
              </w:rPr>
            </w:pPr>
            <w:r>
              <w:rPr>
                <w:rFonts w:hint="eastAsia" w:ascii="宋体" w:hAnsi="宋体" w:eastAsia="宋体"/>
                <w:color w:val="000000"/>
                <w:sz w:val="22"/>
              </w:rPr>
              <w:t>本年制发件数</w:t>
            </w:r>
          </w:p>
        </w:tc>
        <w:tc>
          <w:tcPr>
            <w:tcW w:w="2131" w:type="dxa"/>
            <w:vAlign w:val="center"/>
          </w:tcPr>
          <w:p>
            <w:pPr>
              <w:jc w:val="center"/>
              <w:rPr>
                <w:vertAlign w:val="baseline"/>
              </w:rPr>
            </w:pPr>
            <w:r>
              <w:rPr>
                <w:rFonts w:hint="eastAsia" w:ascii="宋体" w:hAnsi="宋体" w:eastAsia="宋体"/>
                <w:color w:val="000000"/>
                <w:sz w:val="22"/>
              </w:rPr>
              <w:t>本年</w:t>
            </w:r>
            <w:r>
              <w:rPr>
                <w:rFonts w:hint="eastAsia" w:ascii="宋体" w:hAnsi="宋体" w:eastAsia="宋体"/>
                <w:color w:val="000000"/>
                <w:sz w:val="22"/>
                <w:lang w:val="en-US" w:eastAsia="zh-CN"/>
              </w:rPr>
              <w:t>废止</w:t>
            </w:r>
            <w:r>
              <w:rPr>
                <w:rFonts w:hint="eastAsia" w:ascii="宋体" w:hAnsi="宋体" w:eastAsia="宋体"/>
                <w:color w:val="000000"/>
                <w:sz w:val="22"/>
              </w:rPr>
              <w:t>件数</w:t>
            </w:r>
          </w:p>
        </w:tc>
        <w:tc>
          <w:tcPr>
            <w:tcW w:w="2131" w:type="dxa"/>
            <w:vAlign w:val="center"/>
          </w:tcPr>
          <w:p>
            <w:pPr>
              <w:jc w:val="center"/>
              <w:rPr>
                <w:rFonts w:hint="default" w:eastAsiaTheme="minorEastAsia"/>
                <w:vertAlign w:val="baseline"/>
                <w:lang w:val="en-US" w:eastAsia="zh-CN"/>
              </w:rPr>
            </w:pPr>
            <w:r>
              <w:rPr>
                <w:rFonts w:hint="eastAsia"/>
                <w:vertAlign w:val="baseline"/>
                <w:lang w:val="en-US"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jc w:val="center"/>
              <w:rPr>
                <w:rFonts w:hint="eastAsia" w:eastAsiaTheme="minorEastAsia"/>
                <w:vertAlign w:val="baseline"/>
                <w:lang w:val="en-US" w:eastAsia="zh-CN"/>
              </w:rPr>
            </w:pPr>
            <w:r>
              <w:rPr>
                <w:rFonts w:hint="eastAsia"/>
                <w:vertAlign w:val="baseline"/>
                <w:lang w:val="en-US" w:eastAsia="zh-CN"/>
              </w:rPr>
              <w:t>规章</w:t>
            </w:r>
          </w:p>
        </w:tc>
        <w:tc>
          <w:tcPr>
            <w:tcW w:w="2130" w:type="dxa"/>
            <w:vAlign w:val="center"/>
          </w:tcPr>
          <w:p>
            <w:pPr>
              <w:jc w:val="center"/>
              <w:rPr>
                <w:rFonts w:hint="eastAsia" w:eastAsiaTheme="minorEastAsia"/>
                <w:vertAlign w:val="baseline"/>
                <w:lang w:val="en-US" w:eastAsia="zh-CN"/>
              </w:rPr>
            </w:pPr>
            <w:r>
              <w:rPr>
                <w:rFonts w:hint="eastAsia"/>
                <w:vertAlign w:val="baseline"/>
                <w:lang w:val="en-US" w:eastAsia="zh-CN"/>
              </w:rPr>
              <w:t>0</w:t>
            </w:r>
          </w:p>
        </w:tc>
        <w:tc>
          <w:tcPr>
            <w:tcW w:w="2131" w:type="dxa"/>
            <w:vAlign w:val="center"/>
          </w:tcPr>
          <w:p>
            <w:pPr>
              <w:jc w:val="center"/>
              <w:rPr>
                <w:rFonts w:hint="eastAsia" w:eastAsiaTheme="minorEastAsia"/>
                <w:vertAlign w:val="baseline"/>
                <w:lang w:val="en-US" w:eastAsia="zh-CN"/>
              </w:rPr>
            </w:pPr>
            <w:r>
              <w:rPr>
                <w:rFonts w:hint="eastAsia"/>
                <w:vertAlign w:val="baseline"/>
                <w:lang w:val="en-US" w:eastAsia="zh-CN"/>
              </w:rPr>
              <w:t>0</w:t>
            </w:r>
          </w:p>
        </w:tc>
        <w:tc>
          <w:tcPr>
            <w:tcW w:w="2131" w:type="dxa"/>
            <w:vAlign w:val="center"/>
          </w:tcPr>
          <w:p>
            <w:pPr>
              <w:jc w:val="center"/>
              <w:rPr>
                <w:rFonts w:hint="eastAsia" w:eastAsiaTheme="minorEastAsia"/>
                <w:vertAlign w:val="baseline"/>
                <w:lang w:val="en-US" w:eastAsia="zh-CN"/>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jc w:val="center"/>
              <w:rPr>
                <w:rFonts w:hint="default" w:eastAsiaTheme="minorEastAsia"/>
                <w:vertAlign w:val="baseline"/>
                <w:lang w:val="en-US" w:eastAsia="zh-CN"/>
              </w:rPr>
            </w:pPr>
            <w:r>
              <w:rPr>
                <w:rFonts w:hint="eastAsia"/>
                <w:vertAlign w:val="baseline"/>
                <w:lang w:val="en-US" w:eastAsia="zh-CN"/>
              </w:rPr>
              <w:t>行政规范性文件</w:t>
            </w:r>
          </w:p>
        </w:tc>
        <w:tc>
          <w:tcPr>
            <w:tcW w:w="2130" w:type="dxa"/>
            <w:vAlign w:val="center"/>
          </w:tcPr>
          <w:p>
            <w:pPr>
              <w:jc w:val="center"/>
              <w:rPr>
                <w:rFonts w:hint="eastAsia" w:eastAsiaTheme="minorEastAsia"/>
                <w:vertAlign w:val="baseline"/>
                <w:lang w:val="en-US" w:eastAsia="zh-CN"/>
              </w:rPr>
            </w:pPr>
            <w:r>
              <w:rPr>
                <w:rFonts w:hint="eastAsia"/>
                <w:vertAlign w:val="baseline"/>
                <w:lang w:val="en-US" w:eastAsia="zh-CN"/>
              </w:rPr>
              <w:t>0</w:t>
            </w:r>
          </w:p>
        </w:tc>
        <w:tc>
          <w:tcPr>
            <w:tcW w:w="2131" w:type="dxa"/>
            <w:vAlign w:val="center"/>
          </w:tcPr>
          <w:p>
            <w:pPr>
              <w:jc w:val="center"/>
              <w:rPr>
                <w:rFonts w:hint="eastAsia" w:eastAsiaTheme="minorEastAsia"/>
                <w:vertAlign w:val="baseline"/>
                <w:lang w:val="en-US" w:eastAsia="zh-CN"/>
              </w:rPr>
            </w:pPr>
            <w:r>
              <w:rPr>
                <w:rFonts w:hint="eastAsia"/>
                <w:vertAlign w:val="baseline"/>
                <w:lang w:val="en-US" w:eastAsia="zh-CN"/>
              </w:rPr>
              <w:t>0</w:t>
            </w:r>
          </w:p>
        </w:tc>
        <w:tc>
          <w:tcPr>
            <w:tcW w:w="2131" w:type="dxa"/>
            <w:vAlign w:val="center"/>
          </w:tcPr>
          <w:p>
            <w:pPr>
              <w:jc w:val="center"/>
              <w:rPr>
                <w:rFonts w:hint="eastAsia" w:eastAsiaTheme="minorEastAsia"/>
                <w:vertAlign w:val="baseline"/>
                <w:lang w:val="en-US" w:eastAsia="zh-CN"/>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jc w:val="center"/>
              <w:rPr>
                <w:vertAlign w:val="baseline"/>
              </w:rPr>
            </w:pPr>
            <w:r>
              <w:rPr>
                <w:rFonts w:hint="eastAsia" w:ascii="宋体" w:hAnsi="宋体" w:eastAsia="宋体"/>
                <w:color w:val="000000"/>
                <w:sz w:val="22"/>
              </w:rPr>
              <w:t>第二十条 第（</w:t>
            </w:r>
            <w:r>
              <w:rPr>
                <w:rFonts w:hint="eastAsia" w:ascii="宋体" w:hAnsi="宋体" w:eastAsia="宋体"/>
                <w:color w:val="000000"/>
                <w:sz w:val="22"/>
                <w:lang w:val="en-US" w:eastAsia="zh-CN"/>
              </w:rPr>
              <w:t>五</w:t>
            </w:r>
            <w:r>
              <w:rPr>
                <w:rFonts w:hint="eastAsia" w:ascii="宋体" w:hAnsi="宋体" w:eastAsia="宋体"/>
                <w:color w:val="000000"/>
                <w:sz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jc w:val="center"/>
              <w:rPr>
                <w:rFonts w:hint="default" w:eastAsiaTheme="minorEastAsia"/>
                <w:vertAlign w:val="baseline"/>
                <w:lang w:val="en-US" w:eastAsia="zh-CN"/>
              </w:rPr>
            </w:pPr>
            <w:r>
              <w:rPr>
                <w:rFonts w:hint="eastAsia"/>
                <w:vertAlign w:val="baseline"/>
                <w:lang w:val="en-US" w:eastAsia="zh-CN"/>
              </w:rPr>
              <w:t>信息内容</w:t>
            </w:r>
          </w:p>
        </w:tc>
        <w:tc>
          <w:tcPr>
            <w:tcW w:w="6392" w:type="dxa"/>
            <w:gridSpan w:val="3"/>
            <w:vAlign w:val="center"/>
          </w:tcPr>
          <w:p>
            <w:pPr>
              <w:jc w:val="center"/>
              <w:rPr>
                <w:vertAlign w:val="baseline"/>
              </w:rPr>
            </w:pPr>
            <w:r>
              <w:rPr>
                <w:rFonts w:hint="eastAsia" w:ascii="宋体" w:hAnsi="宋体" w:eastAsia="宋体"/>
                <w:color w:val="000000"/>
                <w:sz w:val="22"/>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jc w:val="center"/>
              <w:rPr>
                <w:rFonts w:hint="eastAsia" w:eastAsiaTheme="minorEastAsia"/>
                <w:vertAlign w:val="baseline"/>
                <w:lang w:val="en-US" w:eastAsia="zh-CN"/>
              </w:rPr>
            </w:pPr>
            <w:r>
              <w:rPr>
                <w:rFonts w:hint="eastAsia"/>
                <w:vertAlign w:val="baseline"/>
                <w:lang w:val="en-US" w:eastAsia="zh-CN"/>
              </w:rPr>
              <w:t>行政许可</w:t>
            </w:r>
          </w:p>
        </w:tc>
        <w:tc>
          <w:tcPr>
            <w:tcW w:w="6392" w:type="dxa"/>
            <w:gridSpan w:val="3"/>
            <w:vAlign w:val="center"/>
          </w:tcPr>
          <w:p>
            <w:pPr>
              <w:jc w:val="center"/>
              <w:rPr>
                <w:rFonts w:hint="default" w:eastAsiaTheme="minorEastAsia"/>
                <w:vertAlign w:val="baseline"/>
                <w:lang w:val="en-US" w:eastAsia="zh-CN"/>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jc w:val="center"/>
              <w:rPr>
                <w:vertAlign w:val="baseline"/>
              </w:rPr>
            </w:pPr>
            <w:r>
              <w:rPr>
                <w:rFonts w:hint="eastAsia" w:ascii="宋体" w:hAnsi="宋体" w:eastAsia="宋体"/>
                <w:color w:val="000000"/>
                <w:sz w:val="22"/>
              </w:rPr>
              <w:t>第二十条 第（</w:t>
            </w:r>
            <w:r>
              <w:rPr>
                <w:rFonts w:hint="eastAsia" w:ascii="宋体" w:hAnsi="宋体" w:eastAsia="宋体"/>
                <w:color w:val="000000"/>
                <w:sz w:val="22"/>
                <w:lang w:val="en-US" w:eastAsia="zh-CN"/>
              </w:rPr>
              <w:t>六</w:t>
            </w:r>
            <w:r>
              <w:rPr>
                <w:rFonts w:hint="eastAsia" w:ascii="宋体" w:hAnsi="宋体" w:eastAsia="宋体"/>
                <w:color w:val="000000"/>
                <w:sz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jc w:val="center"/>
              <w:rPr>
                <w:vertAlign w:val="baseline"/>
              </w:rPr>
            </w:pPr>
            <w:r>
              <w:rPr>
                <w:rFonts w:hint="eastAsia"/>
                <w:vertAlign w:val="baseline"/>
                <w:lang w:val="en-US" w:eastAsia="zh-CN"/>
              </w:rPr>
              <w:t>信息内容</w:t>
            </w:r>
          </w:p>
        </w:tc>
        <w:tc>
          <w:tcPr>
            <w:tcW w:w="6392" w:type="dxa"/>
            <w:gridSpan w:val="3"/>
            <w:vAlign w:val="center"/>
          </w:tcPr>
          <w:p>
            <w:pPr>
              <w:jc w:val="center"/>
              <w:rPr>
                <w:vertAlign w:val="baseline"/>
              </w:rPr>
            </w:pPr>
            <w:r>
              <w:rPr>
                <w:rFonts w:hint="eastAsia" w:ascii="宋体" w:hAnsi="宋体" w:eastAsia="宋体"/>
                <w:color w:val="000000"/>
                <w:sz w:val="22"/>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jc w:val="center"/>
              <w:rPr>
                <w:rFonts w:hint="eastAsia" w:eastAsiaTheme="minorEastAsia"/>
                <w:vertAlign w:val="baseline"/>
                <w:lang w:val="en-US" w:eastAsia="zh-CN"/>
              </w:rPr>
            </w:pPr>
            <w:r>
              <w:rPr>
                <w:rFonts w:hint="eastAsia"/>
                <w:vertAlign w:val="baseline"/>
                <w:lang w:val="en-US" w:eastAsia="zh-CN"/>
              </w:rPr>
              <w:t>行政处罚</w:t>
            </w:r>
          </w:p>
        </w:tc>
        <w:tc>
          <w:tcPr>
            <w:tcW w:w="6392" w:type="dxa"/>
            <w:gridSpan w:val="3"/>
            <w:vAlign w:val="center"/>
          </w:tcPr>
          <w:p>
            <w:pPr>
              <w:jc w:val="center"/>
              <w:rPr>
                <w:rFonts w:hint="default" w:eastAsiaTheme="minorEastAsia"/>
                <w:vertAlign w:val="baseline"/>
                <w:lang w:val="en-US" w:eastAsia="zh-CN"/>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jc w:val="center"/>
              <w:rPr>
                <w:rFonts w:hint="default" w:eastAsiaTheme="minorEastAsia"/>
                <w:vertAlign w:val="baseline"/>
                <w:lang w:val="en-US" w:eastAsia="zh-CN"/>
              </w:rPr>
            </w:pPr>
            <w:r>
              <w:rPr>
                <w:rFonts w:hint="eastAsia"/>
                <w:vertAlign w:val="baseline"/>
                <w:lang w:val="en-US" w:eastAsia="zh-CN"/>
              </w:rPr>
              <w:t>行政强制</w:t>
            </w:r>
          </w:p>
        </w:tc>
        <w:tc>
          <w:tcPr>
            <w:tcW w:w="6392" w:type="dxa"/>
            <w:gridSpan w:val="3"/>
            <w:vAlign w:val="center"/>
          </w:tcPr>
          <w:p>
            <w:pPr>
              <w:jc w:val="center"/>
              <w:rPr>
                <w:rFonts w:hint="default" w:eastAsiaTheme="minorEastAsia"/>
                <w:vertAlign w:val="baseline"/>
                <w:lang w:val="en-US" w:eastAsia="zh-CN"/>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jc w:val="center"/>
              <w:rPr>
                <w:vertAlign w:val="baseline"/>
              </w:rPr>
            </w:pPr>
            <w:r>
              <w:rPr>
                <w:rFonts w:hint="eastAsia" w:ascii="宋体" w:hAnsi="宋体" w:eastAsia="宋体"/>
                <w:color w:val="000000"/>
                <w:sz w:val="22"/>
              </w:rPr>
              <w:t>第二十条 第（</w:t>
            </w:r>
            <w:r>
              <w:rPr>
                <w:rFonts w:hint="eastAsia" w:ascii="宋体" w:hAnsi="宋体" w:eastAsia="宋体"/>
                <w:color w:val="000000"/>
                <w:sz w:val="22"/>
                <w:lang w:val="en-US" w:eastAsia="zh-CN"/>
              </w:rPr>
              <w:t>八</w:t>
            </w:r>
            <w:r>
              <w:rPr>
                <w:rFonts w:hint="eastAsia" w:ascii="宋体" w:hAnsi="宋体" w:eastAsia="宋体"/>
                <w:color w:val="000000"/>
                <w:sz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jc w:val="center"/>
              <w:rPr>
                <w:vertAlign w:val="baseline"/>
              </w:rPr>
            </w:pPr>
            <w:r>
              <w:rPr>
                <w:rFonts w:hint="eastAsia"/>
                <w:vertAlign w:val="baseline"/>
                <w:lang w:val="en-US" w:eastAsia="zh-CN"/>
              </w:rPr>
              <w:t>信息内容</w:t>
            </w:r>
          </w:p>
        </w:tc>
        <w:tc>
          <w:tcPr>
            <w:tcW w:w="6392" w:type="dxa"/>
            <w:gridSpan w:val="3"/>
            <w:vAlign w:val="center"/>
          </w:tcPr>
          <w:p>
            <w:pPr>
              <w:jc w:val="center"/>
              <w:rPr>
                <w:rFonts w:hint="default" w:eastAsiaTheme="minorEastAsia"/>
                <w:vertAlign w:val="baseline"/>
                <w:lang w:val="en-US" w:eastAsia="zh-CN"/>
              </w:rPr>
            </w:pPr>
            <w:r>
              <w:rPr>
                <w:rFonts w:hint="eastAsia"/>
                <w:vertAlign w:val="baseline"/>
                <w:lang w:val="en-US"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jc w:val="center"/>
              <w:rPr>
                <w:rFonts w:hint="default" w:eastAsiaTheme="minorEastAsia"/>
                <w:vertAlign w:val="baseline"/>
                <w:lang w:val="en-US" w:eastAsia="zh-CN"/>
              </w:rPr>
            </w:pPr>
            <w:r>
              <w:rPr>
                <w:rFonts w:hint="eastAsia"/>
                <w:vertAlign w:val="baseline"/>
                <w:lang w:val="en-US" w:eastAsia="zh-CN"/>
              </w:rPr>
              <w:t>行政事业性收费</w:t>
            </w:r>
          </w:p>
        </w:tc>
        <w:tc>
          <w:tcPr>
            <w:tcW w:w="6392" w:type="dxa"/>
            <w:gridSpan w:val="3"/>
            <w:vAlign w:val="center"/>
          </w:tcPr>
          <w:p>
            <w:pPr>
              <w:jc w:val="center"/>
              <w:rPr>
                <w:rFonts w:hint="eastAsia" w:eastAsiaTheme="minorEastAsia"/>
                <w:vertAlign w:val="baseline"/>
                <w:lang w:val="en-US" w:eastAsia="zh-CN"/>
              </w:rPr>
            </w:pPr>
            <w:r>
              <w:rPr>
                <w:rFonts w:hint="eastAsia"/>
                <w:vertAlign w:val="baseline"/>
                <w:lang w:val="en-US" w:eastAsia="zh-CN"/>
              </w:rPr>
              <w:t>0</w:t>
            </w:r>
          </w:p>
        </w:tc>
      </w:tr>
    </w:tbl>
    <w:p>
      <w:pPr>
        <w:widowControl/>
        <w:ind w:firstLine="642" w:firstLineChars="200"/>
        <w:outlineLvl w:val="0"/>
        <w:rPr>
          <w:rFonts w:hint="eastAsia" w:ascii="黑体" w:hAnsi="黑体" w:eastAsia="黑体" w:cs="黑体"/>
          <w:b/>
          <w:bCs/>
          <w:color w:val="000000"/>
          <w:kern w:val="0"/>
          <w:sz w:val="32"/>
          <w:szCs w:val="32"/>
        </w:rPr>
      </w:pPr>
    </w:p>
    <w:p>
      <w:pPr>
        <w:widowControl/>
        <w:numPr>
          <w:ilvl w:val="0"/>
          <w:numId w:val="0"/>
        </w:numPr>
        <w:ind w:firstLine="642" w:firstLineChars="200"/>
        <w:outlineLvl w:val="0"/>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eastAsia="zh-CN"/>
        </w:rPr>
        <w:t>三、</w:t>
      </w:r>
      <w:r>
        <w:rPr>
          <w:rFonts w:hint="eastAsia" w:ascii="黑体" w:hAnsi="黑体" w:eastAsia="黑体" w:cs="黑体"/>
          <w:b/>
          <w:bCs/>
          <w:color w:val="000000"/>
          <w:kern w:val="0"/>
          <w:sz w:val="32"/>
          <w:szCs w:val="32"/>
        </w:rPr>
        <w:t>收到和处理政府信息公开申请情况</w:t>
      </w:r>
    </w:p>
    <w:tbl>
      <w:tblPr>
        <w:tblStyle w:val="5"/>
        <w:tblW w:w="9071" w:type="dxa"/>
        <w:jc w:val="center"/>
        <w:tblLayout w:type="fixed"/>
        <w:tblCellMar>
          <w:top w:w="15" w:type="dxa"/>
          <w:left w:w="15" w:type="dxa"/>
          <w:bottom w:w="15" w:type="dxa"/>
          <w:right w:w="15" w:type="dxa"/>
        </w:tblCellMar>
      </w:tblPr>
      <w:tblGrid>
        <w:gridCol w:w="616"/>
        <w:gridCol w:w="964"/>
        <w:gridCol w:w="2048"/>
        <w:gridCol w:w="799"/>
        <w:gridCol w:w="749"/>
        <w:gridCol w:w="746"/>
        <w:gridCol w:w="802"/>
        <w:gridCol w:w="957"/>
        <w:gridCol w:w="703"/>
        <w:gridCol w:w="687"/>
      </w:tblGrid>
      <w:tr>
        <w:tblPrEx>
          <w:tblCellMar>
            <w:top w:w="15" w:type="dxa"/>
            <w:left w:w="15" w:type="dxa"/>
            <w:bottom w:w="15" w:type="dxa"/>
            <w:right w:w="15" w:type="dxa"/>
          </w:tblCellMar>
        </w:tblPrEx>
        <w:trPr>
          <w:jc w:val="center"/>
        </w:trPr>
        <w:tc>
          <w:tcPr>
            <w:tcW w:w="3628" w:type="dxa"/>
            <w:gridSpan w:val="3"/>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（本列数据的勾稽关系为：第一项加第二项之和，等于第三项加第四项之和）</w:t>
            </w:r>
          </w:p>
        </w:tc>
        <w:tc>
          <w:tcPr>
            <w:tcW w:w="5443" w:type="dxa"/>
            <w:gridSpan w:val="7"/>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申请人情况</w:t>
            </w:r>
          </w:p>
        </w:tc>
      </w:tr>
      <w:tr>
        <w:tblPrEx>
          <w:tblCellMar>
            <w:top w:w="15" w:type="dxa"/>
            <w:left w:w="15" w:type="dxa"/>
            <w:bottom w:w="15" w:type="dxa"/>
            <w:right w:w="15" w:type="dxa"/>
          </w:tblCellMar>
        </w:tblPrEx>
        <w:trPr>
          <w:jc w:val="center"/>
        </w:trPr>
        <w:tc>
          <w:tcPr>
            <w:tcW w:w="3628"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799"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自然人</w:t>
            </w:r>
          </w:p>
        </w:tc>
        <w:tc>
          <w:tcPr>
            <w:tcW w:w="3957"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法人或其他组织</w:t>
            </w:r>
          </w:p>
        </w:tc>
        <w:tc>
          <w:tcPr>
            <w:tcW w:w="687"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r>
      <w:tr>
        <w:tblPrEx>
          <w:tblCellMar>
            <w:top w:w="15" w:type="dxa"/>
            <w:left w:w="15" w:type="dxa"/>
            <w:bottom w:w="15" w:type="dxa"/>
            <w:right w:w="15" w:type="dxa"/>
          </w:tblCellMar>
        </w:tblPrEx>
        <w:trPr>
          <w:jc w:val="center"/>
        </w:trPr>
        <w:tc>
          <w:tcPr>
            <w:tcW w:w="3628"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799"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商业企业</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科研机构</w:t>
            </w:r>
          </w:p>
        </w:tc>
        <w:tc>
          <w:tcPr>
            <w:tcW w:w="802"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社会公益组织</w:t>
            </w:r>
          </w:p>
        </w:tc>
        <w:tc>
          <w:tcPr>
            <w:tcW w:w="957"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法律服务机构</w:t>
            </w:r>
          </w:p>
        </w:tc>
        <w:tc>
          <w:tcPr>
            <w:tcW w:w="703"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其他</w:t>
            </w:r>
          </w:p>
        </w:tc>
        <w:tc>
          <w:tcPr>
            <w:tcW w:w="687"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r>
      <w:tr>
        <w:tblPrEx>
          <w:tblCellMar>
            <w:top w:w="15" w:type="dxa"/>
            <w:left w:w="15" w:type="dxa"/>
            <w:bottom w:w="15" w:type="dxa"/>
            <w:right w:w="15" w:type="dxa"/>
          </w:tblCellMar>
        </w:tblPrEx>
        <w:trPr>
          <w:jc w:val="center"/>
        </w:trPr>
        <w:tc>
          <w:tcPr>
            <w:tcW w:w="3628"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一、本年新收政府信息公开申请数量</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3628"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二、上年结转政府信息公开申请数量</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三、本年度办理结果</w:t>
            </w:r>
          </w:p>
        </w:tc>
        <w:tc>
          <w:tcPr>
            <w:tcW w:w="3012"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（一）予以公开</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012"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（二）部分公开（区分处理的，只计这一情形，不计其他情形）</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（三）不予公开</w:t>
            </w: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1.属于国家秘密</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2.其他法律行政法规禁止公开</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3.危及“三安全一稳定”</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4.保护第三方合法权益</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5.属于三类内部事务信息</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6.属于四类过程性信息</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7.属于行政执法案卷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8.属于行政查询事项</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（四）无法提供</w:t>
            </w: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1.本机关不掌握相关政府信息</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2.没有现成信息需要另行制作</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3.补正后申请内容仍不明确</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（五）不予处理</w:t>
            </w: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1.信访举报投诉类申请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2.重复申请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3.要求提供公开出版物</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4.无正当理由大量反复申请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5.要求行政机关确认或重新出具已获取信息</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trHeight w:val="213" w:hRule="atLeast"/>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restart"/>
            <w:tcBorders>
              <w:top w:val="nil"/>
              <w:left w:val="nil"/>
              <w:right w:val="single" w:color="auto" w:sz="8" w:space="0"/>
            </w:tcBorders>
            <w:shd w:val="clear" w:color="auto" w:fill="E6F4FF"/>
            <w:tcMar>
              <w:top w:w="0" w:type="dxa"/>
              <w:left w:w="108" w:type="dxa"/>
              <w:bottom w:w="0" w:type="dxa"/>
              <w:right w:w="108" w:type="dxa"/>
            </w:tcMar>
            <w:vAlign w:val="center"/>
          </w:tcPr>
          <w:p>
            <w:pPr>
              <w:widowControl/>
              <w:numPr>
                <w:ilvl w:val="0"/>
                <w:numId w:val="0"/>
              </w:numPr>
              <w:jc w:val="left"/>
              <w:rPr>
                <w:rFonts w:hint="eastAsia" w:ascii="楷体" w:hAnsi="宋体" w:eastAsia="楷体" w:cs="宋体"/>
                <w:color w:val="000000"/>
                <w:kern w:val="0"/>
                <w:sz w:val="20"/>
                <w:szCs w:val="20"/>
              </w:rPr>
            </w:pPr>
            <w:r>
              <w:rPr>
                <w:rFonts w:hint="eastAsia" w:ascii="楷体" w:hAnsi="宋体" w:eastAsia="楷体" w:cs="宋体"/>
                <w:color w:val="000000"/>
                <w:kern w:val="0"/>
                <w:sz w:val="20"/>
                <w:szCs w:val="20"/>
                <w:lang w:eastAsia="zh-CN"/>
              </w:rPr>
              <w:t>（</w:t>
            </w:r>
            <w:r>
              <w:rPr>
                <w:rFonts w:hint="eastAsia" w:ascii="楷体" w:hAnsi="宋体" w:eastAsia="楷体" w:cs="宋体"/>
                <w:color w:val="000000"/>
                <w:kern w:val="0"/>
                <w:sz w:val="20"/>
                <w:szCs w:val="20"/>
                <w:lang w:val="en-US" w:eastAsia="zh-CN"/>
              </w:rPr>
              <w:t>六）</w:t>
            </w:r>
            <w:r>
              <w:rPr>
                <w:rFonts w:hint="eastAsia" w:ascii="楷体" w:hAnsi="宋体" w:eastAsia="楷体" w:cs="宋体"/>
                <w:color w:val="000000"/>
                <w:kern w:val="0"/>
                <w:sz w:val="20"/>
                <w:szCs w:val="20"/>
              </w:rPr>
              <w:t>其他处理</w:t>
            </w:r>
          </w:p>
          <w:p>
            <w:pPr>
              <w:widowControl/>
              <w:jc w:val="center"/>
              <w:rPr>
                <w:rFonts w:hint="eastAsia" w:ascii="楷体" w:hAnsi="宋体" w:eastAsia="楷体" w:cs="宋体"/>
                <w:color w:val="000000"/>
                <w:kern w:val="0"/>
                <w:sz w:val="20"/>
                <w:szCs w:val="20"/>
              </w:rPr>
            </w:pPr>
          </w:p>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numPr>
                <w:ilvl w:val="0"/>
                <w:numId w:val="0"/>
              </w:numPr>
              <w:jc w:val="left"/>
              <w:rPr>
                <w:rFonts w:hint="eastAsia" w:ascii="楷体" w:hAnsi="宋体" w:eastAsia="楷体" w:cs="宋体"/>
                <w:color w:val="000000"/>
                <w:kern w:val="0"/>
                <w:sz w:val="20"/>
                <w:szCs w:val="20"/>
                <w:lang w:eastAsia="zh-CN"/>
              </w:rPr>
            </w:pPr>
            <w:r>
              <w:rPr>
                <w:rFonts w:hint="eastAsia" w:ascii="楷体" w:hAnsi="宋体" w:eastAsia="楷体" w:cs="宋体"/>
                <w:color w:val="000000"/>
                <w:kern w:val="0"/>
                <w:sz w:val="20"/>
                <w:szCs w:val="20"/>
                <w:lang w:eastAsia="zh-CN"/>
              </w:rPr>
              <w:t>1．申请人无正当理由逾期不补正、行政机关不再处理其政府信息公开申请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Calibri" w:hAnsi="Calibri" w:eastAsia="宋体" w:cs="宋体"/>
                <w:color w:val="000000"/>
                <w:kern w:val="0"/>
                <w:sz w:val="20"/>
                <w:szCs w:val="20"/>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trHeight w:val="213" w:hRule="atLeast"/>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center"/>
            </w:pPr>
          </w:p>
        </w:tc>
        <w:tc>
          <w:tcPr>
            <w:tcW w:w="964" w:type="dxa"/>
            <w:vMerge w:val="continue"/>
            <w:tcBorders>
              <w:left w:val="nil"/>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numPr>
                <w:ilvl w:val="0"/>
                <w:numId w:val="0"/>
              </w:numPr>
              <w:jc w:val="left"/>
              <w:rPr>
                <w:rFonts w:hint="eastAsia" w:ascii="楷体" w:hAnsi="宋体" w:eastAsia="楷体" w:cs="宋体"/>
                <w:color w:val="000000"/>
                <w:kern w:val="0"/>
                <w:sz w:val="20"/>
                <w:szCs w:val="20"/>
                <w:lang w:eastAsia="zh-CN"/>
              </w:rPr>
            </w:pPr>
            <w:r>
              <w:rPr>
                <w:rFonts w:hint="eastAsia" w:ascii="楷体" w:hAnsi="宋体" w:eastAsia="楷体" w:cs="宋体"/>
                <w:color w:val="000000"/>
                <w:kern w:val="0"/>
                <w:sz w:val="20"/>
                <w:szCs w:val="20"/>
                <w:lang w:eastAsia="zh-CN"/>
              </w:rPr>
              <w:t>2．申请人逾期未按收费通知要求缴纳</w:t>
            </w:r>
            <w:r>
              <w:rPr>
                <w:rFonts w:hint="eastAsia" w:ascii="楷体" w:hAnsi="宋体" w:eastAsia="楷体" w:cs="宋体"/>
                <w:color w:val="000000"/>
                <w:kern w:val="0"/>
                <w:sz w:val="20"/>
                <w:szCs w:val="20"/>
                <w:lang w:val="en-US" w:eastAsia="zh-CN"/>
              </w:rPr>
              <w:t>费</w:t>
            </w:r>
            <w:r>
              <w:rPr>
                <w:rFonts w:hint="eastAsia" w:ascii="楷体" w:hAnsi="宋体" w:eastAsia="楷体" w:cs="宋体"/>
                <w:color w:val="000000"/>
                <w:kern w:val="0"/>
                <w:sz w:val="20"/>
                <w:szCs w:val="20"/>
                <w:lang w:eastAsia="zh-CN"/>
              </w:rPr>
              <w:t>用、行政机关不再处理其政府信息公开申请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trHeight w:val="213" w:hRule="atLeast"/>
          <w:jc w:val="center"/>
        </w:trPr>
        <w:tc>
          <w:tcPr>
            <w:tcW w:w="616" w:type="dxa"/>
            <w:vMerge w:val="continue"/>
            <w:tcBorders>
              <w:left w:val="single" w:color="auto" w:sz="8" w:space="0"/>
              <w:bottom w:val="single" w:color="auto" w:sz="8" w:space="0"/>
              <w:right w:val="single" w:color="auto" w:sz="8" w:space="0"/>
            </w:tcBorders>
            <w:vAlign w:val="center"/>
          </w:tcPr>
          <w:p>
            <w:pPr>
              <w:widowControl/>
              <w:jc w:val="center"/>
              <w:rPr>
                <w:rFonts w:hint="eastAsia" w:ascii="楷体" w:hAnsi="宋体" w:eastAsia="楷体" w:cs="宋体"/>
                <w:color w:val="000000"/>
                <w:kern w:val="0"/>
                <w:sz w:val="20"/>
                <w:szCs w:val="20"/>
              </w:rPr>
            </w:pPr>
          </w:p>
        </w:tc>
        <w:tc>
          <w:tcPr>
            <w:tcW w:w="964" w:type="dxa"/>
            <w:vMerge w:val="continue"/>
            <w:tcBorders>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numPr>
                <w:ilvl w:val="0"/>
                <w:numId w:val="0"/>
              </w:numPr>
              <w:jc w:val="left"/>
              <w:rPr>
                <w:rFonts w:hint="default" w:ascii="楷体" w:hAnsi="宋体" w:eastAsia="楷体" w:cs="宋体"/>
                <w:color w:val="000000"/>
                <w:kern w:val="0"/>
                <w:sz w:val="20"/>
                <w:szCs w:val="20"/>
                <w:lang w:val="en-US" w:eastAsia="zh-CN"/>
              </w:rPr>
            </w:pPr>
            <w:r>
              <w:rPr>
                <w:rFonts w:hint="eastAsia" w:ascii="楷体" w:hAnsi="宋体" w:eastAsia="楷体" w:cs="宋体"/>
                <w:color w:val="000000"/>
                <w:kern w:val="0"/>
                <w:sz w:val="20"/>
                <w:szCs w:val="20"/>
                <w:lang w:val="en-US" w:eastAsia="zh-CN"/>
              </w:rPr>
              <w:t>3.其他</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012"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（七）总计</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3628"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四、结转下年度继续办理</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bl>
    <w:p>
      <w:pPr>
        <w:widowControl/>
        <w:numPr>
          <w:ilvl w:val="0"/>
          <w:numId w:val="0"/>
        </w:numPr>
        <w:outlineLvl w:val="0"/>
        <w:rPr>
          <w:rFonts w:hint="eastAsia" w:ascii="宋体" w:hAnsi="宋体" w:eastAsia="宋体" w:cs="宋体"/>
          <w:b/>
          <w:bCs/>
          <w:color w:val="000000"/>
          <w:kern w:val="0"/>
          <w:sz w:val="27"/>
          <w:szCs w:val="27"/>
        </w:rPr>
      </w:pPr>
    </w:p>
    <w:p>
      <w:pPr>
        <w:widowControl/>
        <w:numPr>
          <w:ilvl w:val="0"/>
          <w:numId w:val="0"/>
        </w:numPr>
        <w:ind w:firstLine="642" w:firstLineChars="200"/>
        <w:outlineLvl w:val="0"/>
        <w:rPr>
          <w:rFonts w:hint="eastAsia" w:ascii="宋体" w:hAnsi="宋体" w:eastAsia="宋体" w:cs="宋体"/>
          <w:b/>
          <w:bCs/>
          <w:color w:val="000000"/>
          <w:kern w:val="0"/>
          <w:sz w:val="27"/>
          <w:szCs w:val="27"/>
        </w:rPr>
      </w:pPr>
      <w:r>
        <w:rPr>
          <w:rFonts w:hint="eastAsia" w:ascii="黑体" w:hAnsi="黑体" w:eastAsia="黑体" w:cs="黑体"/>
          <w:b/>
          <w:bCs/>
          <w:color w:val="000000"/>
          <w:kern w:val="0"/>
          <w:sz w:val="32"/>
          <w:szCs w:val="32"/>
          <w:lang w:eastAsia="zh-CN"/>
        </w:rPr>
        <w:t>四、</w:t>
      </w:r>
      <w:r>
        <w:rPr>
          <w:rFonts w:hint="eastAsia" w:ascii="黑体" w:hAnsi="黑体" w:eastAsia="黑体" w:cs="黑体"/>
          <w:b/>
          <w:bCs/>
          <w:color w:val="000000"/>
          <w:kern w:val="0"/>
          <w:sz w:val="32"/>
          <w:szCs w:val="32"/>
        </w:rPr>
        <w:t>政府信息公开行政复议、行政诉讼情况</w:t>
      </w:r>
    </w:p>
    <w:tbl>
      <w:tblPr>
        <w:tblStyle w:val="5"/>
        <w:tblW w:w="9071" w:type="dxa"/>
        <w:jc w:val="center"/>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行政诉讼</w:t>
            </w:r>
          </w:p>
        </w:tc>
      </w:tr>
      <w:tr>
        <w:tblPrEx>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结果维持</w:t>
            </w:r>
          </w:p>
        </w:tc>
        <w:tc>
          <w:tcPr>
            <w:tcW w:w="60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c>
          <w:tcPr>
            <w:tcW w:w="2970"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复议后起诉</w:t>
            </w:r>
          </w:p>
        </w:tc>
      </w:tr>
      <w:tr>
        <w:tblPrEx>
          <w:tblCellMar>
            <w:top w:w="15" w:type="dxa"/>
            <w:left w:w="15" w:type="dxa"/>
            <w:bottom w:w="15" w:type="dxa"/>
            <w:right w:w="15" w:type="dxa"/>
          </w:tblCellMar>
        </w:tblPrEx>
        <w:trPr>
          <w:trHeight w:val="9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结果维持</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其他结果</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尚未审结</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r>
      <w:tr>
        <w:tblPrEx>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5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r>
    </w:tbl>
    <w:p>
      <w:pPr>
        <w:widowControl/>
        <w:jc w:val="center"/>
        <w:rPr>
          <w:rFonts w:ascii="Segoe UI" w:hAnsi="Segoe UI" w:eastAsia="宋体" w:cs="Segoe UI"/>
          <w:color w:val="000000"/>
          <w:kern w:val="0"/>
          <w:sz w:val="24"/>
          <w:szCs w:val="24"/>
        </w:rPr>
      </w:pPr>
    </w:p>
    <w:p>
      <w:pPr>
        <w:widowControl/>
        <w:ind w:firstLine="642" w:firstLineChars="200"/>
        <w:outlineLvl w:val="0"/>
        <w:rPr>
          <w:rFonts w:hint="eastAsia" w:ascii="黑体" w:hAnsi="黑体" w:eastAsia="黑体" w:cs="黑体"/>
          <w:color w:val="000000"/>
          <w:kern w:val="0"/>
          <w:sz w:val="32"/>
          <w:szCs w:val="32"/>
        </w:rPr>
      </w:pPr>
      <w:r>
        <w:rPr>
          <w:rFonts w:hint="eastAsia" w:ascii="黑体" w:hAnsi="黑体" w:eastAsia="黑体" w:cs="黑体"/>
          <w:b/>
          <w:bCs/>
          <w:color w:val="000000"/>
          <w:kern w:val="0"/>
          <w:sz w:val="32"/>
          <w:szCs w:val="32"/>
        </w:rPr>
        <w:t>五、存在的主要问题及改进情况</w:t>
      </w:r>
    </w:p>
    <w:p>
      <w:pPr>
        <w:widowControl/>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审计局以</w:t>
      </w:r>
      <w:r>
        <w:rPr>
          <w:rFonts w:hint="eastAsia" w:ascii="仿宋_GB2312" w:hAnsi="仿宋_GB2312" w:eastAsia="仿宋_GB2312" w:cs="仿宋_GB2312"/>
          <w:sz w:val="32"/>
          <w:szCs w:val="32"/>
          <w:lang w:val="en-US" w:eastAsia="zh-CN"/>
        </w:rPr>
        <w:t>习近平</w:t>
      </w:r>
      <w:r>
        <w:rPr>
          <w:rFonts w:hint="eastAsia" w:ascii="仿宋_GB2312" w:hAnsi="仿宋_GB2312" w:eastAsia="仿宋_GB2312" w:cs="仿宋_GB2312"/>
          <w:sz w:val="32"/>
          <w:szCs w:val="32"/>
        </w:rPr>
        <w:t>新时代中国特色社会主义思想为指导，深入贯彻落实</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关于信息公开的工作部署，政务信息公开工作虽取得了一些成绩，同时还存在一定问题：一是主动公开政府内容还需要进一步充实完善，形式不够丰富；二是宣传和引导工作需要进一步加强；三是少数信息发布不够及时，公开信息的时效性不够强。下一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审计局将加大工作力度，采取有力措施，进一步做好政府信息公开工作。一是进一步解放思想，加大信息公开力度，除正式文件外，其他由我局生成的对社会公众有指导或帮助意义的信息也纳入信息公开的范畴予以发布；二是加大对信息公开工作的宣传力度，使公众对这项工作有进一步的了解和更深的认识，引导公众正确认识、使用信息公开媒体，以方便生活和工作；三是及时发布和更新依法应主动公开的政府信息，加强平台建设，做好日常监测，切实推动政务公开规范。</w:t>
      </w:r>
    </w:p>
    <w:p>
      <w:pPr>
        <w:widowControl/>
        <w:ind w:firstLine="642" w:firstLineChars="200"/>
        <w:outlineLvl w:val="0"/>
        <w:rPr>
          <w:rFonts w:hint="eastAsia" w:ascii="黑体" w:hAnsi="黑体" w:eastAsia="黑体" w:cs="黑体"/>
          <w:color w:val="000000"/>
          <w:kern w:val="0"/>
          <w:sz w:val="32"/>
          <w:szCs w:val="32"/>
        </w:rPr>
      </w:pPr>
      <w:r>
        <w:rPr>
          <w:rFonts w:hint="eastAsia" w:ascii="黑体" w:hAnsi="黑体" w:eastAsia="黑体" w:cs="黑体"/>
          <w:b/>
          <w:bCs/>
          <w:color w:val="000000"/>
          <w:kern w:val="0"/>
          <w:sz w:val="32"/>
          <w:szCs w:val="32"/>
        </w:rPr>
        <w:t>六、其他需要报告的事项</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无其他需要报告的事项。</w:t>
      </w:r>
    </w:p>
    <w:p>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roman"/>
    <w:pitch w:val="default"/>
    <w:sig w:usb0="00000000" w:usb1="00000000" w:usb2="00000016" w:usb3="00000000" w:csb0="00040001" w:csb1="00000000"/>
  </w:font>
  <w:font w:name="Segoe UI">
    <w:altName w:val="Noto Music"/>
    <w:panose1 w:val="020B0502040204020203"/>
    <w:charset w:val="00"/>
    <w:family w:val="swiss"/>
    <w:pitch w:val="default"/>
    <w:sig w:usb0="00000000" w:usb1="00000000"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Noto Music">
    <w:panose1 w:val="020B0502040504020204"/>
    <w:charset w:val="00"/>
    <w:family w:val="auto"/>
    <w:pitch w:val="default"/>
    <w:sig w:usb0="00000003" w:usb1="02006000" w:usb2="01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NDRhNTEyNmQ1ZDIxZDY5NGJmMDIzYmJjODI2YzIifQ=="/>
  </w:docVars>
  <w:rsids>
    <w:rsidRoot w:val="00A80AD8"/>
    <w:rsid w:val="002D62FD"/>
    <w:rsid w:val="003E01CD"/>
    <w:rsid w:val="00A80AD8"/>
    <w:rsid w:val="00ED10DD"/>
    <w:rsid w:val="05457AAF"/>
    <w:rsid w:val="0C007224"/>
    <w:rsid w:val="143B69F2"/>
    <w:rsid w:val="1CD15199"/>
    <w:rsid w:val="23AE2DDC"/>
    <w:rsid w:val="308920CD"/>
    <w:rsid w:val="44C5119C"/>
    <w:rsid w:val="54B36B62"/>
    <w:rsid w:val="56B55F51"/>
    <w:rsid w:val="61B804C8"/>
    <w:rsid w:val="67174698"/>
    <w:rsid w:val="69F43B7A"/>
    <w:rsid w:val="69FE29BF"/>
    <w:rsid w:val="6B766173"/>
    <w:rsid w:val="729B0A92"/>
    <w:rsid w:val="78D1525B"/>
    <w:rsid w:val="7E005F06"/>
    <w:rsid w:val="FBAD3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Char"/>
    <w:basedOn w:val="7"/>
    <w:link w:val="2"/>
    <w:qFormat/>
    <w:uiPriority w:val="9"/>
    <w:rPr>
      <w:b/>
      <w:bCs/>
      <w:kern w:val="44"/>
      <w:sz w:val="44"/>
      <w:szCs w:val="44"/>
    </w:rPr>
  </w:style>
  <w:style w:type="character" w:customStyle="1" w:styleId="9">
    <w:name w:val="Subtle Emphasis"/>
    <w:basedOn w:val="7"/>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755</Words>
  <Characters>772</Characters>
  <Lines>9</Lines>
  <Paragraphs>2</Paragraphs>
  <TotalTime>643</TotalTime>
  <ScaleCrop>false</ScaleCrop>
  <LinksUpToDate>false</LinksUpToDate>
  <CharactersWithSpaces>949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2019-12-16T16:00:00Z</dcterms:created>
  <dc:creator>Administrator</dc:creator>
  <cp:lastModifiedBy>langchao</cp:lastModifiedBy>
  <dcterms:modified xsi:type="dcterms:W3CDTF">2025-06-18T15:03:19Z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511E512AB3984D3A925479687BB5C06F</vt:lpwstr>
  </property>
</Properties>
</file>