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馆陶县审计局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ascii="宋体" w:hAnsi="宋体" w:eastAsia="宋体" w:cs="宋体"/>
          <w:b/>
          <w:bCs/>
          <w:color w:val="000000"/>
          <w:kern w:val="0"/>
          <w:sz w:val="36"/>
          <w:szCs w:val="36"/>
        </w:rPr>
      </w:pPr>
      <w:r>
        <w:rPr>
          <w:rFonts w:hint="eastAsia" w:ascii="方正小标宋简体" w:hAnsi="方正小标宋简体" w:eastAsia="方正小标宋简体" w:cs="方正小标宋简体"/>
          <w:b/>
          <w:bCs/>
          <w:sz w:val="44"/>
          <w:szCs w:val="44"/>
        </w:rPr>
        <w:t>2022年度政府信息公开工作年度报告</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0"/>
        <w:rPr>
          <w:rFonts w:hint="eastAsia" w:ascii="宋体" w:hAnsi="宋体" w:eastAsia="宋体" w:cs="宋体"/>
          <w:b/>
          <w:bCs/>
          <w:color w:val="000000"/>
          <w:kern w:val="0"/>
          <w:sz w:val="27"/>
          <w:szCs w:val="27"/>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000000"/>
          <w:kern w:val="0"/>
          <w:sz w:val="27"/>
          <w:szCs w:val="27"/>
        </w:rPr>
      </w:pPr>
      <w:r>
        <w:rPr>
          <w:rFonts w:hint="eastAsia" w:ascii="仿宋_GB2312" w:hAnsi="仿宋_GB2312" w:eastAsia="仿宋_GB2312" w:cs="仿宋_GB2312"/>
          <w:sz w:val="32"/>
          <w:szCs w:val="32"/>
        </w:rPr>
        <w:t>2022年以来，</w:t>
      </w:r>
      <w:r>
        <w:rPr>
          <w:rFonts w:hint="eastAsia" w:ascii="仿宋_GB2312" w:hAnsi="仿宋_GB2312" w:eastAsia="仿宋_GB2312" w:cs="仿宋_GB2312"/>
          <w:sz w:val="32"/>
          <w:szCs w:val="32"/>
          <w:lang w:eastAsia="zh-CN"/>
        </w:rPr>
        <w:t>馆陶县</w:t>
      </w:r>
      <w:r>
        <w:rPr>
          <w:rFonts w:hint="eastAsia" w:ascii="仿宋_GB2312" w:hAnsi="仿宋_GB2312" w:eastAsia="仿宋_GB2312" w:cs="仿宋_GB2312"/>
          <w:sz w:val="32"/>
          <w:szCs w:val="32"/>
        </w:rPr>
        <w:t>审计局坚持以习近平新时代中国特色社会主义思想为指导，全面贯彻落实党的十九大和十九届历次全会以及党的二十大精神，认真按照中央、省、市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关于全面推进政务公开的决</w:t>
      </w:r>
      <w:bookmarkStart w:id="0" w:name="_GoBack"/>
      <w:bookmarkEnd w:id="0"/>
      <w:r>
        <w:rPr>
          <w:rFonts w:hint="eastAsia" w:ascii="仿宋_GB2312" w:hAnsi="仿宋_GB2312" w:eastAsia="仿宋_GB2312" w:cs="仿宋_GB2312"/>
          <w:sz w:val="32"/>
          <w:szCs w:val="32"/>
        </w:rPr>
        <w:t>策部署要求开展本单位政务公开工作。根据国务院办公厅政府信息与政务公开办公室关于印发《中华人民共和国政府信息公开工作年度报告格式》的通知（国办公开办函〔2021〕30号）要求，本年度报告全文包括总体情况、主动公开政府信息情况、收到和处理政府信息公开申请情况、政府信息公开行政复议、行政诉讼情况、存在的主要问题及改进情况等。本报告数据统计期限为2022年1月1日至2022年12月31日。</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审计局严格执行《中华人民共和国政府信息公开条例》，认真落实市政府信息公开相关工作要求，结合审计法定职责，持续推进政府信息公开发布工作，更好地接受社会公众监督。 2022年，我局对照</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政务公开工作的</w:t>
      </w:r>
      <w:r>
        <w:rPr>
          <w:rFonts w:hint="eastAsia" w:ascii="仿宋_GB2312" w:hAnsi="仿宋_GB2312" w:eastAsia="仿宋_GB2312" w:cs="仿宋_GB2312"/>
          <w:sz w:val="32"/>
          <w:szCs w:val="32"/>
        </w:rPr>
        <w:t>要求，结合审计工作实际，建立本单位2022年政务公开工作要点，强化组织领导，明确政府信息公开受理处室，落实专职工作人员，科学安排任务，深入推进政府信息公开各项工作开展。2022年1月1日至2022年12月31日，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政府信息公开平台主动公开政府信息累计</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条，全文电子化率达100%。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（一）以责任落实为重点，注重体制机制建设。</w:t>
      </w:r>
      <w:r>
        <w:rPr>
          <w:rFonts w:hint="eastAsia" w:ascii="仿宋_GB2312" w:hAnsi="仿宋_GB2312" w:eastAsia="仿宋_GB2312" w:cs="仿宋_GB2312"/>
          <w:sz w:val="32"/>
          <w:szCs w:val="32"/>
        </w:rPr>
        <w:t>一是强化组织领导。市审计局始终把信息公开的施行作为建设廉洁、勤政、务实、高效政府的一项重大任务，作为施政的一项基本制度，切实加强组织领导。成立了政府信息公开领导小组，主管副职任组长，办公室主任任副组长，相关</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室负责人为成员，办公室设在局办公室，并指定专人负责处理政府信息公开工作，强化了组织领导。二是制定完善相关制度。</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审计局根据政务信息公开工作面临的新形势、新任务，结合审计工作发展趋势，及时完善政府信息和政务公开相关制度，形成了与政务公开工作相配套的《</w:t>
      </w:r>
      <w:r>
        <w:rPr>
          <w:rFonts w:hint="eastAsia" w:ascii="仿宋_GB2312" w:hAnsi="仿宋_GB2312" w:eastAsia="仿宋_GB2312" w:cs="仿宋_GB2312"/>
          <w:sz w:val="32"/>
          <w:szCs w:val="32"/>
          <w:lang w:eastAsia="zh-CN"/>
        </w:rPr>
        <w:t>馆陶县</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政府信息公开办法》《</w:t>
      </w:r>
      <w:r>
        <w:rPr>
          <w:rFonts w:hint="eastAsia" w:ascii="仿宋_GB2312" w:hAnsi="仿宋_GB2312" w:eastAsia="仿宋_GB2312" w:cs="仿宋_GB2312"/>
          <w:sz w:val="32"/>
          <w:szCs w:val="32"/>
          <w:lang w:eastAsia="zh-CN"/>
        </w:rPr>
        <w:t>馆陶县</w:t>
      </w:r>
      <w:r>
        <w:rPr>
          <w:rFonts w:hint="eastAsia" w:ascii="仿宋_GB2312" w:hAnsi="仿宋_GB2312" w:eastAsia="仿宋_GB2312" w:cs="仿宋_GB2312"/>
          <w:sz w:val="32"/>
          <w:szCs w:val="32"/>
        </w:rPr>
        <w:t>审计局信息公开指南》等制度办法，把政务公开工作推向法制化、规范化、经常化轨道。三是科学谋划年度工作计划。我局在安排年度工作计划时，将政务公开工作作为单位工作的基本制度，与业务工作同部署，将公开事项落实到位，细化分解任务，责任落实到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（二）严把审核关口，提升政务公开质效。</w:t>
      </w:r>
      <w:r>
        <w:rPr>
          <w:rFonts w:hint="eastAsia" w:ascii="仿宋_GB2312" w:hAnsi="仿宋_GB2312" w:eastAsia="仿宋_GB2312" w:cs="仿宋_GB2312"/>
          <w:sz w:val="32"/>
          <w:szCs w:val="32"/>
        </w:rPr>
        <w:t>一是严把公开内容和项目关，既防止该公开的不公开，又防止不该公开的乱公开。实际工作中，</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审计局深入贯彻《政府信息公开实施意见》，根据《</w:t>
      </w:r>
      <w:r>
        <w:rPr>
          <w:rFonts w:hint="eastAsia" w:ascii="仿宋_GB2312" w:hAnsi="仿宋_GB2312" w:eastAsia="仿宋_GB2312" w:cs="仿宋_GB2312"/>
          <w:sz w:val="32"/>
          <w:szCs w:val="32"/>
          <w:lang w:eastAsia="zh-CN"/>
        </w:rPr>
        <w:t>馆陶县</w:t>
      </w:r>
      <w:r>
        <w:rPr>
          <w:rFonts w:hint="eastAsia" w:ascii="仿宋_GB2312" w:hAnsi="仿宋_GB2312" w:eastAsia="仿宋_GB2312" w:cs="仿宋_GB2312"/>
          <w:sz w:val="32"/>
          <w:szCs w:val="32"/>
        </w:rPr>
        <w:t>政务公开办法》要求，开展政府信息公开工作。二是建立完善公开信息逐级审批制度，对需要公开的信息由相关</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起草公开文本，报领导小组办公室及有关领导逐级审批，严格把关，提高公开信息质量。三是组织人员培训。按照以自学为主、集中学习为辅的学习方式，学习政务公开政策文件，提高政务公开意识，增强政务公开工作的主动性。派专职人员参加</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政府组织的政府信息公开培训，定期维护更新信息公开平台内容。四是加大排查力度。今年以来，局办公室牵头开展信息公开相关检查工作</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次，及时发现和解决存在的问题，有力地推动了政务信息公开工作落实。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（三）突出重点领域,深化政务信息公开。</w:t>
      </w:r>
      <w:r>
        <w:rPr>
          <w:rFonts w:hint="eastAsia" w:ascii="仿宋_GB2312" w:hAnsi="仿宋_GB2312" w:eastAsia="仿宋_GB2312" w:cs="仿宋_GB2312"/>
          <w:sz w:val="32"/>
          <w:szCs w:val="32"/>
        </w:rPr>
        <w:t>一是坚持上级要求的必须公开，有效发挥了审计监督职能。二是坚持重点工作的及时公开。按照要求,重点对年度报告、政策解读、财务财政、行政执法等内容进行公开,向社会公布监督投诉电话号码、单位办公地址,保障社会公民及单位职工的知情权和监督权,接受社会各方面监督。三是坚持群众关心的主动公开。在市政务公开办指导下,结合单位实际,及时公开单位的机构职能、领导简介及分工、内设机构、信息公开指南、重要会议等相关情况,进一步增强内部事务的公开性和透明度。</w:t>
      </w:r>
    </w:p>
    <w:p>
      <w:pPr>
        <w:ind w:firstLine="643" w:firstLineChars="200"/>
        <w:outlineLvl w:val="0"/>
      </w:pPr>
      <w:r>
        <w:rPr>
          <w:rFonts w:hint="eastAsia" w:ascii="黑体" w:hAnsi="黑体" w:eastAsia="黑体" w:cs="黑体"/>
          <w:b/>
          <w:bCs/>
          <w:color w:val="000000"/>
          <w:kern w:val="0"/>
          <w:sz w:val="32"/>
          <w:szCs w:val="32"/>
        </w:rPr>
        <w:t>二、主动公开政府信息情况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rFonts w:hint="eastAsia" w:eastAsiaTheme="minorEastAsia"/>
                <w:vertAlign w:val="baseline"/>
                <w:lang w:val="en-US" w:eastAsia="zh-CN"/>
              </w:rPr>
            </w:pPr>
            <w:r>
              <w:rPr>
                <w:rFonts w:hint="eastAsia" w:ascii="宋体" w:hAnsi="宋体" w:eastAsia="宋体" w:cs="宋体"/>
                <w:vertAlign w:val="baseline"/>
                <w:lang w:val="en-US" w:eastAsia="zh-CN"/>
              </w:rPr>
              <w:t>第二十条</w:t>
            </w:r>
            <w:r>
              <w:rPr>
                <w:rFonts w:hint="eastAsia" w:ascii="宋体" w:hAnsi="宋体" w:eastAsia="宋体" w:cs="宋体"/>
                <w:color w:val="000000"/>
                <w:sz w:val="22"/>
              </w:rPr>
              <w:t xml:space="preserve">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vertAlign w:val="baseline"/>
              </w:rPr>
            </w:pPr>
            <w:r>
              <w:rPr>
                <w:rFonts w:hint="eastAsia" w:ascii="宋体" w:hAnsi="宋体" w:eastAsia="宋体"/>
                <w:color w:val="000000"/>
                <w:sz w:val="22"/>
              </w:rPr>
              <w:t>信息内容</w:t>
            </w:r>
          </w:p>
        </w:tc>
        <w:tc>
          <w:tcPr>
            <w:tcW w:w="2130" w:type="dxa"/>
            <w:vAlign w:val="center"/>
          </w:tcPr>
          <w:p>
            <w:pPr>
              <w:jc w:val="center"/>
              <w:rPr>
                <w:vertAlign w:val="baseline"/>
              </w:rPr>
            </w:pPr>
            <w:r>
              <w:rPr>
                <w:rFonts w:hint="eastAsia" w:ascii="宋体" w:hAnsi="宋体" w:eastAsia="宋体"/>
                <w:color w:val="000000"/>
                <w:sz w:val="22"/>
              </w:rPr>
              <w:t>本年制发件数</w:t>
            </w:r>
          </w:p>
        </w:tc>
        <w:tc>
          <w:tcPr>
            <w:tcW w:w="2131" w:type="dxa"/>
            <w:vAlign w:val="center"/>
          </w:tcPr>
          <w:p>
            <w:pPr>
              <w:jc w:val="center"/>
              <w:rPr>
                <w:vertAlign w:val="baseline"/>
              </w:rPr>
            </w:pPr>
            <w:r>
              <w:rPr>
                <w:rFonts w:hint="eastAsia" w:ascii="宋体" w:hAnsi="宋体" w:eastAsia="宋体"/>
                <w:color w:val="000000"/>
                <w:sz w:val="22"/>
              </w:rPr>
              <w:t>本年</w:t>
            </w:r>
            <w:r>
              <w:rPr>
                <w:rFonts w:hint="eastAsia" w:ascii="宋体" w:hAnsi="宋体" w:eastAsia="宋体"/>
                <w:color w:val="000000"/>
                <w:sz w:val="22"/>
                <w:lang w:val="en-US" w:eastAsia="zh-CN"/>
              </w:rPr>
              <w:t>废止</w:t>
            </w:r>
            <w:r>
              <w:rPr>
                <w:rFonts w:hint="eastAsia" w:ascii="宋体" w:hAnsi="宋体" w:eastAsia="宋体"/>
                <w:color w:val="000000"/>
                <w:sz w:val="22"/>
              </w:rPr>
              <w:t>件数</w:t>
            </w:r>
          </w:p>
        </w:tc>
        <w:tc>
          <w:tcPr>
            <w:tcW w:w="2131" w:type="dxa"/>
            <w:vAlign w:val="center"/>
          </w:tcPr>
          <w:p>
            <w:pPr>
              <w:jc w:val="center"/>
              <w:rPr>
                <w:rFonts w:hint="default" w:eastAsiaTheme="minorEastAsia"/>
                <w:vertAlign w:val="baseline"/>
                <w:lang w:val="en-US" w:eastAsia="zh-CN"/>
              </w:rPr>
            </w:pPr>
            <w:r>
              <w:rPr>
                <w:rFonts w:hint="eastAsia"/>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规章</w:t>
            </w:r>
          </w:p>
        </w:tc>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default" w:eastAsiaTheme="minorEastAsia"/>
                <w:vertAlign w:val="baseline"/>
                <w:lang w:val="en-US" w:eastAsia="zh-CN"/>
              </w:rPr>
            </w:pPr>
            <w:r>
              <w:rPr>
                <w:rFonts w:hint="eastAsia"/>
                <w:vertAlign w:val="baseline"/>
                <w:lang w:val="en-US" w:eastAsia="zh-CN"/>
              </w:rPr>
              <w:t>行政规范性文件</w:t>
            </w:r>
          </w:p>
        </w:tc>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vertAlign w:val="baseline"/>
              </w:rPr>
            </w:pPr>
            <w:r>
              <w:rPr>
                <w:rFonts w:hint="eastAsia" w:ascii="宋体" w:hAnsi="宋体" w:eastAsia="宋体"/>
                <w:color w:val="000000"/>
                <w:sz w:val="22"/>
              </w:rPr>
              <w:t>第二十条 第（</w:t>
            </w:r>
            <w:r>
              <w:rPr>
                <w:rFonts w:hint="eastAsia" w:ascii="宋体" w:hAnsi="宋体" w:eastAsia="宋体"/>
                <w:color w:val="000000"/>
                <w:sz w:val="22"/>
                <w:lang w:val="en-US" w:eastAsia="zh-CN"/>
              </w:rPr>
              <w:t>五</w:t>
            </w:r>
            <w:r>
              <w:rPr>
                <w:rFonts w:hint="eastAsia" w:ascii="宋体" w:hAnsi="宋体" w:eastAsia="宋体"/>
                <w:color w:val="00000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default" w:eastAsiaTheme="minorEastAsia"/>
                <w:vertAlign w:val="baseline"/>
                <w:lang w:val="en-US" w:eastAsia="zh-CN"/>
              </w:rPr>
            </w:pPr>
            <w:r>
              <w:rPr>
                <w:rFonts w:hint="eastAsia"/>
                <w:vertAlign w:val="baseline"/>
                <w:lang w:val="en-US" w:eastAsia="zh-CN"/>
              </w:rPr>
              <w:t>信息内容</w:t>
            </w:r>
          </w:p>
        </w:tc>
        <w:tc>
          <w:tcPr>
            <w:tcW w:w="6392" w:type="dxa"/>
            <w:gridSpan w:val="3"/>
            <w:vAlign w:val="center"/>
          </w:tcPr>
          <w:p>
            <w:pPr>
              <w:jc w:val="center"/>
              <w:rPr>
                <w:vertAlign w:val="baseline"/>
              </w:rPr>
            </w:pPr>
            <w:r>
              <w:rPr>
                <w:rFonts w:hint="eastAsia" w:ascii="宋体" w:hAnsi="宋体" w:eastAsia="宋体"/>
                <w:color w:val="000000"/>
                <w:sz w:val="2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行政许可</w:t>
            </w:r>
          </w:p>
        </w:tc>
        <w:tc>
          <w:tcPr>
            <w:tcW w:w="6392"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vertAlign w:val="baseline"/>
              </w:rPr>
            </w:pPr>
            <w:r>
              <w:rPr>
                <w:rFonts w:hint="eastAsia" w:ascii="宋体" w:hAnsi="宋体" w:eastAsia="宋体"/>
                <w:color w:val="000000"/>
                <w:sz w:val="22"/>
              </w:rPr>
              <w:t>第二十条 第（</w:t>
            </w:r>
            <w:r>
              <w:rPr>
                <w:rFonts w:hint="eastAsia" w:ascii="宋体" w:hAnsi="宋体" w:eastAsia="宋体"/>
                <w:color w:val="000000"/>
                <w:sz w:val="22"/>
                <w:lang w:val="en-US" w:eastAsia="zh-CN"/>
              </w:rPr>
              <w:t>六</w:t>
            </w:r>
            <w:r>
              <w:rPr>
                <w:rFonts w:hint="eastAsia" w:ascii="宋体" w:hAnsi="宋体" w:eastAsia="宋体"/>
                <w:color w:val="00000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vertAlign w:val="baseline"/>
              </w:rPr>
            </w:pPr>
            <w:r>
              <w:rPr>
                <w:rFonts w:hint="eastAsia"/>
                <w:vertAlign w:val="baseline"/>
                <w:lang w:val="en-US" w:eastAsia="zh-CN"/>
              </w:rPr>
              <w:t>信息内容</w:t>
            </w:r>
          </w:p>
        </w:tc>
        <w:tc>
          <w:tcPr>
            <w:tcW w:w="6392" w:type="dxa"/>
            <w:gridSpan w:val="3"/>
            <w:vAlign w:val="center"/>
          </w:tcPr>
          <w:p>
            <w:pPr>
              <w:jc w:val="center"/>
              <w:rPr>
                <w:vertAlign w:val="baseline"/>
              </w:rPr>
            </w:pPr>
            <w:r>
              <w:rPr>
                <w:rFonts w:hint="eastAsia" w:ascii="宋体" w:hAnsi="宋体" w:eastAsia="宋体"/>
                <w:color w:val="000000"/>
                <w:sz w:val="2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行政处罚</w:t>
            </w:r>
          </w:p>
        </w:tc>
        <w:tc>
          <w:tcPr>
            <w:tcW w:w="6392"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default" w:eastAsiaTheme="minorEastAsia"/>
                <w:vertAlign w:val="baseline"/>
                <w:lang w:val="en-US" w:eastAsia="zh-CN"/>
              </w:rPr>
            </w:pPr>
            <w:r>
              <w:rPr>
                <w:rFonts w:hint="eastAsia"/>
                <w:vertAlign w:val="baseline"/>
                <w:lang w:val="en-US" w:eastAsia="zh-CN"/>
              </w:rPr>
              <w:t>行政强制</w:t>
            </w:r>
          </w:p>
        </w:tc>
        <w:tc>
          <w:tcPr>
            <w:tcW w:w="6392"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vertAlign w:val="baseline"/>
              </w:rPr>
            </w:pPr>
            <w:r>
              <w:rPr>
                <w:rFonts w:hint="eastAsia" w:ascii="宋体" w:hAnsi="宋体" w:eastAsia="宋体"/>
                <w:color w:val="000000"/>
                <w:sz w:val="22"/>
              </w:rPr>
              <w:t>第二十条 第（</w:t>
            </w:r>
            <w:r>
              <w:rPr>
                <w:rFonts w:hint="eastAsia" w:ascii="宋体" w:hAnsi="宋体" w:eastAsia="宋体"/>
                <w:color w:val="000000"/>
                <w:sz w:val="22"/>
                <w:lang w:val="en-US" w:eastAsia="zh-CN"/>
              </w:rPr>
              <w:t>八</w:t>
            </w:r>
            <w:r>
              <w:rPr>
                <w:rFonts w:hint="eastAsia" w:ascii="宋体" w:hAnsi="宋体" w:eastAsia="宋体"/>
                <w:color w:val="00000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vertAlign w:val="baseline"/>
              </w:rPr>
            </w:pPr>
            <w:r>
              <w:rPr>
                <w:rFonts w:hint="eastAsia"/>
                <w:vertAlign w:val="baseline"/>
                <w:lang w:val="en-US" w:eastAsia="zh-CN"/>
              </w:rPr>
              <w:t>信息内容</w:t>
            </w:r>
          </w:p>
        </w:tc>
        <w:tc>
          <w:tcPr>
            <w:tcW w:w="6392"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default" w:eastAsiaTheme="minorEastAsia"/>
                <w:vertAlign w:val="baseline"/>
                <w:lang w:val="en-US" w:eastAsia="zh-CN"/>
              </w:rPr>
            </w:pPr>
            <w:r>
              <w:rPr>
                <w:rFonts w:hint="eastAsia"/>
                <w:vertAlign w:val="baseline"/>
                <w:lang w:val="en-US" w:eastAsia="zh-CN"/>
              </w:rPr>
              <w:t>行政事业性收费</w:t>
            </w:r>
          </w:p>
        </w:tc>
        <w:tc>
          <w:tcPr>
            <w:tcW w:w="6392" w:type="dxa"/>
            <w:gridSpan w:val="3"/>
            <w:vAlign w:val="center"/>
          </w:tcPr>
          <w:p>
            <w:pPr>
              <w:jc w:val="center"/>
              <w:rPr>
                <w:rFonts w:hint="eastAsia" w:eastAsiaTheme="minorEastAsia"/>
                <w:vertAlign w:val="baseline"/>
                <w:lang w:val="en-US" w:eastAsia="zh-CN"/>
              </w:rPr>
            </w:pPr>
            <w:r>
              <w:rPr>
                <w:rFonts w:hint="eastAsia"/>
                <w:vertAlign w:val="baseline"/>
                <w:lang w:val="en-US" w:eastAsia="zh-CN"/>
              </w:rPr>
              <w:t>0</w:t>
            </w:r>
          </w:p>
        </w:tc>
      </w:tr>
    </w:tbl>
    <w:p>
      <w:pPr>
        <w:widowControl/>
        <w:ind w:firstLine="643" w:firstLineChars="200"/>
        <w:outlineLvl w:val="0"/>
        <w:rPr>
          <w:rFonts w:hint="eastAsia" w:ascii="黑体" w:hAnsi="黑体" w:eastAsia="黑体" w:cs="黑体"/>
          <w:b/>
          <w:bCs/>
          <w:color w:val="000000"/>
          <w:kern w:val="0"/>
          <w:sz w:val="32"/>
          <w:szCs w:val="32"/>
        </w:rPr>
      </w:pPr>
    </w:p>
    <w:p>
      <w:pPr>
        <w:widowControl/>
        <w:numPr>
          <w:ilvl w:val="0"/>
          <w:numId w:val="0"/>
        </w:numPr>
        <w:ind w:firstLine="643" w:firstLineChars="200"/>
        <w:outlineLvl w:val="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eastAsia="zh-CN"/>
        </w:rPr>
        <w:t>三、</w:t>
      </w:r>
      <w:r>
        <w:rPr>
          <w:rFonts w:hint="eastAsia" w:ascii="黑体" w:hAnsi="黑体" w:eastAsia="黑体" w:cs="黑体"/>
          <w:b/>
          <w:bCs/>
          <w:color w:val="000000"/>
          <w:kern w:val="0"/>
          <w:sz w:val="32"/>
          <w:szCs w:val="32"/>
        </w:rPr>
        <w:t>收到和处理政府信息公开申请情况</w:t>
      </w:r>
    </w:p>
    <w:tbl>
      <w:tblPr>
        <w:tblStyle w:val="5"/>
        <w:tblW w:w="9071" w:type="dxa"/>
        <w:jc w:val="center"/>
        <w:tblLayout w:type="fixed"/>
        <w:tblCellMar>
          <w:top w:w="15" w:type="dxa"/>
          <w:left w:w="15" w:type="dxa"/>
          <w:bottom w:w="15" w:type="dxa"/>
          <w:right w:w="15" w:type="dxa"/>
        </w:tblCellMar>
      </w:tblPr>
      <w:tblGrid>
        <w:gridCol w:w="616"/>
        <w:gridCol w:w="964"/>
        <w:gridCol w:w="2048"/>
        <w:gridCol w:w="799"/>
        <w:gridCol w:w="749"/>
        <w:gridCol w:w="746"/>
        <w:gridCol w:w="802"/>
        <w:gridCol w:w="957"/>
        <w:gridCol w:w="703"/>
        <w:gridCol w:w="687"/>
      </w:tblGrid>
      <w:tr>
        <w:tblPrEx>
          <w:tblCellMar>
            <w:top w:w="15" w:type="dxa"/>
            <w:left w:w="15" w:type="dxa"/>
            <w:bottom w:w="15" w:type="dxa"/>
            <w:right w:w="15" w:type="dxa"/>
          </w:tblCellMar>
        </w:tblPrEx>
        <w:trPr>
          <w:jc w:val="center"/>
        </w:trPr>
        <w:tc>
          <w:tcPr>
            <w:tcW w:w="3628"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（本列数据的勾稽关系为：第一项加第二项之和，等于第三项加第四项之和）</w:t>
            </w:r>
          </w:p>
        </w:tc>
        <w:tc>
          <w:tcPr>
            <w:tcW w:w="5443"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799"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95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687"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7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商业企业</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科研机构</w:t>
            </w:r>
          </w:p>
        </w:tc>
        <w:tc>
          <w:tcPr>
            <w:tcW w:w="8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95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70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687"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（一）予以公开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（二）部分公开（区分处理的，只计这一情形，不计其他情形）</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（三）不予公开</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1.属于国家秘密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2.其他法律行政法规禁止公开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3.危及“三安全一稳定”</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4.保护第三方合法权益</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5.属于三类内部事务信息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6.属于四类过程性信息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7.属于行政执法案卷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8.属于行政查询事项</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（四）无法提供</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1.本机关不掌握相关政府信息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2.没有现成信息需要另行制作</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3.补正后申请内容仍不明确</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（五）不予处理</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1.信访举报投诉类申请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2.重复申请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3.要求提供公开出版物</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4.无正当理由大量反复申请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5.要求行政机关确认或重新出具已获取信息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restart"/>
            <w:tcBorders>
              <w:top w:val="nil"/>
              <w:left w:val="nil"/>
              <w:right w:val="single" w:color="auto" w:sz="8" w:space="0"/>
            </w:tcBorders>
            <w:shd w:val="clear" w:color="auto" w:fill="E6F4FF"/>
            <w:tcMar>
              <w:top w:w="0" w:type="dxa"/>
              <w:left w:w="108" w:type="dxa"/>
              <w:bottom w:w="0" w:type="dxa"/>
              <w:right w:w="108" w:type="dxa"/>
            </w:tcMar>
            <w:vAlign w:val="center"/>
          </w:tcPr>
          <w:p>
            <w:pPr>
              <w:widowControl/>
              <w:numPr>
                <w:ilvl w:val="0"/>
                <w:numId w:val="0"/>
              </w:numPr>
              <w:jc w:val="left"/>
              <w:rPr>
                <w:rFonts w:hint="eastAsia" w:ascii="楷体" w:hAnsi="宋体" w:eastAsia="楷体" w:cs="宋体"/>
                <w:color w:val="000000"/>
                <w:kern w:val="0"/>
                <w:sz w:val="20"/>
                <w:szCs w:val="20"/>
              </w:rPr>
            </w:pPr>
            <w:r>
              <w:rPr>
                <w:rFonts w:hint="eastAsia" w:ascii="楷体" w:hAnsi="宋体" w:eastAsia="楷体" w:cs="宋体"/>
                <w:color w:val="000000"/>
                <w:kern w:val="0"/>
                <w:sz w:val="20"/>
                <w:szCs w:val="20"/>
                <w:lang w:eastAsia="zh-CN"/>
              </w:rPr>
              <w:t>（</w:t>
            </w:r>
            <w:r>
              <w:rPr>
                <w:rFonts w:hint="eastAsia" w:ascii="楷体" w:hAnsi="宋体" w:eastAsia="楷体" w:cs="宋体"/>
                <w:color w:val="000000"/>
                <w:kern w:val="0"/>
                <w:sz w:val="20"/>
                <w:szCs w:val="20"/>
                <w:lang w:val="en-US" w:eastAsia="zh-CN"/>
              </w:rPr>
              <w:t>六）</w:t>
            </w:r>
            <w:r>
              <w:rPr>
                <w:rFonts w:hint="eastAsia" w:ascii="楷体" w:hAnsi="宋体" w:eastAsia="楷体" w:cs="宋体"/>
                <w:color w:val="000000"/>
                <w:kern w:val="0"/>
                <w:sz w:val="20"/>
                <w:szCs w:val="20"/>
              </w:rPr>
              <w:t>其他处理</w:t>
            </w:r>
          </w:p>
          <w:p>
            <w:pPr>
              <w:widowControl/>
              <w:jc w:val="center"/>
              <w:rPr>
                <w:rFonts w:hint="eastAsia" w:ascii="楷体" w:hAnsi="宋体" w:eastAsia="楷体" w:cs="宋体"/>
                <w:color w:val="000000"/>
                <w:kern w:val="0"/>
                <w:sz w:val="20"/>
                <w:szCs w:val="20"/>
              </w:rPr>
            </w:pPr>
          </w:p>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numPr>
                <w:ilvl w:val="0"/>
                <w:numId w:val="0"/>
              </w:numPr>
              <w:jc w:val="left"/>
              <w:rPr>
                <w:rFonts w:hint="eastAsia" w:ascii="楷体" w:hAnsi="宋体" w:eastAsia="楷体" w:cs="宋体"/>
                <w:color w:val="000000"/>
                <w:kern w:val="0"/>
                <w:sz w:val="20"/>
                <w:szCs w:val="20"/>
                <w:lang w:eastAsia="zh-CN"/>
              </w:rPr>
            </w:pPr>
            <w:r>
              <w:rPr>
                <w:rFonts w:hint="eastAsia" w:ascii="楷体" w:hAnsi="宋体" w:eastAsia="楷体" w:cs="宋体"/>
                <w:color w:val="000000"/>
                <w:kern w:val="0"/>
                <w:sz w:val="20"/>
                <w:szCs w:val="20"/>
                <w:lang w:eastAsia="zh-CN"/>
              </w:rPr>
              <w:t>1．申请人无正当理由逾期不补正、行政机关不再处理其政府信息公开申请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center"/>
            </w:pPr>
          </w:p>
        </w:tc>
        <w:tc>
          <w:tcPr>
            <w:tcW w:w="964" w:type="dxa"/>
            <w:vMerge w:val="continue"/>
            <w:tcBorders>
              <w:left w:val="nil"/>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numPr>
                <w:ilvl w:val="0"/>
                <w:numId w:val="0"/>
              </w:numPr>
              <w:jc w:val="left"/>
              <w:rPr>
                <w:rFonts w:hint="eastAsia" w:ascii="楷体" w:hAnsi="宋体" w:eastAsia="楷体" w:cs="宋体"/>
                <w:color w:val="000000"/>
                <w:kern w:val="0"/>
                <w:sz w:val="20"/>
                <w:szCs w:val="20"/>
                <w:lang w:eastAsia="zh-CN"/>
              </w:rPr>
            </w:pPr>
            <w:r>
              <w:rPr>
                <w:rFonts w:hint="eastAsia" w:ascii="楷体" w:hAnsi="宋体" w:eastAsia="楷体" w:cs="宋体"/>
                <w:color w:val="000000"/>
                <w:kern w:val="0"/>
                <w:sz w:val="20"/>
                <w:szCs w:val="20"/>
                <w:lang w:eastAsia="zh-CN"/>
              </w:rPr>
              <w:t>2．申请人逾期未按收费通知要求缴纳</w:t>
            </w:r>
            <w:r>
              <w:rPr>
                <w:rFonts w:hint="eastAsia" w:ascii="楷体" w:hAnsi="宋体" w:eastAsia="楷体" w:cs="宋体"/>
                <w:color w:val="000000"/>
                <w:kern w:val="0"/>
                <w:sz w:val="20"/>
                <w:szCs w:val="20"/>
                <w:lang w:val="en-US" w:eastAsia="zh-CN"/>
              </w:rPr>
              <w:t>费</w:t>
            </w:r>
            <w:r>
              <w:rPr>
                <w:rFonts w:hint="eastAsia" w:ascii="楷体" w:hAnsi="宋体" w:eastAsia="楷体" w:cs="宋体"/>
                <w:color w:val="000000"/>
                <w:kern w:val="0"/>
                <w:sz w:val="20"/>
                <w:szCs w:val="20"/>
                <w:lang w:eastAsia="zh-CN"/>
              </w:rPr>
              <w:t>用、行政机关不再处理其政府信息公开申请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trHeight w:val="213" w:hRule="atLeast"/>
          <w:jc w:val="center"/>
        </w:trPr>
        <w:tc>
          <w:tcPr>
            <w:tcW w:w="616" w:type="dxa"/>
            <w:vMerge w:val="continue"/>
            <w:tcBorders>
              <w:left w:val="single" w:color="auto" w:sz="8" w:space="0"/>
              <w:bottom w:val="single" w:color="auto" w:sz="8" w:space="0"/>
              <w:right w:val="single" w:color="auto" w:sz="8" w:space="0"/>
            </w:tcBorders>
            <w:vAlign w:val="center"/>
          </w:tcPr>
          <w:p>
            <w:pPr>
              <w:widowControl/>
              <w:jc w:val="center"/>
              <w:rPr>
                <w:rFonts w:hint="eastAsia" w:ascii="楷体" w:hAnsi="宋体" w:eastAsia="楷体" w:cs="宋体"/>
                <w:color w:val="000000"/>
                <w:kern w:val="0"/>
                <w:sz w:val="20"/>
                <w:szCs w:val="20"/>
              </w:rPr>
            </w:pPr>
          </w:p>
        </w:tc>
        <w:tc>
          <w:tcPr>
            <w:tcW w:w="964" w:type="dxa"/>
            <w:vMerge w:val="continue"/>
            <w:tcBorders>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numPr>
                <w:ilvl w:val="0"/>
                <w:numId w:val="0"/>
              </w:numPr>
              <w:jc w:val="left"/>
              <w:rPr>
                <w:rFonts w:hint="default" w:ascii="楷体" w:hAnsi="宋体" w:eastAsia="楷体" w:cs="宋体"/>
                <w:color w:val="000000"/>
                <w:kern w:val="0"/>
                <w:sz w:val="20"/>
                <w:szCs w:val="20"/>
                <w:lang w:val="en-US" w:eastAsia="zh-CN"/>
              </w:rPr>
            </w:pPr>
            <w:r>
              <w:rPr>
                <w:rFonts w:hint="eastAsia" w:ascii="楷体" w:hAnsi="宋体" w:eastAsia="楷体" w:cs="宋体"/>
                <w:color w:val="000000"/>
                <w:kern w:val="0"/>
                <w:sz w:val="20"/>
                <w:szCs w:val="20"/>
                <w:lang w:val="en-US" w:eastAsia="zh-CN"/>
              </w:rPr>
              <w:t>3.其他</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（七）总计</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bl>
    <w:p>
      <w:pPr>
        <w:widowControl/>
        <w:numPr>
          <w:ilvl w:val="0"/>
          <w:numId w:val="0"/>
        </w:numPr>
        <w:outlineLvl w:val="0"/>
        <w:rPr>
          <w:rFonts w:hint="eastAsia" w:ascii="宋体" w:hAnsi="宋体" w:eastAsia="宋体" w:cs="宋体"/>
          <w:b/>
          <w:bCs/>
          <w:color w:val="000000"/>
          <w:kern w:val="0"/>
          <w:sz w:val="27"/>
          <w:szCs w:val="27"/>
        </w:rPr>
      </w:pPr>
    </w:p>
    <w:p>
      <w:pPr>
        <w:widowControl/>
        <w:numPr>
          <w:ilvl w:val="0"/>
          <w:numId w:val="0"/>
        </w:numPr>
        <w:ind w:firstLine="643" w:firstLineChars="200"/>
        <w:outlineLvl w:val="0"/>
        <w:rPr>
          <w:rFonts w:hint="eastAsia" w:ascii="宋体" w:hAnsi="宋体" w:eastAsia="宋体" w:cs="宋体"/>
          <w:b/>
          <w:bCs/>
          <w:color w:val="000000"/>
          <w:kern w:val="0"/>
          <w:sz w:val="27"/>
          <w:szCs w:val="27"/>
        </w:rPr>
      </w:pPr>
      <w:r>
        <w:rPr>
          <w:rFonts w:hint="eastAsia" w:ascii="黑体" w:hAnsi="黑体" w:eastAsia="黑体" w:cs="黑体"/>
          <w:b/>
          <w:bCs/>
          <w:color w:val="000000"/>
          <w:kern w:val="0"/>
          <w:sz w:val="32"/>
          <w:szCs w:val="32"/>
          <w:lang w:eastAsia="zh-CN"/>
        </w:rPr>
        <w:t>四、</w:t>
      </w:r>
      <w:r>
        <w:rPr>
          <w:rFonts w:hint="eastAsia" w:ascii="黑体" w:hAnsi="黑体" w:eastAsia="黑体" w:cs="黑体"/>
          <w:b/>
          <w:bCs/>
          <w:color w:val="000000"/>
          <w:kern w:val="0"/>
          <w:sz w:val="32"/>
          <w:szCs w:val="32"/>
        </w:rPr>
        <w:t>政府信息公开行政复议、行政诉讼情况</w:t>
      </w:r>
    </w:p>
    <w:tbl>
      <w:tblPr>
        <w:tblStyle w:val="5"/>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复议后起诉</w:t>
            </w:r>
          </w:p>
        </w:tc>
      </w:tr>
      <w:tr>
        <w:tblPrEx>
          <w:tblCellMar>
            <w:top w:w="15" w:type="dxa"/>
            <w:left w:w="15" w:type="dxa"/>
            <w:bottom w:w="15" w:type="dxa"/>
            <w:right w:w="15" w:type="dxa"/>
          </w:tblCellMar>
        </w:tblPrEx>
        <w:trPr>
          <w:trHeight w:val="9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bl>
    <w:p>
      <w:pPr>
        <w:widowControl/>
        <w:jc w:val="center"/>
        <w:rPr>
          <w:rFonts w:ascii="Segoe UI" w:hAnsi="Segoe UI" w:eastAsia="宋体" w:cs="Segoe UI"/>
          <w:color w:val="000000"/>
          <w:kern w:val="0"/>
          <w:sz w:val="24"/>
          <w:szCs w:val="24"/>
        </w:rPr>
      </w:pPr>
    </w:p>
    <w:p>
      <w:pPr>
        <w:widowControl/>
        <w:ind w:firstLine="643" w:firstLineChars="200"/>
        <w:outlineLvl w:val="0"/>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五、存在的主要问题及改进情况</w:t>
      </w:r>
    </w:p>
    <w:p>
      <w:pPr>
        <w:widowControl/>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审计局以新时代中国特色社会主义思想为指导，深入贯彻落实</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关于信息公开的工作部署，政务信息公开工作虽取得了一些成绩，同时还存在一定问题：一是主动公开政府内容还需要进一步充实完善，形式不够丰富；二是宣传和引导工作需要进一步加强；三是少数信息发布不够及时，公开信息的时效性不够强。下一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将加大工作力度，采取有力措施，进一步做好政府信息公开工作。一是进一步解放思想，加大信息公开力度，除正式文件外，其他由我局生成的对社会公众有指导或帮助意义的信息也纳入信息公开的范畴予以发布；二是加大对信息公开工作的宣传力度，使公众对这项工作有进一步的了解和更深的认识，引导公众正确认识、使用信息公开媒体，以方便生活和工作；三是及时发布和更新依法应主动公开的政府信息，加强平台建设，做好日常监测，切实推动政务公开规范。</w:t>
      </w:r>
    </w:p>
    <w:p>
      <w:pPr>
        <w:widowControl/>
        <w:ind w:firstLine="643" w:firstLineChars="200"/>
        <w:outlineLvl w:val="0"/>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六、其他需要报告的事项</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无其他需要报告的事项。</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OTAwY2ZjMjAwYTRmMTQwMDdkOTNlYWU2NmQzZjYifQ=="/>
  </w:docVars>
  <w:rsids>
    <w:rsidRoot w:val="00A80AD8"/>
    <w:rsid w:val="002D62FD"/>
    <w:rsid w:val="003E01CD"/>
    <w:rsid w:val="00A80AD8"/>
    <w:rsid w:val="00ED10DD"/>
    <w:rsid w:val="0C007224"/>
    <w:rsid w:val="23AE2DDC"/>
    <w:rsid w:val="56B55F51"/>
    <w:rsid w:val="61B804C8"/>
    <w:rsid w:val="67174698"/>
    <w:rsid w:val="69F43B7A"/>
    <w:rsid w:val="6B766173"/>
    <w:rsid w:val="729B0A92"/>
    <w:rsid w:val="78D1525B"/>
    <w:rsid w:val="7E00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basedOn w:val="7"/>
    <w:link w:val="2"/>
    <w:qFormat/>
    <w:uiPriority w:val="9"/>
    <w:rPr>
      <w:b/>
      <w:bCs/>
      <w:kern w:val="44"/>
      <w:sz w:val="44"/>
      <w:szCs w:val="44"/>
    </w:rPr>
  </w:style>
  <w:style w:type="character" w:customStyle="1" w:styleId="9">
    <w:name w:val="Subtle Emphasis"/>
    <w:basedOn w:val="7"/>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755</Words>
  <Characters>772</Characters>
  <Lines>9</Lines>
  <Paragraphs>2</Paragraphs>
  <TotalTime>641</TotalTime>
  <ScaleCrop>false</ScaleCrop>
  <LinksUpToDate>false</LinksUpToDate>
  <CharactersWithSpaces>949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2019-12-16T08:00:00Z</dcterms:created>
  <dc:creator>Administrator</dc:creator>
  <cp:lastModifiedBy>辰博</cp:lastModifiedBy>
  <dcterms:modified xsi:type="dcterms:W3CDTF">2023-02-02T03:43:50Z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511E512AB3984D3A925479687BB5C06F</vt:lpwstr>
  </property>
</Properties>
</file>