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p>
    <w:p>
      <w:pPr>
        <w:spacing w:line="600" w:lineRule="exact"/>
        <w:jc w:val="right"/>
        <w:rPr>
          <w:rFonts w:hint="eastAsia" w:ascii="方正小标宋简体" w:eastAsia="方正小标宋简体"/>
          <w:sz w:val="32"/>
          <w:szCs w:val="32"/>
        </w:rPr>
      </w:pPr>
    </w:p>
    <w:p>
      <w:pPr>
        <w:spacing w:line="600" w:lineRule="exact"/>
        <w:jc w:val="right"/>
        <w:rPr>
          <w:rFonts w:hint="eastAsia" w:ascii="仿宋_GB2312" w:eastAsia="仿宋_GB2312"/>
          <w:sz w:val="32"/>
          <w:szCs w:val="32"/>
        </w:rPr>
      </w:pPr>
      <w:r>
        <w:rPr>
          <w:rFonts w:hint="eastAsia" w:ascii="仿宋_GB2312" w:eastAsia="仿宋_GB2312"/>
          <w:sz w:val="32"/>
          <w:szCs w:val="32"/>
        </w:rPr>
        <w:t>馆政办字〔2022〕22号</w:t>
      </w:r>
    </w:p>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馆陶县人民政府办公室</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印发关于贯彻落实国家省市稳经济接续政策若干措施的通知</w:t>
      </w:r>
    </w:p>
    <w:p>
      <w:pPr>
        <w:spacing w:line="600" w:lineRule="exact"/>
        <w:jc w:val="center"/>
        <w:rPr>
          <w:rFonts w:hint="eastAsia" w:ascii="方正小标宋简体" w:eastAsia="方正小标宋简体"/>
          <w:sz w:val="44"/>
          <w:szCs w:val="44"/>
        </w:rPr>
      </w:pPr>
    </w:p>
    <w:p>
      <w:pPr>
        <w:spacing w:line="600" w:lineRule="exact"/>
        <w:rPr>
          <w:rFonts w:hint="eastAsia" w:ascii="仿宋_GB2312" w:eastAsia="仿宋_GB2312"/>
          <w:sz w:val="32"/>
          <w:szCs w:val="32"/>
        </w:rPr>
      </w:pPr>
      <w:r>
        <w:rPr>
          <w:rFonts w:hint="eastAsia" w:ascii="仿宋_GB2312" w:eastAsia="仿宋_GB2312"/>
          <w:sz w:val="32"/>
          <w:szCs w:val="32"/>
        </w:rPr>
        <w:t>各乡镇人民政府，经济开发区管委会，县政府有关部门：</w:t>
      </w:r>
    </w:p>
    <w:p>
      <w:pPr>
        <w:spacing w:line="600" w:lineRule="exact"/>
        <w:rPr>
          <w:rFonts w:hint="eastAsia" w:ascii="仿宋_GB2312" w:eastAsia="仿宋_GB2312"/>
          <w:sz w:val="32"/>
          <w:szCs w:val="32"/>
        </w:rPr>
      </w:pPr>
      <w:r>
        <w:rPr>
          <w:rFonts w:hint="eastAsia" w:ascii="仿宋_GB2312" w:eastAsia="仿宋_GB2312"/>
          <w:sz w:val="32"/>
          <w:szCs w:val="32"/>
        </w:rPr>
        <w:t xml:space="preserve">   《关于贯彻落实国家省市稳经济接续政策的若干措施》已经县政府同意，现印发给你们，请结合实际认真贯彻落实。</w:t>
      </w: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jc w:val="right"/>
        <w:rPr>
          <w:rFonts w:hint="eastAsia" w:ascii="仿宋_GB2312" w:eastAsia="仿宋_GB2312"/>
          <w:sz w:val="32"/>
          <w:szCs w:val="32"/>
        </w:rPr>
      </w:pPr>
      <w:r>
        <w:rPr>
          <w:rFonts w:hint="eastAsia" w:ascii="仿宋_GB2312" w:eastAsia="仿宋_GB2312"/>
          <w:sz w:val="32"/>
          <w:szCs w:val="32"/>
        </w:rPr>
        <w:t>馆陶县人民政府办公室</w:t>
      </w:r>
    </w:p>
    <w:p>
      <w:pPr>
        <w:spacing w:line="600" w:lineRule="exact"/>
        <w:jc w:val="right"/>
        <w:rPr>
          <w:rFonts w:hint="eastAsia" w:ascii="仿宋_GB2312" w:eastAsia="仿宋_GB2312"/>
          <w:sz w:val="32"/>
          <w:szCs w:val="32"/>
        </w:rPr>
      </w:pPr>
      <w:r>
        <w:rPr>
          <w:rFonts w:hint="eastAsia" w:ascii="仿宋_GB2312" w:eastAsia="仿宋_GB2312"/>
          <w:sz w:val="32"/>
          <w:szCs w:val="32"/>
        </w:rPr>
        <w:t>2022年9月26日</w:t>
      </w:r>
    </w:p>
    <w:p>
      <w:pPr>
        <w:spacing w:line="600" w:lineRule="exact"/>
        <w:jc w:val="right"/>
        <w:rPr>
          <w:rFonts w:hint="eastAsia" w:ascii="方正小标宋简体" w:eastAsia="方正小标宋简体"/>
          <w:sz w:val="44"/>
          <w:szCs w:val="44"/>
        </w:rPr>
      </w:pPr>
    </w:p>
    <w:p>
      <w:pPr>
        <w:spacing w:line="600" w:lineRule="exact"/>
        <w:jc w:val="right"/>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关于贯彻落实国家省市稳经济接续政策的若干措施</w:t>
      </w:r>
    </w:p>
    <w:p>
      <w:pPr>
        <w:spacing w:line="600" w:lineRule="exact"/>
        <w:rPr>
          <w:rFonts w:hint="eastAsia"/>
          <w:sz w:val="32"/>
          <w:szCs w:val="32"/>
        </w:rPr>
      </w:pPr>
      <w:r>
        <w:rPr>
          <w:rFonts w:hint="eastAsia"/>
          <w:sz w:val="32"/>
          <w:szCs w:val="32"/>
        </w:rPr>
        <w:t xml:space="preserve">    </w:t>
      </w:r>
    </w:p>
    <w:p>
      <w:pPr>
        <w:spacing w:line="600" w:lineRule="exact"/>
        <w:rPr>
          <w:rFonts w:hint="eastAsia" w:ascii="仿宋_GB2312" w:eastAsia="仿宋_GB2312"/>
          <w:sz w:val="32"/>
          <w:szCs w:val="32"/>
        </w:rPr>
      </w:pPr>
      <w:r>
        <w:rPr>
          <w:rFonts w:hint="eastAsia"/>
          <w:sz w:val="32"/>
          <w:szCs w:val="32"/>
        </w:rPr>
        <w:t xml:space="preserve">    </w:t>
      </w:r>
      <w:r>
        <w:rPr>
          <w:rFonts w:hint="eastAsia" w:ascii="仿宋_GB2312" w:eastAsia="仿宋_GB2312"/>
          <w:sz w:val="32"/>
          <w:szCs w:val="32"/>
        </w:rPr>
        <w:t>为贯彻落实国家省市稳经济接续政策措施，高效统筹疫情防控和经济社会发展，努力实现全年经济社会发展预期目标，制定以下措施。</w:t>
      </w:r>
    </w:p>
    <w:p>
      <w:pPr>
        <w:spacing w:line="600" w:lineRule="exact"/>
        <w:rPr>
          <w:rFonts w:hint="eastAsia" w:ascii="黑体" w:hAnsi="黑体" w:eastAsia="黑体"/>
          <w:sz w:val="32"/>
          <w:szCs w:val="32"/>
        </w:rPr>
      </w:pPr>
      <w:r>
        <w:rPr>
          <w:rFonts w:hint="eastAsia"/>
          <w:sz w:val="32"/>
          <w:szCs w:val="32"/>
        </w:rPr>
        <w:t xml:space="preserve">      </w:t>
      </w:r>
      <w:r>
        <w:rPr>
          <w:rFonts w:hint="eastAsia" w:ascii="黑体" w:hAnsi="黑体" w:eastAsia="黑体"/>
          <w:sz w:val="32"/>
          <w:szCs w:val="32"/>
        </w:rPr>
        <w:t>一、加大落实国家省市宏观调控政策</w:t>
      </w:r>
    </w:p>
    <w:p>
      <w:pPr>
        <w:spacing w:line="600" w:lineRule="exact"/>
        <w:rPr>
          <w:rFonts w:hint="eastAsia" w:ascii="仿宋_GB2312" w:hAnsi="仿宋" w:eastAsia="仿宋_GB2312" w:cs="仿宋"/>
          <w:sz w:val="32"/>
          <w:szCs w:val="32"/>
        </w:rPr>
      </w:pPr>
      <w:r>
        <w:rPr>
          <w:rFonts w:hint="eastAsia"/>
          <w:sz w:val="32"/>
          <w:szCs w:val="32"/>
        </w:rPr>
        <w:t xml:space="preserve">    </w:t>
      </w:r>
      <w:r>
        <w:rPr>
          <w:rFonts w:hint="eastAsia" w:ascii="楷体_GB2312" w:eastAsia="楷体_GB2312"/>
          <w:b/>
          <w:sz w:val="32"/>
          <w:szCs w:val="32"/>
        </w:rPr>
        <w:t>（一）切实用好政策性开发性金融工具并加大争取力度。</w:t>
      </w:r>
      <w:r>
        <w:rPr>
          <w:rFonts w:hint="eastAsia" w:ascii="仿宋_GB2312" w:eastAsia="仿宋_GB2312"/>
          <w:sz w:val="32"/>
          <w:szCs w:val="32"/>
        </w:rPr>
        <w:t>及时了解国家、省、市最新政策动向，靠前并加大谋划重大基础设施投资项目力度，争取得到更多资金支持。加强投资项目规划、用地、环评等前期工作及资金等要素保障，用足用好政策性银行新增信贷额度和政策性开发性金融工具。开辟绿色通道，实行“并联审批”、深化规划用地“多审合一、多证合一”改革，合并规划选址和用地预审，合并建设用地规划许可和用地批准，进一步优化建设项目用地规划审批流程，加快项目预审和选址、环评审批，保障项目落地。主动与政策性银行协调对接，共同解决签约难点、堵点，争取更多项目早签约、早投放、早落地、早见效。抢抓国家新增3000亿以上政策开发性金融工具额度机遇，紧盯金融工具支持方向，梳理筛选一批支持领域内项目，尤其是组织指导今年上半年开工项目和之前符合条件但因额度限制未投放项目再次争取资金，加强资金监管，加大项目帮扶力度，确保资金使用精准性、有效性。（县发展和改革局、县自然资源和规划局、市生态环境局馆陶分局、县住建局、县交通局、人行馆陶县支行、银保监馆陶监管组按职责分工负责）</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b/>
          <w:sz w:val="32"/>
          <w:szCs w:val="32"/>
        </w:rPr>
        <w:t>（二）依法用好政府专项债券结存限额。</w:t>
      </w:r>
      <w:r>
        <w:rPr>
          <w:rFonts w:hint="eastAsia" w:ascii="仿宋_GB2312" w:eastAsia="仿宋_GB2312"/>
          <w:sz w:val="32"/>
          <w:szCs w:val="32"/>
        </w:rPr>
        <w:t>成立专项债券管理使用工作领导小组及工作专班，做好常态化开展专项债券项目储备工作，组织各部门提前进行项目入库，并及时上报省市专项债券储备项目，根据省厅下达专项债券结存限额，坚持“资金跟着项目走”原则，将专项债结存限额重点向项目成熟度高、前期手续完备的项目倾斜，债券发行后要督促各部门加快债券资金使用，尽快形成实物工作量。（县财政局、县发展和改革局按职责分工负责）</w:t>
      </w:r>
    </w:p>
    <w:p>
      <w:pPr>
        <w:spacing w:line="600" w:lineRule="exact"/>
        <w:rPr>
          <w:rFonts w:hint="eastAsia"/>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b/>
          <w:sz w:val="32"/>
          <w:szCs w:val="32"/>
        </w:rPr>
        <w:t>（三）落实金融机构不良债权以物抵债税收优惠政策。</w:t>
      </w:r>
      <w:r>
        <w:rPr>
          <w:rFonts w:hint="eastAsia" w:ascii="仿宋_GB2312" w:hAnsi="仿宋_GB2312" w:eastAsia="仿宋_GB2312" w:cs="仿宋_GB2312"/>
          <w:sz w:val="32"/>
          <w:szCs w:val="32"/>
        </w:rPr>
        <w:t>按照财政部、国家税务总局部署，对商业银行经法院判决或仲裁机构仲裁的抵债资产，金融资产管理公司承接的商业银行不良债权中经法院判决或仲裁机构仲裁的抵债资产，抵债不动产处置环节所涉及的增值税，阶段性允许选择适用差额征收政策；对所涉及契税、印花税等给予阶段性免征或减征政策。加强政策“一对一”培训辅导，在资产接受和处置环节精准开展业务指引，确保金融机构应知尽知、应享尽享。（县税务局、县财政局、</w:t>
      </w:r>
      <w:r>
        <w:rPr>
          <w:rFonts w:hint="eastAsia" w:ascii="仿宋_GB2312" w:eastAsia="仿宋_GB2312"/>
          <w:sz w:val="32"/>
          <w:szCs w:val="32"/>
        </w:rPr>
        <w:t>人行馆陶县支行、银保监馆陶监管组按职责分工负责</w:t>
      </w:r>
      <w:r>
        <w:rPr>
          <w:rFonts w:hint="eastAsia" w:ascii="仿宋_GB2312" w:hAnsi="仿宋_GB2312" w:eastAsia="仿宋_GB2312" w:cs="仿宋_GB2312"/>
          <w:sz w:val="32"/>
          <w:szCs w:val="32"/>
        </w:rPr>
        <w:t>）</w:t>
      </w:r>
    </w:p>
    <w:p>
      <w:pPr>
        <w:spacing w:line="600" w:lineRule="exact"/>
        <w:rPr>
          <w:rFonts w:hint="eastAsia" w:ascii="仿宋_GB2312" w:eastAsia="仿宋_GB2312"/>
          <w:sz w:val="32"/>
          <w:szCs w:val="32"/>
        </w:rPr>
      </w:pPr>
      <w:r>
        <w:rPr>
          <w:rFonts w:hint="eastAsia"/>
          <w:sz w:val="32"/>
          <w:szCs w:val="32"/>
        </w:rPr>
        <w:t xml:space="preserve">   </w:t>
      </w:r>
      <w:r>
        <w:rPr>
          <w:rFonts w:hint="eastAsia" w:ascii="楷体_GB2312" w:eastAsia="楷体_GB2312"/>
          <w:b/>
          <w:sz w:val="32"/>
          <w:szCs w:val="32"/>
        </w:rPr>
        <w:t>（四）缓交部分行政事业性收费和保证金。</w:t>
      </w:r>
      <w:r>
        <w:rPr>
          <w:rFonts w:hint="eastAsia" w:ascii="仿宋_GB2312" w:eastAsia="仿宋_GB2312"/>
          <w:sz w:val="32"/>
          <w:szCs w:val="32"/>
        </w:rPr>
        <w:t>深入开展涉企违规收费专项整治，全面落实国家、省、市涉及企业和个体工商户的行政事业性收费和保证金缴费清单，对清单内的收费项目一律缓交一个季度，主要包括土地复垦费、污水处理费、生活垃圾处理费、城市道路占用和挖掘修复费、无线电频率占用费、电信网码号资源占用费、特种设备检验检测费、药品注册费、医疗器械产品注册费等行政事业性收费项目以及工资保证金、工程质量保证金、旅游服务质量保证金等，确保涉企行政事业性收费清零。（县发展和改革局、县财政局会同有关部门按职责分工负责）</w:t>
      </w:r>
    </w:p>
    <w:p>
      <w:pPr>
        <w:spacing w:line="600" w:lineRule="exact"/>
        <w:rPr>
          <w:rFonts w:hint="eastAsia" w:ascii="仿宋_GB2312" w:eastAsia="仿宋_GB2312"/>
          <w:sz w:val="32"/>
          <w:szCs w:val="32"/>
        </w:rPr>
      </w:pPr>
      <w:r>
        <w:rPr>
          <w:rFonts w:hint="eastAsia" w:ascii="仿宋" w:hAnsi="仿宋" w:eastAsia="仿宋" w:cs="仿宋"/>
          <w:sz w:val="30"/>
          <w:szCs w:val="30"/>
        </w:rPr>
        <w:t xml:space="preserve">  </w:t>
      </w:r>
      <w:r>
        <w:rPr>
          <w:rFonts w:hint="eastAsia" w:ascii="楷体_GB2312" w:hAnsi="仿宋" w:eastAsia="楷体_GB2312" w:cs="仿宋"/>
          <w:b/>
          <w:sz w:val="30"/>
          <w:szCs w:val="30"/>
        </w:rPr>
        <w:t xml:space="preserve"> </w:t>
      </w:r>
      <w:r>
        <w:rPr>
          <w:rFonts w:hint="eastAsia" w:ascii="楷体_GB2312" w:hAnsi="仿宋" w:eastAsia="楷体_GB2312" w:cs="仿宋"/>
          <w:b/>
          <w:sz w:val="32"/>
          <w:szCs w:val="32"/>
        </w:rPr>
        <w:t>（五）扩大信贷有效需求。</w:t>
      </w:r>
      <w:r>
        <w:rPr>
          <w:rFonts w:hint="eastAsia" w:ascii="仿宋_GB2312" w:hAnsi="仿宋" w:eastAsia="仿宋_GB2312" w:cs="仿宋"/>
          <w:sz w:val="32"/>
          <w:szCs w:val="32"/>
        </w:rPr>
        <w:t>加强存款利率自律管理，降低金融机构负债端成本，引导金融机构将存款利率下降效果传导到贷款端。进一步发挥贷款市场报价利率（LPR)指导性作用，综合采取各种措施，持续推动贷款实际利率下行，降低企业融资和个人消费信贷成本，促进增加信贷需求。引导商业银行扩大中长期贷款投放，为重点项目建设、设备更新改造配足融资。引导农村信用社开展转型发展综合营销活动，其中，发展小额贷款客户1890户，新增小额贷款1亿元，进一步扩大信贷有效需求。（</w:t>
      </w:r>
      <w:r>
        <w:rPr>
          <w:rFonts w:hint="eastAsia" w:ascii="仿宋_GB2312" w:eastAsia="仿宋_GB2312"/>
          <w:sz w:val="32"/>
          <w:szCs w:val="32"/>
        </w:rPr>
        <w:t>人行馆陶县支行、银保监馆陶监管组、县发展和改革局按职责分工负责</w:t>
      </w:r>
      <w:r>
        <w:rPr>
          <w:rFonts w:hint="eastAsia" w:ascii="仿宋_GB2312" w:hAnsi="仿宋" w:eastAsia="仿宋_GB2312" w:cs="仿宋"/>
          <w:sz w:val="32"/>
          <w:szCs w:val="32"/>
        </w:rPr>
        <w:t>）</w:t>
      </w:r>
    </w:p>
    <w:p>
      <w:pPr>
        <w:spacing w:line="600" w:lineRule="exact"/>
        <w:rPr>
          <w:rFonts w:hint="eastAsia" w:ascii="黑体" w:hAnsi="黑体" w:eastAsia="黑体"/>
          <w:sz w:val="32"/>
          <w:szCs w:val="32"/>
        </w:rPr>
      </w:pPr>
      <w:r>
        <w:rPr>
          <w:rFonts w:hint="eastAsia" w:ascii="黑体" w:hAnsi="黑体" w:eastAsia="黑体"/>
          <w:sz w:val="32"/>
          <w:szCs w:val="32"/>
        </w:rPr>
        <w:t xml:space="preserve">    二、实施一批有效投资项目</w:t>
      </w:r>
    </w:p>
    <w:p>
      <w:pPr>
        <w:spacing w:line="600" w:lineRule="exact"/>
        <w:rPr>
          <w:rFonts w:hint="eastAsia" w:ascii="仿宋_GB2312" w:eastAsia="仿宋_GB2312"/>
          <w:sz w:val="32"/>
          <w:szCs w:val="32"/>
        </w:rPr>
      </w:pPr>
      <w:r>
        <w:rPr>
          <w:rFonts w:hint="eastAsia"/>
          <w:sz w:val="32"/>
          <w:szCs w:val="32"/>
        </w:rPr>
        <w:t xml:space="preserve"> </w:t>
      </w:r>
      <w:r>
        <w:rPr>
          <w:rFonts w:hint="eastAsia" w:ascii="楷体_GB2312" w:eastAsia="楷体_GB2312"/>
          <w:b/>
          <w:sz w:val="32"/>
          <w:szCs w:val="32"/>
        </w:rPr>
        <w:t xml:space="preserve">  （六）加快实施一批重大基础设施项目。</w:t>
      </w:r>
      <w:r>
        <w:rPr>
          <w:rFonts w:hint="eastAsia" w:ascii="仿宋_GB2312" w:eastAsia="仿宋_GB2312"/>
          <w:sz w:val="32"/>
          <w:szCs w:val="32"/>
        </w:rPr>
        <w:t>全面落实河北省加快基础设施建设行动计划，用足用活上级各项政策，加快修改完善规划大纲，紧密结合“十四五”规划编制要求，精心编制国土空间规划，进一步明确馆陶发展定位，将全县确立的重点项目全部纳入国土空间总体规划，做好全县重大基础设施项目谋划工作储备，加大对交通、水利、电力、新能源等领域项目建设支持力度，支持重大基础设施项目高质量发展。（县发展和改革局、县交通局、县水利局、县自然资源和规划局按职责分工负责）</w:t>
      </w:r>
    </w:p>
    <w:p>
      <w:pPr>
        <w:spacing w:line="600" w:lineRule="exact"/>
        <w:rPr>
          <w:rFonts w:hint="eastAsia"/>
          <w:sz w:val="32"/>
          <w:szCs w:val="32"/>
        </w:rPr>
      </w:pPr>
      <w:r>
        <w:rPr>
          <w:rFonts w:hint="eastAsia"/>
          <w:sz w:val="32"/>
          <w:szCs w:val="32"/>
        </w:rPr>
        <w:t xml:space="preserve">  </w:t>
      </w:r>
      <w:r>
        <w:rPr>
          <w:rFonts w:hint="eastAsia" w:ascii="楷体_GB2312" w:eastAsia="楷体_GB2312"/>
          <w:b/>
          <w:sz w:val="32"/>
          <w:szCs w:val="32"/>
        </w:rPr>
        <w:t xml:space="preserve"> （七）支持重点项目建设。</w:t>
      </w:r>
      <w:r>
        <w:rPr>
          <w:rFonts w:hint="eastAsia" w:ascii="仿宋_GB2312" w:eastAsia="仿宋_GB2312"/>
          <w:sz w:val="32"/>
          <w:szCs w:val="32"/>
        </w:rPr>
        <w:t>持续开展好“重点项目建设落实年”活动，严格按照严格执行“</w:t>
      </w:r>
      <w:r>
        <w:rPr>
          <w:rFonts w:hint="eastAsia" w:ascii="仿宋_GB2312" w:hAnsi="Times New Roman" w:eastAsia="仿宋_GB2312" w:cs="Times New Roman"/>
          <w:sz w:val="32"/>
          <w:szCs w:val="32"/>
        </w:rPr>
        <w:t>234</w:t>
      </w:r>
      <w:r>
        <w:rPr>
          <w:rFonts w:hint="eastAsia" w:ascii="仿宋_GB2312" w:eastAsia="仿宋_GB2312"/>
          <w:sz w:val="32"/>
          <w:szCs w:val="32"/>
        </w:rPr>
        <w:t>＋</w:t>
      </w:r>
      <w:r>
        <w:rPr>
          <w:rFonts w:hint="eastAsia" w:ascii="仿宋_GB2312" w:hAnsi="Times New Roman" w:eastAsia="仿宋_GB2312" w:cs="Times New Roman"/>
          <w:sz w:val="32"/>
          <w:szCs w:val="32"/>
        </w:rPr>
        <w:t>1.5</w:t>
      </w:r>
      <w:r>
        <w:rPr>
          <w:rFonts w:hint="eastAsia" w:ascii="仿宋_GB2312" w:eastAsia="仿宋_GB2312"/>
          <w:sz w:val="32"/>
          <w:szCs w:val="32"/>
        </w:rPr>
        <w:t>”</w:t>
      </w:r>
      <w:r>
        <w:rPr>
          <w:rFonts w:hint="eastAsia" w:ascii="仿宋_GB2312" w:hAnsi="Times New Roman" w:eastAsia="仿宋_GB2312"/>
          <w:sz w:val="32"/>
          <w:szCs w:val="32"/>
        </w:rPr>
        <w:t>“两高三低”等</w:t>
      </w:r>
      <w:r>
        <w:rPr>
          <w:rFonts w:hint="eastAsia" w:ascii="仿宋_GB2312" w:eastAsia="仿宋_GB2312"/>
          <w:sz w:val="32"/>
          <w:szCs w:val="32"/>
        </w:rPr>
        <w:t>标准，</w:t>
      </w:r>
      <w:r>
        <w:rPr>
          <w:rFonts w:hint="eastAsia" w:ascii="仿宋_GB2312" w:hAnsi="仿宋_GB2312" w:eastAsia="仿宋_GB2312" w:cs="仿宋_GB2312"/>
          <w:sz w:val="32"/>
          <w:szCs w:val="32"/>
        </w:rPr>
        <w:t>实行“要素跟着项目走”，强化项目建设条件保障。强化用能保障，对能耗强度符合要求的新建项目，不受能耗增量指标限制，实行随时报审；对新建化工类等项目的原料用能不计入项目能耗总量和能耗强度；对符合条件的重大生产力布局、纳入国家和省级规划的重大项目实行能耗单列，集中力量保障重大项目合理用能。强化环保帮扶，持续开展环保 “三送两进一帮扶”活动，落实差别化环保管控政策，将符合条件的省重点项目纳入生态环境监管正面清单，在环保达标的前提下重污染天气响应期间予以优先保障。强化用地保障，按照省市“三保”要求，加大跑市进厅力度，在计划指标、规模指标、占补指标等保障因素上，做足功课、用足政策，在“国家严控新增建设用地”的大环境下，逐项破解项目用地的瓶颈制约，最大限度争取各类建设用地指标，对全县各类发展项目用地应保尽保，实现“土地等项目，拿地即开工”的工作目标。做好水电接入等开工前准备工作，常态化开展政银企对接活动，力促项目应开尽开、应开早开。</w:t>
      </w:r>
    </w:p>
    <w:p>
      <w:pPr>
        <w:spacing w:line="600" w:lineRule="exact"/>
        <w:rPr>
          <w:rFonts w:hint="eastAsia"/>
          <w:sz w:val="32"/>
          <w:szCs w:val="32"/>
        </w:rPr>
      </w:pPr>
      <w:r>
        <w:rPr>
          <w:rFonts w:hint="eastAsia" w:ascii="仿宋_GB2312" w:hAnsi="仿宋_GB2312" w:eastAsia="仿宋_GB2312" w:cs="仿宋_GB2312"/>
          <w:sz w:val="32"/>
          <w:szCs w:val="32"/>
        </w:rPr>
        <w:t>适时组织全县重点项目“比看”活动，在确保工程质量前提下在四季度尽快形成更多实物工作量，有力有序推动省市重点实施。（县发展和改革局、市生态环境局馆陶分局、县自然资源和规划局、县金融办</w:t>
      </w:r>
      <w:r>
        <w:rPr>
          <w:rFonts w:hint="eastAsia" w:ascii="仿宋_GB2312" w:eastAsia="仿宋_GB2312"/>
          <w:sz w:val="32"/>
          <w:szCs w:val="32"/>
        </w:rPr>
        <w:t>、银保监馆陶监管组、县住建局按职责分工负责</w:t>
      </w:r>
      <w:r>
        <w:rPr>
          <w:rFonts w:hint="eastAsia" w:ascii="仿宋_GB2312" w:hAnsi="仿宋_GB2312" w:eastAsia="仿宋_GB2312" w:cs="仿宋_GB2312"/>
          <w:sz w:val="32"/>
          <w:szCs w:val="32"/>
        </w:rPr>
        <w:t>）</w:t>
      </w:r>
    </w:p>
    <w:p>
      <w:pPr>
        <w:spacing w:line="600" w:lineRule="exact"/>
        <w:rPr>
          <w:rFonts w:hint="eastAsia" w:ascii="黑体" w:hAnsi="黑体" w:eastAsia="黑体" w:cs="仿宋_GB2312"/>
          <w:b/>
          <w:sz w:val="32"/>
          <w:szCs w:val="32"/>
        </w:rPr>
      </w:pPr>
      <w:r>
        <w:rPr>
          <w:rFonts w:hint="eastAsia" w:ascii="黑体" w:hAnsi="黑体" w:eastAsia="黑体" w:cs="仿宋_GB2312"/>
          <w:b/>
          <w:sz w:val="32"/>
          <w:szCs w:val="32"/>
        </w:rPr>
        <w:t xml:space="preserve">    三、促进市场消费恢复发展</w:t>
      </w:r>
    </w:p>
    <w:p>
      <w:pPr>
        <w:spacing w:line="600" w:lineRule="exact"/>
        <w:rPr>
          <w:rFonts w:hint="eastAsia" w:ascii="仿宋_GB2312" w:hAnsi="仿宋" w:eastAsia="仿宋_GB2312" w:cs="仿宋"/>
          <w:sz w:val="32"/>
          <w:szCs w:val="32"/>
        </w:rPr>
      </w:pPr>
      <w:r>
        <w:rPr>
          <w:rFonts w:hint="eastAsia" w:ascii="楷体_GB2312" w:hAnsi="仿宋_GB2312" w:eastAsia="楷体_GB2312" w:cs="仿宋_GB2312"/>
          <w:b/>
          <w:sz w:val="32"/>
          <w:szCs w:val="32"/>
        </w:rPr>
        <w:t xml:space="preserve">   （八）</w:t>
      </w:r>
      <w:r>
        <w:rPr>
          <w:rFonts w:hint="eastAsia" w:ascii="楷体_GB2312" w:hAnsi="黑体" w:eastAsia="楷体_GB2312" w:cs="黑体"/>
          <w:b/>
          <w:bCs/>
          <w:sz w:val="32"/>
          <w:szCs w:val="32"/>
        </w:rPr>
        <w:t>促进大宗消费加快恢复。</w:t>
      </w:r>
      <w:r>
        <w:rPr>
          <w:rFonts w:hint="eastAsia" w:ascii="仿宋_GB2312" w:hAnsi="仿宋" w:eastAsia="仿宋_GB2312" w:cs="仿宋"/>
          <w:sz w:val="32"/>
          <w:szCs w:val="32"/>
        </w:rPr>
        <w:t>全面落实国家、省、市扩大汽车消费、促进居住类消费的政策措施，统筹相关资金，对城乡居民汽车、家电等大宗消费给予补贴。组织“迎端午</w:t>
      </w:r>
      <w:r>
        <w:rPr>
          <w:rFonts w:hint="eastAsia" w:ascii="仿宋_GB2312" w:hAnsi="宋体" w:eastAsia="宋体" w:cs="宋体"/>
          <w:sz w:val="32"/>
          <w:szCs w:val="32"/>
        </w:rPr>
        <w:t>•</w:t>
      </w:r>
      <w:r>
        <w:rPr>
          <w:rFonts w:hint="eastAsia" w:ascii="仿宋_GB2312" w:hAnsi="仿宋" w:eastAsia="仿宋_GB2312" w:cs="仿宋"/>
          <w:sz w:val="32"/>
          <w:szCs w:val="32"/>
        </w:rPr>
        <w:t>爱家乡</w:t>
      </w:r>
      <w:r>
        <w:rPr>
          <w:rFonts w:hint="eastAsia" w:ascii="仿宋_GB2312" w:hAnsi="宋体" w:eastAsia="宋体" w:cs="宋体"/>
          <w:sz w:val="32"/>
          <w:szCs w:val="32"/>
        </w:rPr>
        <w:t>•</w:t>
      </w:r>
      <w:r>
        <w:rPr>
          <w:rFonts w:hint="eastAsia" w:ascii="仿宋_GB2312" w:hAnsi="仿宋" w:eastAsia="仿宋_GB2312" w:cs="仿宋"/>
          <w:sz w:val="32"/>
          <w:szCs w:val="32"/>
        </w:rPr>
        <w:t>用‘馆’货”促消费活动，带动全县人民群众更多的知“馆”货用“馆”货。开展“冀菜”品牌推广，支持创建一批特色明显的名宿品牌，推进餐饮住宿业回复发展。鼓励开展汽车、家电、餐饮、体育、文化旅游等重点领域发放消费券。（县商务局、县住建局、县发展和改革局、县文旅局、县教体局按职责分工负责）</w:t>
      </w:r>
    </w:p>
    <w:p>
      <w:pPr>
        <w:spacing w:line="600" w:lineRule="exact"/>
        <w:rPr>
          <w:rFonts w:hint="eastAsia" w:ascii="仿宋_GB2312" w:hAnsi="仿宋" w:eastAsia="仿宋_GB2312" w:cs="仿宋"/>
          <w:sz w:val="32"/>
          <w:szCs w:val="32"/>
        </w:rPr>
      </w:pPr>
      <w:r>
        <w:rPr>
          <w:rFonts w:hint="eastAsia" w:ascii="楷体_GB2312" w:hAnsi="仿宋_GB2312" w:eastAsia="楷体_GB2312" w:cs="仿宋_GB2312"/>
          <w:b/>
          <w:sz w:val="32"/>
          <w:szCs w:val="32"/>
        </w:rPr>
        <w:t xml:space="preserve">   （九）</w:t>
      </w:r>
      <w:r>
        <w:rPr>
          <w:rFonts w:hint="eastAsia" w:ascii="楷体_GB2312" w:hAnsi="黑体" w:eastAsia="楷体_GB2312" w:cs="黑体"/>
          <w:b/>
          <w:bCs/>
          <w:sz w:val="32"/>
          <w:szCs w:val="32"/>
        </w:rPr>
        <w:t>促进新型消费发展。</w:t>
      </w:r>
      <w:r>
        <w:rPr>
          <w:rFonts w:hint="eastAsia" w:ascii="仿宋_GB2312" w:hAnsi="仿宋" w:eastAsia="仿宋_GB2312" w:cs="仿宋"/>
          <w:sz w:val="32"/>
          <w:szCs w:val="32"/>
        </w:rPr>
        <w:t>落实国家、省、市打造消费新场景政策措施，积极拓展沉浸式、体验式、互动式消费新场景，高标准推进商业步行街和特色商业街建设。引导推动社会性投资基金加大各类新型应用培育。持续推动金融机构落实降费让利政策，丰富消费金融产品，加大新型消费信贷投放力度。组织开展线上线下消费促进活动，开展“双11”“双12”网购节等线上促销活动，挖掘全渠道消费潜力。（县商务局、县发展和改革局、</w:t>
      </w:r>
      <w:r>
        <w:rPr>
          <w:rFonts w:hint="eastAsia" w:ascii="仿宋_GB2312" w:eastAsia="仿宋_GB2312"/>
          <w:sz w:val="32"/>
          <w:szCs w:val="32"/>
        </w:rPr>
        <w:t>人行馆陶县支行、银保监馆陶监管组按职责分工负责</w:t>
      </w:r>
      <w:r>
        <w:rPr>
          <w:rFonts w:hint="eastAsia" w:ascii="仿宋_GB2312" w:hAnsi="仿宋" w:eastAsia="仿宋_GB2312" w:cs="仿宋"/>
          <w:sz w:val="32"/>
          <w:szCs w:val="32"/>
        </w:rPr>
        <w:t>）</w:t>
      </w:r>
    </w:p>
    <w:p>
      <w:pPr>
        <w:spacing w:line="600" w:lineRule="exact"/>
        <w:rPr>
          <w:rFonts w:hint="eastAsia" w:ascii="黑体" w:hAnsi="黑体" w:eastAsia="黑体" w:cs="仿宋_GB2312"/>
          <w:b/>
          <w:sz w:val="32"/>
          <w:szCs w:val="32"/>
        </w:rPr>
      </w:pPr>
      <w:r>
        <w:rPr>
          <w:rFonts w:hint="eastAsia" w:ascii="黑体" w:hAnsi="黑体" w:eastAsia="黑体" w:cs="仿宋_GB2312"/>
          <w:b/>
          <w:sz w:val="32"/>
          <w:szCs w:val="32"/>
        </w:rPr>
        <w:t xml:space="preserve">    四、加大稳外贸稳外资力度</w:t>
      </w:r>
    </w:p>
    <w:p>
      <w:pPr>
        <w:spacing w:line="600" w:lineRule="exact"/>
        <w:rPr>
          <w:rFonts w:hint="eastAsia" w:ascii="仿宋_GB2312" w:hAnsi="仿宋" w:eastAsia="仿宋_GB2312" w:cs="仿宋"/>
          <w:sz w:val="32"/>
          <w:szCs w:val="32"/>
        </w:rPr>
      </w:pPr>
      <w:r>
        <w:rPr>
          <w:rFonts w:hint="eastAsia" w:ascii="楷体_GB2312" w:hAnsi="仿宋_GB2312" w:eastAsia="楷体_GB2312" w:cs="仿宋_GB2312"/>
          <w:b/>
          <w:sz w:val="32"/>
          <w:szCs w:val="32"/>
        </w:rPr>
        <w:t xml:space="preserve">   （十）</w:t>
      </w:r>
      <w:r>
        <w:rPr>
          <w:rFonts w:hint="eastAsia" w:ascii="楷体_GB2312" w:hAnsi="黑体" w:eastAsia="楷体_GB2312" w:cs="黑体"/>
          <w:b/>
          <w:bCs/>
          <w:sz w:val="32"/>
          <w:szCs w:val="32"/>
        </w:rPr>
        <w:t>积极支持企业开拓国际市场。</w:t>
      </w:r>
      <w:r>
        <w:rPr>
          <w:rFonts w:hint="eastAsia" w:ascii="仿宋_GB2312" w:hAnsi="仿宋" w:eastAsia="仿宋_GB2312" w:cs="仿宋"/>
          <w:sz w:val="32"/>
          <w:szCs w:val="32"/>
        </w:rPr>
        <w:t>在统一政策框架下，支持我省有实力企业和专业机构建设和运营海外仓，完善仓储配送、营销展示、出口退还货及售后服务功能，做好跨境电商出口海外仓备案工作。鼓励保险公司为海外仓企业提供海外投资保险、海外国别风险评估等资信服务。鼓励银行机构增加汇率避险首办用户。开展面向全县外贸企业的应对汇率风险专题培训，引导外贸企业树立汇率风险中性意识，提升企业汇率避险意识和能力。（县商务局、县财政局、</w:t>
      </w:r>
      <w:r>
        <w:rPr>
          <w:rFonts w:hint="eastAsia" w:ascii="仿宋_GB2312" w:eastAsia="仿宋_GB2312"/>
          <w:sz w:val="32"/>
          <w:szCs w:val="32"/>
        </w:rPr>
        <w:t>人行馆陶县支行、银保监馆陶监管组按职责分工负责</w:t>
      </w:r>
      <w:r>
        <w:rPr>
          <w:rFonts w:hint="eastAsia" w:ascii="仿宋_GB2312" w:hAnsi="仿宋" w:eastAsia="仿宋_GB2312" w:cs="仿宋"/>
          <w:sz w:val="32"/>
          <w:szCs w:val="32"/>
        </w:rPr>
        <w:t>）</w:t>
      </w:r>
    </w:p>
    <w:p>
      <w:pPr>
        <w:spacing w:line="600" w:lineRule="exact"/>
        <w:rPr>
          <w:rFonts w:hint="eastAsia" w:ascii="仿宋_GB2312" w:hAnsi="仿宋" w:eastAsia="仿宋_GB2312" w:cs="仿宋"/>
          <w:sz w:val="32"/>
          <w:szCs w:val="32"/>
        </w:rPr>
      </w:pPr>
      <w:r>
        <w:rPr>
          <w:rFonts w:hint="eastAsia" w:ascii="黑体" w:hAnsi="黑体" w:eastAsia="黑体" w:cs="黑体"/>
          <w:sz w:val="32"/>
          <w:szCs w:val="32"/>
        </w:rPr>
        <w:t xml:space="preserve">  </w:t>
      </w:r>
      <w:r>
        <w:rPr>
          <w:rFonts w:hint="eastAsia" w:ascii="楷体_GB2312" w:hAnsi="黑体" w:eastAsia="楷体_GB2312" w:cs="黑体"/>
          <w:b/>
          <w:sz w:val="32"/>
          <w:szCs w:val="32"/>
        </w:rPr>
        <w:t xml:space="preserve">  （十一）创新会展服务模式。</w:t>
      </w:r>
      <w:r>
        <w:rPr>
          <w:rFonts w:hint="eastAsia" w:ascii="仿宋_GB2312" w:hAnsi="仿宋" w:eastAsia="仿宋_GB2312" w:cs="仿宋"/>
          <w:sz w:val="32"/>
          <w:szCs w:val="32"/>
        </w:rPr>
        <w:t>引导我县洁雅卫生用品、中泰板房及箱包、轴承等外贸企业，参加线上线下各类展会，拓展外贸业务。聚焦RCEP、“一带一路”等重点国家和地区，组织专场线上展览会，搭建线上展厅，做好线上产品展示、对接洽谈工作。采用“代参展”形式，为企业搭建外展活动平台。用好跨境电商展会平台，组织适合B2C模式的企业和产品参加中国（深圳）跨境电商展览会。摸清企业出国参展需求规模，积累展览团组短期临时出国防疫经验并不断优化防疫措施，为外贸企业人员出境开展商务活动提供支持和便利。（县商务局、县公安局按职责分工负责）</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sz w:val="32"/>
          <w:szCs w:val="32"/>
        </w:rPr>
        <w:t>（十二）积极吸引外商投资。</w:t>
      </w:r>
      <w:r>
        <w:rPr>
          <w:rFonts w:hint="eastAsia" w:ascii="仿宋_GB2312" w:hAnsi="仿宋_GB2312" w:eastAsia="仿宋_GB2312" w:cs="仿宋_GB2312"/>
          <w:sz w:val="32"/>
          <w:szCs w:val="32"/>
        </w:rPr>
        <w:t>充分发挥省内外重要经贸活动平台作用，组织系列招商活动，邀请有合作意向的外资企业参会，签约一批合作项目。加强对制造业外商投资企业的支持服务，对重点外资项目和企业，协调解决要素保障等方面的困难问题。落实好外资奖励政策，按照有关规定对符合条件的外资企业给予资金奖励；对境外世界500强、全球行业龙头企业设立的外资研发机构和实缴外方注册资本超过5000万美元的制造业外资企业按照省“一企一议”原则争取资金支持。建立服务外资企业专班，完善与外资企业常态化交流机制，积极解决外资企业在馆营商便利等问题，进一步稳住和扩大外商投资。积极支持外资在我县设立研发中心，在科技项目申报、创新平台建设等方面享受无差别待遇；大力推进科技开放合作，吸引优秀海外人才来馆创新创业。（县商务局、县发展和改革局、县财政局按职责分工）</w:t>
      </w:r>
    </w:p>
    <w:p>
      <w:pPr>
        <w:spacing w:line="600" w:lineRule="exact"/>
        <w:ind w:firstLine="643" w:firstLineChars="200"/>
        <w:rPr>
          <w:rFonts w:hint="eastAsia" w:ascii="黑体" w:hAnsi="黑体" w:eastAsia="黑体" w:cs="仿宋_GB2312"/>
          <w:b/>
          <w:sz w:val="32"/>
          <w:szCs w:val="32"/>
        </w:rPr>
      </w:pPr>
      <w:r>
        <w:rPr>
          <w:rFonts w:hint="eastAsia" w:ascii="黑体" w:hAnsi="黑体" w:eastAsia="黑体" w:cs="仿宋_GB2312"/>
          <w:b/>
          <w:sz w:val="32"/>
          <w:szCs w:val="32"/>
        </w:rPr>
        <w:t xml:space="preserve"> 五、着力稳市场主体</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sz w:val="32"/>
          <w:szCs w:val="32"/>
        </w:rPr>
        <w:t>（十三）支持民营企业健康发展。</w:t>
      </w:r>
      <w:r>
        <w:rPr>
          <w:rFonts w:hint="eastAsia" w:ascii="仿宋_GB2312" w:hAnsi="仿宋_GB2312" w:eastAsia="仿宋_GB2312" w:cs="仿宋_GB2312"/>
          <w:sz w:val="32"/>
          <w:szCs w:val="32"/>
        </w:rPr>
        <w:t>鼓励金融机构增加诚信“白名单”企业和项目授信额度，探索建立“上市顾问”制度，聘请各知名证券公司担任上市后备企业“上市顾问”，提供上市融资建议和做好企业维护工作。加大推广“信易贷”“银税互动”“银商合作”等便捷产品和服务力度，主动为有需求的企业办理延期、展期、减免罚息手续，缓解企业资金周转困难问题。认真开展涉企违规收费专项整治行动，加强行政事业性收费事中事后监管，规范收费行为；抓好供水供电供气供暖行业收费清理规范，提升服务质量。完善科技型中小企业、高新技术企业、“专精特新”企业后备培育库，对入库企业开展精准帮扶指导，提升企业培育质量。实施创新平台提质增效行动，支持行业优势中小企业参与国家、省、市研发机构建设布局，重点对华清光电、惠语化工等10家重点企业开展帮扶指导。大力实施县域特色产业集群“领跑者”企业培育六大行动，加快推进企业数字化转型，围绕禽蛋、轴承等县域特色产业集群，加强与网络平台合作，依托平台支撑，扩大产品销售，打造重点龙头企业，带动产业集群提档升级。（县发展和改革局、县财政局、</w:t>
      </w:r>
      <w:r>
        <w:rPr>
          <w:rFonts w:hint="eastAsia" w:ascii="仿宋_GB2312" w:eastAsia="仿宋_GB2312"/>
          <w:sz w:val="32"/>
          <w:szCs w:val="32"/>
        </w:rPr>
        <w:t>县市场监管局、县金融办、</w:t>
      </w:r>
      <w:r>
        <w:rPr>
          <w:rFonts w:hint="eastAsia" w:ascii="仿宋_GB2312" w:hAnsi="仿宋_GB2312" w:eastAsia="仿宋_GB2312" w:cs="仿宋_GB2312"/>
          <w:sz w:val="32"/>
          <w:szCs w:val="32"/>
        </w:rPr>
        <w:t>人行馆陶县支行、</w:t>
      </w:r>
      <w:r>
        <w:rPr>
          <w:rFonts w:hint="eastAsia" w:ascii="仿宋_GB2312" w:eastAsia="仿宋_GB2312"/>
          <w:sz w:val="32"/>
          <w:szCs w:val="32"/>
        </w:rPr>
        <w:t>银保监馆陶监管组按职责分工负责</w:t>
      </w:r>
      <w:r>
        <w:rPr>
          <w:rFonts w:hint="eastAsia" w:ascii="仿宋_GB2312" w:hAnsi="仿宋_GB2312" w:eastAsia="仿宋_GB2312" w:cs="仿宋_GB2312"/>
          <w:sz w:val="32"/>
          <w:szCs w:val="32"/>
        </w:rPr>
        <w:t>）</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sz w:val="32"/>
          <w:szCs w:val="32"/>
        </w:rPr>
        <w:t>（十四）加大力度防范和化解拖欠中小微企业账款。</w:t>
      </w:r>
      <w:r>
        <w:rPr>
          <w:rFonts w:hint="eastAsia" w:ascii="仿宋_GB2312" w:hAnsi="仿宋_GB2312" w:eastAsia="仿宋_GB2312" w:cs="仿宋_GB2312"/>
          <w:sz w:val="32"/>
          <w:szCs w:val="32"/>
        </w:rPr>
        <w:t>严格落实《保障中小企业款项支付条例</w:t>
      </w:r>
      <w:bookmarkStart w:id="0" w:name="_GoBack"/>
      <w:bookmarkEnd w:id="0"/>
      <w:r>
        <w:rPr>
          <w:rFonts w:hint="eastAsia" w:ascii="仿宋_GB2312" w:hAnsi="仿宋_GB2312" w:eastAsia="仿宋_GB2312" w:cs="仿宋_GB2312"/>
          <w:sz w:val="32"/>
          <w:szCs w:val="32"/>
        </w:rPr>
        <w:t>》，成立防范和化解拖欠中小企业账款工作专班，设立投诉举报电话，做好中小企业投诉受理工作。落实机关事业单位和大型企业拖欠中小型企业账款定期披露、主动执法、劝告指导制度和机制，由县政府组织相关职能部门核查办理投诉线索，对存在严重失信行为的拖欠主体依法依规实施失信惩戒。（县发展和改革局、县住建局、县财政局、县人社局、县市场监管局按职责分工负责）</w:t>
      </w:r>
    </w:p>
    <w:p>
      <w:pPr>
        <w:spacing w:line="600" w:lineRule="exact"/>
        <w:rPr>
          <w:rFonts w:ascii="楷体_GB2312" w:hAnsi="仿宋_GB2312" w:eastAsia="楷体_GB2312" w:cs="仿宋_GB2312"/>
          <w:b/>
          <w:bCs/>
          <w:sz w:val="32"/>
          <w:szCs w:val="32"/>
        </w:rPr>
      </w:pPr>
      <w:r>
        <w:rPr>
          <w:rFonts w:hint="eastAsia" w:ascii="仿宋_GB2312" w:hAnsi="仿宋_GB2312" w:eastAsia="仿宋_GB2312" w:cs="仿宋_GB2312"/>
          <w:b/>
          <w:bCs/>
          <w:sz w:val="32"/>
          <w:szCs w:val="32"/>
        </w:rPr>
        <w:t xml:space="preserve">   </w:t>
      </w:r>
      <w:r>
        <w:rPr>
          <w:rFonts w:hint="eastAsia" w:ascii="楷体_GB2312" w:hAnsi="仿宋_GB2312" w:eastAsia="楷体_GB2312" w:cs="仿宋_GB2312"/>
          <w:b/>
          <w:bCs/>
          <w:sz w:val="32"/>
          <w:szCs w:val="32"/>
        </w:rPr>
        <w:t>（十五）优化市场监管执法服务。</w:t>
      </w:r>
      <w:r>
        <w:rPr>
          <w:rFonts w:hint="eastAsia" w:ascii="仿宋_GB2312" w:hAnsi="仿宋_GB2312" w:eastAsia="仿宋_GB2312" w:cs="仿宋_GB2312"/>
          <w:sz w:val="32"/>
          <w:szCs w:val="32"/>
        </w:rPr>
        <w:t>开展落实好省“个体工商户服务月”活动。充分发挥质量基础“一站式”服务平台作用，对上报的企业标准一日完成备案。帮助馆陶县三绿种业有限公司制定企业标准和地方标准，切实帮助企业解决质量技术问题。严格落实行政执法公示、行政执法全过程记录、重大执法决定法制审核等行政执法“三项制度”，开展执法不规范问题自查自纠活动，规范执法行为，维护公平竞争市场秩序。（县市场监管局负责）</w:t>
      </w:r>
    </w:p>
    <w:p>
      <w:pPr>
        <w:spacing w:line="600" w:lineRule="exact"/>
        <w:rPr>
          <w:rFonts w:hint="eastAsia" w:ascii="仿宋_GB2312" w:eastAsia="仿宋_GB2312"/>
          <w:sz w:val="32"/>
          <w:szCs w:val="32"/>
        </w:rPr>
      </w:pPr>
      <w:r>
        <w:rPr>
          <w:rFonts w:hint="eastAsia" w:ascii="楷体_GB2312" w:eastAsia="楷体_GB2312"/>
          <w:b/>
          <w:sz w:val="32"/>
          <w:szCs w:val="32"/>
        </w:rPr>
        <w:t xml:space="preserve">   （十六）持续抓好物流保通保畅工作。</w:t>
      </w:r>
      <w:r>
        <w:rPr>
          <w:rFonts w:hint="eastAsia" w:ascii="仿宋_GB2312" w:eastAsia="仿宋_GB2312"/>
          <w:sz w:val="32"/>
          <w:szCs w:val="32"/>
        </w:rPr>
        <w:t>落实疫情防控和物流保通保畅要求，严禁出现层层加码、“一刀切”行为，打通物流运输“最后一公里”，确保生活、生产物资供应链稳定，优化货运车辆交通防疫服务。未经批准，不得擅自阻断或关闭高速公路、普通公路，严禁硬隔离县乡村公路。深入开展“情义河北</w:t>
      </w:r>
      <w:r>
        <w:rPr>
          <w:rFonts w:hint="eastAsia" w:ascii="仿宋_GB2312" w:eastAsia="仿宋_GB2312" w:hAnsiTheme="minorEastAsia"/>
          <w:sz w:val="32"/>
          <w:szCs w:val="32"/>
        </w:rPr>
        <w:t>·冀路畅行</w:t>
      </w:r>
      <w:r>
        <w:rPr>
          <w:rFonts w:hint="eastAsia" w:ascii="仿宋_GB2312" w:eastAsia="仿宋_GB2312"/>
          <w:sz w:val="32"/>
          <w:szCs w:val="32"/>
        </w:rPr>
        <w:t>”关心关爱货车司机行动，全力抓好在途服务，持续推动各地免费为货车司机等交通物流从业人员开展核酸检测和抗原检测。严禁限制疫情低风险地区人员正常流动。对来自或进出疫情中高风险地区所在地市的货运车辆，严格实施货车“即采即走即追”的管理模式，电子通行证互认通用，不以等待核酸结果为由限制通行。（县交通局、县发展和改革局、县商务局、县农业农村局、县卫健局、县公安局、县交警大队按职责分工负责）</w:t>
      </w:r>
    </w:p>
    <w:p>
      <w:pPr>
        <w:spacing w:line="600" w:lineRule="exact"/>
        <w:rPr>
          <w:rFonts w:hint="eastAsia" w:ascii="仿宋_GB2312" w:eastAsia="仿宋_GB2312"/>
          <w:sz w:val="32"/>
          <w:szCs w:val="32"/>
        </w:rPr>
      </w:pPr>
      <w:r>
        <w:rPr>
          <w:rFonts w:hint="eastAsia"/>
          <w:sz w:val="32"/>
          <w:szCs w:val="32"/>
        </w:rPr>
        <w:t xml:space="preserve">  </w:t>
      </w:r>
      <w:r>
        <w:rPr>
          <w:rFonts w:hint="eastAsia"/>
          <w:b/>
          <w:sz w:val="32"/>
          <w:szCs w:val="32"/>
        </w:rPr>
        <w:t xml:space="preserve"> </w:t>
      </w:r>
      <w:r>
        <w:rPr>
          <w:rFonts w:hint="eastAsia" w:ascii="楷体_GB2312" w:eastAsia="楷体_GB2312"/>
          <w:b/>
          <w:sz w:val="32"/>
          <w:szCs w:val="32"/>
        </w:rPr>
        <w:t>（十七）确保能源安全和稳定供应。</w:t>
      </w:r>
      <w:r>
        <w:rPr>
          <w:rFonts w:hint="eastAsia" w:ascii="仿宋_GB2312" w:eastAsia="仿宋_GB2312"/>
          <w:sz w:val="32"/>
          <w:szCs w:val="32"/>
        </w:rPr>
        <w:t>加强与省市沟通争取，力争2022年底前在争取一批光伏风电能源保供项目，加强与周边电网沟通对接，确保重要时段电力供需平衡。积极协调华燃、中燃保障采暖季天然气供应，全力保障迎峰度冬期间的气源供应，同时加强燃气安全保障工作。（县发展和改革局、县住建局、县供电公司按职责分工负责）</w:t>
      </w:r>
    </w:p>
    <w:p>
      <w:pPr>
        <w:spacing w:line="600" w:lineRule="exact"/>
        <w:rPr>
          <w:rFonts w:hint="eastAsia"/>
          <w:sz w:val="32"/>
          <w:szCs w:val="32"/>
        </w:rPr>
      </w:pPr>
      <w:r>
        <w:rPr>
          <w:rFonts w:hint="eastAsia" w:ascii="楷体_GB2312" w:eastAsia="楷体_GB2312"/>
          <w:b/>
          <w:sz w:val="32"/>
          <w:szCs w:val="32"/>
        </w:rPr>
        <w:t xml:space="preserve">   （十八）</w:t>
      </w:r>
      <w:r>
        <w:rPr>
          <w:rFonts w:hint="eastAsia" w:ascii="楷体_GB2312" w:hAnsi="楷体" w:eastAsia="楷体_GB2312" w:cs="楷体"/>
          <w:b/>
          <w:bCs/>
          <w:sz w:val="32"/>
          <w:szCs w:val="32"/>
        </w:rPr>
        <w:t>加大粮食稳产保供力度。</w:t>
      </w:r>
      <w:r>
        <w:rPr>
          <w:rFonts w:hint="eastAsia" w:ascii="仿宋_GB2312" w:hAnsi="仿宋_GB2312" w:eastAsia="仿宋_GB2312" w:cs="仿宋_GB2312"/>
          <w:sz w:val="32"/>
          <w:szCs w:val="32"/>
        </w:rPr>
        <w:t>抓好秋粮生产，确保秋粮丰收。在做好今年1万亩高标准农田基础上，积极探索社会资本参与高标准农田建设新模式。加快建设国家级现代农业产业园。落实好中央第三批种粮农民一次性补贴312万元，确保补贴资金发放到位。抓好夏秋粮收购，稳定农民种粮积极性。（县农业农村局、县发展和改革局、县财政局按职责分工负责）</w:t>
      </w:r>
    </w:p>
    <w:p>
      <w:pPr>
        <w:spacing w:line="600" w:lineRule="exact"/>
        <w:rPr>
          <w:rFonts w:hint="eastAsia" w:ascii="黑体" w:hAnsi="黑体" w:eastAsia="黑体"/>
          <w:b/>
          <w:sz w:val="32"/>
          <w:szCs w:val="32"/>
        </w:rPr>
      </w:pPr>
      <w:r>
        <w:rPr>
          <w:rFonts w:hint="eastAsia" w:ascii="黑体" w:hAnsi="黑体" w:eastAsia="黑体"/>
          <w:b/>
          <w:sz w:val="32"/>
          <w:szCs w:val="32"/>
        </w:rPr>
        <w:t xml:space="preserve">    六、切实保障基本民生</w:t>
      </w:r>
    </w:p>
    <w:p>
      <w:pPr>
        <w:spacing w:line="600" w:lineRule="exact"/>
        <w:rPr>
          <w:rFonts w:hint="eastAsia" w:ascii="仿宋_GB2312" w:eastAsia="仿宋_GB2312"/>
          <w:sz w:val="32"/>
          <w:szCs w:val="32"/>
        </w:rPr>
      </w:pPr>
      <w:r>
        <w:rPr>
          <w:rFonts w:hint="eastAsia"/>
          <w:sz w:val="32"/>
          <w:szCs w:val="32"/>
        </w:rPr>
        <w:t xml:space="preserve">   </w:t>
      </w:r>
      <w:r>
        <w:rPr>
          <w:rFonts w:hint="eastAsia" w:ascii="楷体_GB2312" w:eastAsia="楷体_GB2312"/>
          <w:b/>
          <w:sz w:val="32"/>
          <w:szCs w:val="32"/>
        </w:rPr>
        <w:t>（十九）扎实开展支持就业创业系列行动。</w:t>
      </w:r>
      <w:r>
        <w:rPr>
          <w:rFonts w:hint="eastAsia" w:ascii="仿宋_GB2312" w:eastAsia="仿宋_GB2312"/>
          <w:sz w:val="32"/>
          <w:szCs w:val="32"/>
        </w:rPr>
        <w:t>持续开展离校未就业毕业生服务攻坚行动，加快事业单位等公共部门招录和“三支一扶”等基层项目招募进度，加速见习岗位上岗和临时公益性岗位安置，集中发布城乡基层岗位，千方百计拓展毕业生就业空间。实施好就业援助“暖心活动”，确保零就业家庭动态清零。启动创业帮扶工程、创业服务能力提升工程，全面落实创业补贴、社会保险补贴、场地租金补贴等政策，按规定落实政府投资创业载体40%左右场地向高校毕业生免费开放，用足用好农村金融担保政策，鼓励返乡入乡创业。（县人社局、县教体局、县财政局、县金融办按职责分工负责）</w:t>
      </w:r>
    </w:p>
    <w:p>
      <w:pPr>
        <w:spacing w:line="600" w:lineRule="exact"/>
        <w:rPr>
          <w:rFonts w:hint="eastAsia" w:ascii="仿宋_GB2312" w:hAnsi="仿宋_GB2312" w:eastAsia="仿宋_GB2312" w:cs="仿宋_GB2312"/>
          <w:sz w:val="32"/>
          <w:szCs w:val="32"/>
        </w:rPr>
      </w:pPr>
      <w:r>
        <w:rPr>
          <w:rFonts w:hint="eastAsia" w:ascii="楷体_GB2312" w:hAnsi="仿宋_GB2312" w:eastAsia="楷体_GB2312" w:cs="仿宋_GB2312"/>
          <w:b/>
          <w:sz w:val="32"/>
          <w:szCs w:val="32"/>
        </w:rPr>
        <w:t xml:space="preserve">   （二十）高质量推进民生工程建设。</w:t>
      </w:r>
      <w:r>
        <w:rPr>
          <w:rFonts w:hint="eastAsia" w:ascii="仿宋_GB2312" w:hAnsi="仿宋_GB2312" w:eastAsia="仿宋_GB2312" w:cs="仿宋_GB2312"/>
          <w:sz w:val="32"/>
          <w:szCs w:val="32"/>
        </w:rPr>
        <w:t>强化督导调度，全力加快30项民生工程中未完工工程项目建设，确保2022年10月底基本完成、12月底全部完成年度目标任务。（县发展和改革局牵头，各民生工程责任单位负责）</w:t>
      </w:r>
    </w:p>
    <w:p>
      <w:pPr>
        <w:spacing w:line="600" w:lineRule="exact"/>
        <w:rPr>
          <w:rFonts w:hint="eastAsia" w:ascii="仿宋_GB2312" w:hAnsi="楷体" w:eastAsia="仿宋_GB2312" w:cs="楷体"/>
          <w:b/>
          <w:bCs/>
          <w:sz w:val="32"/>
          <w:szCs w:val="32"/>
        </w:rPr>
      </w:pPr>
      <w:r>
        <w:rPr>
          <w:rFonts w:hint="eastAsia" w:ascii="楷体_GB2312" w:hAnsi="楷体" w:eastAsia="楷体_GB2312" w:cs="楷体"/>
          <w:b/>
          <w:bCs/>
          <w:sz w:val="32"/>
          <w:szCs w:val="32"/>
        </w:rPr>
        <w:t xml:space="preserve">   （二十一）满足居民合理住房需求。</w:t>
      </w:r>
      <w:r>
        <w:rPr>
          <w:rFonts w:hint="eastAsia" w:ascii="仿宋_GB2312" w:eastAsia="仿宋_GB2312"/>
          <w:sz w:val="32"/>
          <w:szCs w:val="32"/>
        </w:rPr>
        <w:t>按照国家省市坚持“房住不炒”定位要求，全面落实城市主体责任，稳地价、稳房价、稳预期。持续完善差别化住房信贷政策，因城施策用足用好政策工具箱，落实好住房公积金等阶段性支持政策，支持刚性和改善性住房需求。坚持租购并举，扩大保障性租赁住房供给，规范发展长租房市场。坚持市场化、法制化原则，压实企业自救主体责任，全力推进已售逾期难交付住宅项目的建设交付工作。鼓励房地产企业用好用足银行专项贷款支持保交楼政策工具，实行封闭运行、专款专用、全程监管，加快施工进度和投入、形成更多实物工作量，通过项目的复工建设、竣工交付稳定购房者预期和信心。（县住建局、人行馆陶县支行、县财政局按职责分工负责）</w:t>
      </w:r>
    </w:p>
    <w:p>
      <w:pPr>
        <w:spacing w:line="600" w:lineRule="exact"/>
        <w:rPr>
          <w:rFonts w:ascii="黑体" w:hAnsi="黑体" w:eastAsia="黑体"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仿宋_GB2312"/>
          <w:sz w:val="32"/>
          <w:szCs w:val="32"/>
        </w:rPr>
        <w:t xml:space="preserve"> 七、加强组织实施</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b/>
          <w:sz w:val="32"/>
          <w:szCs w:val="32"/>
        </w:rPr>
        <w:t>（二十二）加强组织领导。</w:t>
      </w:r>
      <w:r>
        <w:rPr>
          <w:rFonts w:hint="eastAsia" w:ascii="仿宋_GB2312" w:hAnsi="仿宋_GB2312" w:eastAsia="仿宋_GB2312" w:cs="仿宋_GB2312"/>
          <w:sz w:val="32"/>
          <w:szCs w:val="32"/>
        </w:rPr>
        <w:t>充分发挥政府稳定经济运行督导和服务工作组作用，加强对落实国家省市稳经济接续政策措施的统筹协调，健全落实机制，与已有的包联帮扶机制等结合起来，发挥政策叠加组合效应。要守行尽责，以钉钉子精神下更大力气抓好国家、省市的各项部署要求落实，靠前发力、适度加力，推动各项措施尽快落地见效。</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b/>
          <w:sz w:val="32"/>
          <w:szCs w:val="32"/>
        </w:rPr>
        <w:t>（二十三）加大宣传力度。</w:t>
      </w:r>
      <w:r>
        <w:rPr>
          <w:rFonts w:hint="eastAsia" w:ascii="仿宋_GB2312" w:hAnsi="Times New Roman" w:eastAsia="仿宋_GB2312"/>
          <w:bCs/>
          <w:spacing w:val="20"/>
          <w:sz w:val="32"/>
          <w:szCs w:val="32"/>
        </w:rPr>
        <w:t>各政策落实职能部门要加强上级政策的学习，</w:t>
      </w:r>
      <w:r>
        <w:rPr>
          <w:rFonts w:hint="eastAsia" w:ascii="仿宋_GB2312" w:eastAsia="仿宋_GB2312"/>
          <w:sz w:val="32"/>
          <w:szCs w:val="32"/>
        </w:rPr>
        <w:t>加强政策宣传力度。各乡镇、经济开发区、轴承园区要在微信公众号、微信群等方式及时转发转载，并负责将政策明白卡翻印送达到所辖区每个市场主体负责人，切实打通政策入企的“最后一公里”，</w:t>
      </w:r>
      <w:r>
        <w:rPr>
          <w:rFonts w:hint="eastAsia" w:ascii="仿宋_GB2312" w:hAnsi="Times New Roman" w:eastAsia="仿宋_GB2312"/>
          <w:bCs/>
          <w:spacing w:val="20"/>
          <w:sz w:val="32"/>
          <w:szCs w:val="32"/>
        </w:rPr>
        <w:t>让市场主体“听得懂”“信得过”“用得好”。</w:t>
      </w:r>
    </w:p>
    <w:p>
      <w:pPr>
        <w:spacing w:line="600" w:lineRule="exact"/>
        <w:ind w:firstLine="643" w:firstLineChars="200"/>
        <w:rPr>
          <w:rFonts w:hint="eastAsia" w:ascii="仿宋_GB2312" w:hAnsi="黑体" w:eastAsia="仿宋_GB2312"/>
          <w:sz w:val="32"/>
          <w:szCs w:val="32"/>
        </w:rPr>
      </w:pPr>
      <w:r>
        <w:rPr>
          <w:rFonts w:hint="eastAsia" w:ascii="楷体_GB2312" w:hAnsi="仿宋_GB2312" w:eastAsia="楷体_GB2312" w:cs="仿宋_GB2312"/>
          <w:b/>
          <w:sz w:val="32"/>
          <w:szCs w:val="32"/>
        </w:rPr>
        <w:t>（二十四）强化落实问效。</w:t>
      </w:r>
      <w:r>
        <w:rPr>
          <w:rFonts w:hint="eastAsia" w:ascii="仿宋_GB2312" w:hAnsi="仿宋_GB2312" w:eastAsia="仿宋_GB2312" w:cs="仿宋_GB2312"/>
          <w:sz w:val="32"/>
          <w:szCs w:val="32"/>
        </w:rPr>
        <w:t>各有关部门要强化上下联动和衔接配合，弘扬“马上就办、真抓实干”优良作风，县直有关部门与乡镇政府开展一线办公、现场服务，深入一线实地了解市场主体发展诉求，点对点、面对面帮助基层和企业解决堵点、断点、难点问题，精准落实，确保政策应享、尽享、快享。</w:t>
      </w:r>
    </w:p>
    <w:p>
      <w:pPr>
        <w:spacing w:line="600" w:lineRule="exact"/>
      </w:pPr>
    </w:p>
    <w:p>
      <w:pPr>
        <w:spacing w:line="600" w:lineRule="exact"/>
        <w:rPr>
          <w:rFonts w:hint="eastAsia" w:ascii="仿宋_GB2312" w:hAnsi="仿宋_GB2312" w:eastAsia="仿宋_GB2312" w:cs="仿宋_GB2312"/>
          <w:sz w:val="32"/>
          <w:szCs w:val="32"/>
        </w:rPr>
      </w:pPr>
    </w:p>
    <w:p>
      <w:pPr>
        <w:spacing w:line="600" w:lineRule="exac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7DC8"/>
    <w:rsid w:val="000137F5"/>
    <w:rsid w:val="000345D7"/>
    <w:rsid w:val="00044770"/>
    <w:rsid w:val="000615D8"/>
    <w:rsid w:val="000743DB"/>
    <w:rsid w:val="00140ED4"/>
    <w:rsid w:val="001B0378"/>
    <w:rsid w:val="001D0B98"/>
    <w:rsid w:val="001D2F4F"/>
    <w:rsid w:val="0020614A"/>
    <w:rsid w:val="00236DEB"/>
    <w:rsid w:val="00290004"/>
    <w:rsid w:val="002B78D8"/>
    <w:rsid w:val="002D4137"/>
    <w:rsid w:val="0033692D"/>
    <w:rsid w:val="00353702"/>
    <w:rsid w:val="0037070B"/>
    <w:rsid w:val="00383F20"/>
    <w:rsid w:val="00394927"/>
    <w:rsid w:val="003E7775"/>
    <w:rsid w:val="004F35FB"/>
    <w:rsid w:val="004F71F7"/>
    <w:rsid w:val="00501E17"/>
    <w:rsid w:val="0052037B"/>
    <w:rsid w:val="00556510"/>
    <w:rsid w:val="005D6111"/>
    <w:rsid w:val="005D7CDF"/>
    <w:rsid w:val="005F0C62"/>
    <w:rsid w:val="00617DC8"/>
    <w:rsid w:val="006D1181"/>
    <w:rsid w:val="00710BCC"/>
    <w:rsid w:val="00742EC7"/>
    <w:rsid w:val="0085712C"/>
    <w:rsid w:val="008F6A8D"/>
    <w:rsid w:val="009F5E2C"/>
    <w:rsid w:val="009F6021"/>
    <w:rsid w:val="009F7172"/>
    <w:rsid w:val="00A31788"/>
    <w:rsid w:val="00A53CC3"/>
    <w:rsid w:val="00A572F5"/>
    <w:rsid w:val="00AD73A0"/>
    <w:rsid w:val="00B24FF6"/>
    <w:rsid w:val="00B30634"/>
    <w:rsid w:val="00B31590"/>
    <w:rsid w:val="00B66740"/>
    <w:rsid w:val="00BE0F9C"/>
    <w:rsid w:val="00C3285A"/>
    <w:rsid w:val="00DF2B98"/>
    <w:rsid w:val="00E31B27"/>
    <w:rsid w:val="00F26F90"/>
    <w:rsid w:val="4FBC3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2012dnd.com</Company>
  <Pages>13</Pages>
  <Words>987</Words>
  <Characters>5627</Characters>
  <Lines>46</Lines>
  <Paragraphs>13</Paragraphs>
  <TotalTime>0</TotalTime>
  <ScaleCrop>false</ScaleCrop>
  <LinksUpToDate>false</LinksUpToDate>
  <CharactersWithSpaces>6601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2022-09-29T00:33:00Z</dcterms:created>
  <dc:creator>Administrator</dc:creator>
  <cp:lastModifiedBy>Administrator</cp:lastModifiedBy>
  <dcterms:modified xsi:type="dcterms:W3CDTF">2023-09-22T08:38:37Z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