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D5927">
      <w:pPr>
        <w:jc w:val="center"/>
        <w:rPr>
          <w:rFonts w:hint="eastAsia"/>
          <w:b/>
          <w:sz w:val="28"/>
          <w:szCs w:val="28"/>
        </w:rPr>
      </w:pPr>
    </w:p>
    <w:p w14:paraId="186B9D6E">
      <w:pPr>
        <w:jc w:val="center"/>
        <w:rPr>
          <w:rFonts w:hint="eastAsia"/>
          <w:b/>
          <w:sz w:val="28"/>
          <w:szCs w:val="28"/>
        </w:rPr>
      </w:pPr>
    </w:p>
    <w:p w14:paraId="49A36FB6">
      <w:pPr>
        <w:jc w:val="center"/>
        <w:rPr>
          <w:rFonts w:hint="eastAsia"/>
          <w:b/>
          <w:sz w:val="28"/>
          <w:szCs w:val="28"/>
        </w:rPr>
      </w:pPr>
      <w:bookmarkStart w:id="0" w:name="_GoBack"/>
      <w:bookmarkEnd w:id="0"/>
    </w:p>
    <w:p w14:paraId="6810DBE6">
      <w:pPr>
        <w:jc w:val="center"/>
        <w:rPr>
          <w:rFonts w:hint="eastAsia"/>
          <w:b/>
          <w:sz w:val="28"/>
          <w:szCs w:val="28"/>
        </w:rPr>
      </w:pPr>
    </w:p>
    <w:p w14:paraId="660DFE44">
      <w:pPr>
        <w:jc w:val="both"/>
        <w:rPr>
          <w:rFonts w:hint="eastAsia"/>
          <w:b/>
          <w:sz w:val="28"/>
          <w:szCs w:val="28"/>
        </w:rPr>
      </w:pPr>
    </w:p>
    <w:p w14:paraId="750105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rPr>
      </w:pPr>
    </w:p>
    <w:p w14:paraId="788900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馆农字</w:t>
      </w:r>
      <w:r>
        <w:rPr>
          <w:rFonts w:hint="default" w:ascii="Times New Roman" w:hAnsi="Times New Roman" w:eastAsia="仿宋_GB2312" w:cs="Times New Roman"/>
          <w:b w:val="0"/>
          <w:bCs w:val="0"/>
          <w:sz w:val="32"/>
          <w:szCs w:val="36"/>
          <w:lang w:eastAsia="zh-CN"/>
        </w:rPr>
        <w:t>〔</w:t>
      </w:r>
      <w:r>
        <w:rPr>
          <w:rFonts w:hint="default" w:ascii="Times New Roman" w:hAnsi="Times New Roman" w:eastAsia="仿宋_GB2312" w:cs="Times New Roman"/>
          <w:b w:val="0"/>
          <w:bCs w:val="0"/>
          <w:sz w:val="32"/>
          <w:szCs w:val="36"/>
          <w:lang w:val="en-US" w:eastAsia="zh-CN"/>
        </w:rPr>
        <w:t>2026</w:t>
      </w:r>
      <w:r>
        <w:rPr>
          <w:rFonts w:hint="default" w:ascii="Times New Roman" w:hAnsi="Times New Roman" w:eastAsia="仿宋_GB2312" w:cs="Times New Roman"/>
          <w:b w:val="0"/>
          <w:bCs w:val="0"/>
          <w:sz w:val="32"/>
          <w:szCs w:val="36"/>
          <w:lang w:eastAsia="zh-CN"/>
        </w:rPr>
        <w:t>〕</w:t>
      </w:r>
      <w:r>
        <w:rPr>
          <w:rFonts w:hint="default" w:ascii="Times New Roman" w:hAnsi="Times New Roman" w:eastAsia="仿宋_GB2312" w:cs="Times New Roman"/>
          <w:b w:val="0"/>
          <w:bCs w:val="0"/>
          <w:sz w:val="32"/>
          <w:szCs w:val="36"/>
          <w:lang w:val="en-US" w:eastAsia="zh-CN"/>
        </w:rPr>
        <w:t>7</w:t>
      </w:r>
      <w:r>
        <w:rPr>
          <w:rFonts w:hint="default" w:ascii="Times New Roman" w:hAnsi="Times New Roman" w:eastAsia="仿宋_GB2312" w:cs="Times New Roman"/>
          <w:sz w:val="32"/>
          <w:szCs w:val="32"/>
        </w:rPr>
        <w:t>号</w:t>
      </w:r>
    </w:p>
    <w:p w14:paraId="70CCCD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lang w:eastAsia="zh-CN"/>
        </w:rPr>
      </w:pPr>
    </w:p>
    <w:p w14:paraId="3E8B9652">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eastAsia" w:ascii="方正小标宋简体" w:hAnsi="方正小标宋简体" w:eastAsia="方正小标宋简体" w:cs="方正小标宋简体"/>
          <w:b/>
          <w:bCs/>
          <w:snapToGrid/>
          <w:color w:val="000000"/>
          <w:kern w:val="2"/>
          <w:sz w:val="44"/>
          <w:szCs w:val="44"/>
          <w:lang w:eastAsia="zh-CN"/>
        </w:rPr>
      </w:pPr>
      <w:r>
        <w:rPr>
          <w:rFonts w:hint="eastAsia" w:ascii="方正小标宋简体" w:hAnsi="方正小标宋简体" w:eastAsia="方正小标宋简体" w:cs="方正小标宋简体"/>
          <w:b/>
          <w:bCs/>
          <w:snapToGrid/>
          <w:color w:val="000000"/>
          <w:kern w:val="2"/>
          <w:sz w:val="44"/>
          <w:szCs w:val="44"/>
          <w:lang w:eastAsia="zh-CN"/>
        </w:rPr>
        <w:t>馆陶县</w:t>
      </w:r>
      <w:r>
        <w:rPr>
          <w:rFonts w:hint="default" w:ascii="Times New Roman" w:hAnsi="Times New Roman" w:eastAsia="方正小标宋简体" w:cs="Times New Roman"/>
          <w:b/>
          <w:bCs/>
          <w:snapToGrid/>
          <w:color w:val="000000"/>
          <w:kern w:val="2"/>
          <w:sz w:val="44"/>
          <w:szCs w:val="44"/>
          <w:lang w:eastAsia="zh-CN"/>
        </w:rPr>
        <w:t>2026</w:t>
      </w:r>
      <w:r>
        <w:rPr>
          <w:rFonts w:hint="eastAsia" w:ascii="方正小标宋简体" w:hAnsi="方正小标宋简体" w:eastAsia="方正小标宋简体" w:cs="方正小标宋简体"/>
          <w:b/>
          <w:bCs/>
          <w:snapToGrid/>
          <w:color w:val="000000"/>
          <w:kern w:val="2"/>
          <w:sz w:val="44"/>
          <w:szCs w:val="44"/>
          <w:lang w:eastAsia="zh-CN"/>
        </w:rPr>
        <w:t>年省级农机购置与应用</w:t>
      </w:r>
    </w:p>
    <w:p w14:paraId="0A74B99C">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eastAsia" w:ascii="方正小标宋简体" w:hAnsi="方正小标宋简体" w:eastAsia="方正小标宋简体" w:cs="方正小标宋简体"/>
          <w:b/>
          <w:bCs/>
          <w:snapToGrid/>
          <w:color w:val="000000"/>
          <w:kern w:val="2"/>
          <w:sz w:val="44"/>
          <w:szCs w:val="44"/>
          <w:lang w:eastAsia="zh-CN"/>
        </w:rPr>
      </w:pPr>
      <w:r>
        <w:rPr>
          <w:rFonts w:hint="eastAsia" w:ascii="方正小标宋简体" w:hAnsi="方正小标宋简体" w:eastAsia="方正小标宋简体" w:cs="方正小标宋简体"/>
          <w:b/>
          <w:bCs/>
          <w:snapToGrid/>
          <w:color w:val="000000"/>
          <w:kern w:val="2"/>
          <w:sz w:val="44"/>
          <w:szCs w:val="44"/>
          <w:lang w:eastAsia="zh-CN"/>
        </w:rPr>
        <w:t>补贴资金项目实施方案</w:t>
      </w:r>
    </w:p>
    <w:p w14:paraId="291A8D2C">
      <w:pPr>
        <w:keepNext w:val="0"/>
        <w:keepLines w:val="0"/>
        <w:pageBreakBefore w:val="0"/>
        <w:widowControl w:val="0"/>
        <w:kinsoku/>
        <w:wordWrap/>
        <w:overflowPunct/>
        <w:topLinePunct w:val="0"/>
        <w:autoSpaceDE/>
        <w:autoSpaceDN/>
        <w:bidi w:val="0"/>
        <w:adjustRightInd/>
        <w:snapToGrid/>
        <w:spacing w:line="600" w:lineRule="exact"/>
        <w:ind w:left="0" w:right="0" w:firstLine="0" w:firstLineChars="0"/>
        <w:jc w:val="center"/>
        <w:textAlignment w:val="auto"/>
        <w:rPr>
          <w:rFonts w:hint="eastAsia" w:ascii="方正小标宋简体" w:hAnsi="方正小标宋简体" w:eastAsia="方正小标宋简体" w:cs="方正小标宋简体"/>
          <w:b/>
          <w:bCs/>
          <w:snapToGrid/>
          <w:color w:val="000000"/>
          <w:kern w:val="2"/>
          <w:sz w:val="44"/>
          <w:szCs w:val="44"/>
          <w:lang w:eastAsia="zh-CN"/>
        </w:rPr>
      </w:pPr>
    </w:p>
    <w:p w14:paraId="39067C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为配合做好2026年中央农机购置与应用补贴政策落实工作，根据省农业农村厅《关于印发2026年中央和省级财政提前下达农业转移支付项目实施方案的通知》（冀农财发〔2026〕1号）和《河北省农业农村厅、河北省财政厅关于印发河北省2024-2026年农机购置与应用补贴实施方案的通知》有关要求，结合馆陶县实际，制定馆陶县2026年省级农机购置与应用补贴资金实施方案。</w:t>
      </w:r>
    </w:p>
    <w:p w14:paraId="0898F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eastAsia="zh-CN"/>
        </w:rPr>
      </w:pPr>
      <w:r>
        <w:rPr>
          <w:rFonts w:hint="eastAsia" w:ascii="黑体" w:hAnsi="黑体" w:eastAsia="黑体" w:cs="黑体"/>
          <w:b/>
          <w:bCs/>
          <w:snapToGrid/>
          <w:color w:val="000000"/>
          <w:kern w:val="2"/>
          <w:sz w:val="32"/>
          <w:szCs w:val="32"/>
          <w:lang w:eastAsia="zh-CN"/>
        </w:rPr>
        <w:t>一、项目概况</w:t>
      </w:r>
    </w:p>
    <w:p w14:paraId="250AD9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default" w:ascii="仿宋_GB2312" w:hAnsi="仿宋_GB2312" w:eastAsia="仿宋_GB2312" w:cs="仿宋_GB2312"/>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2026年下达我县省级农机购置与应用补贴资金162万元，</w:t>
      </w:r>
      <w:r>
        <w:rPr>
          <w:rFonts w:hint="eastAsia" w:ascii="仿宋_GB2312" w:hAnsi="仿宋_GB2312" w:eastAsia="仿宋_GB2312" w:cs="仿宋_GB2312"/>
          <w:snapToGrid/>
          <w:color w:val="000000"/>
          <w:kern w:val="2"/>
          <w:sz w:val="32"/>
          <w:szCs w:val="32"/>
          <w:lang w:val="en-US" w:eastAsia="zh-CN"/>
        </w:rPr>
        <w:t>主要用于支持购置与应用先进适用的农业机械方面补贴。以服务乡村振兴战略、满足广大农民对机械化生产的需要为目标，持续提升农机购置补贴政策精准化、规范化、便利化水平，引领推动农业机械化向全程全面高质高效转型升级，为推进农业农村现代化提供坚实支撑。</w:t>
      </w:r>
    </w:p>
    <w:p w14:paraId="3A9BA3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eastAsia="zh-CN"/>
        </w:rPr>
      </w:pPr>
      <w:r>
        <w:rPr>
          <w:rFonts w:hint="eastAsia" w:ascii="黑体" w:hAnsi="黑体" w:eastAsia="黑体" w:cs="黑体"/>
          <w:b/>
          <w:bCs/>
          <w:snapToGrid/>
          <w:color w:val="000000"/>
          <w:kern w:val="2"/>
          <w:sz w:val="32"/>
          <w:szCs w:val="32"/>
          <w:lang w:val="en-US" w:eastAsia="zh-CN"/>
        </w:rPr>
        <w:t>二、</w:t>
      </w:r>
      <w:r>
        <w:rPr>
          <w:rFonts w:hint="eastAsia" w:ascii="黑体" w:hAnsi="黑体" w:eastAsia="黑体" w:cs="黑体"/>
          <w:b/>
          <w:bCs/>
          <w:snapToGrid/>
          <w:color w:val="000000"/>
          <w:kern w:val="2"/>
          <w:sz w:val="32"/>
          <w:szCs w:val="32"/>
          <w:lang w:eastAsia="zh-CN"/>
        </w:rPr>
        <w:t>绩效任务目标</w:t>
      </w:r>
    </w:p>
    <w:p w14:paraId="1BFD8B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napToGrid/>
          <w:color w:val="000000"/>
          <w:kern w:val="2"/>
          <w:sz w:val="32"/>
          <w:szCs w:val="32"/>
          <w:lang w:val="en-US" w:eastAsia="zh-CN"/>
        </w:rPr>
        <w:t>落实省级补贴资金162万元，资金登记使用率达95%以上，补贴各类农机具149台（套）及以上，受益农户113户及以上。</w:t>
      </w:r>
    </w:p>
    <w:p w14:paraId="41B5F7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val="en-US" w:eastAsia="zh-CN"/>
        </w:rPr>
      </w:pPr>
      <w:r>
        <w:rPr>
          <w:rFonts w:hint="eastAsia" w:ascii="黑体" w:hAnsi="黑体" w:eastAsia="黑体" w:cs="黑体"/>
          <w:b/>
          <w:bCs/>
          <w:snapToGrid/>
          <w:color w:val="000000"/>
          <w:kern w:val="2"/>
          <w:sz w:val="32"/>
          <w:szCs w:val="32"/>
          <w:lang w:val="en-US" w:eastAsia="zh-CN"/>
        </w:rPr>
        <w:t>三、项目实施内容、资金支持方向和补贴对象及标准</w:t>
      </w:r>
    </w:p>
    <w:p w14:paraId="101B40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sz w:val="32"/>
          <w:szCs w:val="32"/>
          <w14:textFill>
            <w14:solidFill>
              <w14:schemeClr w14:val="tx1"/>
            </w14:solidFill>
          </w14:textFill>
        </w:rPr>
        <w:t>（一）项目实施内容。</w:t>
      </w:r>
      <w:r>
        <w:rPr>
          <w:rFonts w:hint="eastAsia" w:ascii="仿宋_GB2312" w:hAnsi="仿宋_GB2312" w:eastAsia="仿宋_GB2312" w:cs="仿宋_GB2312"/>
          <w:snapToGrid/>
          <w:color w:val="000000"/>
          <w:kern w:val="2"/>
          <w:sz w:val="32"/>
          <w:szCs w:val="32"/>
          <w:lang w:val="en-US" w:eastAsia="zh-CN"/>
        </w:rPr>
        <w:t>农机购置与应用补贴主要用于支持购置先进适用的农业机械，不得挤占、截留、挪用或用于其他支出。</w:t>
      </w:r>
    </w:p>
    <w:p w14:paraId="2044EB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sz w:val="32"/>
          <w:szCs w:val="32"/>
          <w14:textFill>
            <w14:solidFill>
              <w14:schemeClr w14:val="tx1"/>
            </w14:solidFill>
          </w14:textFill>
        </w:rPr>
        <w:t>（二）资金支持方向。</w:t>
      </w:r>
      <w:r>
        <w:rPr>
          <w:rFonts w:hint="default" w:ascii="Times New Roman" w:hAnsi="Times New Roman" w:eastAsia="仿宋_GB2312" w:cs="Times New Roman"/>
          <w:snapToGrid/>
          <w:color w:val="000000"/>
          <w:kern w:val="2"/>
          <w:sz w:val="32"/>
          <w:szCs w:val="32"/>
          <w:lang w:val="en-US" w:eastAsia="zh-CN"/>
        </w:rPr>
        <w:t>2026年农机购置与应用补贴政策实施工作，以保障粮食和重要农产品稳定安全供给为着力点，重点支持高性能播种机、大型智能高端联合收</w:t>
      </w:r>
      <w:r>
        <w:rPr>
          <w:rFonts w:hint="eastAsia" w:ascii="仿宋_GB2312" w:hAnsi="仿宋_GB2312" w:eastAsia="仿宋_GB2312" w:cs="仿宋_GB2312"/>
          <w:snapToGrid/>
          <w:color w:val="000000"/>
          <w:kern w:val="2"/>
          <w:sz w:val="32"/>
          <w:szCs w:val="32"/>
          <w:lang w:val="en-US" w:eastAsia="zh-CN"/>
        </w:rPr>
        <w:t>获机等有助于粮油等主要农作物大面积单产提升、机收减损、农业生产急需、农机装备补短板、农业其他发展领域急需，以及事关国家重大战略实施的农业机械的推广应用。着力推进补贴机具有进有出、优机优补，逐步降低区域内保有量明显过多、技术相对落后机具品目（档次）的补贴额，或退出补贴范围。</w:t>
      </w:r>
    </w:p>
    <w:p w14:paraId="35133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sz w:val="32"/>
          <w:szCs w:val="32"/>
          <w14:textFill>
            <w14:solidFill>
              <w14:schemeClr w14:val="tx1"/>
            </w14:solidFill>
          </w14:textFill>
        </w:rPr>
        <w:t>（三）补贴对象及标准。</w:t>
      </w:r>
      <w:r>
        <w:rPr>
          <w:rFonts w:hint="eastAsia" w:ascii="仿宋_GB2312" w:hAnsi="宋体" w:eastAsia="仿宋_GB2312" w:cs="仿宋_GB2312"/>
          <w:b/>
          <w:bCs/>
          <w:color w:val="000000" w:themeColor="text1"/>
          <w:sz w:val="32"/>
          <w:szCs w:val="32"/>
          <w14:textFill>
            <w14:solidFill>
              <w14:schemeClr w14:val="tx1"/>
            </w14:solidFill>
          </w14:textFill>
        </w:rPr>
        <w:t>一是补贴对象。</w:t>
      </w:r>
      <w:r>
        <w:rPr>
          <w:rFonts w:hint="eastAsia" w:ascii="仿宋_GB2312" w:hAnsi="仿宋_GB2312" w:eastAsia="仿宋_GB2312" w:cs="仿宋_GB2312"/>
          <w:snapToGrid/>
          <w:color w:val="000000"/>
          <w:kern w:val="2"/>
          <w:sz w:val="32"/>
          <w:szCs w:val="32"/>
          <w:lang w:val="en-US" w:eastAsia="zh-CN"/>
        </w:rPr>
        <w:t>补贴对象为从事农业生产的农民和农业生产经营组织，其中农业生产经营组织包括农村集体经济组织、农民专业合作经济组织、农业企业和其他从事农业生产经营的组织。</w:t>
      </w:r>
      <w:r>
        <w:rPr>
          <w:rFonts w:hint="eastAsia" w:ascii="仿宋_GB2312" w:hAnsi="宋体" w:eastAsia="仿宋_GB2312" w:cs="仿宋_GB2312"/>
          <w:b/>
          <w:bCs/>
          <w:color w:val="000000" w:themeColor="text1"/>
          <w:sz w:val="32"/>
          <w:szCs w:val="32"/>
          <w14:textFill>
            <w14:solidFill>
              <w14:schemeClr w14:val="tx1"/>
            </w14:solidFill>
          </w14:textFill>
        </w:rPr>
        <w:t>二是补贴标准。</w:t>
      </w:r>
      <w:r>
        <w:rPr>
          <w:rFonts w:hint="default" w:ascii="Times New Roman" w:hAnsi="Times New Roman" w:eastAsia="仿宋_GB2312" w:cs="Times New Roman"/>
          <w:snapToGrid/>
          <w:color w:val="000000"/>
          <w:kern w:val="2"/>
          <w:sz w:val="32"/>
          <w:szCs w:val="32"/>
          <w:lang w:val="en-US" w:eastAsia="zh-CN"/>
        </w:rPr>
        <w:t>农机购置与应用补贴实行定额补贴，即同一种类、同一档次农业机械在本省实行统一的补贴标准。常规补贴机具按照不超过同类同档产品上年市场销售均价的30%测算确定本省补贴范围内农业机械的补贴额，其中通用类机械不超过农业农村部、财政部发布的最高补贴额。</w:t>
      </w:r>
    </w:p>
    <w:p w14:paraId="47C5C2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jc w:val="left"/>
        <w:textAlignment w:val="auto"/>
        <w:rPr>
          <w:rFonts w:hint="default" w:ascii="黑体" w:hAnsi="黑体" w:eastAsia="黑体" w:cs="黑体"/>
          <w:b/>
          <w:bCs/>
          <w:snapToGrid/>
          <w:color w:val="000000"/>
          <w:kern w:val="2"/>
          <w:sz w:val="32"/>
          <w:szCs w:val="32"/>
          <w:lang w:val="en-US" w:eastAsia="zh-CN"/>
        </w:rPr>
      </w:pPr>
      <w:r>
        <w:rPr>
          <w:rFonts w:hint="eastAsia" w:ascii="黑体" w:hAnsi="黑体" w:eastAsia="黑体" w:cs="黑体"/>
          <w:b/>
          <w:bCs/>
          <w:snapToGrid/>
          <w:color w:val="000000"/>
          <w:kern w:val="2"/>
          <w:sz w:val="32"/>
          <w:szCs w:val="32"/>
          <w:lang w:val="en-US" w:eastAsia="zh-CN"/>
        </w:rPr>
        <w:t>四、保障措施</w:t>
      </w:r>
    </w:p>
    <w:p w14:paraId="4B54D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（一）加强组织协调。</w:t>
      </w:r>
      <w:r>
        <w:rPr>
          <w:rFonts w:hint="eastAsia" w:ascii="仿宋_GB2312" w:hAnsi="仿宋_GB2312" w:eastAsia="仿宋_GB2312" w:cs="仿宋_GB2312"/>
          <w:snapToGrid/>
          <w:color w:val="000000"/>
          <w:kern w:val="2"/>
          <w:sz w:val="32"/>
          <w:szCs w:val="32"/>
          <w:lang w:val="en-US" w:eastAsia="zh-CN"/>
        </w:rPr>
        <w:t>加强组织协调，密切沟通配合，健全完善风险防控制度和内部控制规程，明确职责分工，形成工作合力。县农业农村局组织实施、审核监管，重大事项须提交县政府并组织农业农村局、财政局等部门集体研究决定。</w:t>
      </w:r>
    </w:p>
    <w:p w14:paraId="5845B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（二）提升办理效能。</w:t>
      </w:r>
      <w:r>
        <w:rPr>
          <w:rFonts w:hint="eastAsia" w:ascii="仿宋_GB2312" w:hAnsi="仿宋_GB2312" w:eastAsia="仿宋_GB2312" w:cs="仿宋_GB2312"/>
          <w:snapToGrid/>
          <w:color w:val="000000"/>
          <w:kern w:val="2"/>
          <w:sz w:val="32"/>
          <w:szCs w:val="32"/>
          <w:lang w:val="en-US" w:eastAsia="zh-CN"/>
        </w:rPr>
        <w:t>依托办理服务系统动态切实加快补贴申请受理、资料审核、机具核验、资金兑付等工作。</w:t>
      </w:r>
    </w:p>
    <w:p w14:paraId="43DBF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（三）推进信息公开。</w:t>
      </w:r>
      <w:r>
        <w:rPr>
          <w:rFonts w:hint="eastAsia" w:ascii="仿宋_GB2312" w:hAnsi="仿宋_GB2312" w:eastAsia="仿宋_GB2312" w:cs="仿宋_GB2312"/>
          <w:snapToGrid/>
          <w:color w:val="000000"/>
          <w:kern w:val="2"/>
          <w:sz w:val="32"/>
          <w:szCs w:val="32"/>
          <w:lang w:val="en-US" w:eastAsia="zh-CN"/>
        </w:rPr>
        <w:t>加大补贴政策宣传力度，综合运用各类媒体和多种宣传方式，通过补贴政策信息上门、指导服务上门等形式，全方位开展宣传解读，着力提升政策知晓度和实施透明度。完善农机购置与应用补贴信息公开专栏，按年度公告近三年县域内补贴受益信息、公开违规查处结果等信息，主动接受社会监督。</w:t>
      </w:r>
    </w:p>
    <w:p w14:paraId="279FDE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snapToGrid/>
          <w:color w:val="000000"/>
          <w:kern w:val="2"/>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（四）加强违规监管。</w:t>
      </w:r>
      <w:r>
        <w:rPr>
          <w:rFonts w:hint="default" w:ascii="Times New Roman" w:hAnsi="Times New Roman" w:eastAsia="仿宋_GB2312" w:cs="Times New Roman"/>
          <w:snapToGrid/>
          <w:color w:val="000000"/>
          <w:kern w:val="2"/>
          <w:sz w:val="32"/>
          <w:szCs w:val="32"/>
          <w:lang w:val="en-US" w:eastAsia="zh-CN"/>
        </w:rPr>
        <w:t>认真执行《河北省农业农村厅、河北省财政厅关于进一步强化纪律约束做好农机购置补贴政策监管和实施工作的通知》（冀农办发〔2019〕259号）、《河北省农业农村厅、河北省财政厅关于印发〈河北省农机购置补贴产品违规经营行为处理细则（试行）〉的通知》（冀农业规〔2018〕5号），严格落实属地管理责任，加强风险防控和异常情形主动报告，更加严格实施信用管理和农机产销企业承诺制。</w:t>
      </w:r>
    </w:p>
    <w:p w14:paraId="1B689E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宋体" w:eastAsia="仿宋_GB2312" w:cs="仿宋_GB2312"/>
          <w:b w:val="0"/>
          <w:bCs w:val="0"/>
          <w:color w:val="000000" w:themeColor="text1"/>
          <w:sz w:val="32"/>
          <w:szCs w:val="32"/>
          <w14:textFill>
            <w14:solidFill>
              <w14:schemeClr w14:val="tx1"/>
            </w14:solidFill>
          </w14:textFill>
        </w:rPr>
      </w:pPr>
    </w:p>
    <w:p w14:paraId="175B7E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宋体" w:eastAsia="仿宋_GB2312" w:cs="仿宋_GB2312"/>
          <w:b w:val="0"/>
          <w:bCs w:val="0"/>
          <w:color w:val="000000" w:themeColor="text1"/>
          <w:sz w:val="32"/>
          <w:szCs w:val="32"/>
          <w14:textFill>
            <w14:solidFill>
              <w14:schemeClr w14:val="tx1"/>
            </w14:solidFill>
          </w14:textFill>
        </w:rPr>
      </w:pPr>
    </w:p>
    <w:p w14:paraId="207FDA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宋体" w:eastAsia="仿宋_GB2312" w:cs="仿宋_GB2312"/>
          <w:b w:val="0"/>
          <w:bCs w:val="0"/>
          <w:color w:val="000000" w:themeColor="text1"/>
          <w:sz w:val="32"/>
          <w:szCs w:val="32"/>
          <w14:textFill>
            <w14:solidFill>
              <w14:schemeClr w14:val="tx1"/>
            </w14:solidFill>
          </w14:textFill>
        </w:rPr>
      </w:pPr>
    </w:p>
    <w:p w14:paraId="604D58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馆陶县农业农村局    </w:t>
      </w:r>
    </w:p>
    <w:p w14:paraId="2255F2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440" w:firstLineChars="1700"/>
        <w:textAlignment w:val="auto"/>
        <w:rPr>
          <w:color w:val="000000" w:themeColor="text1"/>
          <w14:textFill>
            <w14:solidFill>
              <w14:schemeClr w14:val="tx1"/>
            </w14:solidFill>
          </w14:textFill>
        </w:rPr>
      </w:pPr>
      <w:r>
        <w:rPr>
          <w:rFonts w:hint="default" w:ascii="Times New Roman" w:hAnsi="Times New Roman" w:eastAsia="仿宋_GB2312" w:cs="Times New Roman"/>
          <w:snapToGrid/>
          <w:color w:val="000000"/>
          <w:kern w:val="2"/>
          <w:sz w:val="32"/>
          <w:szCs w:val="32"/>
          <w:lang w:val="en-US" w:eastAsia="zh-CN"/>
        </w:rPr>
        <w:t xml:space="preserve">2026年4月29日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仿宋_GB2312"/>
          <w:b w:val="0"/>
          <w:bCs w:val="0"/>
          <w:color w:val="000000" w:themeColor="text1"/>
          <w:sz w:val="32"/>
          <w:szCs w:val="32"/>
          <w:lang w:val="en-US" w:eastAsia="zh-CN"/>
          <w14:textFill>
            <w14:solidFill>
              <w14:schemeClr w14:val="tx1"/>
            </w14:solidFill>
          </w14:textFill>
        </w:rPr>
        <w:t xml:space="preserve">  </w:t>
      </w:r>
    </w:p>
    <w:sectPr>
      <w:pgSz w:w="11906" w:h="16838"/>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9BB21B-E668-4EA2-BF2B-D60175D195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3180BC-CF32-4CF0-807D-54391ADC7522}"/>
  </w:font>
  <w:font w:name="方正小标宋简体">
    <w:panose1 w:val="02000000000000000000"/>
    <w:charset w:val="86"/>
    <w:family w:val="auto"/>
    <w:pitch w:val="default"/>
    <w:sig w:usb0="00000001" w:usb1="080E0000" w:usb2="00000000" w:usb3="00000000" w:csb0="00040000" w:csb1="00000000"/>
    <w:embedRegular r:id="rId3" w:fontKey="{0BD6679D-430D-471D-A5F7-E972D1507876}"/>
  </w:font>
  <w:font w:name="仿宋_GB2312">
    <w:panose1 w:val="02010609030101010101"/>
    <w:charset w:val="86"/>
    <w:family w:val="auto"/>
    <w:pitch w:val="default"/>
    <w:sig w:usb0="00000001" w:usb1="080E0000" w:usb2="00000000" w:usb3="00000000" w:csb0="00040000" w:csb1="00000000"/>
    <w:embedRegular r:id="rId4" w:fontKey="{C8AB70D8-5312-43C1-901A-2242DB34CA17}"/>
  </w:font>
  <w:font w:name="楷体_GB2312">
    <w:panose1 w:val="02010609030101010101"/>
    <w:charset w:val="86"/>
    <w:family w:val="auto"/>
    <w:pitch w:val="default"/>
    <w:sig w:usb0="00000001" w:usb1="080E0000" w:usb2="00000000" w:usb3="00000000" w:csb0="00040000" w:csb1="00000000"/>
    <w:embedRegular r:id="rId5" w:fontKey="{2A4D9008-1C4A-48D2-BC44-DEF9B41C537C}"/>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656F0"/>
    <w:rsid w:val="14537701"/>
    <w:rsid w:val="25611A2C"/>
    <w:rsid w:val="34AA4ADB"/>
    <w:rsid w:val="3D7D7AB7"/>
    <w:rsid w:val="3F456695"/>
    <w:rsid w:val="62EA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1391</Words>
  <Characters>1444</Characters>
  <Lines>0</Lines>
  <Paragraphs>0</Paragraphs>
  <TotalTime>2</TotalTime>
  <ScaleCrop>false</ScaleCrop>
  <LinksUpToDate>false</LinksUpToDate>
  <CharactersWithSpaces>1452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2026-02-26T05:44:00Z</dcterms:created>
  <dc:creator>Administrator</dc:creator>
  <cp:lastModifiedBy>马丽荣</cp:lastModifiedBy>
  <dcterms:modified xsi:type="dcterms:W3CDTF">2026-04-30T07:24:57Z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eyJoZGlkIjoiN2FkOWRhMmViYmZkNzJkMmFlNzA1ZDE1ODQwZmYyOWEiLCJ1c2VySWQiOiIxNjc2MDcyMTQ3In0=</vt:lpwstr>
  </property>
  <property fmtid="{D5CDD505-2E9C-101B-9397-08002B2CF9AE}" pid="4" name="ICV">
    <vt:lpwstr>589043081EC9474389BF371EC65F9350_13</vt:lpwstr>
  </property>
</Properties>
</file>