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line="578" w:lineRule="atLeast"/>
      </w:pPr>
      <w:bookmarkStart w:id="12" w:name="_GoBack"/>
      <w:bookmarkEnd w:id="12"/>
    </w:p>
    <w:p>
      <w:pPr>
        <w:pBdr>
          <w:top w:val="none" w:color="auto" w:sz="0" w:space="1"/>
          <w:bottom w:val="none" w:color="auto" w:sz="0" w:space="1"/>
          <w:right w:val="none" w:color="auto" w:sz="0" w:space="4"/>
        </w:pBdr>
        <w:spacing w:after="0" w:line="578" w:lineRule="atLeast"/>
        <w:jc w:val="center"/>
        <w:rPr>
          <w:rFonts w:ascii="仿宋_GB2312" w:hAnsi="仿宋_GB2312" w:eastAsia="仿宋_GB2312" w:cs="仿宋_GB2312"/>
          <w:sz w:val="44"/>
          <w:szCs w:val="44"/>
        </w:rPr>
      </w:pPr>
      <w:r>
        <w:rPr>
          <w:rFonts w:hint="eastAsia" w:ascii="方正小标宋简体" w:hAnsi="方正小标宋简体" w:eastAsia="方正小标宋简体" w:cs="方正小标宋简体"/>
          <w:sz w:val="44"/>
          <w:szCs w:val="44"/>
        </w:rPr>
        <w:t>馆陶县2023年中央</w:t>
      </w:r>
      <w:r>
        <w:rPr>
          <w:rFonts w:hint="eastAsia" w:ascii="方正小标宋简体" w:hAnsi="方正小标宋简体" w:eastAsia="方正小标宋简体" w:cs="方正小标宋简体"/>
          <w:sz w:val="44"/>
          <w:szCs w:val="44"/>
          <w:lang w:eastAsia="zh-CN"/>
        </w:rPr>
        <w:t>第二批</w:t>
      </w:r>
      <w:r>
        <w:rPr>
          <w:rFonts w:hint="eastAsia" w:ascii="方正小标宋简体" w:hAnsi="方正小标宋简体" w:eastAsia="方正小标宋简体" w:cs="方正小标宋简体"/>
          <w:sz w:val="44"/>
          <w:szCs w:val="44"/>
        </w:rPr>
        <w:t>农机购置与应用补贴项目实施方案</w:t>
      </w:r>
    </w:p>
    <w:p>
      <w:pPr>
        <w:pStyle w:val="5"/>
        <w:adjustRightInd w:val="0"/>
        <w:snapToGrid w:val="0"/>
        <w:spacing w:line="578" w:lineRule="exact"/>
        <w:ind w:firstLine="657"/>
        <w:jc w:val="both"/>
        <w:rPr>
          <w:rFonts w:hint="eastAsia" w:ascii="黑体" w:hAnsi="黑体" w:eastAsia="黑体"/>
          <w:b/>
        </w:rPr>
      </w:pPr>
    </w:p>
    <w:p>
      <w:pPr>
        <w:keepNext w:val="0"/>
        <w:keepLines w:val="0"/>
        <w:pageBreakBefore w:val="0"/>
        <w:widowControl w:val="0"/>
        <w:kinsoku/>
        <w:wordWrap/>
        <w:overflowPunct/>
        <w:topLinePunct w:val="0"/>
        <w:autoSpaceDE/>
        <w:bidi w:val="0"/>
        <w:adjustRightInd/>
        <w:snapToGrid/>
        <w:spacing w:line="540" w:lineRule="exact"/>
        <w:ind w:left="0" w:leftChars="0" w:right="0" w:rightChars="0" w:firstLine="640" w:firstLineChars="200"/>
        <w:jc w:val="both"/>
        <w:textAlignment w:val="auto"/>
        <w:rPr>
          <w:rFonts w:hint="eastAsia" w:ascii="仿宋_GB2312" w:hAnsi="仿宋_GB2312" w:eastAsia="仿宋_GB2312"/>
          <w:sz w:val="32"/>
          <w:u w:val="none" w:color="auto"/>
          <w:lang w:val="en-US" w:eastAsia="zh-CN"/>
        </w:rPr>
      </w:pPr>
      <w:r>
        <w:rPr>
          <w:rFonts w:hint="eastAsia" w:ascii="仿宋_GB2312" w:hAnsi="仿宋_GB2312" w:eastAsia="仿宋_GB2312"/>
          <w:sz w:val="32"/>
          <w:u w:val="none" w:color="auto"/>
          <w:lang w:val="en-US" w:eastAsia="zh-CN"/>
        </w:rPr>
        <w:t>为做好中央第二批农机购置与应用补贴政策落实工作，按照有关要求，特制定如下实施方案：</w:t>
      </w:r>
    </w:p>
    <w:p>
      <w:pPr>
        <w:pStyle w:val="5"/>
        <w:adjustRightInd w:val="0"/>
        <w:snapToGrid w:val="0"/>
        <w:spacing w:line="578" w:lineRule="exact"/>
        <w:ind w:firstLine="643" w:firstLineChars="200"/>
        <w:jc w:val="both"/>
        <w:rPr>
          <w:rFonts w:ascii="黑体" w:hAnsi="黑体" w:eastAsia="黑体"/>
          <w:b/>
        </w:rPr>
      </w:pPr>
      <w:r>
        <w:rPr>
          <w:rFonts w:hint="eastAsia" w:ascii="黑体" w:hAnsi="黑体" w:eastAsia="黑体"/>
          <w:b/>
        </w:rPr>
        <w:t>一、项目概况</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rPr>
          <w:rFonts w:hint="eastAsia"/>
        </w:rPr>
      </w:pPr>
      <w:r>
        <w:rPr>
          <w:rFonts w:hint="eastAsia" w:ascii="仿宋_GB2312" w:hAnsi="仿宋_GB2312" w:eastAsia="仿宋_GB2312"/>
          <w:sz w:val="32"/>
          <w:szCs w:val="32"/>
        </w:rPr>
        <w:t>20</w:t>
      </w:r>
      <w:r>
        <w:rPr>
          <w:rFonts w:hint="eastAsia" w:ascii="仿宋_GB2312" w:hAnsi="仿宋_GB2312" w:eastAsia="仿宋_GB2312"/>
          <w:sz w:val="32"/>
          <w:szCs w:val="32"/>
          <w:lang w:val="en-US" w:eastAsia="zh-CN"/>
        </w:rPr>
        <w:t>23</w:t>
      </w:r>
      <w:r>
        <w:rPr>
          <w:rFonts w:hint="eastAsia" w:ascii="仿宋_GB2312" w:hAnsi="仿宋_GB2312" w:eastAsia="仿宋_GB2312"/>
          <w:sz w:val="32"/>
          <w:szCs w:val="32"/>
        </w:rPr>
        <w:t>年安排我省中央农机购置</w:t>
      </w:r>
      <w:r>
        <w:rPr>
          <w:rFonts w:hint="eastAsia" w:ascii="仿宋_GB2312" w:hAnsi="仿宋_GB2312" w:eastAsia="仿宋_GB2312"/>
          <w:sz w:val="32"/>
          <w:szCs w:val="32"/>
          <w:lang w:eastAsia="zh-CN"/>
        </w:rPr>
        <w:t>与应用</w:t>
      </w:r>
      <w:r>
        <w:rPr>
          <w:rFonts w:hint="eastAsia" w:ascii="仿宋_GB2312" w:hAnsi="仿宋_GB2312" w:eastAsia="仿宋_GB2312"/>
          <w:sz w:val="32"/>
          <w:szCs w:val="32"/>
        </w:rPr>
        <w:t>补贴资金</w:t>
      </w:r>
      <w:r>
        <w:rPr>
          <w:rFonts w:hint="eastAsia" w:ascii="仿宋_GB2312" w:hAnsi="仿宋_GB2312" w:eastAsia="仿宋_GB2312"/>
          <w:sz w:val="32"/>
          <w:szCs w:val="32"/>
          <w:lang w:eastAsia="zh-CN"/>
        </w:rPr>
        <w:t>（第二批）</w:t>
      </w:r>
      <w:r>
        <w:rPr>
          <w:rFonts w:hint="eastAsia" w:ascii="仿宋_GB2312" w:hAnsi="仿宋_GB2312" w:eastAsia="仿宋_GB2312"/>
          <w:sz w:val="32"/>
          <w:szCs w:val="32"/>
          <w:lang w:val="en-US" w:eastAsia="zh-CN"/>
        </w:rPr>
        <w:t>433</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w:t>
      </w:r>
      <w:r>
        <w:rPr>
          <w:rFonts w:hint="eastAsia" w:ascii="仿宋_GB2312" w:eastAsia="仿宋_GB2312"/>
          <w:sz w:val="32"/>
          <w:szCs w:val="32"/>
        </w:rPr>
        <w:t>主要</w:t>
      </w:r>
      <w:r>
        <w:rPr>
          <w:rFonts w:hint="eastAsia" w:ascii="仿宋_GB2312" w:eastAsia="仿宋_GB2312"/>
          <w:sz w:val="32"/>
          <w:szCs w:val="32"/>
          <w:lang w:eastAsia="zh-CN"/>
        </w:rPr>
        <w:t>用于支持购置与应用先进适用</w:t>
      </w:r>
      <w:r>
        <w:rPr>
          <w:rFonts w:hint="eastAsia" w:ascii="仿宋_GB2312" w:eastAsia="仿宋_GB2312"/>
          <w:sz w:val="32"/>
          <w:szCs w:val="32"/>
        </w:rPr>
        <w:t>的农业机械</w:t>
      </w:r>
      <w:r>
        <w:rPr>
          <w:rFonts w:hint="eastAsia" w:ascii="仿宋_GB2312" w:eastAsia="仿宋_GB2312"/>
          <w:sz w:val="32"/>
          <w:szCs w:val="32"/>
          <w:lang w:eastAsia="zh-CN"/>
        </w:rPr>
        <w:t>以及开展农</w:t>
      </w:r>
      <w:r>
        <w:rPr>
          <w:rFonts w:hint="eastAsia" w:ascii="仿宋_GB2312" w:eastAsia="仿宋_GB2312"/>
          <w:sz w:val="32"/>
          <w:szCs w:val="32"/>
        </w:rPr>
        <w:t>机</w:t>
      </w:r>
      <w:r>
        <w:rPr>
          <w:rFonts w:hint="eastAsia" w:ascii="仿宋_GB2312" w:eastAsia="仿宋_GB2312"/>
          <w:sz w:val="32"/>
          <w:szCs w:val="32"/>
          <w:lang w:eastAsia="zh-CN"/>
        </w:rPr>
        <w:t>报废更新及有关创新试点等方面补贴。</w:t>
      </w:r>
      <w:r>
        <w:rPr>
          <w:rFonts w:hint="eastAsia" w:ascii="仿宋_GB2312" w:hAnsi="仿宋_GB2312" w:eastAsia="仿宋_GB2312"/>
          <w:sz w:val="32"/>
          <w:szCs w:val="32"/>
          <w:lang w:eastAsia="zh-CN"/>
        </w:rPr>
        <w:t>以服务乡村振兴战略、满足广大农民对机械化生产的需要为目标，持续提升农机购置补贴政策精准化、规范化、便利化水平，引领推动农业机械化向全程全面高质高效转型升级，为推进农业农村现代化提供坚实支撑。</w:t>
      </w:r>
    </w:p>
    <w:p>
      <w:pPr>
        <w:keepNext w:val="0"/>
        <w:keepLines w:val="0"/>
        <w:pageBreakBefore w:val="0"/>
        <w:widowControl w:val="0"/>
        <w:numPr>
          <w:ilvl w:val="0"/>
          <w:numId w:val="0"/>
        </w:numPr>
        <w:kinsoku/>
        <w:wordWrap/>
        <w:overflowPunct/>
        <w:topLinePunct w:val="0"/>
        <w:autoSpaceDE/>
        <w:bidi w:val="0"/>
        <w:adjustRightInd/>
        <w:snapToGrid/>
        <w:spacing w:line="540" w:lineRule="exact"/>
        <w:ind w:left="0" w:leftChars="0" w:right="0" w:rightChars="0" w:firstLine="640" w:firstLineChars="200"/>
        <w:jc w:val="both"/>
        <w:textAlignment w:val="auto"/>
        <w:outlineLvl w:val="0"/>
        <w:rPr>
          <w:rFonts w:hint="eastAsia" w:ascii="黑体" w:hAnsi="黑体" w:eastAsia="黑体"/>
          <w:sz w:val="32"/>
          <w:u w:val="none" w:color="auto"/>
          <w:lang w:val="en-US" w:eastAsia="zh-CN"/>
        </w:rPr>
      </w:pPr>
      <w:bookmarkStart w:id="0" w:name="_Toc6519"/>
      <w:bookmarkStart w:id="1" w:name="_Toc8975"/>
      <w:bookmarkStart w:id="2" w:name="_Toc633"/>
      <w:bookmarkStart w:id="3" w:name="_Toc14088"/>
      <w:r>
        <w:rPr>
          <w:rFonts w:hint="eastAsia" w:ascii="黑体" w:hAnsi="黑体" w:eastAsia="黑体"/>
          <w:kern w:val="2"/>
          <w:sz w:val="32"/>
          <w:szCs w:val="24"/>
          <w:lang w:val="en-US" w:eastAsia="zh-CN" w:bidi="ar-SA"/>
        </w:rPr>
        <w:t>二、</w:t>
      </w:r>
      <w:r>
        <w:rPr>
          <w:rFonts w:hint="eastAsia" w:ascii="黑体" w:hAnsi="黑体" w:eastAsia="黑体"/>
          <w:sz w:val="32"/>
          <w:u w:val="none" w:color="auto"/>
          <w:lang w:val="en-US" w:eastAsia="zh-CN"/>
        </w:rPr>
        <w:t>绩效任务目标</w:t>
      </w:r>
      <w:bookmarkEnd w:id="0"/>
      <w:bookmarkEnd w:id="1"/>
      <w:bookmarkEnd w:id="2"/>
      <w:bookmarkEnd w:id="3"/>
    </w:p>
    <w:p>
      <w:pPr>
        <w:keepNext w:val="0"/>
        <w:keepLines w:val="0"/>
        <w:pageBreakBefore w:val="0"/>
        <w:widowControl w:val="0"/>
        <w:numPr>
          <w:ilvl w:val="0"/>
          <w:numId w:val="0"/>
        </w:numPr>
        <w:kinsoku/>
        <w:wordWrap/>
        <w:overflowPunct/>
        <w:topLinePunct w:val="0"/>
        <w:autoSpaceDE/>
        <w:bidi w:val="0"/>
        <w:adjustRightInd/>
        <w:snapToGrid/>
        <w:spacing w:line="540" w:lineRule="exact"/>
        <w:ind w:right="0" w:rightChars="0" w:firstLine="640" w:firstLineChars="200"/>
        <w:jc w:val="both"/>
        <w:textAlignment w:val="auto"/>
        <w:rPr>
          <w:rFonts w:hint="eastAsia" w:ascii="黑体" w:hAnsi="黑体" w:eastAsia="黑体"/>
          <w:sz w:val="32"/>
          <w:u w:val="none" w:color="auto"/>
          <w:lang w:val="en-US" w:eastAsia="zh-CN"/>
        </w:rPr>
      </w:pPr>
      <w:r>
        <w:rPr>
          <w:rFonts w:hint="eastAsia" w:ascii="仿宋_GB2312" w:eastAsia="仿宋_GB2312"/>
          <w:sz w:val="32"/>
          <w:szCs w:val="32"/>
        </w:rPr>
        <w:t>落实补贴资金</w:t>
      </w:r>
      <w:r>
        <w:rPr>
          <w:rFonts w:hint="eastAsia" w:ascii="仿宋_GB2312" w:hAnsi="仿宋_GB2312" w:eastAsia="仿宋_GB2312"/>
          <w:sz w:val="32"/>
          <w:szCs w:val="32"/>
          <w:lang w:val="en-US" w:eastAsia="zh-CN"/>
        </w:rPr>
        <w:t>433</w:t>
      </w:r>
      <w:r>
        <w:rPr>
          <w:rFonts w:hint="eastAsia" w:ascii="仿宋_GB2312" w:eastAsia="仿宋_GB2312"/>
          <w:sz w:val="32"/>
          <w:szCs w:val="32"/>
        </w:rPr>
        <w:t>万元，资金登记使用率达95%以上，</w:t>
      </w:r>
      <w:r>
        <w:rPr>
          <w:rFonts w:hint="eastAsia" w:ascii="仿宋_GB2312" w:hAnsi="宋体" w:eastAsia="仿宋_GB2312"/>
          <w:sz w:val="32"/>
          <w:szCs w:val="32"/>
        </w:rPr>
        <w:t>补贴各类农机具</w:t>
      </w:r>
      <w:r>
        <w:rPr>
          <w:rFonts w:hint="eastAsia" w:ascii="仿宋_GB2312" w:hAnsi="宋体" w:eastAsia="仿宋_GB2312"/>
          <w:sz w:val="32"/>
          <w:szCs w:val="32"/>
          <w:lang w:val="en-US" w:eastAsia="zh-CN"/>
        </w:rPr>
        <w:t>208</w:t>
      </w:r>
      <w:r>
        <w:rPr>
          <w:rFonts w:hint="eastAsia" w:ascii="仿宋_GB2312" w:hAnsi="宋体" w:eastAsia="仿宋_GB2312"/>
          <w:sz w:val="32"/>
          <w:szCs w:val="32"/>
        </w:rPr>
        <w:t>台（套）以上，补贴报废更新机具</w:t>
      </w:r>
      <w:r>
        <w:rPr>
          <w:rFonts w:hint="eastAsia" w:ascii="仿宋_GB2312" w:hAnsi="宋体" w:eastAsia="仿宋_GB2312"/>
          <w:sz w:val="32"/>
          <w:szCs w:val="32"/>
          <w:lang w:val="en-US" w:eastAsia="zh-CN"/>
        </w:rPr>
        <w:t>5</w:t>
      </w:r>
      <w:r>
        <w:rPr>
          <w:rFonts w:hint="eastAsia" w:ascii="仿宋_GB2312" w:hAnsi="宋体" w:eastAsia="仿宋_GB2312"/>
          <w:sz w:val="32"/>
          <w:szCs w:val="32"/>
        </w:rPr>
        <w:t>台（套）以上</w:t>
      </w:r>
      <w:r>
        <w:rPr>
          <w:rFonts w:hint="eastAsia" w:ascii="仿宋_GB2312" w:hAnsi="宋体" w:eastAsia="仿宋_GB2312"/>
          <w:sz w:val="32"/>
          <w:szCs w:val="32"/>
          <w:lang w:eastAsia="zh-CN"/>
        </w:rPr>
        <w:t>，</w:t>
      </w:r>
      <w:r>
        <w:rPr>
          <w:rFonts w:hint="eastAsia" w:ascii="仿宋_GB2312" w:hAnsi="宋体" w:eastAsia="仿宋_GB2312"/>
          <w:sz w:val="32"/>
          <w:szCs w:val="32"/>
        </w:rPr>
        <w:t>受益农户</w:t>
      </w:r>
      <w:r>
        <w:rPr>
          <w:rFonts w:hint="eastAsia" w:ascii="仿宋_GB2312" w:hAnsi="宋体" w:eastAsia="仿宋_GB2312"/>
          <w:sz w:val="32"/>
          <w:szCs w:val="32"/>
          <w:lang w:val="en-US" w:eastAsia="zh-CN"/>
        </w:rPr>
        <w:t>163</w:t>
      </w:r>
      <w:r>
        <w:rPr>
          <w:rFonts w:hint="eastAsia" w:ascii="仿宋_GB2312" w:hAnsi="宋体" w:eastAsia="仿宋_GB2312"/>
          <w:sz w:val="32"/>
          <w:szCs w:val="32"/>
        </w:rPr>
        <w:t>户以上</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bidi w:val="0"/>
        <w:adjustRightInd/>
        <w:snapToGrid/>
        <w:spacing w:line="540" w:lineRule="exact"/>
        <w:ind w:right="0" w:rightChars="0" w:firstLine="640" w:firstLineChars="200"/>
        <w:jc w:val="both"/>
        <w:textAlignment w:val="auto"/>
        <w:outlineLvl w:val="0"/>
        <w:rPr>
          <w:rFonts w:hint="eastAsia" w:ascii="黑体" w:hAnsi="黑体" w:eastAsia="黑体"/>
          <w:sz w:val="32"/>
          <w:u w:val="none" w:color="auto"/>
          <w:lang w:val="en-US" w:eastAsia="zh-CN"/>
        </w:rPr>
      </w:pPr>
      <w:bookmarkStart w:id="4" w:name="_Toc10682"/>
      <w:bookmarkStart w:id="5" w:name="_Toc27951"/>
      <w:bookmarkStart w:id="6" w:name="_Toc2038"/>
      <w:bookmarkStart w:id="7" w:name="_Toc26352"/>
      <w:r>
        <w:rPr>
          <w:rFonts w:hint="eastAsia" w:ascii="黑体" w:hAnsi="黑体" w:eastAsia="黑体"/>
          <w:sz w:val="32"/>
          <w:u w:val="none" w:color="auto"/>
          <w:lang w:val="en-US" w:eastAsia="zh-CN"/>
        </w:rPr>
        <w:t>三、项目资金使用方向、支持环节和补助标准</w:t>
      </w:r>
      <w:bookmarkEnd w:id="4"/>
      <w:bookmarkEnd w:id="5"/>
      <w:bookmarkEnd w:id="6"/>
      <w:bookmarkEnd w:id="7"/>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rPr>
          <w:rFonts w:hint="eastAsia" w:ascii="仿宋_GB2312" w:eastAsia="仿宋_GB2312"/>
          <w:sz w:val="32"/>
          <w:szCs w:val="32"/>
          <w:lang w:val="en-US" w:eastAsia="zh-CN"/>
        </w:rPr>
        <w:sectPr>
          <w:headerReference r:id="rId4" w:type="default"/>
          <w:footerReference r:id="rId5" w:type="default"/>
          <w:pgSz w:w="11906" w:h="16838"/>
          <w:pgMar w:top="1701" w:right="1797" w:bottom="1701" w:left="1797" w:header="709" w:footer="709" w:gutter="0"/>
          <w:pgNumType w:fmt="decimal"/>
          <w:cols w:space="708" w:num="1"/>
          <w:docGrid w:linePitch="360" w:charSpace="0"/>
        </w:sectPr>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年农机购置</w:t>
      </w:r>
      <w:r>
        <w:rPr>
          <w:rFonts w:hint="eastAsia" w:ascii="仿宋_GB2312" w:eastAsia="仿宋_GB2312"/>
          <w:sz w:val="32"/>
          <w:szCs w:val="32"/>
          <w:lang w:eastAsia="zh-CN"/>
        </w:rPr>
        <w:t>与应用</w:t>
      </w:r>
      <w:r>
        <w:rPr>
          <w:rFonts w:hint="eastAsia" w:ascii="仿宋_GB2312" w:eastAsia="仿宋_GB2312"/>
          <w:sz w:val="32"/>
          <w:szCs w:val="32"/>
        </w:rPr>
        <w:t>补贴政策实施工作</w:t>
      </w:r>
      <w:r>
        <w:rPr>
          <w:rFonts w:hint="eastAsia" w:ascii="仿宋_GB2312" w:eastAsia="仿宋_GB2312"/>
          <w:color w:val="auto"/>
          <w:sz w:val="32"/>
          <w:szCs w:val="32"/>
        </w:rPr>
        <w:t>，</w:t>
      </w:r>
      <w:r>
        <w:rPr>
          <w:rFonts w:hint="eastAsia" w:ascii="仿宋_GB2312" w:eastAsia="仿宋_GB2312"/>
          <w:sz w:val="32"/>
          <w:szCs w:val="32"/>
        </w:rPr>
        <w:t>着力保障粮油生产等重点机具，重点支持提高粮油作物作业质量的高性能播种机、低损联合收获机、大豆玉米带状复合种植专用机具和丘陵山区适用小型机械、农产品初加工等急需急用机具，将大豆收获机、大豆收获专用割台纳入补贴机具种类范围</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eastAsia="仿宋_GB2312"/>
          <w:sz w:val="32"/>
          <w:szCs w:val="32"/>
          <w:lang w:val="en-US" w:eastAsia="zh-CN"/>
        </w:rPr>
        <w:t>进一步完善农机购置与应用补贴政策，探索与作业量挂钩的补贴办法</w:t>
      </w:r>
      <w:r>
        <w:rPr>
          <w:rFonts w:hint="eastAsia" w:ascii="仿宋_GB2312" w:hAnsi="仿宋_GB2312" w:eastAsia="仿宋_GB2312"/>
          <w:b w:val="0"/>
          <w:i w:val="0"/>
          <w:snapToGrid/>
          <w:color w:val="auto"/>
          <w:spacing w:val="15"/>
          <w:sz w:val="32"/>
          <w:shd w:val="clear" w:color="auto" w:fill="FFFFFF"/>
        </w:rPr>
        <w:t>。</w:t>
      </w:r>
      <w:r>
        <w:rPr>
          <w:rFonts w:hint="eastAsia" w:ascii="仿宋_GB2312" w:hAnsi="仿宋_GB2312" w:eastAsia="仿宋_GB2312" w:cs="仿宋_GB2312"/>
          <w:i w:val="0"/>
          <w:caps w:val="0"/>
          <w:color w:val="auto"/>
          <w:spacing w:val="0"/>
          <w:sz w:val="32"/>
          <w:szCs w:val="32"/>
          <w:shd w:val="clear" w:color="auto" w:fill="FFFFFF"/>
        </w:rPr>
        <w:t>重点支持粮食烘干、履带式作业、玉米大豆带状复合种植等专用机具</w:t>
      </w:r>
      <w:r>
        <w:rPr>
          <w:rFonts w:hint="eastAsia" w:ascii="仿宋_GB2312" w:hAnsi="仿宋_GB2312" w:eastAsia="仿宋_GB2312" w:cs="仿宋_GB2312"/>
          <w:i w:val="0"/>
          <w:caps w:val="0"/>
          <w:color w:val="auto"/>
          <w:spacing w:val="0"/>
          <w:sz w:val="32"/>
          <w:szCs w:val="32"/>
          <w:shd w:val="clear" w:color="auto" w:fill="FFFFFF"/>
          <w:lang w:eastAsia="zh-CN"/>
        </w:rPr>
        <w:t>、大马力机械、</w:t>
      </w:r>
      <w:r>
        <w:rPr>
          <w:rFonts w:hint="eastAsia" w:ascii="仿宋_GB2312" w:hAnsi="仿宋_GB2312" w:eastAsia="仿宋_GB2312" w:cs="仿宋_GB2312"/>
          <w:i w:val="0"/>
          <w:caps w:val="0"/>
          <w:color w:val="auto"/>
          <w:spacing w:val="0"/>
          <w:sz w:val="32"/>
          <w:szCs w:val="32"/>
          <w:shd w:val="clear" w:color="auto" w:fill="FFFFFF"/>
        </w:rPr>
        <w:t>丘陵山区小型适用机具</w:t>
      </w:r>
      <w:r>
        <w:rPr>
          <w:rFonts w:hint="eastAsia" w:ascii="仿宋_GB2312" w:hAnsi="仿宋_GB2312" w:eastAsia="仿宋_GB2312" w:cs="仿宋_GB2312"/>
          <w:i w:val="0"/>
          <w:caps w:val="0"/>
          <w:color w:val="auto"/>
          <w:spacing w:val="0"/>
          <w:sz w:val="32"/>
          <w:szCs w:val="32"/>
          <w:shd w:val="clear" w:color="auto" w:fill="FFFFFF"/>
          <w:lang w:eastAsia="zh-CN"/>
        </w:rPr>
        <w:t>和创新型特色机械</w:t>
      </w:r>
      <w:r>
        <w:rPr>
          <w:rFonts w:hint="eastAsia" w:ascii="仿宋_GB2312" w:hAnsi="仿宋_GB2312" w:eastAsia="仿宋_GB2312" w:cs="仿宋_GB2312"/>
          <w:i w:val="0"/>
          <w:caps w:val="0"/>
          <w:color w:val="auto"/>
          <w:spacing w:val="0"/>
          <w:sz w:val="32"/>
          <w:szCs w:val="32"/>
          <w:shd w:val="clear" w:color="auto" w:fill="FFFFFF"/>
        </w:rPr>
        <w:t>，大力推广现代种养业和智慧农业发展急需的成套设施装备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b w:val="0"/>
          <w:i w:val="0"/>
          <w:snapToGrid/>
          <w:color w:val="auto"/>
          <w:spacing w:val="15"/>
          <w:sz w:val="32"/>
          <w:shd w:val="clear" w:color="auto" w:fill="FFFFFF"/>
        </w:rPr>
        <w:t>支持将粮油作物生产机械化薄弱环节、大豆玉米带状复合种植所需创新产品和成套设施装备纳入补贴试点</w:t>
      </w:r>
      <w:r>
        <w:rPr>
          <w:rFonts w:hint="eastAsia" w:ascii="仿宋_GB2312" w:hAnsi="仿宋_GB2312" w:eastAsia="仿宋_GB2312"/>
          <w:b w:val="0"/>
          <w:i w:val="0"/>
          <w:snapToGrid/>
          <w:color w:val="auto"/>
          <w:spacing w:val="15"/>
          <w:sz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着力推进补贴机具有进有出</w:t>
      </w:r>
      <w:r>
        <w:rPr>
          <w:rFonts w:hint="eastAsia" w:ascii="仿宋_GB2312" w:hAnsi="微软雅黑" w:eastAsia="仿宋_GB2312" w:cs="仿宋_GB2312"/>
          <w:i w:val="0"/>
          <w:iCs w:val="0"/>
          <w:caps w:val="0"/>
          <w:color w:val="auto"/>
          <w:spacing w:val="0"/>
          <w:sz w:val="32"/>
          <w:szCs w:val="32"/>
          <w:shd w:val="clear" w:color="auto" w:fill="FFFFFF"/>
          <w:lang w:eastAsia="zh-CN"/>
        </w:rPr>
        <w:t>，</w:t>
      </w:r>
      <w:r>
        <w:rPr>
          <w:rFonts w:hint="eastAsia" w:ascii="仿宋_GB2312" w:hAnsi="微软雅黑" w:eastAsia="仿宋_GB2312" w:cs="仿宋_GB2312"/>
          <w:i w:val="0"/>
          <w:iCs w:val="0"/>
          <w:caps w:val="0"/>
          <w:color w:val="auto"/>
          <w:spacing w:val="0"/>
          <w:sz w:val="32"/>
          <w:szCs w:val="32"/>
          <w:shd w:val="clear" w:color="auto" w:fill="FFFFFF"/>
        </w:rPr>
        <w:t>逐步降低区域内保有量明显过多、技术相对落后机具品目（档次）的补贴额，或退出补贴范围，其中轮式拖拉机补贴额测算比例降低至</w:t>
      </w:r>
      <w:r>
        <w:rPr>
          <w:rFonts w:hint="eastAsia" w:ascii="仿宋_GB2312" w:hAnsi="仿宋_GB2312" w:eastAsia="仿宋_GB2312" w:cs="微软雅黑"/>
          <w:i w:val="0"/>
          <w:iCs w:val="0"/>
          <w:caps w:val="0"/>
          <w:color w:val="auto"/>
          <w:spacing w:val="0"/>
          <w:sz w:val="32"/>
          <w:szCs w:val="32"/>
          <w:shd w:val="clear" w:color="auto" w:fill="FFFFFF"/>
          <w:lang w:val="en-US" w:eastAsia="zh-CN"/>
        </w:rPr>
        <w:t>15</w:t>
      </w:r>
      <w:r>
        <w:rPr>
          <w:rFonts w:hint="eastAsia" w:ascii="仿宋_GB2312" w:hAnsi="仿宋_GB2312" w:eastAsia="仿宋_GB2312" w:cs="微软雅黑"/>
          <w:i w:val="0"/>
          <w:iCs w:val="0"/>
          <w:caps w:val="0"/>
          <w:color w:val="auto"/>
          <w:spacing w:val="0"/>
          <w:sz w:val="32"/>
          <w:szCs w:val="32"/>
          <w:shd w:val="clear" w:color="auto" w:fill="FFFFFF"/>
          <w:lang w:val="en-US"/>
        </w:rPr>
        <w:t>%</w:t>
      </w:r>
      <w:r>
        <w:rPr>
          <w:rFonts w:hint="eastAsia" w:ascii="仿宋_GB2312" w:hAnsi="仿宋_GB2312" w:eastAsia="仿宋_GB2312" w:cs="仿宋_GB2312"/>
          <w:i w:val="0"/>
          <w:iCs w:val="0"/>
          <w:caps w:val="0"/>
          <w:color w:val="auto"/>
          <w:spacing w:val="0"/>
          <w:sz w:val="32"/>
          <w:szCs w:val="32"/>
          <w:shd w:val="clear" w:color="auto" w:fill="FFFFFF"/>
        </w:rPr>
        <w:t>以下。</w:t>
      </w:r>
      <w:r>
        <w:rPr>
          <w:rFonts w:hint="eastAsia" w:ascii="仿宋_GB2312" w:hAnsi="仿宋_GB2312" w:eastAsia="仿宋_GB2312" w:cs="仿宋_GB2312"/>
          <w:i w:val="0"/>
          <w:iCs w:val="0"/>
          <w:caps w:val="0"/>
          <w:color w:val="auto"/>
          <w:spacing w:val="0"/>
          <w:sz w:val="32"/>
          <w:szCs w:val="32"/>
          <w:shd w:val="clear" w:color="auto" w:fill="FFFFFF"/>
          <w:lang w:eastAsia="zh-CN"/>
        </w:rPr>
        <w:t>坚持优机优补，开展前装北斗智能监测终端及辅助驾驶系统的机具补贴。</w:t>
      </w:r>
    </w:p>
    <w:p>
      <w:pPr>
        <w:keepNext w:val="0"/>
        <w:keepLines w:val="0"/>
        <w:pageBreakBefore w:val="0"/>
        <w:widowControl w:val="0"/>
        <w:kinsoku/>
        <w:wordWrap/>
        <w:overflowPunct/>
        <w:topLinePunct w:val="0"/>
        <w:autoSpaceDE/>
        <w:autoSpaceDN/>
        <w:bidi w:val="0"/>
        <w:adjustRightInd/>
        <w:snapToGrid/>
        <w:spacing w:before="0" w:after="0" w:line="540" w:lineRule="exact"/>
        <w:ind w:left="0" w:leftChars="0" w:right="0" w:rightChars="0" w:firstLine="643" w:firstLineChars="200"/>
        <w:jc w:val="both"/>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补贴对象。</w:t>
      </w:r>
      <w:r>
        <w:rPr>
          <w:rFonts w:hint="eastAsia" w:ascii="仿宋_GB2312" w:eastAsia="仿宋_GB2312"/>
          <w:b w:val="0"/>
          <w:bCs w:val="0"/>
          <w:sz w:val="32"/>
          <w:szCs w:val="32"/>
          <w:lang w:val="en-US" w:eastAsia="zh-CN"/>
        </w:rPr>
        <w:t>补贴对象为从</w:t>
      </w:r>
      <w:r>
        <w:rPr>
          <w:rFonts w:hint="eastAsia" w:ascii="仿宋_GB2312" w:eastAsia="仿宋_GB2312"/>
          <w:sz w:val="32"/>
          <w:szCs w:val="32"/>
          <w:lang w:val="en-US" w:eastAsia="zh-CN"/>
        </w:rPr>
        <w:t>事农业生产的个人和农业生产经营组织，其中农业生产经营组织包括农村集体经济组织、农民专业合作经济组织、农业企业和其他从事农业生产经营的组织。</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ind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eastAsia="仿宋_GB2312"/>
          <w:b/>
          <w:bCs/>
          <w:sz w:val="32"/>
          <w:szCs w:val="32"/>
          <w:lang w:val="en-US" w:eastAsia="zh-CN"/>
        </w:rPr>
        <w:t>补贴标准</w:t>
      </w:r>
      <w:r>
        <w:rPr>
          <w:rFonts w:hint="eastAsia" w:ascii="仿宋_GB2312" w:eastAsia="仿宋_GB2312"/>
          <w:sz w:val="32"/>
          <w:szCs w:val="32"/>
          <w:lang w:val="en-US" w:eastAsia="zh-CN"/>
        </w:rPr>
        <w:t>。中央财政农机购置与应用补贴实行定额补贴。依据同档产品上年市场销售均价按不超过30%的比例测算确定各档次补贴额，且通用类机具补贴额不超过农业农村部发布的最高补贴额。</w:t>
      </w:r>
    </w:p>
    <w:p>
      <w:pPr>
        <w:keepNext w:val="0"/>
        <w:keepLines w:val="0"/>
        <w:pageBreakBefore w:val="0"/>
        <w:widowControl w:val="0"/>
        <w:numPr>
          <w:ilvl w:val="0"/>
          <w:numId w:val="0"/>
        </w:numPr>
        <w:kinsoku/>
        <w:wordWrap/>
        <w:overflowPunct/>
        <w:topLinePunct w:val="0"/>
        <w:autoSpaceDE/>
        <w:bidi w:val="0"/>
        <w:adjustRightInd/>
        <w:snapToGrid/>
        <w:spacing w:line="540" w:lineRule="exact"/>
        <w:ind w:right="0" w:rightChars="0" w:firstLine="640" w:firstLineChars="200"/>
        <w:jc w:val="both"/>
        <w:textAlignment w:val="auto"/>
        <w:outlineLvl w:val="0"/>
        <w:rPr>
          <w:rFonts w:hint="eastAsia" w:ascii="黑体" w:hAnsi="黑体" w:eastAsia="黑体"/>
          <w:sz w:val="32"/>
          <w:u w:val="none" w:color="auto"/>
          <w:lang w:val="en-US" w:eastAsia="zh-CN"/>
        </w:rPr>
      </w:pPr>
      <w:bookmarkStart w:id="8" w:name="_Toc16600"/>
      <w:bookmarkStart w:id="9" w:name="_Toc23829"/>
      <w:bookmarkStart w:id="10" w:name="_Toc17691"/>
      <w:bookmarkStart w:id="11" w:name="_Toc26241"/>
      <w:r>
        <w:rPr>
          <w:rFonts w:hint="eastAsia" w:ascii="黑体" w:hAnsi="黑体" w:eastAsia="黑体"/>
          <w:sz w:val="32"/>
          <w:u w:val="none" w:color="auto"/>
          <w:lang w:val="en-US" w:eastAsia="zh-CN"/>
        </w:rPr>
        <w:t>四、保障措施</w:t>
      </w:r>
      <w:bookmarkEnd w:id="8"/>
      <w:bookmarkEnd w:id="9"/>
      <w:bookmarkEnd w:id="10"/>
      <w:bookmarkEnd w:id="11"/>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color w:val="auto"/>
          <w:sz w:val="32"/>
          <w:szCs w:val="32"/>
        </w:rPr>
        <w:t>（一）加强领导，明确分工。</w:t>
      </w:r>
      <w:r>
        <w:rPr>
          <w:rFonts w:hint="eastAsia" w:ascii="仿宋_GB2312" w:hAnsi="仿宋_GB2312" w:eastAsia="仿宋_GB2312" w:cs="仿宋_GB2312"/>
          <w:sz w:val="32"/>
          <w:szCs w:val="32"/>
          <w:lang w:val="en-US" w:eastAsia="zh-CN"/>
        </w:rPr>
        <w:t>农业农村部门要与财政部门建立健全政府领导下的联合实施和监管机制，切实加强组织协调，密切沟通配合，明确职责分工，形成工作合力。农业农村部门、财政部门要深入落实农业农村部门组织实施责任、审核和监管责任，财政部门资金兑付与资金监管责任，配合做好违规查处工作，重大事项提交农机购置补贴领导小组集体研究决策。</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仿宋_GB2312" w:hAnsi="Calibri" w:eastAsia="仿宋_GB2312" w:cs="Times New Roman"/>
          <w:kern w:val="2"/>
          <w:sz w:val="32"/>
          <w:szCs w:val="32"/>
          <w:highlight w:val="none"/>
          <w:lang w:val="en-US" w:eastAsia="zh-CN" w:bidi="ar-SA"/>
        </w:rPr>
      </w:pPr>
      <w:r>
        <w:rPr>
          <w:rFonts w:hint="eastAsia" w:ascii="楷体" w:hAnsi="楷体" w:eastAsia="楷体" w:cs="楷体"/>
          <w:color w:val="auto"/>
          <w:sz w:val="32"/>
          <w:szCs w:val="32"/>
        </w:rPr>
        <w:t>（二）优化服务，提升效能。</w:t>
      </w:r>
      <w:r>
        <w:rPr>
          <w:rFonts w:hint="eastAsia" w:ascii="仿宋_GB2312" w:hAnsi="Calibri" w:eastAsia="仿宋_GB2312" w:cs="Times New Roman"/>
          <w:kern w:val="2"/>
          <w:sz w:val="32"/>
          <w:szCs w:val="32"/>
          <w:highlight w:val="none"/>
          <w:lang w:val="en-US" w:eastAsia="zh-CN" w:bidi="ar-SA"/>
        </w:rPr>
        <w:t>农业农村和财政部门要努力提升政策实施信息化水平，提高补贴申请受理、资格审核、机具核验、资金兑付等工作效率，确保按规定时限完成补贴申请、资金兑付工作。积极探索补贴申请、核验、兑付全流程线上办理新模式，推进农机购置补贴实施与监管信息化技术集成应用。</w:t>
      </w:r>
    </w:p>
    <w:p>
      <w:pPr>
        <w:pStyle w:val="8"/>
        <w:keepNext w:val="0"/>
        <w:keepLines w:val="0"/>
        <w:pageBreakBefore w:val="0"/>
        <w:widowControl w:val="0"/>
        <w:kinsoku/>
        <w:wordWrap/>
        <w:overflowPunct/>
        <w:topLinePunct w:val="0"/>
        <w:autoSpaceDE/>
        <w:autoSpaceDN/>
        <w:bidi w:val="0"/>
        <w:adjustRightInd/>
        <w:spacing w:before="0" w:beforeAutospacing="0" w:after="0" w:afterAutospacing="0" w:line="560" w:lineRule="exact"/>
        <w:ind w:firstLine="640" w:firstLineChars="200"/>
        <w:textAlignment w:val="auto"/>
        <w:outlineLvl w:val="9"/>
        <w:rPr>
          <w:rFonts w:hint="eastAsia" w:ascii="仿宋_GB2312" w:hAnsi="Calibri" w:eastAsia="仿宋_GB2312" w:cs="Times New Roman"/>
          <w:kern w:val="2"/>
          <w:sz w:val="32"/>
          <w:szCs w:val="32"/>
          <w:highlight w:val="none"/>
          <w:lang w:val="en-US" w:eastAsia="zh-CN" w:bidi="ar-SA"/>
        </w:rPr>
      </w:pPr>
      <w:r>
        <w:rPr>
          <w:rFonts w:hint="eastAsia" w:ascii="楷体" w:hAnsi="楷体" w:eastAsia="楷体" w:cs="楷体"/>
          <w:color w:val="auto"/>
          <w:sz w:val="32"/>
          <w:szCs w:val="32"/>
        </w:rPr>
        <w:t>（三）公开信息，接受监督。</w:t>
      </w:r>
      <w:r>
        <w:rPr>
          <w:rFonts w:hint="eastAsia" w:ascii="仿宋_GB2312" w:hAnsi="Calibri" w:eastAsia="仿宋_GB2312" w:cs="Times New Roman"/>
          <w:kern w:val="2"/>
          <w:sz w:val="32"/>
          <w:szCs w:val="32"/>
          <w:highlight w:val="none"/>
          <w:lang w:val="en-US" w:eastAsia="zh-CN" w:bidi="ar-SA"/>
        </w:rPr>
        <w:t>农业农村部门要因地制宜、综合运用宣传挂图、报纸杂志、广播电视、互联网等方式，以及村务公开等渠道，全方位开展补贴政策与实施工作宣传解读，及时更新相关信息，着力提升政策知晓率，切实保障购机者、生产经销企业和广大农民群众的知情权、监督权。充分发挥农机购置补贴信息公开专栏作用，对投诉咨询方式、违规查处结果公开，按年度公告近三年县域内补贴受益信息，主动接受社会监督。补贴政策咨询和投诉电话要有效畅通，发生变更要及时报告市农业农村局。要建立信息公开审核机制，保护购机者隐私信息。</w:t>
      </w:r>
    </w:p>
    <w:p>
      <w:pPr>
        <w:keepNext w:val="0"/>
        <w:keepLines w:val="0"/>
        <w:pageBreakBefore w:val="0"/>
        <w:widowControl w:val="0"/>
        <w:kinsoku/>
        <w:wordWrap/>
        <w:overflowPunct/>
        <w:topLinePunct w:val="0"/>
        <w:autoSpaceDE/>
        <w:autoSpaceDN/>
        <w:bidi w:val="0"/>
        <w:adjustRightInd/>
        <w:spacing w:line="560" w:lineRule="exact"/>
        <w:textAlignment w:val="auto"/>
        <w:outlineLvl w:val="9"/>
        <w:rPr>
          <w:rFonts w:hint="eastAsia" w:ascii="仿宋_GB2312" w:hAnsi="Calibri" w:eastAsia="仿宋_GB2312" w:cs="Times New Roman"/>
          <w:kern w:val="2"/>
          <w:sz w:val="32"/>
          <w:szCs w:val="32"/>
          <w:highlight w:val="none"/>
          <w:lang w:val="en-US" w:eastAsia="zh-CN" w:bidi="ar-SA"/>
        </w:rPr>
      </w:pPr>
      <w:r>
        <w:rPr>
          <w:rFonts w:hint="eastAsia" w:ascii="楷体" w:hAnsi="楷体" w:eastAsia="楷体" w:cs="楷体"/>
          <w:color w:val="auto"/>
          <w:sz w:val="32"/>
          <w:szCs w:val="32"/>
        </w:rPr>
        <w:t xml:space="preserve">    （四）加强监管，严惩违规。</w:t>
      </w:r>
      <w:r>
        <w:rPr>
          <w:rFonts w:hint="eastAsia" w:ascii="仿宋_GB2312" w:hAnsi="Calibri" w:eastAsia="仿宋_GB2312" w:cs="Times New Roman"/>
          <w:kern w:val="2"/>
          <w:sz w:val="32"/>
          <w:szCs w:val="32"/>
          <w:highlight w:val="none"/>
          <w:lang w:val="en-US" w:eastAsia="zh-CN" w:bidi="ar-SA"/>
        </w:rPr>
        <w:t>农业农村部门要全面贯彻河北省农业农村厅 河北省财政厅《关于进一步强化纪律约束做好农机购置补贴政策监管和实施工作的通知》（冀农办发〔2019〕259 号）和《河北省农业厅 河北省财政厅关于印发&lt;河北省农机购置补贴产品违规经营行为处理细则（试行）&gt;的通知》（冀农业规〔2018〕5号）要求，全面建立内部控制机制，规范办理流程，强化监督制约。认真落实风险防控责任和异常情形主动报告制度，严格信用管理和农机产销企业承诺制，充分发挥专业机构的技术优势和大数据的信息优势，有效开展违规行为全流程分析排查，从严整治突出违规行为，强化农业农村、财政部门联合查处和联动处理。</w:t>
      </w:r>
    </w:p>
    <w:p>
      <w:pPr>
        <w:spacing w:after="0" w:line="580" w:lineRule="exact"/>
        <w:ind w:firstLine="440" w:firstLineChars="200"/>
        <w:jc w:val="both"/>
      </w:pPr>
    </w:p>
    <w:sectPr>
      <w:footerReference r:id="rId6" w:type="default"/>
      <w:pgSz w:w="11906" w:h="16838"/>
      <w:pgMar w:top="1701" w:right="1797" w:bottom="1701" w:left="1797" w:header="709" w:footer="709"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6"/>
        <w:tab w:val="clear" w:pos="4153"/>
      </w:tabs>
      <w:rPr>
        <w:rFonts w:hint="eastAsia" w:eastAsia="微软雅黑"/>
        <w:lang w:val="en-US" w:eastAsia="zh-CN"/>
      </w:rP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6"/>
        <w:tab w:val="clear" w:pos="4153"/>
      </w:tabs>
      <w:rPr>
        <w:rFonts w:hint="eastAsia" w:eastAsia="微软雅黑"/>
        <w:lang w:val="en-US" w:eastAsia="zh-CN"/>
      </w:rPr>
    </w:pPr>
    <w: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1NjdlMjgxMzQxNDJmZTQ2MTkxMmYyOGUyNTZhZjAifQ=="/>
  </w:docVars>
  <w:rsids>
    <w:rsidRoot w:val="00205FDB"/>
    <w:rsid w:val="0005003E"/>
    <w:rsid w:val="000578BA"/>
    <w:rsid w:val="000F3DEA"/>
    <w:rsid w:val="000F6ABE"/>
    <w:rsid w:val="00173EC1"/>
    <w:rsid w:val="00205FDB"/>
    <w:rsid w:val="0022077A"/>
    <w:rsid w:val="00293D97"/>
    <w:rsid w:val="00356C65"/>
    <w:rsid w:val="00377209"/>
    <w:rsid w:val="003A267C"/>
    <w:rsid w:val="003A7F48"/>
    <w:rsid w:val="004A0082"/>
    <w:rsid w:val="004D3116"/>
    <w:rsid w:val="005119C4"/>
    <w:rsid w:val="00540EBA"/>
    <w:rsid w:val="00552006"/>
    <w:rsid w:val="005749CC"/>
    <w:rsid w:val="006147DB"/>
    <w:rsid w:val="0065337B"/>
    <w:rsid w:val="00662553"/>
    <w:rsid w:val="006B103B"/>
    <w:rsid w:val="006E2C76"/>
    <w:rsid w:val="0070544C"/>
    <w:rsid w:val="007477B8"/>
    <w:rsid w:val="007C7CA7"/>
    <w:rsid w:val="007D149F"/>
    <w:rsid w:val="007F0F11"/>
    <w:rsid w:val="008429F5"/>
    <w:rsid w:val="00862744"/>
    <w:rsid w:val="00880435"/>
    <w:rsid w:val="008A198A"/>
    <w:rsid w:val="008A2947"/>
    <w:rsid w:val="008C4116"/>
    <w:rsid w:val="008F4400"/>
    <w:rsid w:val="009004F9"/>
    <w:rsid w:val="009661C1"/>
    <w:rsid w:val="00996593"/>
    <w:rsid w:val="009B3E75"/>
    <w:rsid w:val="009C629D"/>
    <w:rsid w:val="00A16F81"/>
    <w:rsid w:val="00A25066"/>
    <w:rsid w:val="00A3380F"/>
    <w:rsid w:val="00A473D1"/>
    <w:rsid w:val="00A86BF1"/>
    <w:rsid w:val="00AB6611"/>
    <w:rsid w:val="00B61FEC"/>
    <w:rsid w:val="00B94C85"/>
    <w:rsid w:val="00BD55CA"/>
    <w:rsid w:val="00CC76F4"/>
    <w:rsid w:val="00D00AB2"/>
    <w:rsid w:val="00D116A3"/>
    <w:rsid w:val="00D22334"/>
    <w:rsid w:val="00D36176"/>
    <w:rsid w:val="00D86228"/>
    <w:rsid w:val="00E130DF"/>
    <w:rsid w:val="00E64258"/>
    <w:rsid w:val="00E96F3A"/>
    <w:rsid w:val="00EA2D8C"/>
    <w:rsid w:val="00ED3DAE"/>
    <w:rsid w:val="00F0023A"/>
    <w:rsid w:val="00F010FE"/>
    <w:rsid w:val="00F11A3D"/>
    <w:rsid w:val="00F371B9"/>
    <w:rsid w:val="032918D5"/>
    <w:rsid w:val="051D12CC"/>
    <w:rsid w:val="076D5F98"/>
    <w:rsid w:val="0BD5799B"/>
    <w:rsid w:val="0C934BBC"/>
    <w:rsid w:val="0CE83F65"/>
    <w:rsid w:val="10A63569"/>
    <w:rsid w:val="16530F01"/>
    <w:rsid w:val="1B9E0A6E"/>
    <w:rsid w:val="1C1C02D7"/>
    <w:rsid w:val="21870F85"/>
    <w:rsid w:val="2AF9470D"/>
    <w:rsid w:val="2B715282"/>
    <w:rsid w:val="2DE531B8"/>
    <w:rsid w:val="2F2E6D5A"/>
    <w:rsid w:val="2F3C6EAC"/>
    <w:rsid w:val="2FAF4DD2"/>
    <w:rsid w:val="31411253"/>
    <w:rsid w:val="31D10D9E"/>
    <w:rsid w:val="32892E5D"/>
    <w:rsid w:val="3402116D"/>
    <w:rsid w:val="34BF2BBB"/>
    <w:rsid w:val="35750204"/>
    <w:rsid w:val="37E860CF"/>
    <w:rsid w:val="384E3B46"/>
    <w:rsid w:val="394F37A9"/>
    <w:rsid w:val="3A157721"/>
    <w:rsid w:val="3B41706A"/>
    <w:rsid w:val="3C1B0BF0"/>
    <w:rsid w:val="3DFD29A6"/>
    <w:rsid w:val="44CD6801"/>
    <w:rsid w:val="48D623F8"/>
    <w:rsid w:val="496F3F91"/>
    <w:rsid w:val="4ACF5666"/>
    <w:rsid w:val="4B542792"/>
    <w:rsid w:val="4F27605A"/>
    <w:rsid w:val="500E3E88"/>
    <w:rsid w:val="547847A1"/>
    <w:rsid w:val="5567596E"/>
    <w:rsid w:val="58AD7EC6"/>
    <w:rsid w:val="58D77949"/>
    <w:rsid w:val="59F1427D"/>
    <w:rsid w:val="5A3F25F6"/>
    <w:rsid w:val="5A7A0FA3"/>
    <w:rsid w:val="5AA71934"/>
    <w:rsid w:val="5CB821E6"/>
    <w:rsid w:val="5CED3EB9"/>
    <w:rsid w:val="5EE832F7"/>
    <w:rsid w:val="60575887"/>
    <w:rsid w:val="62E30FF8"/>
    <w:rsid w:val="653872F5"/>
    <w:rsid w:val="660F20DE"/>
    <w:rsid w:val="67B73A36"/>
    <w:rsid w:val="67DC7CD2"/>
    <w:rsid w:val="693D62B8"/>
    <w:rsid w:val="6A9567CB"/>
    <w:rsid w:val="6D436833"/>
    <w:rsid w:val="6DE05376"/>
    <w:rsid w:val="6FF3776F"/>
    <w:rsid w:val="741140B9"/>
    <w:rsid w:val="76AC673B"/>
    <w:rsid w:val="771921B0"/>
    <w:rsid w:val="773A12E7"/>
    <w:rsid w:val="77BF5667"/>
    <w:rsid w:val="7ACC38AB"/>
    <w:rsid w:val="7BC646AB"/>
    <w:rsid w:val="7C6B3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qFormat/>
    <w:uiPriority w:val="9"/>
    <w:pPr>
      <w:jc w:val="center"/>
      <w:outlineLvl w:val="0"/>
    </w:pPr>
    <w:rPr>
      <w:rFonts w:hint="eastAsia" w:ascii="Times New Roman" w:hAnsi="Times New Roman" w:eastAsia="方正小标宋简体" w:cs="Times New Roman"/>
      <w:bCs/>
      <w:kern w:val="44"/>
      <w:sz w:val="44"/>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szCs w:val="20"/>
    </w:rPr>
  </w:style>
  <w:style w:type="paragraph" w:styleId="3">
    <w:name w:val="footer"/>
    <w:basedOn w:val="1"/>
    <w:next w:val="1"/>
    <w:qFormat/>
    <w:uiPriority w:val="0"/>
    <w:pPr>
      <w:tabs>
        <w:tab w:val="center" w:pos="4153"/>
        <w:tab w:val="right" w:pos="8306"/>
      </w:tabs>
    </w:pPr>
    <w:rPr>
      <w:sz w:val="18"/>
    </w:rPr>
  </w:style>
  <w:style w:type="paragraph" w:styleId="5">
    <w:name w:val="Body Text"/>
    <w:basedOn w:val="1"/>
    <w:link w:val="12"/>
    <w:qFormat/>
    <w:uiPriority w:val="1"/>
    <w:pPr>
      <w:widowControl w:val="0"/>
      <w:autoSpaceDE w:val="0"/>
      <w:autoSpaceDN w:val="0"/>
      <w:adjustRightInd/>
      <w:snapToGrid/>
      <w:spacing w:after="0"/>
    </w:pPr>
    <w:rPr>
      <w:rFonts w:ascii="宋体" w:hAnsi="宋体" w:eastAsia="宋体" w:cs="宋体"/>
      <w:sz w:val="32"/>
      <w:szCs w:val="32"/>
    </w:rPr>
  </w:style>
  <w:style w:type="paragraph" w:styleId="6">
    <w:name w:val="Balloon Text"/>
    <w:basedOn w:val="1"/>
    <w:link w:val="13"/>
    <w:qFormat/>
    <w:uiPriority w:val="0"/>
    <w:pPr>
      <w:spacing w:after="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Default"/>
    <w:qFormat/>
    <w:uiPriority w:val="0"/>
    <w:pPr>
      <w:widowControl w:val="0"/>
      <w:autoSpaceDE w:val="0"/>
      <w:autoSpaceDN w:val="0"/>
      <w:adjustRightInd w:val="0"/>
      <w:spacing w:line="240" w:lineRule="atLeast"/>
      <w:jc w:val="center"/>
    </w:pPr>
    <w:rPr>
      <w:rFonts w:ascii="Times New Roman" w:hAnsi="Calibri" w:eastAsia="宋体" w:cs="Times New Roman"/>
      <w:sz w:val="21"/>
      <w:szCs w:val="22"/>
      <w:lang w:val="en-US" w:eastAsia="zh-CN" w:bidi="ar-SA"/>
    </w:rPr>
  </w:style>
  <w:style w:type="character" w:customStyle="1" w:styleId="12">
    <w:name w:val="正文文本 Char"/>
    <w:basedOn w:val="10"/>
    <w:link w:val="5"/>
    <w:qFormat/>
    <w:uiPriority w:val="1"/>
    <w:rPr>
      <w:rFonts w:ascii="宋体" w:hAnsi="宋体" w:eastAsia="宋体" w:cs="宋体"/>
      <w:sz w:val="32"/>
      <w:szCs w:val="32"/>
    </w:rPr>
  </w:style>
  <w:style w:type="character" w:customStyle="1" w:styleId="13">
    <w:name w:val="批注框文本 Char"/>
    <w:basedOn w:val="10"/>
    <w:link w:val="6"/>
    <w:qFormat/>
    <w:uiPriority w:val="0"/>
    <w:rPr>
      <w:rFonts w:ascii="Tahoma" w:hAnsi="Tahoma" w:eastAsia="微软雅黑"/>
      <w:sz w:val="18"/>
      <w:szCs w:val="18"/>
    </w:rPr>
  </w:style>
  <w:style w:type="paragraph" w:customStyle="1" w:styleId="14">
    <w:name w:val="普通(网站)1"/>
    <w:basedOn w:val="1"/>
    <w:qFormat/>
    <w:uiPriority w:val="0"/>
    <w:pPr>
      <w:spacing w:beforeAutospacing="1" w:afterAutospacing="1"/>
    </w:pPr>
    <w:rPr>
      <w:rFonts w:ascii="宋体" w:hAnsi="宋体" w:cs="宋体"/>
      <w:sz w:val="24"/>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424008-1CD6-4EDF-9E2C-65792552C15A}">
  <ds:schemaRefs/>
</ds:datastoreItem>
</file>

<file path=docProps/app.xml><?xml version="1.0" encoding="utf-8"?>
<Properties xmlns="http://schemas.openxmlformats.org/officeDocument/2006/extended-properties" xmlns:vt="http://schemas.openxmlformats.org/officeDocument/2006/docPropsVTypes">
  <Template>Normal</Template>
  <Pages>7</Pages>
  <Words>2514</Words>
  <Characters>2588</Characters>
  <Lines>36</Lines>
  <Paragraphs>10</Paragraphs>
  <TotalTime>5</TotalTime>
  <ScaleCrop>false</ScaleCrop>
  <LinksUpToDate>false</LinksUpToDate>
  <CharactersWithSpaces>2605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2023-02-14T03:21:00Z</dcterms:created>
  <dc:creator>Administrator.PC-20210322OFYM</dc:creator>
  <cp:lastModifiedBy>飞翔</cp:lastModifiedBy>
  <cp:lastPrinted>2023-02-14T09:02:00Z</cp:lastPrinted>
  <dcterms:modified xsi:type="dcterms:W3CDTF">2023-12-15T07:04:05Z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7CD48780BB044F31AA03C8F1706A6D13</vt:lpwstr>
  </property>
</Properties>
</file>