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886"/>
        <w:spacing w:before="455" w:line="182" w:lineRule="auto"/>
        <w:outlineLvl w:val="0"/>
        <w:rPr>
          <w:rFonts w:ascii="Microsoft YaHei" w:hAnsi="Microsoft YaHei" w:eastAsia="Microsoft YaHei" w:cs="Microsoft YaHei"/>
          <w:sz w:val="106"/>
          <w:szCs w:val="106"/>
        </w:rPr>
      </w:pPr>
      <w:r>
        <w:rPr>
          <w:rFonts w:ascii="Microsoft YaHei" w:hAnsi="Microsoft YaHei" w:eastAsia="Microsoft YaHei" w:cs="Microsoft YaHei"/>
          <w:sz w:val="106"/>
          <w:szCs w:val="106"/>
          <w:color w:val="FF0000"/>
          <w:spacing w:val="-21"/>
          <w:w w:val="74"/>
        </w:rPr>
        <w:t>河北省生态环境厅文件</w:t>
      </w:r>
    </w:p>
    <w:p>
      <w:pPr>
        <w:pStyle w:val="BodyText"/>
        <w:spacing w:line="261" w:lineRule="auto"/>
        <w:rPr/>
      </w:pPr>
      <w:r/>
    </w:p>
    <w:p>
      <w:pPr>
        <w:pStyle w:val="BodyText"/>
        <w:spacing w:line="262" w:lineRule="auto"/>
        <w:rPr/>
      </w:pPr>
      <w:r/>
    </w:p>
    <w:p>
      <w:pPr>
        <w:pStyle w:val="BodyText"/>
        <w:spacing w:line="262" w:lineRule="auto"/>
        <w:rPr/>
      </w:pPr>
      <w:r/>
    </w:p>
    <w:p>
      <w:pPr>
        <w:ind w:left="2987"/>
        <w:spacing w:before="101"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冀环规范〔2024〕1</w:t>
      </w:r>
      <w:r>
        <w:rPr>
          <w:rFonts w:ascii="FangSong_GB2312" w:hAnsi="FangSong_GB2312" w:eastAsia="FangSong_GB2312" w:cs="FangSong_GB2312"/>
          <w:sz w:val="31"/>
          <w:szCs w:val="31"/>
          <w:spacing w:val="-47"/>
        </w:rPr>
        <w:t xml:space="preserve"> </w:t>
      </w:r>
      <w:r>
        <w:rPr>
          <w:rFonts w:ascii="FangSong_GB2312" w:hAnsi="FangSong_GB2312" w:eastAsia="FangSong_GB2312" w:cs="FangSong_GB2312"/>
          <w:sz w:val="31"/>
          <w:szCs w:val="31"/>
          <w:spacing w:val="5"/>
        </w:rPr>
        <w:t>号</w:t>
      </w:r>
    </w:p>
    <w:p>
      <w:pPr>
        <w:ind w:firstLine="169"/>
        <w:spacing w:before="51" w:line="30" w:lineRule="exact"/>
        <w:rPr/>
      </w:pPr>
      <w:r>
        <w:rPr/>
        <w:drawing>
          <wp:inline distT="0" distB="0" distL="0" distR="0">
            <wp:extent cx="5486400" cy="19050"/>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5486400" cy="19050"/>
                    </a:xfrm>
                    <a:prstGeom prst="rect">
                      <a:avLst/>
                    </a:prstGeom>
                  </pic:spPr>
                </pic:pic>
              </a:graphicData>
            </a:graphic>
          </wp:inline>
        </w:drawing>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2767"/>
        <w:spacing w:before="185"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河北省生态环境厅</w:t>
      </w:r>
    </w:p>
    <w:p>
      <w:pPr>
        <w:ind w:left="349"/>
        <w:spacing w:before="52" w:line="208"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关于印发《河北省生态环境行政许可裁量权</w:t>
      </w:r>
    </w:p>
    <w:p>
      <w:pPr>
        <w:ind w:left="351"/>
        <w:spacing w:before="2" w:line="20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基准》和《河北省生态环境行政处罚裁量权</w:t>
      </w:r>
    </w:p>
    <w:p>
      <w:pPr>
        <w:ind w:left="3210"/>
        <w:spacing w:line="21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基准》的通知</w:t>
      </w:r>
    </w:p>
    <w:p>
      <w:pPr>
        <w:pStyle w:val="BodyText"/>
        <w:spacing w:line="317" w:lineRule="auto"/>
        <w:rPr/>
      </w:pPr>
      <w:r/>
    </w:p>
    <w:p>
      <w:pPr>
        <w:pStyle w:val="BodyText"/>
        <w:spacing w:line="318" w:lineRule="auto"/>
        <w:rPr/>
      </w:pPr>
      <w:r/>
    </w:p>
    <w:p>
      <w:pPr>
        <w:ind w:left="8" w:right="156" w:hanging="8"/>
        <w:spacing w:before="100" w:line="36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各市（含定州、辛集市）生态环境局、行政审批局，雄安新区管</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7"/>
        </w:rPr>
        <w:t>委会生态环境局、公共服务局：</w:t>
      </w:r>
    </w:p>
    <w:p>
      <w:pPr>
        <w:ind w:left="8" w:firstLine="643"/>
        <w:spacing w:before="55" w:line="37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为贯彻落实国家和我省有关行政裁量权基准制定和管理工作</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1"/>
        </w:rPr>
        <w:t>要求，根据《河北省行政裁量权基准制定和管理办法》</w:t>
      </w:r>
      <w:r>
        <w:rPr>
          <w:rFonts w:ascii="FangSong_GB2312" w:hAnsi="FangSong_GB2312" w:eastAsia="FangSong_GB2312" w:cs="FangSong_GB2312"/>
          <w:sz w:val="31"/>
          <w:szCs w:val="31"/>
          <w:spacing w:val="-93"/>
        </w:rPr>
        <w:t xml:space="preserve"> </w:t>
      </w:r>
      <w:r>
        <w:rPr>
          <w:rFonts w:ascii="FangSong_GB2312" w:hAnsi="FangSong_GB2312" w:eastAsia="FangSong_GB2312" w:cs="FangSong_GB2312"/>
          <w:sz w:val="31"/>
          <w:szCs w:val="31"/>
          <w:spacing w:val="11"/>
        </w:rPr>
        <w:t>，结合生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态环境保护工作实际，对《河北省生态环境行政许可裁量权基准》</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3"/>
        </w:rPr>
        <w:t>和《河北省生态环境行政处罚裁量权基准》进行了修订，现印发</w:t>
      </w:r>
    </w:p>
    <w:p>
      <w:pPr>
        <w:spacing w:line="373" w:lineRule="auto"/>
        <w:sectPr>
          <w:footerReference w:type="default" r:id="rId1"/>
          <w:pgSz w:w="11906" w:h="16839"/>
          <w:pgMar w:top="1431" w:right="1261" w:bottom="1115" w:left="1427" w:header="0" w:footer="836" w:gutter="0"/>
        </w:sectPr>
        <w:rPr>
          <w:rFonts w:ascii="FangSong_GB2312" w:hAnsi="FangSong_GB2312" w:eastAsia="FangSong_GB2312" w:cs="FangSong_GB2312"/>
          <w:sz w:val="31"/>
          <w:szCs w:val="31"/>
        </w:rPr>
      </w:pPr>
    </w:p>
    <w:p>
      <w:pPr>
        <w:pStyle w:val="BodyText"/>
        <w:spacing w:line="266" w:lineRule="auto"/>
        <w:rPr/>
      </w:pPr>
      <w:r/>
    </w:p>
    <w:p>
      <w:pPr>
        <w:pStyle w:val="BodyText"/>
        <w:spacing w:line="266" w:lineRule="auto"/>
        <w:rPr/>
      </w:pPr>
      <w:r/>
    </w:p>
    <w:p>
      <w:pPr>
        <w:pStyle w:val="BodyText"/>
        <w:spacing w:line="267" w:lineRule="auto"/>
        <w:rPr/>
      </w:pPr>
      <w:r/>
    </w:p>
    <w:p>
      <w:pPr>
        <w:ind w:left="12" w:firstLine="5"/>
        <w:spacing w:before="100" w:line="36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0"/>
        </w:rPr>
        <w:t>给你们，请遵照执行。本基准自印发之日起施行，有效期五年，</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5"/>
        </w:rPr>
        <w:t>原冀环规范〔2023〕1</w:t>
      </w:r>
      <w:r>
        <w:rPr>
          <w:rFonts w:ascii="FangSong_GB2312" w:hAnsi="FangSong_GB2312" w:eastAsia="FangSong_GB2312" w:cs="FangSong_GB2312"/>
          <w:sz w:val="31"/>
          <w:szCs w:val="31"/>
          <w:spacing w:val="-34"/>
        </w:rPr>
        <w:t xml:space="preserve"> </w:t>
      </w:r>
      <w:r>
        <w:rPr>
          <w:rFonts w:ascii="FangSong_GB2312" w:hAnsi="FangSong_GB2312" w:eastAsia="FangSong_GB2312" w:cs="FangSong_GB2312"/>
          <w:sz w:val="31"/>
          <w:szCs w:val="31"/>
          <w:spacing w:val="5"/>
        </w:rPr>
        <w:t>号文件同时废止。</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5061"/>
        <w:spacing w:before="101" w:line="218" w:lineRule="auto"/>
        <w:rPr>
          <w:rFonts w:ascii="FangSong_GB2312" w:hAnsi="FangSong_GB2312" w:eastAsia="FangSong_GB2312" w:cs="FangSong_GB2312"/>
          <w:sz w:val="31"/>
          <w:szCs w:val="31"/>
        </w:rPr>
      </w:pPr>
      <w:r>
        <w:drawing>
          <wp:anchor distT="0" distB="0" distL="0" distR="0" simplePos="0" relativeHeight="251658240" behindDoc="0" locked="0" layoutInCell="1" allowOverlap="1">
            <wp:simplePos x="0" y="0"/>
            <wp:positionH relativeFrom="column">
              <wp:posOffset>3120192</wp:posOffset>
            </wp:positionH>
            <wp:positionV relativeFrom="paragraph">
              <wp:posOffset>-846453</wp:posOffset>
            </wp:positionV>
            <wp:extent cx="1626107" cy="1658111"/>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1626107" cy="1658111"/>
                    </a:xfrm>
                    <a:prstGeom prst="rect">
                      <a:avLst/>
                    </a:prstGeom>
                  </pic:spPr>
                </pic:pic>
              </a:graphicData>
            </a:graphic>
          </wp:anchor>
        </w:drawing>
      </w:r>
      <w:r>
        <w:rPr>
          <w:rFonts w:ascii="FangSong_GB2312" w:hAnsi="FangSong_GB2312" w:eastAsia="FangSong_GB2312" w:cs="FangSong_GB2312"/>
          <w:sz w:val="31"/>
          <w:szCs w:val="31"/>
          <w:spacing w:val="6"/>
        </w:rPr>
        <w:t>河北省生态环境厅</w:t>
      </w:r>
    </w:p>
    <w:p>
      <w:pPr>
        <w:ind w:left="5056"/>
        <w:spacing w:before="272"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2024</w:t>
      </w:r>
      <w:r>
        <w:rPr>
          <w:rFonts w:ascii="FangSong_GB2312" w:hAnsi="FangSong_GB2312" w:eastAsia="FangSong_GB2312" w:cs="FangSong_GB2312"/>
          <w:sz w:val="31"/>
          <w:szCs w:val="31"/>
          <w:spacing w:val="-59"/>
        </w:rPr>
        <w:t xml:space="preserve"> </w:t>
      </w:r>
      <w:r>
        <w:rPr>
          <w:rFonts w:ascii="FangSong_GB2312" w:hAnsi="FangSong_GB2312" w:eastAsia="FangSong_GB2312" w:cs="FangSong_GB2312"/>
          <w:sz w:val="31"/>
          <w:szCs w:val="31"/>
          <w:spacing w:val="-8"/>
        </w:rPr>
        <w:t>年</w:t>
      </w:r>
      <w:r>
        <w:rPr>
          <w:rFonts w:ascii="FangSong_GB2312" w:hAnsi="FangSong_GB2312" w:eastAsia="FangSong_GB2312" w:cs="FangSong_GB2312"/>
          <w:sz w:val="31"/>
          <w:szCs w:val="31"/>
          <w:spacing w:val="-45"/>
        </w:rPr>
        <w:t xml:space="preserve"> </w:t>
      </w:r>
      <w:r>
        <w:rPr>
          <w:rFonts w:ascii="FangSong_GB2312" w:hAnsi="FangSong_GB2312" w:eastAsia="FangSong_GB2312" w:cs="FangSong_GB2312"/>
          <w:sz w:val="31"/>
          <w:szCs w:val="31"/>
          <w:spacing w:val="-8"/>
        </w:rPr>
        <w:t>7</w:t>
      </w:r>
      <w:r>
        <w:rPr>
          <w:rFonts w:ascii="FangSong_GB2312" w:hAnsi="FangSong_GB2312" w:eastAsia="FangSong_GB2312" w:cs="FangSong_GB2312"/>
          <w:sz w:val="31"/>
          <w:szCs w:val="31"/>
          <w:spacing w:val="-46"/>
        </w:rPr>
        <w:t xml:space="preserve"> </w:t>
      </w:r>
      <w:r>
        <w:rPr>
          <w:rFonts w:ascii="FangSong_GB2312" w:hAnsi="FangSong_GB2312" w:eastAsia="FangSong_GB2312" w:cs="FangSong_GB2312"/>
          <w:sz w:val="31"/>
          <w:szCs w:val="31"/>
          <w:spacing w:val="-8"/>
        </w:rPr>
        <w:t>月</w:t>
      </w:r>
      <w:r>
        <w:rPr>
          <w:rFonts w:ascii="FangSong_GB2312" w:hAnsi="FangSong_GB2312" w:eastAsia="FangSong_GB2312" w:cs="FangSong_GB2312"/>
          <w:sz w:val="31"/>
          <w:szCs w:val="31"/>
          <w:spacing w:val="-36"/>
        </w:rPr>
        <w:t xml:space="preserve"> </w:t>
      </w:r>
      <w:r>
        <w:rPr>
          <w:rFonts w:ascii="FangSong_GB2312" w:hAnsi="FangSong_GB2312" w:eastAsia="FangSong_GB2312" w:cs="FangSong_GB2312"/>
          <w:sz w:val="31"/>
          <w:szCs w:val="31"/>
          <w:spacing w:val="-8"/>
        </w:rPr>
        <w:t>31</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8"/>
        </w:rPr>
        <w:t>日</w:t>
      </w:r>
    </w:p>
    <w:p>
      <w:pPr>
        <w:spacing w:line="220" w:lineRule="auto"/>
        <w:sectPr>
          <w:footerReference w:type="default" r:id="rId3"/>
          <w:pgSz w:w="11906" w:h="16839"/>
          <w:pgMar w:top="1431" w:right="1495" w:bottom="1114" w:left="1424" w:header="0" w:footer="836" w:gutter="0"/>
        </w:sectPr>
        <w:rPr>
          <w:rFonts w:ascii="FangSong_GB2312" w:hAnsi="FangSong_GB2312" w:eastAsia="FangSong_GB2312" w:cs="FangSong_GB2312"/>
          <w:sz w:val="31"/>
          <w:szCs w:val="31"/>
        </w:rPr>
      </w:pPr>
    </w:p>
    <w:p>
      <w:pPr>
        <w:pStyle w:val="BodyText"/>
        <w:spacing w:line="258" w:lineRule="auto"/>
        <w:rPr/>
      </w:pPr>
      <w:r/>
    </w:p>
    <w:p>
      <w:pPr>
        <w:pStyle w:val="BodyText"/>
        <w:spacing w:line="258" w:lineRule="auto"/>
        <w:rPr/>
      </w:pPr>
      <w:r/>
    </w:p>
    <w:p>
      <w:pPr>
        <w:ind w:left="1005"/>
        <w:spacing w:before="185" w:line="185" w:lineRule="auto"/>
        <w:outlineLvl w:val="0"/>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河北省生态环境行政许可裁量权基准</w:t>
      </w:r>
    </w:p>
    <w:p>
      <w:pPr>
        <w:pStyle w:val="BodyText"/>
        <w:spacing w:line="296" w:lineRule="auto"/>
        <w:rPr/>
      </w:pPr>
      <w:r/>
    </w:p>
    <w:p>
      <w:pPr>
        <w:pStyle w:val="BodyText"/>
        <w:spacing w:line="297" w:lineRule="auto"/>
        <w:rPr/>
      </w:pPr>
      <w:r/>
    </w:p>
    <w:p>
      <w:pPr>
        <w:ind w:left="5" w:firstLine="624"/>
        <w:spacing w:before="133" w:line="301"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2"/>
        </w:rPr>
        <w:t>第一条   </w:t>
      </w:r>
      <w:r>
        <w:rPr>
          <w:rFonts w:ascii="FangSong_GB2312" w:hAnsi="FangSong_GB2312" w:eastAsia="FangSong_GB2312" w:cs="FangSong_GB2312"/>
          <w:sz w:val="31"/>
          <w:szCs w:val="31"/>
          <w:spacing w:val="12"/>
        </w:rPr>
        <w:t>为</w:t>
      </w:r>
      <w:r>
        <w:rPr>
          <w:rFonts w:ascii="FangSong_GB2312" w:hAnsi="FangSong_GB2312" w:eastAsia="FangSong_GB2312" w:cs="FangSong_GB2312"/>
          <w:sz w:val="31"/>
          <w:szCs w:val="31"/>
          <w:spacing w:val="-84"/>
        </w:rPr>
        <w:t xml:space="preserve"> </w:t>
      </w:r>
      <w:r>
        <w:rPr>
          <w:rFonts w:ascii="FangSong_GB2312" w:hAnsi="FangSong_GB2312" w:eastAsia="FangSong_GB2312" w:cs="FangSong_GB2312"/>
          <w:sz w:val="31"/>
          <w:szCs w:val="31"/>
          <w:spacing w:val="12"/>
        </w:rPr>
        <w:t>了规范生态环境行政许可裁量权的行</w:t>
      </w:r>
      <w:r>
        <w:rPr>
          <w:rFonts w:ascii="FangSong_GB2312" w:hAnsi="FangSong_GB2312" w:eastAsia="FangSong_GB2312" w:cs="FangSong_GB2312"/>
          <w:sz w:val="31"/>
          <w:szCs w:val="31"/>
          <w:spacing w:val="11"/>
        </w:rPr>
        <w:t>使，推动行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政许可便捷高效，根据《中华人民共和国行政许可法》</w:t>
      </w:r>
      <w:r>
        <w:rPr>
          <w:rFonts w:ascii="FangSong_GB2312" w:hAnsi="FangSong_GB2312" w:eastAsia="FangSong_GB2312" w:cs="FangSong_GB2312"/>
          <w:sz w:val="31"/>
          <w:szCs w:val="31"/>
          <w:spacing w:val="-120"/>
        </w:rPr>
        <w:t xml:space="preserve"> </w:t>
      </w:r>
      <w:r>
        <w:rPr>
          <w:rFonts w:ascii="FangSong_GB2312" w:hAnsi="FangSong_GB2312" w:eastAsia="FangSong_GB2312" w:cs="FangSong_GB2312"/>
          <w:sz w:val="31"/>
          <w:szCs w:val="31"/>
          <w:spacing w:val="12"/>
        </w:rPr>
        <w:t>《中华人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民共和国环境保护法》《河北省行政裁量权基准制定和管理办法》</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8"/>
        </w:rPr>
        <w:t>等规定，结合我省实际，制定本基准。</w:t>
      </w:r>
    </w:p>
    <w:p>
      <w:pPr>
        <w:ind w:left="12" w:right="156" w:firstLine="616"/>
        <w:spacing w:before="53" w:line="274"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第二条   </w:t>
      </w:r>
      <w:r>
        <w:rPr>
          <w:rFonts w:ascii="FangSong_GB2312" w:hAnsi="FangSong_GB2312" w:eastAsia="FangSong_GB2312" w:cs="FangSong_GB2312"/>
          <w:sz w:val="31"/>
          <w:szCs w:val="31"/>
          <w:spacing w:val="14"/>
        </w:rPr>
        <w:t>本基准适用于全省具有生态环境行政许可职能的各</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8"/>
        </w:rPr>
        <w:t>级生态环境部门、行政审批部门的行政许可裁量。</w:t>
      </w:r>
    </w:p>
    <w:p>
      <w:pPr>
        <w:ind w:right="156" w:firstLine="638"/>
        <w:spacing w:before="54"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各地有关生态环境部门、行政审批部门也可以</w:t>
      </w:r>
      <w:r>
        <w:rPr>
          <w:rFonts w:ascii="FangSong_GB2312" w:hAnsi="FangSong_GB2312" w:eastAsia="FangSong_GB2312" w:cs="FangSong_GB2312"/>
          <w:sz w:val="31"/>
          <w:szCs w:val="31"/>
          <w:spacing w:val="13"/>
        </w:rPr>
        <w:t>在本基准的基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础上，做出有利于行政许可相对人的优化调整。</w:t>
      </w:r>
    </w:p>
    <w:p>
      <w:pPr>
        <w:ind w:left="2" w:right="58" w:firstLine="626"/>
        <w:spacing w:before="59" w:line="273"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6"/>
        </w:rPr>
        <w:t>第三条   </w:t>
      </w:r>
      <w:r>
        <w:rPr>
          <w:rFonts w:ascii="FangSong_GB2312" w:hAnsi="FangSong_GB2312" w:eastAsia="FangSong_GB2312" w:cs="FangSong_GB2312"/>
          <w:sz w:val="31"/>
          <w:szCs w:val="31"/>
          <w:spacing w:val="6"/>
        </w:rPr>
        <w:t>实施生态环境行政许可裁量权，应当遵循依法行政、</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8"/>
        </w:rPr>
        <w:t>程序公正、公平合理、高效便民的原则。</w:t>
      </w:r>
    </w:p>
    <w:p>
      <w:pPr>
        <w:ind w:left="13" w:right="156" w:firstLine="615"/>
        <w:spacing w:before="57" w:line="292"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第四条   </w:t>
      </w:r>
      <w:r>
        <w:rPr>
          <w:rFonts w:ascii="FangSong_GB2312" w:hAnsi="FangSong_GB2312" w:eastAsia="FangSong_GB2312" w:cs="FangSong_GB2312"/>
          <w:sz w:val="31"/>
          <w:szCs w:val="31"/>
          <w:spacing w:val="14"/>
        </w:rPr>
        <w:t>省生态环境厅对生态环境行政许可事项及裁量标准</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实行清单管理，并根据法律法规立改废释等情况，及时动态调整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清单。</w:t>
      </w:r>
    </w:p>
    <w:p>
      <w:pPr>
        <w:ind w:left="6" w:right="156" w:firstLine="622"/>
        <w:spacing w:before="48" w:line="292"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第五条   </w:t>
      </w:r>
      <w:r>
        <w:rPr>
          <w:rFonts w:ascii="FangSong_GB2312" w:hAnsi="FangSong_GB2312" w:eastAsia="FangSong_GB2312" w:cs="FangSong_GB2312"/>
          <w:sz w:val="31"/>
          <w:szCs w:val="31"/>
          <w:spacing w:val="14"/>
        </w:rPr>
        <w:t>公民、法人和其他组织依法需要取得行政许可的，</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1"/>
        </w:rPr>
        <w:t>应当按有关要求向行政机关提出申请。</w:t>
      </w:r>
      <w:r>
        <w:rPr>
          <w:rFonts w:ascii="FangSong_GB2312" w:hAnsi="FangSong_GB2312" w:eastAsia="FangSong_GB2312" w:cs="FangSong_GB2312"/>
          <w:sz w:val="31"/>
          <w:szCs w:val="31"/>
          <w:spacing w:val="-84"/>
        </w:rPr>
        <w:t xml:space="preserve"> </w:t>
      </w:r>
      <w:r>
        <w:rPr>
          <w:rFonts w:ascii="FangSong_GB2312" w:hAnsi="FangSong_GB2312" w:eastAsia="FangSong_GB2312" w:cs="FangSong_GB2312"/>
          <w:sz w:val="31"/>
          <w:szCs w:val="31"/>
          <w:spacing w:val="11"/>
        </w:rPr>
        <w:t>申请</w:t>
      </w:r>
      <w:r>
        <w:rPr>
          <w:rFonts w:ascii="FangSong_GB2312" w:hAnsi="FangSong_GB2312" w:eastAsia="FangSong_GB2312" w:cs="FangSong_GB2312"/>
          <w:sz w:val="31"/>
          <w:szCs w:val="31"/>
          <w:spacing w:val="10"/>
        </w:rPr>
        <w:t>方式分为现场申请和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网上申请。</w:t>
      </w:r>
    </w:p>
    <w:p>
      <w:pPr>
        <w:ind w:left="6" w:right="156" w:firstLine="635"/>
        <w:spacing w:before="53" w:line="32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承办行政许可事项的部门应当在许可事项的服务指南或者网</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11"/>
        </w:rPr>
        <w:t>络平台上载明申请人需要提交的材料清单，</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11"/>
        </w:rPr>
        <w:t>以及具</w:t>
      </w:r>
      <w:r>
        <w:rPr>
          <w:rFonts w:ascii="FangSong_GB2312" w:hAnsi="FangSong_GB2312" w:eastAsia="FangSong_GB2312" w:cs="FangSong_GB2312"/>
          <w:sz w:val="31"/>
          <w:szCs w:val="31"/>
          <w:spacing w:val="10"/>
        </w:rPr>
        <w:t>体申请方法和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步骤等注意事项。</w:t>
      </w:r>
    </w:p>
    <w:p>
      <w:pPr>
        <w:ind w:left="8" w:right="156" w:firstLine="620"/>
        <w:spacing w:before="55" w:line="274"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第六条   </w:t>
      </w:r>
      <w:r>
        <w:rPr>
          <w:rFonts w:ascii="FangSong_GB2312" w:hAnsi="FangSong_GB2312" w:eastAsia="FangSong_GB2312" w:cs="FangSong_GB2312"/>
          <w:sz w:val="31"/>
          <w:szCs w:val="31"/>
          <w:spacing w:val="14"/>
        </w:rPr>
        <w:t>对申请材料齐全且符合法定形式的，承办行政许可</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7"/>
        </w:rPr>
        <w:t>事项的部门应当依法受理。</w:t>
      </w:r>
    </w:p>
    <w:p>
      <w:pPr>
        <w:spacing w:line="274" w:lineRule="auto"/>
        <w:sectPr>
          <w:footerReference w:type="default" r:id="rId5"/>
          <w:pgSz w:w="11906" w:h="16839"/>
          <w:pgMar w:top="1431" w:right="1261" w:bottom="1114" w:left="1429" w:header="0" w:footer="836" w:gutter="0"/>
        </w:sectPr>
        <w:rPr>
          <w:rFonts w:ascii="FangSong_GB2312" w:hAnsi="FangSong_GB2312" w:eastAsia="FangSong_GB2312" w:cs="FangSong_GB2312"/>
          <w:sz w:val="31"/>
          <w:szCs w:val="31"/>
        </w:rPr>
      </w:pPr>
    </w:p>
    <w:p>
      <w:pPr>
        <w:pStyle w:val="BodyText"/>
        <w:spacing w:line="245" w:lineRule="auto"/>
        <w:rPr/>
      </w:pPr>
      <w:r/>
    </w:p>
    <w:p>
      <w:pPr>
        <w:pStyle w:val="BodyText"/>
        <w:spacing w:line="246" w:lineRule="auto"/>
        <w:rPr/>
      </w:pPr>
      <w:r/>
    </w:p>
    <w:p>
      <w:pPr>
        <w:pStyle w:val="BodyText"/>
        <w:spacing w:line="246" w:lineRule="auto"/>
        <w:rPr/>
      </w:pPr>
      <w:r/>
    </w:p>
    <w:p>
      <w:pPr>
        <w:ind w:left="11" w:right="97" w:firstLine="644"/>
        <w:spacing w:before="101" w:line="322"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对申请材料不齐全或者不符合法定形式的，应当当场或者五</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9"/>
        </w:rPr>
        <w:t>个工作日</w:t>
      </w:r>
      <w:r>
        <w:rPr>
          <w:rFonts w:ascii="FangSong_GB2312" w:hAnsi="FangSong_GB2312" w:eastAsia="FangSong_GB2312" w:cs="FangSong_GB2312"/>
          <w:sz w:val="31"/>
          <w:szCs w:val="31"/>
          <w:spacing w:val="-93"/>
        </w:rPr>
        <w:t xml:space="preserve"> </w:t>
      </w:r>
      <w:r>
        <w:rPr>
          <w:rFonts w:ascii="FangSong_GB2312" w:hAnsi="FangSong_GB2312" w:eastAsia="FangSong_GB2312" w:cs="FangSong_GB2312"/>
          <w:sz w:val="31"/>
          <w:szCs w:val="31"/>
          <w:spacing w:val="9"/>
        </w:rPr>
        <w:t>内告知需要补正的全部内容，并出具一</w:t>
      </w:r>
      <w:r>
        <w:rPr>
          <w:rFonts w:ascii="FangSong_GB2312" w:hAnsi="FangSong_GB2312" w:eastAsia="FangSong_GB2312" w:cs="FangSong_GB2312"/>
          <w:sz w:val="31"/>
          <w:szCs w:val="31"/>
          <w:spacing w:val="8"/>
        </w:rPr>
        <w:t>次性告知书，</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8"/>
        </w:rPr>
        <w:t>由</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申请人补正后予以受理。</w:t>
      </w:r>
    </w:p>
    <w:p>
      <w:pPr>
        <w:ind w:right="13" w:firstLine="639"/>
        <w:spacing w:before="58" w:line="307"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2"/>
        </w:rPr>
        <w:t>第七条   </w:t>
      </w:r>
      <w:r>
        <w:rPr>
          <w:rFonts w:ascii="FangSong_GB2312" w:hAnsi="FangSong_GB2312" w:eastAsia="FangSong_GB2312" w:cs="FangSong_GB2312"/>
          <w:sz w:val="31"/>
          <w:szCs w:val="31"/>
          <w:spacing w:val="12"/>
        </w:rPr>
        <w:t>对申请事项依法不需要取得行政许可、</w:t>
      </w:r>
      <w:r>
        <w:rPr>
          <w:rFonts w:ascii="FangSong_GB2312" w:hAnsi="FangSong_GB2312" w:eastAsia="FangSong_GB2312" w:cs="FangSong_GB2312"/>
          <w:sz w:val="31"/>
          <w:szCs w:val="31"/>
          <w:spacing w:val="-84"/>
        </w:rPr>
        <w:t xml:space="preserve"> </w:t>
      </w:r>
      <w:r>
        <w:rPr>
          <w:rFonts w:ascii="FangSong_GB2312" w:hAnsi="FangSong_GB2312" w:eastAsia="FangSong_GB2312" w:cs="FangSong_GB2312"/>
          <w:sz w:val="31"/>
          <w:szCs w:val="31"/>
          <w:spacing w:val="11"/>
        </w:rPr>
        <w:t>申请事项依</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1"/>
        </w:rPr>
        <w:t>法不属于职权范围的，</w:t>
      </w:r>
      <w:r>
        <w:rPr>
          <w:rFonts w:ascii="FangSong_GB2312" w:hAnsi="FangSong_GB2312" w:eastAsia="FangSong_GB2312" w:cs="FangSong_GB2312"/>
          <w:sz w:val="31"/>
          <w:szCs w:val="31"/>
          <w:spacing w:val="-77"/>
        </w:rPr>
        <w:t xml:space="preserve"> </w:t>
      </w:r>
      <w:r>
        <w:rPr>
          <w:rFonts w:ascii="FangSong_GB2312" w:hAnsi="FangSong_GB2312" w:eastAsia="FangSong_GB2312" w:cs="FangSong_GB2312"/>
          <w:sz w:val="31"/>
          <w:szCs w:val="31"/>
          <w:spacing w:val="11"/>
        </w:rPr>
        <w:t>以及申请人隐瞒有关情况或者提供虚假材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4"/>
        </w:rPr>
        <w:t>料申请行政许可等情形，行政机关不予受理。对于</w:t>
      </w:r>
      <w:r>
        <w:rPr>
          <w:rFonts w:ascii="FangSong_GB2312" w:hAnsi="FangSong_GB2312" w:eastAsia="FangSong_GB2312" w:cs="FangSong_GB2312"/>
          <w:sz w:val="31"/>
          <w:szCs w:val="31"/>
          <w:spacing w:val="13"/>
        </w:rPr>
        <w:t>不予受理的情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形，承办行政许可事项的部门应当一次性告知申请人理由和依据，</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9"/>
        </w:rPr>
        <w:t>并出具不予受理决定书，送达申请人。</w:t>
      </w:r>
    </w:p>
    <w:p>
      <w:pPr>
        <w:ind w:left="16" w:right="97" w:firstLine="622"/>
        <w:spacing w:before="52" w:line="292"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第八条   </w:t>
      </w:r>
      <w:r>
        <w:rPr>
          <w:rFonts w:ascii="FangSong_GB2312" w:hAnsi="FangSong_GB2312" w:eastAsia="FangSong_GB2312" w:cs="FangSong_GB2312"/>
          <w:sz w:val="31"/>
          <w:szCs w:val="31"/>
          <w:spacing w:val="14"/>
        </w:rPr>
        <w:t>承办行政许可事项的部门在受理行政许可申请时，</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应当优化简化内部工作流程，合理压缩行政许可办理时限，并向</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7"/>
        </w:rPr>
        <w:t>申请人做出限时办结承诺。</w:t>
      </w:r>
    </w:p>
    <w:p>
      <w:pPr>
        <w:ind w:left="18" w:right="97" w:firstLine="620"/>
        <w:spacing w:before="52" w:line="292"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第九条   </w:t>
      </w:r>
      <w:r>
        <w:rPr>
          <w:rFonts w:ascii="FangSong_GB2312" w:hAnsi="FangSong_GB2312" w:eastAsia="FangSong_GB2312" w:cs="FangSong_GB2312"/>
          <w:sz w:val="31"/>
          <w:szCs w:val="31"/>
          <w:spacing w:val="14"/>
        </w:rPr>
        <w:t>承办行政许可事项的部门应当制定其承担的行政许</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可事项的审查工作细则，包括项目信息、审查过程、审查方式、</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5"/>
        </w:rPr>
        <w:t>监督检查要求等。</w:t>
      </w:r>
    </w:p>
    <w:p>
      <w:pPr>
        <w:ind w:left="4" w:firstLine="634"/>
        <w:spacing w:before="55" w:line="274"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6"/>
        </w:rPr>
        <w:t>第十条   </w:t>
      </w:r>
      <w:r>
        <w:rPr>
          <w:rFonts w:ascii="FangSong_GB2312" w:hAnsi="FangSong_GB2312" w:eastAsia="FangSong_GB2312" w:cs="FangSong_GB2312"/>
          <w:sz w:val="31"/>
          <w:szCs w:val="31"/>
          <w:spacing w:val="6"/>
        </w:rPr>
        <w:t>行政机关作出行政许可决定，依法需要听证、检验、</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9"/>
        </w:rPr>
        <w:t>检测、鉴定和专家评审的，所需时间不计算在办理期限内。</w:t>
      </w:r>
    </w:p>
    <w:p>
      <w:pPr>
        <w:ind w:left="16" w:right="97" w:firstLine="622"/>
        <w:spacing w:before="51" w:line="292"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第十一条   </w:t>
      </w:r>
      <w:r>
        <w:rPr>
          <w:rFonts w:ascii="FangSong_GB2312" w:hAnsi="FangSong_GB2312" w:eastAsia="FangSong_GB2312" w:cs="FangSong_GB2312"/>
          <w:sz w:val="31"/>
          <w:szCs w:val="31"/>
          <w:spacing w:val="14"/>
        </w:rPr>
        <w:t>承办行政许可事项的部门能够当场作出决定的，</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应当当场作出书面行政许可决定；不能当场作出决定的，应当在</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8"/>
        </w:rPr>
        <w:t>法定期限内按照规定程序作出行政许可决定。</w:t>
      </w:r>
    </w:p>
    <w:p>
      <w:pPr>
        <w:ind w:left="12" w:right="97" w:firstLine="640"/>
        <w:spacing w:before="53" w:line="32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作出准予行政许可决定，需要颁发行政许可证件的，应当自</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1"/>
        </w:rPr>
        <w:t>作出决定之日起十个工作日</w:t>
      </w:r>
      <w:r>
        <w:rPr>
          <w:rFonts w:ascii="FangSong_GB2312" w:hAnsi="FangSong_GB2312" w:eastAsia="FangSong_GB2312" w:cs="FangSong_GB2312"/>
          <w:sz w:val="31"/>
          <w:szCs w:val="31"/>
          <w:spacing w:val="-89"/>
        </w:rPr>
        <w:t xml:space="preserve"> </w:t>
      </w:r>
      <w:r>
        <w:rPr>
          <w:rFonts w:ascii="FangSong_GB2312" w:hAnsi="FangSong_GB2312" w:eastAsia="FangSong_GB2312" w:cs="FangSong_GB2312"/>
          <w:sz w:val="31"/>
          <w:szCs w:val="31"/>
          <w:spacing w:val="11"/>
        </w:rPr>
        <w:t>内向申请人颁发许可证、执照、登记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证等证件；作出不予许可决定的，应当向申请人出具不予许可决</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rPr>
        <w:t>定书。</w:t>
      </w:r>
    </w:p>
    <w:p>
      <w:pPr>
        <w:spacing w:line="326" w:lineRule="auto"/>
        <w:sectPr>
          <w:footerReference w:type="default" r:id="rId6"/>
          <w:pgSz w:w="11906" w:h="16839"/>
          <w:pgMar w:top="1431" w:right="1320" w:bottom="1114" w:left="1419" w:header="0" w:footer="836" w:gutter="0"/>
        </w:sectPr>
        <w:rPr>
          <w:rFonts w:ascii="FangSong_GB2312" w:hAnsi="FangSong_GB2312" w:eastAsia="FangSong_GB2312" w:cs="FangSong_GB2312"/>
          <w:sz w:val="31"/>
          <w:szCs w:val="31"/>
        </w:rPr>
      </w:pPr>
    </w:p>
    <w:p>
      <w:pPr>
        <w:pStyle w:val="BodyText"/>
        <w:spacing w:line="354" w:lineRule="auto"/>
        <w:rPr/>
      </w:pPr>
      <w:r/>
    </w:p>
    <w:p>
      <w:pPr>
        <w:pStyle w:val="BodyText"/>
        <w:spacing w:line="354" w:lineRule="auto"/>
        <w:rPr/>
      </w:pPr>
      <w:r/>
    </w:p>
    <w:p>
      <w:pPr>
        <w:ind w:left="4" w:right="1" w:firstLine="631"/>
        <w:spacing w:before="133" w:line="292" w:lineRule="auto"/>
        <w:jc w:val="both"/>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第十二条   </w:t>
      </w:r>
      <w:r>
        <w:rPr>
          <w:rFonts w:ascii="FangSong_GB2312" w:hAnsi="FangSong_GB2312" w:eastAsia="FangSong_GB2312" w:cs="FangSong_GB2312"/>
          <w:sz w:val="31"/>
          <w:szCs w:val="31"/>
          <w:spacing w:val="14"/>
        </w:rPr>
        <w:t>行政许可决定应当采取现场领取、委托送达、公</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告送达、邮寄送达等方式及时送达申请人，并以网络形式向社会</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2"/>
        </w:rPr>
        <w:t>公开。</w:t>
      </w:r>
    </w:p>
    <w:p>
      <w:pPr>
        <w:ind w:left="12" w:right="1" w:firstLine="624"/>
        <w:spacing w:before="50" w:line="301" w:lineRule="auto"/>
        <w:jc w:val="both"/>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第十三条   </w:t>
      </w:r>
      <w:r>
        <w:rPr>
          <w:rFonts w:ascii="FangSong_GB2312" w:hAnsi="FangSong_GB2312" w:eastAsia="FangSong_GB2312" w:cs="FangSong_GB2312"/>
          <w:sz w:val="31"/>
          <w:szCs w:val="31"/>
          <w:spacing w:val="14"/>
        </w:rPr>
        <w:t>在行政许可证件有效期内，被许可人要求变更行</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政许可事项的，应当按照变更类型向承办行政许可事项的部门提</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出变更申请，并提交申请变更的材料。符合法定条件的，承办行</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8"/>
        </w:rPr>
        <w:t>政许可事项的部门应当依法办理变更手续。</w:t>
      </w:r>
    </w:p>
    <w:p>
      <w:pPr>
        <w:ind w:left="19" w:right="1" w:firstLine="674"/>
        <w:spacing w:before="56"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申请变更的材料清单、提交方式和步骤等注意事项应</w:t>
      </w:r>
      <w:r>
        <w:rPr>
          <w:rFonts w:ascii="FangSong_GB2312" w:hAnsi="FangSong_GB2312" w:eastAsia="FangSong_GB2312" w:cs="FangSong_GB2312"/>
          <w:sz w:val="31"/>
          <w:szCs w:val="31"/>
          <w:spacing w:val="11"/>
        </w:rPr>
        <w:t>当在许</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可事项的服务指南中载明。</w:t>
      </w:r>
    </w:p>
    <w:p>
      <w:pPr>
        <w:ind w:left="6" w:right="1" w:firstLine="630"/>
        <w:spacing w:before="58" w:line="301" w:lineRule="auto"/>
        <w:jc w:val="both"/>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第十四条   </w:t>
      </w:r>
      <w:r>
        <w:rPr>
          <w:rFonts w:ascii="FangSong_GB2312" w:hAnsi="FangSong_GB2312" w:eastAsia="FangSong_GB2312" w:cs="FangSong_GB2312"/>
          <w:sz w:val="31"/>
          <w:szCs w:val="31"/>
          <w:spacing w:val="14"/>
        </w:rPr>
        <w:t>行政许可有效期届满，需要延续的，应当在有效</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期届满三十日前向承办行政许可事项的部门提出延续申请。承办</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3"/>
        </w:rPr>
        <w:t>行政许可事项的部门应当依照法定条件、标准和规定的审查程序</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8"/>
        </w:rPr>
        <w:t>进行审查；符合条件的，应当准予延续。</w:t>
      </w:r>
    </w:p>
    <w:p>
      <w:pPr>
        <w:ind w:left="45" w:right="1" w:firstLine="590"/>
        <w:spacing w:before="55" w:line="273"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第十五条   </w:t>
      </w:r>
      <w:r>
        <w:rPr>
          <w:rFonts w:ascii="FangSong_GB2312" w:hAnsi="FangSong_GB2312" w:eastAsia="FangSong_GB2312" w:cs="FangSong_GB2312"/>
          <w:sz w:val="31"/>
          <w:szCs w:val="31"/>
          <w:spacing w:val="14"/>
        </w:rPr>
        <w:t>有下列情形之一的，承办行政许可事项的部门应</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3"/>
        </w:rPr>
        <w:t>当依法办理注销手续：</w:t>
      </w:r>
    </w:p>
    <w:p>
      <w:pPr>
        <w:ind w:left="638"/>
        <w:spacing w:before="57"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（一）行政许可有效期届满未延续的；</w:t>
      </w:r>
    </w:p>
    <w:p>
      <w:pPr>
        <w:ind w:left="6" w:right="1" w:firstLine="632"/>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（二）赋予公民特定资格的行政许可，该公民死亡或者丧失</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5"/>
        </w:rPr>
        <w:t>行为能力的；</w:t>
      </w:r>
    </w:p>
    <w:p>
      <w:pPr>
        <w:ind w:left="638"/>
        <w:spacing w:before="193"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（三）法人或者其他组织依法终止的；</w:t>
      </w:r>
    </w:p>
    <w:p>
      <w:pPr>
        <w:ind w:right="1" w:firstLine="638"/>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（四）行政许可依法被撤销、撤回，或者行政许可证件依法</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6"/>
        </w:rPr>
        <w:t>被吊销的；</w:t>
      </w:r>
    </w:p>
    <w:p>
      <w:pPr>
        <w:ind w:left="638"/>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（五）因不可抗力导致行政许可事项无法实施的；</w:t>
      </w:r>
    </w:p>
    <w:p>
      <w:pPr>
        <w:ind w:left="638"/>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（六）法律、法规规定的应当注销行政许可的其他情形。</w:t>
      </w:r>
    </w:p>
    <w:p>
      <w:pPr>
        <w:spacing w:line="219" w:lineRule="auto"/>
        <w:sectPr>
          <w:footerReference w:type="default" r:id="rId7"/>
          <w:pgSz w:w="11906" w:h="16839"/>
          <w:pgMar w:top="1431" w:right="1416" w:bottom="1112" w:left="1422" w:header="0" w:footer="836" w:gutter="0"/>
        </w:sectPr>
        <w:rPr>
          <w:rFonts w:ascii="FangSong_GB2312" w:hAnsi="FangSong_GB2312" w:eastAsia="FangSong_GB2312" w:cs="FangSong_GB2312"/>
          <w:sz w:val="31"/>
          <w:szCs w:val="31"/>
        </w:rPr>
      </w:pPr>
    </w:p>
    <w:p>
      <w:pPr>
        <w:pStyle w:val="BodyText"/>
        <w:spacing w:line="352" w:lineRule="auto"/>
        <w:rPr/>
      </w:pPr>
      <w:r/>
    </w:p>
    <w:p>
      <w:pPr>
        <w:pStyle w:val="BodyText"/>
        <w:spacing w:line="352" w:lineRule="auto"/>
        <w:rPr/>
      </w:pPr>
      <w:r/>
    </w:p>
    <w:p>
      <w:pPr>
        <w:ind w:left="17" w:right="91" w:firstLine="616"/>
        <w:spacing w:before="133" w:line="270" w:lineRule="auto"/>
        <w:jc w:val="both"/>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第十六条   </w:t>
      </w:r>
      <w:r>
        <w:rPr>
          <w:rFonts w:ascii="FangSong_GB2312" w:hAnsi="FangSong_GB2312" w:eastAsia="FangSong_GB2312" w:cs="FangSong_GB2312"/>
          <w:sz w:val="31"/>
          <w:szCs w:val="31"/>
          <w:spacing w:val="14"/>
        </w:rPr>
        <w:t>有下列情形之一的，作出行政许可决定的行政机</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关或者上级行政机关，根据利害关系人的请求或者依据职权，可</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以撤销行政许可：</w:t>
      </w:r>
    </w:p>
    <w:p>
      <w:pPr>
        <w:ind w:left="11" w:right="91" w:firstLine="625"/>
        <w:spacing w:before="3" w:line="32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（一）行政机关工作人员</w:t>
      </w:r>
      <w:hyperlink w:history="true" r:id="rId9">
        <w:r>
          <w:rPr>
            <w:rFonts w:ascii="FangSong_GB2312" w:hAnsi="FangSong_GB2312" w:eastAsia="FangSong_GB2312" w:cs="FangSong_GB2312"/>
            <w:sz w:val="31"/>
            <w:szCs w:val="31"/>
            <w:spacing w:val="14"/>
          </w:rPr>
          <w:t>滥用职权</w:t>
        </w:r>
      </w:hyperlink>
      <w:r>
        <w:rPr>
          <w:rFonts w:ascii="FangSong_GB2312" w:hAnsi="FangSong_GB2312" w:eastAsia="FangSong_GB2312" w:cs="FangSong_GB2312"/>
          <w:sz w:val="31"/>
          <w:szCs w:val="31"/>
          <w:spacing w:val="14"/>
        </w:rPr>
        <w:t>、玩忽职守作出准予行政</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4"/>
        </w:rPr>
        <w:t>许可决定的；</w:t>
      </w:r>
    </w:p>
    <w:p>
      <w:pPr>
        <w:ind w:left="636"/>
        <w:spacing w:before="19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（二）超越法定职权作出准予行政许可决定的；</w:t>
      </w:r>
    </w:p>
    <w:p>
      <w:pPr>
        <w:ind w:left="636"/>
        <w:spacing w:before="193"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（三）违反法定程序作出准予行政许可决定的；</w:t>
      </w:r>
    </w:p>
    <w:p>
      <w:pPr>
        <w:ind w:left="3" w:right="91" w:firstLine="632"/>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（四）对不具备申请资格或者不符合法定条件的申请人准予</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5"/>
        </w:rPr>
        <w:t>行政许可的；</w:t>
      </w:r>
    </w:p>
    <w:p>
      <w:pPr>
        <w:ind w:left="636"/>
        <w:spacing w:before="193"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（五）依法可以撤销行政许可的其他情形。</w:t>
      </w:r>
    </w:p>
    <w:p>
      <w:pPr>
        <w:ind w:left="17" w:right="91" w:firstLine="621"/>
        <w:spacing w:before="193" w:line="31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被许可人以欺骗、贿赂等不正当手段取得行政许可的，应当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予以撤销。</w:t>
      </w:r>
    </w:p>
    <w:p>
      <w:pPr>
        <w:ind w:left="3" w:right="91" w:firstLine="635"/>
        <w:spacing w:before="56" w:line="31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依照前两款的规定撤销行政许可，可能对公共利益造成</w:t>
      </w:r>
      <w:r>
        <w:rPr>
          <w:rFonts w:ascii="FangSong_GB2312" w:hAnsi="FangSong_GB2312" w:eastAsia="FangSong_GB2312" w:cs="FangSong_GB2312"/>
          <w:sz w:val="31"/>
          <w:szCs w:val="31"/>
          <w:spacing w:val="13"/>
        </w:rPr>
        <w:t>重大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损害的，不予撤销。</w:t>
      </w:r>
    </w:p>
    <w:p>
      <w:pPr>
        <w:ind w:left="7" w:firstLine="631"/>
        <w:spacing w:before="51" w:line="32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依照本条第一款的规定撤销行政许可，被许可人的合法</w:t>
      </w:r>
      <w:r>
        <w:rPr>
          <w:rFonts w:ascii="FangSong_GB2312" w:hAnsi="FangSong_GB2312" w:eastAsia="FangSong_GB2312" w:cs="FangSong_GB2312"/>
          <w:sz w:val="31"/>
          <w:szCs w:val="31"/>
          <w:spacing w:val="13"/>
        </w:rPr>
        <w:t>权益</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受到损害的，行政机关应当依法给予赔偿。依照本条第二款的规</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5"/>
        </w:rPr>
        <w:t>定撤销行政许可的，被许可人基于行政许可取得的利益不受保护。</w:t>
      </w:r>
    </w:p>
    <w:p>
      <w:pPr>
        <w:ind w:left="12" w:right="91" w:firstLine="621"/>
        <w:spacing w:before="53" w:line="292"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4"/>
        </w:rPr>
        <w:t>第十七条   </w:t>
      </w:r>
      <w:r>
        <w:rPr>
          <w:rFonts w:ascii="FangSong_GB2312" w:hAnsi="FangSong_GB2312" w:eastAsia="FangSong_GB2312" w:cs="FangSong_GB2312"/>
          <w:sz w:val="31"/>
          <w:szCs w:val="31"/>
          <w:spacing w:val="14"/>
        </w:rPr>
        <w:t>在行政许可证件有效期限内，被许可人的证件遗</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失或者毁损的，可以向承办行政许可事项的部门提出补办申请。</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8"/>
        </w:rPr>
        <w:t>符合法定条件的，承办行政许可事项的部门应当予以补办。</w:t>
      </w:r>
    </w:p>
    <w:p>
      <w:pPr>
        <w:ind w:left="634"/>
        <w:spacing w:before="54" w:line="189" w:lineRule="auto"/>
        <w:rPr>
          <w:rFonts w:ascii="FangSong_GB2312" w:hAnsi="FangSong_GB2312" w:eastAsia="FangSong_GB2312" w:cs="FangSong_GB2312"/>
          <w:sz w:val="31"/>
          <w:szCs w:val="31"/>
        </w:rPr>
      </w:pPr>
      <w:r>
        <w:rPr>
          <w:rFonts w:ascii="Microsoft YaHei" w:hAnsi="Microsoft YaHei" w:eastAsia="Microsoft YaHei" w:cs="Microsoft YaHei"/>
          <w:sz w:val="31"/>
          <w:szCs w:val="31"/>
          <w:spacing w:val="10"/>
        </w:rPr>
        <w:t>第十八条   </w:t>
      </w:r>
      <w:r>
        <w:rPr>
          <w:rFonts w:ascii="FangSong_GB2312" w:hAnsi="FangSong_GB2312" w:eastAsia="FangSong_GB2312" w:cs="FangSong_GB2312"/>
          <w:sz w:val="31"/>
          <w:szCs w:val="31"/>
          <w:spacing w:val="10"/>
        </w:rPr>
        <w:t>本基准自印发之日起施行，有效期五年。</w:t>
      </w:r>
    </w:p>
    <w:p>
      <w:pPr>
        <w:spacing w:line="189" w:lineRule="auto"/>
        <w:sectPr>
          <w:footerReference w:type="default" r:id="rId8"/>
          <w:pgSz w:w="11906" w:h="16839"/>
          <w:pgMar w:top="1431" w:right="1326" w:bottom="1114" w:left="1424" w:header="0" w:footer="836" w:gutter="0"/>
        </w:sectPr>
        <w:rPr>
          <w:rFonts w:ascii="FangSong_GB2312" w:hAnsi="FangSong_GB2312" w:eastAsia="FangSong_GB2312" w:cs="FangSong_GB2312"/>
          <w:sz w:val="31"/>
          <w:szCs w:val="31"/>
        </w:rPr>
      </w:pP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ind w:left="6427"/>
        <w:spacing w:before="167" w:line="23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spacing w:val="9"/>
        </w:rPr>
        <w:t>河北省生态环境行政许可裁量权基准目录清单</w:t>
      </w:r>
    </w:p>
    <w:p>
      <w:pPr>
        <w:spacing w:line="76" w:lineRule="exact"/>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3" w:lineRule="auto"/>
              <w:rPr>
                <w:rFonts w:ascii="Arial"/>
                <w:sz w:val="21"/>
              </w:rPr>
            </w:pPr>
            <w:r/>
          </w:p>
          <w:p>
            <w:pPr>
              <w:ind w:left="157" w:right="154"/>
              <w:spacing w:before="59" w:line="305"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2983" w:hRule="atLeast"/>
        </w:trPr>
        <w:tc>
          <w:tcPr>
            <w:tcW w:w="40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72"/>
              <w:spacing w:before="58" w:line="184" w:lineRule="auto"/>
              <w:rPr/>
            </w:pPr>
            <w:r>
              <w:rPr/>
              <w:t>1</w:t>
            </w:r>
          </w:p>
        </w:tc>
        <w:tc>
          <w:tcPr>
            <w:tcW w:w="88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79"/>
              <w:spacing w:before="58" w:line="221" w:lineRule="auto"/>
              <w:rPr/>
            </w:pPr>
            <w:r>
              <w:rPr>
                <w:spacing w:val="-4"/>
              </w:rPr>
              <w:t>一般建</w:t>
            </w:r>
          </w:p>
          <w:p>
            <w:pPr>
              <w:pStyle w:val="TableText"/>
              <w:ind w:left="179"/>
              <w:spacing w:before="97" w:line="219" w:lineRule="auto"/>
              <w:rPr/>
            </w:pPr>
            <w:r>
              <w:rPr>
                <w:spacing w:val="-4"/>
              </w:rPr>
              <w:t>设项目</w:t>
            </w:r>
          </w:p>
          <w:p>
            <w:pPr>
              <w:pStyle w:val="TableText"/>
              <w:ind w:left="176"/>
              <w:spacing w:before="98" w:line="220" w:lineRule="auto"/>
              <w:rPr/>
            </w:pPr>
            <w:r>
              <w:rPr>
                <w:spacing w:val="-3"/>
              </w:rPr>
              <w:t>环境影</w:t>
            </w:r>
          </w:p>
          <w:p>
            <w:pPr>
              <w:pStyle w:val="TableText"/>
              <w:ind w:left="185"/>
              <w:spacing w:before="97" w:line="218" w:lineRule="auto"/>
              <w:rPr/>
            </w:pPr>
            <w:r>
              <w:rPr>
                <w:spacing w:val="-6"/>
              </w:rPr>
              <w:t>响评价</w:t>
            </w:r>
          </w:p>
          <w:p>
            <w:pPr>
              <w:pStyle w:val="TableText"/>
              <w:ind w:left="274"/>
              <w:spacing w:before="99" w:line="220" w:lineRule="auto"/>
              <w:rPr/>
            </w:pPr>
            <w:r>
              <w:rPr>
                <w:spacing w:val="-9"/>
              </w:rPr>
              <w:t>审批</w:t>
            </w:r>
          </w:p>
        </w:tc>
        <w:tc>
          <w:tcPr>
            <w:tcW w:w="763" w:type="dxa"/>
            <w:vAlign w:val="top"/>
          </w:tcPr>
          <w:p>
            <w:pPr>
              <w:spacing w:line="356" w:lineRule="auto"/>
              <w:rPr>
                <w:rFonts w:ascii="Arial"/>
                <w:sz w:val="21"/>
              </w:rPr>
            </w:pPr>
            <w:r/>
          </w:p>
          <w:p>
            <w:pPr>
              <w:spacing w:line="356" w:lineRule="auto"/>
              <w:rPr>
                <w:rFonts w:ascii="Arial"/>
                <w:sz w:val="21"/>
              </w:rPr>
            </w:pPr>
            <w:r/>
          </w:p>
          <w:p>
            <w:pPr>
              <w:pStyle w:val="TableText"/>
              <w:ind w:left="113" w:right="111" w:firstLine="2"/>
              <w:spacing w:before="58" w:line="315" w:lineRule="auto"/>
              <w:jc w:val="both"/>
              <w:rPr/>
            </w:pPr>
            <w:r>
              <w:rPr>
                <w:spacing w:val="-4"/>
              </w:rPr>
              <w:t>一般建</w:t>
            </w:r>
            <w:r>
              <w:rPr>
                <w:spacing w:val="1"/>
              </w:rPr>
              <w:t xml:space="preserve"> </w:t>
            </w:r>
            <w:r>
              <w:rPr>
                <w:spacing w:val="-3"/>
              </w:rPr>
              <w:t>设项目</w:t>
            </w:r>
            <w:r>
              <w:rPr/>
              <w:t xml:space="preserve"> </w:t>
            </w:r>
            <w:r>
              <w:rPr>
                <w:spacing w:val="-3"/>
              </w:rPr>
              <w:t>环境影</w:t>
            </w:r>
            <w:r>
              <w:rPr/>
              <w:t xml:space="preserve"> </w:t>
            </w:r>
            <w:r>
              <w:rPr>
                <w:spacing w:val="-3"/>
              </w:rPr>
              <w:t>响报告</w:t>
            </w:r>
            <w:r>
              <w:rPr/>
              <w:t xml:space="preserve"> </w:t>
            </w:r>
            <w:r>
              <w:rPr>
                <w:spacing w:val="-3"/>
              </w:rPr>
              <w:t>书审批</w:t>
            </w:r>
          </w:p>
        </w:tc>
        <w:tc>
          <w:tcPr>
            <w:tcW w:w="669" w:type="dxa"/>
            <w:vAlign w:val="top"/>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57" w:right="154" w:firstLine="2"/>
              <w:spacing w:before="58" w:line="312" w:lineRule="auto"/>
              <w:jc w:val="both"/>
              <w:rPr/>
            </w:pPr>
            <w:r>
              <w:rPr>
                <w:spacing w:val="-5"/>
              </w:rPr>
              <w:t>省级</w:t>
            </w:r>
            <w:r>
              <w:rPr/>
              <w:t xml:space="preserve"> </w:t>
            </w:r>
            <w:r>
              <w:rPr>
                <w:spacing w:val="-4"/>
              </w:rPr>
              <w:t>市级</w:t>
            </w:r>
            <w:r>
              <w:rPr/>
              <w:t xml:space="preserve"> </w:t>
            </w:r>
            <w:r>
              <w:rPr>
                <w:spacing w:val="-4"/>
              </w:rPr>
              <w:t>县级</w:t>
            </w:r>
          </w:p>
        </w:tc>
        <w:tc>
          <w:tcPr>
            <w:tcW w:w="640"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27"/>
              <w:spacing w:before="59" w:line="183" w:lineRule="auto"/>
              <w:rPr/>
            </w:pPr>
            <w:r>
              <w:rPr>
                <w:spacing w:val="-4"/>
              </w:rPr>
              <w:t>60</w:t>
            </w:r>
          </w:p>
        </w:tc>
        <w:tc>
          <w:tcPr>
            <w:tcW w:w="355" w:type="dxa"/>
            <w:vAlign w:val="top"/>
            <w:textDirection w:val="tbRlV"/>
          </w:tcPr>
          <w:p>
            <w:pPr>
              <w:pStyle w:val="TableText"/>
              <w:ind w:left="1089"/>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2" w:right="185" w:firstLine="12"/>
              <w:spacing w:before="200" w:line="232" w:lineRule="auto"/>
              <w:rPr/>
            </w:pPr>
            <w:r>
              <w:rPr/>
              <w:t>1.是否符合环境保护相关法律法规。涉及依</w:t>
            </w:r>
            <w:r>
              <w:rPr>
                <w:spacing w:val="-1"/>
              </w:rPr>
              <w:t>法划定的自然保护区、风景名胜区、生活饮用水源</w:t>
            </w:r>
            <w:r>
              <w:rPr/>
              <w:t xml:space="preserve"> </w:t>
            </w:r>
            <w:r>
              <w:rPr/>
              <w:t>保护区及其他需要特别保护的区域的，是否征得相应一级人民政府</w:t>
            </w:r>
            <w:r>
              <w:rPr>
                <w:spacing w:val="-1"/>
              </w:rPr>
              <w:t>或主管部门的同意；</w:t>
            </w:r>
          </w:p>
          <w:p>
            <w:pPr>
              <w:pStyle w:val="TableText"/>
              <w:ind w:left="114" w:right="62" w:hanging="1"/>
              <w:spacing w:before="27" w:line="233" w:lineRule="auto"/>
              <w:rPr/>
            </w:pPr>
            <w:r>
              <w:rPr>
                <w:spacing w:val="-1"/>
              </w:rPr>
              <w:t>2.项目选址、选线、布局是否符合区域、</w:t>
            </w:r>
            <w:r>
              <w:rPr>
                <w:spacing w:val="-2"/>
              </w:rPr>
              <w:t>流域和城市总体规划，是否符合环境和生态功能区划；</w:t>
            </w:r>
            <w:r>
              <w:rPr/>
              <w:t xml:space="preserve"> </w:t>
            </w:r>
            <w:r>
              <w:rPr>
                <w:spacing w:val="-1"/>
              </w:rPr>
              <w:t>3.是否符合国家产业政策和清洁生产要求；</w:t>
            </w:r>
          </w:p>
          <w:p>
            <w:pPr>
              <w:pStyle w:val="TableText"/>
              <w:ind w:left="110"/>
              <w:spacing w:before="26" w:line="219" w:lineRule="auto"/>
              <w:rPr/>
            </w:pPr>
            <w:r>
              <w:rPr/>
              <w:t>4.项目所在区域环境质量能否满足相应环</w:t>
            </w:r>
            <w:r>
              <w:rPr>
                <w:spacing w:val="-1"/>
              </w:rPr>
              <w:t>境功能区划标准；</w:t>
            </w:r>
          </w:p>
          <w:p>
            <w:pPr>
              <w:pStyle w:val="TableText"/>
              <w:ind w:left="112" w:right="185" w:firstLine="2"/>
              <w:spacing w:before="26" w:line="233" w:lineRule="auto"/>
              <w:rPr/>
            </w:pPr>
            <w:r>
              <w:rPr/>
              <w:t>5.拟采取的污染防治措施能否确保污染物排放达到国家和地方规定</w:t>
            </w:r>
            <w:r>
              <w:rPr>
                <w:spacing w:val="-1"/>
              </w:rPr>
              <w:t>的排放标准，满足总量控制</w:t>
            </w:r>
            <w:r>
              <w:rPr/>
              <w:t xml:space="preserve"> </w:t>
            </w:r>
            <w:r>
              <w:rPr>
                <w:spacing w:val="-3"/>
              </w:rPr>
              <w:t>要求；</w:t>
            </w:r>
          </w:p>
          <w:p>
            <w:pPr>
              <w:pStyle w:val="TableText"/>
              <w:ind w:left="112"/>
              <w:spacing w:before="25" w:line="219" w:lineRule="auto"/>
              <w:rPr/>
            </w:pPr>
            <w:r>
              <w:rPr>
                <w:spacing w:val="-1"/>
              </w:rPr>
              <w:t>6.拟采取的生态保护措施能否有效预防和控制生态破坏；</w:t>
            </w:r>
          </w:p>
          <w:p>
            <w:pPr>
              <w:pStyle w:val="TableText"/>
              <w:ind w:left="112" w:right="185" w:firstLine="3"/>
              <w:spacing w:before="27" w:line="232" w:lineRule="auto"/>
              <w:rPr/>
            </w:pPr>
            <w:r>
              <w:rPr/>
              <w:t>7.建设项目的环境影响报告书的基础资料数据真实，内容不存在</w:t>
            </w:r>
            <w:r>
              <w:rPr>
                <w:spacing w:val="-1"/>
              </w:rPr>
              <w:t>重大缺陷、遗漏，环境影响评</w:t>
            </w:r>
            <w:r>
              <w:rPr/>
              <w:t xml:space="preserve"> </w:t>
            </w:r>
            <w:r>
              <w:rPr>
                <w:spacing w:val="-1"/>
              </w:rPr>
              <w:t>价结论明确、合理；</w:t>
            </w:r>
          </w:p>
          <w:p>
            <w:pPr>
              <w:pStyle w:val="TableText"/>
              <w:ind w:left="112"/>
              <w:spacing w:before="27" w:line="217" w:lineRule="auto"/>
              <w:rPr/>
            </w:pPr>
            <w:r>
              <w:rPr>
                <w:spacing w:val="-1"/>
              </w:rPr>
              <w:t>8.法律规定其他应核验的内容。</w:t>
            </w:r>
          </w:p>
        </w:tc>
        <w:tc>
          <w:tcPr>
            <w:tcW w:w="368" w:type="dxa"/>
            <w:vAlign w:val="top"/>
            <w:textDirection w:val="tbRlV"/>
          </w:tcPr>
          <w:p>
            <w:pPr>
              <w:pStyle w:val="TableText"/>
              <w:ind w:left="1089"/>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142"/>
              <w:spacing w:before="59" w:line="220" w:lineRule="auto"/>
              <w:rPr/>
            </w:pPr>
            <w:r>
              <w:rPr>
                <w:spacing w:val="-2"/>
              </w:rPr>
              <w:t>关于一般建</w:t>
            </w:r>
          </w:p>
          <w:p>
            <w:pPr>
              <w:pStyle w:val="TableText"/>
              <w:ind w:left="142"/>
              <w:spacing w:before="97" w:line="219" w:lineRule="auto"/>
              <w:rPr/>
            </w:pPr>
            <w:r>
              <w:rPr>
                <w:spacing w:val="-2"/>
              </w:rPr>
              <w:t>设项目环境</w:t>
            </w:r>
          </w:p>
          <w:p>
            <w:pPr>
              <w:pStyle w:val="TableText"/>
              <w:ind w:left="139"/>
              <w:spacing w:before="98" w:line="218" w:lineRule="auto"/>
              <w:rPr/>
            </w:pPr>
            <w:r>
              <w:rPr>
                <w:spacing w:val="-2"/>
              </w:rPr>
              <w:t>影响报告书</w:t>
            </w:r>
          </w:p>
          <w:p>
            <w:pPr>
              <w:pStyle w:val="TableText"/>
              <w:ind w:left="334"/>
              <w:spacing w:before="99" w:line="220" w:lineRule="auto"/>
              <w:rPr/>
            </w:pPr>
            <w:r>
              <w:rPr>
                <w:spacing w:val="-8"/>
              </w:rPr>
              <w:t>的批复</w:t>
            </w:r>
          </w:p>
        </w:tc>
        <w:tc>
          <w:tcPr>
            <w:tcW w:w="4568" w:type="dxa"/>
            <w:vAlign w:val="top"/>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115" w:right="1083" w:firstLine="11"/>
              <w:spacing w:before="59" w:line="306" w:lineRule="auto"/>
              <w:rPr/>
            </w:pPr>
            <w:r>
              <w:rPr>
                <w:spacing w:val="-4"/>
              </w:rPr>
              <w:t>1.建设项目环境影响评价文件报批申请表；</w:t>
            </w:r>
            <w:r>
              <w:rPr>
                <w:spacing w:val="11"/>
              </w:rPr>
              <w:t xml:space="preserve"> </w:t>
            </w:r>
            <w:r>
              <w:rPr>
                <w:spacing w:val="-1"/>
              </w:rPr>
              <w:t>2.建设项目环境影响报告书；</w:t>
            </w:r>
          </w:p>
          <w:p>
            <w:pPr>
              <w:pStyle w:val="TableText"/>
              <w:ind w:left="117"/>
              <w:spacing w:before="27" w:line="219" w:lineRule="auto"/>
              <w:rPr/>
            </w:pPr>
            <w:r>
              <w:rPr>
                <w:spacing w:val="-1"/>
              </w:rPr>
              <w:t>3.建设项目公众参与说明；</w:t>
            </w:r>
          </w:p>
          <w:p>
            <w:pPr>
              <w:pStyle w:val="TableText"/>
              <w:ind w:left="113"/>
              <w:spacing w:before="98" w:line="219" w:lineRule="auto"/>
              <w:rPr/>
            </w:pPr>
            <w:r>
              <w:rPr>
                <w:spacing w:val="-1"/>
              </w:rPr>
              <w:t>4.产能过剩行业项目需提交立项批复或备案准予文件。</w:t>
            </w:r>
          </w:p>
        </w:tc>
        <w:tc>
          <w:tcPr>
            <w:tcW w:w="2753" w:type="dxa"/>
            <w:vAlign w:val="top"/>
          </w:tcPr>
          <w:p>
            <w:pPr>
              <w:spacing w:line="249"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8" w:line="311" w:lineRule="auto"/>
              <w:jc w:val="both"/>
              <w:rPr/>
            </w:pPr>
            <w:r>
              <w:rPr>
                <w:spacing w:val="-4"/>
              </w:rPr>
              <w:t>6.特殊环节（部分情况下开展</w:t>
            </w:r>
            <w:r>
              <w:rPr>
                <w:spacing w:val="-36"/>
              </w:rPr>
              <w:t>）：</w:t>
            </w:r>
            <w:r>
              <w:rPr/>
              <w:t xml:space="preserve"> </w:t>
            </w:r>
            <w:r>
              <w:rPr>
                <w:spacing w:val="-1"/>
              </w:rPr>
              <w:t>技术评估、现场勘验、听证等所</w:t>
            </w:r>
            <w:r>
              <w:rPr>
                <w:spacing w:val="5"/>
              </w:rPr>
              <w:t xml:space="preserve"> </w:t>
            </w:r>
            <w:r>
              <w:rPr>
                <w:spacing w:val="-1"/>
              </w:rPr>
              <w:t>需时间不计入审批时限。</w:t>
            </w:r>
          </w:p>
        </w:tc>
        <w:tc>
          <w:tcPr>
            <w:tcW w:w="768" w:type="dxa"/>
            <w:vAlign w:val="top"/>
          </w:tcPr>
          <w:p>
            <w:pPr>
              <w:rPr>
                <w:rFonts w:ascii="Arial"/>
                <w:sz w:val="21"/>
              </w:rPr>
            </w:pPr>
            <w:r/>
          </w:p>
        </w:tc>
      </w:tr>
      <w:tr>
        <w:trPr>
          <w:trHeight w:val="3083"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112" w:right="111" w:firstLine="3"/>
              <w:spacing w:before="58" w:line="315" w:lineRule="auto"/>
              <w:jc w:val="both"/>
              <w:rPr/>
            </w:pPr>
            <w:r>
              <w:rPr>
                <w:spacing w:val="-4"/>
              </w:rPr>
              <w:t>一般建</w:t>
            </w:r>
            <w:r>
              <w:rPr>
                <w:spacing w:val="1"/>
              </w:rPr>
              <w:t xml:space="preserve"> </w:t>
            </w:r>
            <w:r>
              <w:rPr>
                <w:spacing w:val="-3"/>
              </w:rPr>
              <w:t>设项目</w:t>
            </w:r>
            <w:r>
              <w:rPr>
                <w:spacing w:val="1"/>
              </w:rPr>
              <w:t xml:space="preserve"> </w:t>
            </w:r>
            <w:r>
              <w:rPr>
                <w:spacing w:val="-3"/>
              </w:rPr>
              <w:t>环境影</w:t>
            </w:r>
            <w:r>
              <w:rPr>
                <w:spacing w:val="1"/>
              </w:rPr>
              <w:t xml:space="preserve"> </w:t>
            </w:r>
            <w:r>
              <w:rPr>
                <w:spacing w:val="-3"/>
              </w:rPr>
              <w:t>响报告</w:t>
            </w:r>
            <w:r>
              <w:rPr>
                <w:spacing w:val="1"/>
              </w:rPr>
              <w:t xml:space="preserve"> </w:t>
            </w:r>
            <w:r>
              <w:rPr>
                <w:spacing w:val="-3"/>
              </w:rPr>
              <w:t>表审批</w:t>
            </w:r>
          </w:p>
        </w:tc>
        <w:tc>
          <w:tcPr>
            <w:tcW w:w="669"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57" w:right="154" w:firstLine="2"/>
              <w:spacing w:before="59" w:line="312" w:lineRule="auto"/>
              <w:jc w:val="both"/>
              <w:rPr/>
            </w:pPr>
            <w:r>
              <w:rPr>
                <w:spacing w:val="-5"/>
              </w:rPr>
              <w:t>省级</w:t>
            </w:r>
            <w:r>
              <w:rPr/>
              <w:t xml:space="preserve"> </w:t>
            </w:r>
            <w:r>
              <w:rPr>
                <w:spacing w:val="-4"/>
              </w:rPr>
              <w:t>市级</w:t>
            </w:r>
            <w:r>
              <w:rPr/>
              <w:t xml:space="preserve"> </w:t>
            </w:r>
            <w:r>
              <w:rPr>
                <w:spacing w:val="-4"/>
              </w:rPr>
              <w:t>县级</w:t>
            </w:r>
          </w:p>
        </w:tc>
        <w:tc>
          <w:tcPr>
            <w:tcW w:w="640"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29"/>
              <w:spacing w:before="58" w:line="183" w:lineRule="auto"/>
              <w:rPr/>
            </w:pPr>
            <w:r>
              <w:rPr>
                <w:spacing w:val="-5"/>
              </w:rPr>
              <w:t>30</w:t>
            </w:r>
          </w:p>
        </w:tc>
        <w:tc>
          <w:tcPr>
            <w:tcW w:w="355" w:type="dxa"/>
            <w:vAlign w:val="top"/>
            <w:textDirection w:val="tbRlV"/>
          </w:tcPr>
          <w:p>
            <w:pPr>
              <w:pStyle w:val="TableText"/>
              <w:ind w:left="1142"/>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2" w:right="185" w:firstLine="12"/>
              <w:spacing w:before="253" w:line="232" w:lineRule="auto"/>
              <w:rPr/>
            </w:pPr>
            <w:r>
              <w:rPr/>
              <w:t>1.是否符合环境保护相关法律法规。涉及依</w:t>
            </w:r>
            <w:r>
              <w:rPr>
                <w:spacing w:val="-1"/>
              </w:rPr>
              <w:t>法划定的自然保护区、风景名胜区、生活饮用水源</w:t>
            </w:r>
            <w:r>
              <w:rPr/>
              <w:t xml:space="preserve"> </w:t>
            </w:r>
            <w:r>
              <w:rPr/>
              <w:t>保护区及其他需要特别保护的区域的，是否征得相应一级人民政府</w:t>
            </w:r>
            <w:r>
              <w:rPr>
                <w:spacing w:val="-1"/>
              </w:rPr>
              <w:t>或主管部门的同意；</w:t>
            </w:r>
          </w:p>
          <w:p>
            <w:pPr>
              <w:pStyle w:val="TableText"/>
              <w:ind w:left="114" w:right="62" w:hanging="1"/>
              <w:spacing w:before="27" w:line="233" w:lineRule="auto"/>
              <w:rPr/>
            </w:pPr>
            <w:r>
              <w:rPr>
                <w:spacing w:val="-1"/>
              </w:rPr>
              <w:t>2.项目选址、选线、布局是否符合区域、</w:t>
            </w:r>
            <w:r>
              <w:rPr>
                <w:spacing w:val="-2"/>
              </w:rPr>
              <w:t>流域和城市总体规划，是否符合环境和生态功能区划；</w:t>
            </w:r>
            <w:r>
              <w:rPr/>
              <w:t xml:space="preserve"> </w:t>
            </w:r>
            <w:r>
              <w:rPr>
                <w:spacing w:val="-1"/>
              </w:rPr>
              <w:t>3.是否符合国家产业政策和清洁生产要求；</w:t>
            </w:r>
          </w:p>
          <w:p>
            <w:pPr>
              <w:pStyle w:val="TableText"/>
              <w:ind w:left="110"/>
              <w:spacing w:before="26" w:line="219" w:lineRule="auto"/>
              <w:rPr/>
            </w:pPr>
            <w:r>
              <w:rPr/>
              <w:t>4.项目所在区域环境质量能否满足相应环</w:t>
            </w:r>
            <w:r>
              <w:rPr>
                <w:spacing w:val="-1"/>
              </w:rPr>
              <w:t>境功能区划标准；</w:t>
            </w:r>
          </w:p>
          <w:p>
            <w:pPr>
              <w:pStyle w:val="TableText"/>
              <w:ind w:left="112" w:right="185" w:firstLine="2"/>
              <w:spacing w:before="26" w:line="233" w:lineRule="auto"/>
              <w:rPr/>
            </w:pPr>
            <w:r>
              <w:rPr/>
              <w:t>5.拟采取的污染防治措施能否确保污染物排放达到国家和地方规定</w:t>
            </w:r>
            <w:r>
              <w:rPr>
                <w:spacing w:val="-1"/>
              </w:rPr>
              <w:t>的排放标准，满足总量控制</w:t>
            </w:r>
            <w:r>
              <w:rPr/>
              <w:t xml:space="preserve"> </w:t>
            </w:r>
            <w:r>
              <w:rPr>
                <w:spacing w:val="-3"/>
              </w:rPr>
              <w:t>要求；</w:t>
            </w:r>
          </w:p>
          <w:p>
            <w:pPr>
              <w:pStyle w:val="TableText"/>
              <w:ind w:left="112"/>
              <w:spacing w:before="25" w:line="219" w:lineRule="auto"/>
              <w:rPr/>
            </w:pPr>
            <w:r>
              <w:rPr>
                <w:spacing w:val="-1"/>
              </w:rPr>
              <w:t>6.拟采取的生态保护措施能否有效预防和控制生态破坏；</w:t>
            </w:r>
          </w:p>
          <w:p>
            <w:pPr>
              <w:pStyle w:val="TableText"/>
              <w:ind w:left="112" w:right="185" w:firstLine="3"/>
              <w:spacing w:before="27" w:line="232" w:lineRule="auto"/>
              <w:rPr/>
            </w:pPr>
            <w:r>
              <w:rPr/>
              <w:t>7.建设项目的环境影响报告表的基础资料数据真实，内容不存在</w:t>
            </w:r>
            <w:r>
              <w:rPr>
                <w:spacing w:val="-1"/>
              </w:rPr>
              <w:t>重大缺陷、遗漏，环境影响评</w:t>
            </w:r>
            <w:r>
              <w:rPr/>
              <w:t xml:space="preserve"> </w:t>
            </w:r>
            <w:r>
              <w:rPr>
                <w:spacing w:val="-1"/>
              </w:rPr>
              <w:t>价结论明确、合理；</w:t>
            </w:r>
          </w:p>
          <w:p>
            <w:pPr>
              <w:pStyle w:val="TableText"/>
              <w:ind w:left="112"/>
              <w:spacing w:before="27" w:line="217" w:lineRule="auto"/>
              <w:rPr/>
            </w:pPr>
            <w:r>
              <w:rPr>
                <w:spacing w:val="-1"/>
              </w:rPr>
              <w:t>8.法律规定其他应核验的内容。</w:t>
            </w:r>
          </w:p>
        </w:tc>
        <w:tc>
          <w:tcPr>
            <w:tcW w:w="368" w:type="dxa"/>
            <w:vAlign w:val="top"/>
            <w:textDirection w:val="tbRlV"/>
          </w:tcPr>
          <w:p>
            <w:pPr>
              <w:pStyle w:val="TableText"/>
              <w:ind w:left="1142"/>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307" w:lineRule="auto"/>
              <w:rPr>
                <w:rFonts w:ascii="Arial"/>
                <w:sz w:val="21"/>
              </w:rPr>
            </w:pPr>
            <w:r/>
          </w:p>
          <w:p>
            <w:pPr>
              <w:spacing w:line="307" w:lineRule="auto"/>
              <w:rPr>
                <w:rFonts w:ascii="Arial"/>
                <w:sz w:val="21"/>
              </w:rPr>
            </w:pPr>
            <w:r/>
          </w:p>
          <w:p>
            <w:pPr>
              <w:spacing w:line="308" w:lineRule="auto"/>
              <w:rPr>
                <w:rFonts w:ascii="Arial"/>
                <w:sz w:val="21"/>
              </w:rPr>
            </w:pPr>
            <w:r/>
          </w:p>
          <w:p>
            <w:pPr>
              <w:pStyle w:val="TableText"/>
              <w:ind w:left="142"/>
              <w:spacing w:before="58" w:line="220" w:lineRule="auto"/>
              <w:rPr/>
            </w:pPr>
            <w:r>
              <w:rPr>
                <w:spacing w:val="-2"/>
              </w:rPr>
              <w:t>关于一般建</w:t>
            </w:r>
          </w:p>
          <w:p>
            <w:pPr>
              <w:pStyle w:val="TableText"/>
              <w:ind w:left="142"/>
              <w:spacing w:before="97" w:line="219" w:lineRule="auto"/>
              <w:rPr/>
            </w:pPr>
            <w:r>
              <w:rPr>
                <w:spacing w:val="-2"/>
              </w:rPr>
              <w:t>设项目环境</w:t>
            </w:r>
          </w:p>
          <w:p>
            <w:pPr>
              <w:pStyle w:val="TableText"/>
              <w:ind w:left="139"/>
              <w:spacing w:before="98" w:line="218" w:lineRule="auto"/>
              <w:rPr/>
            </w:pPr>
            <w:r>
              <w:rPr>
                <w:spacing w:val="-2"/>
              </w:rPr>
              <w:t>影响报告表</w:t>
            </w:r>
          </w:p>
          <w:p>
            <w:pPr>
              <w:pStyle w:val="TableText"/>
              <w:ind w:left="334"/>
              <w:spacing w:before="99" w:line="220" w:lineRule="auto"/>
              <w:rPr/>
            </w:pPr>
            <w:r>
              <w:rPr>
                <w:spacing w:val="-8"/>
              </w:rPr>
              <w:t>的批复</w:t>
            </w:r>
          </w:p>
        </w:tc>
        <w:tc>
          <w:tcPr>
            <w:tcW w:w="4568"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115" w:right="1083" w:firstLine="11"/>
              <w:spacing w:before="58" w:line="306" w:lineRule="auto"/>
              <w:rPr/>
            </w:pPr>
            <w:r>
              <w:rPr>
                <w:spacing w:val="-4"/>
              </w:rPr>
              <w:t>1.建设项目环境影响评价文件报批申请表；</w:t>
            </w:r>
            <w:r>
              <w:rPr>
                <w:spacing w:val="11"/>
              </w:rPr>
              <w:t xml:space="preserve"> </w:t>
            </w:r>
            <w:r>
              <w:rPr>
                <w:spacing w:val="-1"/>
              </w:rPr>
              <w:t>2.建设项目环境影响报告表；</w:t>
            </w:r>
          </w:p>
          <w:p>
            <w:pPr>
              <w:pStyle w:val="TableText"/>
              <w:ind w:left="117"/>
              <w:spacing w:before="27" w:line="219" w:lineRule="auto"/>
              <w:rPr/>
            </w:pPr>
            <w:r>
              <w:rPr>
                <w:spacing w:val="-1"/>
              </w:rPr>
              <w:t>3.产能过剩行业项目需提交立项批复或备案准予文件。</w:t>
            </w:r>
          </w:p>
        </w:tc>
        <w:tc>
          <w:tcPr>
            <w:tcW w:w="2753" w:type="dxa"/>
            <w:vAlign w:val="top"/>
          </w:tcPr>
          <w:p>
            <w:pPr>
              <w:spacing w:line="302"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8" w:line="311" w:lineRule="auto"/>
              <w:jc w:val="both"/>
              <w:rPr/>
            </w:pPr>
            <w:r>
              <w:rPr>
                <w:spacing w:val="-4"/>
              </w:rPr>
              <w:t>6.特殊环节（部分情况下开展</w:t>
            </w:r>
            <w:r>
              <w:rPr>
                <w:spacing w:val="-36"/>
              </w:rPr>
              <w:t>）：</w:t>
            </w:r>
            <w:r>
              <w:rPr/>
              <w:t xml:space="preserve"> </w:t>
            </w:r>
            <w:r>
              <w:rPr>
                <w:spacing w:val="-1"/>
              </w:rPr>
              <w:t>技术评估、现场勘验、听证等所</w:t>
            </w:r>
            <w:r>
              <w:rPr>
                <w:spacing w:val="5"/>
              </w:rPr>
              <w:t xml:space="preserve"> </w:t>
            </w:r>
            <w:r>
              <w:rPr>
                <w:spacing w:val="-1"/>
              </w:rPr>
              <w:t>需时间不计入审批时限。</w:t>
            </w:r>
          </w:p>
        </w:tc>
        <w:tc>
          <w:tcPr>
            <w:tcW w:w="768" w:type="dxa"/>
            <w:vAlign w:val="top"/>
          </w:tcPr>
          <w:p>
            <w:pPr>
              <w:rPr>
                <w:rFonts w:ascii="Arial"/>
                <w:sz w:val="21"/>
              </w:rPr>
            </w:pPr>
            <w:r/>
          </w:p>
        </w:tc>
      </w:tr>
      <w:tr>
        <w:trPr>
          <w:trHeight w:val="3056" w:hRule="atLeast"/>
        </w:trPr>
        <w:tc>
          <w:tcPr>
            <w:tcW w:w="400"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60"/>
              <w:spacing w:before="59" w:line="183" w:lineRule="auto"/>
              <w:rPr/>
            </w:pPr>
            <w:r>
              <w:rPr/>
              <w:t>2</w:t>
            </w:r>
          </w:p>
        </w:tc>
        <w:tc>
          <w:tcPr>
            <w:tcW w:w="886" w:type="dxa"/>
            <w:vAlign w:val="top"/>
          </w:tcPr>
          <w:p>
            <w:pPr>
              <w:spacing w:line="298" w:lineRule="auto"/>
              <w:rPr>
                <w:rFonts w:ascii="Arial"/>
                <w:sz w:val="21"/>
              </w:rPr>
            </w:pPr>
            <w:r/>
          </w:p>
          <w:p>
            <w:pPr>
              <w:spacing w:line="299" w:lineRule="auto"/>
              <w:rPr>
                <w:rFonts w:ascii="Arial"/>
                <w:sz w:val="21"/>
              </w:rPr>
            </w:pPr>
            <w:r/>
          </w:p>
          <w:p>
            <w:pPr>
              <w:pStyle w:val="TableText"/>
              <w:ind w:left="178"/>
              <w:spacing w:before="59" w:line="219" w:lineRule="auto"/>
              <w:rPr/>
            </w:pPr>
            <w:r>
              <w:rPr>
                <w:spacing w:val="-4"/>
              </w:rPr>
              <w:t>核与辐</w:t>
            </w:r>
          </w:p>
          <w:p>
            <w:pPr>
              <w:pStyle w:val="TableText"/>
              <w:ind w:left="176"/>
              <w:spacing w:before="99" w:line="219" w:lineRule="auto"/>
              <w:rPr/>
            </w:pPr>
            <w:r>
              <w:rPr>
                <w:spacing w:val="-3"/>
              </w:rPr>
              <w:t>射类建</w:t>
            </w:r>
          </w:p>
          <w:p>
            <w:pPr>
              <w:pStyle w:val="TableText"/>
              <w:ind w:left="179"/>
              <w:spacing w:before="98" w:line="219" w:lineRule="auto"/>
              <w:rPr/>
            </w:pPr>
            <w:r>
              <w:rPr>
                <w:spacing w:val="-4"/>
              </w:rPr>
              <w:t>设项目</w:t>
            </w:r>
          </w:p>
          <w:p>
            <w:pPr>
              <w:pStyle w:val="TableText"/>
              <w:ind w:left="176"/>
              <w:spacing w:before="98" w:line="220" w:lineRule="auto"/>
              <w:rPr/>
            </w:pPr>
            <w:r>
              <w:rPr>
                <w:spacing w:val="-3"/>
              </w:rPr>
              <w:t>环境影</w:t>
            </w:r>
          </w:p>
          <w:p>
            <w:pPr>
              <w:pStyle w:val="TableText"/>
              <w:ind w:left="185"/>
              <w:spacing w:before="97" w:line="218" w:lineRule="auto"/>
              <w:rPr/>
            </w:pPr>
            <w:r>
              <w:rPr>
                <w:spacing w:val="-6"/>
              </w:rPr>
              <w:t>响评价</w:t>
            </w:r>
          </w:p>
          <w:p>
            <w:pPr>
              <w:pStyle w:val="TableText"/>
              <w:ind w:left="274"/>
              <w:spacing w:before="99" w:line="220" w:lineRule="auto"/>
              <w:rPr/>
            </w:pPr>
            <w:r>
              <w:rPr>
                <w:spacing w:val="-9"/>
              </w:rPr>
              <w:t>审批</w:t>
            </w:r>
          </w:p>
        </w:tc>
        <w:tc>
          <w:tcPr>
            <w:tcW w:w="763" w:type="dxa"/>
            <w:vAlign w:val="top"/>
          </w:tcPr>
          <w:p>
            <w:pPr>
              <w:spacing w:line="300" w:lineRule="auto"/>
              <w:rPr>
                <w:rFonts w:ascii="Arial"/>
                <w:sz w:val="21"/>
              </w:rPr>
            </w:pPr>
            <w:r/>
          </w:p>
          <w:p>
            <w:pPr>
              <w:spacing w:line="300" w:lineRule="auto"/>
              <w:rPr>
                <w:rFonts w:ascii="Arial"/>
                <w:sz w:val="21"/>
              </w:rPr>
            </w:pPr>
            <w:r/>
          </w:p>
          <w:p>
            <w:pPr>
              <w:pStyle w:val="TableText"/>
              <w:ind w:left="113" w:right="111" w:firstLine="2"/>
              <w:spacing w:before="59" w:line="315" w:lineRule="auto"/>
              <w:jc w:val="both"/>
              <w:rPr/>
            </w:pPr>
            <w:r>
              <w:rPr>
                <w:spacing w:val="-4"/>
              </w:rPr>
              <w:t>核与辐</w:t>
            </w:r>
            <w:r>
              <w:rPr>
                <w:spacing w:val="1"/>
              </w:rPr>
              <w:t xml:space="preserve"> </w:t>
            </w:r>
            <w:r>
              <w:rPr>
                <w:spacing w:val="-3"/>
              </w:rPr>
              <w:t>射类建</w:t>
            </w:r>
            <w:r>
              <w:rPr/>
              <w:t xml:space="preserve"> </w:t>
            </w:r>
            <w:r>
              <w:rPr>
                <w:spacing w:val="-3"/>
              </w:rPr>
              <w:t>设项目</w:t>
            </w:r>
            <w:r>
              <w:rPr/>
              <w:t xml:space="preserve"> </w:t>
            </w:r>
            <w:r>
              <w:rPr>
                <w:spacing w:val="-3"/>
              </w:rPr>
              <w:t>环境影</w:t>
            </w:r>
            <w:r>
              <w:rPr/>
              <w:t xml:space="preserve"> </w:t>
            </w:r>
            <w:r>
              <w:rPr>
                <w:spacing w:val="-3"/>
              </w:rPr>
              <w:t>响报告</w:t>
            </w:r>
            <w:r>
              <w:rPr/>
              <w:t xml:space="preserve"> </w:t>
            </w:r>
            <w:r>
              <w:rPr>
                <w:spacing w:val="-3"/>
              </w:rPr>
              <w:t>书审批</w:t>
            </w:r>
          </w:p>
        </w:tc>
        <w:tc>
          <w:tcPr>
            <w:tcW w:w="66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227"/>
              <w:spacing w:before="59" w:line="183" w:lineRule="auto"/>
              <w:rPr/>
            </w:pPr>
            <w:r>
              <w:rPr>
                <w:spacing w:val="-4"/>
              </w:rPr>
              <w:t>60</w:t>
            </w:r>
          </w:p>
        </w:tc>
        <w:tc>
          <w:tcPr>
            <w:tcW w:w="355" w:type="dxa"/>
            <w:vAlign w:val="top"/>
            <w:textDirection w:val="tbRlV"/>
          </w:tcPr>
          <w:p>
            <w:pPr>
              <w:pStyle w:val="TableText"/>
              <w:ind w:left="1128"/>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69" w:lineRule="auto"/>
              <w:rPr>
                <w:rFonts w:ascii="Arial"/>
                <w:sz w:val="21"/>
              </w:rPr>
            </w:pPr>
            <w:r/>
          </w:p>
          <w:p>
            <w:pPr>
              <w:spacing w:line="269" w:lineRule="auto"/>
              <w:rPr>
                <w:rFonts w:ascii="Arial"/>
                <w:sz w:val="21"/>
              </w:rPr>
            </w:pPr>
            <w:r/>
          </w:p>
          <w:p>
            <w:pPr>
              <w:pStyle w:val="TableText"/>
              <w:ind w:left="124"/>
              <w:spacing w:before="59" w:line="217" w:lineRule="auto"/>
              <w:rPr/>
            </w:pPr>
            <w:r>
              <w:rPr>
                <w:spacing w:val="-1"/>
              </w:rPr>
              <w:t>1.建设项目类型及其选址、布局、规模等符合环境保护法律法规和相关法定规划；</w:t>
            </w:r>
          </w:p>
          <w:p>
            <w:pPr>
              <w:pStyle w:val="TableText"/>
              <w:ind w:left="112" w:right="185" w:firstLine="1"/>
              <w:spacing w:before="27" w:line="233" w:lineRule="auto"/>
              <w:rPr/>
            </w:pPr>
            <w:r>
              <w:rPr/>
              <w:t>2.所在区域环境质量达到国家或者地方环境质量标准，且建设项目拟</w:t>
            </w:r>
            <w:r>
              <w:rPr>
                <w:spacing w:val="-1"/>
              </w:rPr>
              <w:t>采取的措施能满足区域环</w:t>
            </w:r>
            <w:r>
              <w:rPr/>
              <w:t xml:space="preserve"> </w:t>
            </w:r>
            <w:r>
              <w:rPr>
                <w:spacing w:val="-1"/>
              </w:rPr>
              <w:t>境质量改善目标管理要求；</w:t>
            </w:r>
          </w:p>
          <w:p>
            <w:pPr>
              <w:pStyle w:val="TableText"/>
              <w:ind w:left="122" w:right="185" w:hanging="7"/>
              <w:spacing w:before="24" w:line="233" w:lineRule="auto"/>
              <w:rPr/>
            </w:pPr>
            <w:r>
              <w:rPr/>
              <w:t>3.建设项目采取的污染防治措施能确保污染物排放达到国家和地方</w:t>
            </w:r>
            <w:r>
              <w:rPr>
                <w:spacing w:val="-1"/>
              </w:rPr>
              <w:t>排放标准，采取必要措施预</w:t>
            </w:r>
            <w:r>
              <w:rPr/>
              <w:t xml:space="preserve"> </w:t>
            </w:r>
            <w:r>
              <w:rPr>
                <w:spacing w:val="-1"/>
              </w:rPr>
              <w:t>防和控制生态破坏；可能产生放射性污染的，采取必要措施预防和控制放射性污染；</w:t>
            </w:r>
          </w:p>
          <w:p>
            <w:pPr>
              <w:pStyle w:val="TableText"/>
              <w:ind w:left="110"/>
              <w:spacing w:before="27" w:line="219" w:lineRule="auto"/>
              <w:rPr/>
            </w:pPr>
            <w:r>
              <w:rPr/>
              <w:t>4.改建、扩建和技术改造项目针对项目原有环境污染和生态破坏提</w:t>
            </w:r>
            <w:r>
              <w:rPr>
                <w:spacing w:val="-1"/>
              </w:rPr>
              <w:t>出有效防治措施；</w:t>
            </w:r>
          </w:p>
          <w:p>
            <w:pPr>
              <w:pStyle w:val="TableText"/>
              <w:ind w:left="112" w:right="185" w:firstLine="2"/>
              <w:spacing w:before="26" w:line="232" w:lineRule="auto"/>
              <w:rPr/>
            </w:pPr>
            <w:r>
              <w:rPr/>
              <w:t>5.建设项目的环境影响报告书的基础资料数据真实，内容不存在重</w:t>
            </w:r>
            <w:r>
              <w:rPr>
                <w:spacing w:val="-1"/>
              </w:rPr>
              <w:t>大缺陷、遗漏，环境影响评</w:t>
            </w:r>
            <w:r>
              <w:rPr/>
              <w:t xml:space="preserve"> </w:t>
            </w:r>
            <w:r>
              <w:rPr>
                <w:spacing w:val="-1"/>
              </w:rPr>
              <w:t>价结论明确、合理。</w:t>
            </w:r>
          </w:p>
        </w:tc>
        <w:tc>
          <w:tcPr>
            <w:tcW w:w="368" w:type="dxa"/>
            <w:vAlign w:val="top"/>
            <w:textDirection w:val="tbRlV"/>
          </w:tcPr>
          <w:p>
            <w:pPr>
              <w:pStyle w:val="TableText"/>
              <w:ind w:left="1128"/>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42"/>
              <w:spacing w:before="58" w:line="219" w:lineRule="auto"/>
              <w:rPr/>
            </w:pPr>
            <w:r>
              <w:rPr>
                <w:spacing w:val="-2"/>
              </w:rPr>
              <w:t>关于核与辐</w:t>
            </w:r>
          </w:p>
          <w:p>
            <w:pPr>
              <w:pStyle w:val="TableText"/>
              <w:ind w:left="139"/>
              <w:spacing w:before="99" w:line="219" w:lineRule="auto"/>
              <w:rPr/>
            </w:pPr>
            <w:r>
              <w:rPr>
                <w:spacing w:val="-2"/>
              </w:rPr>
              <w:t>射类建设项</w:t>
            </w:r>
          </w:p>
          <w:p>
            <w:pPr>
              <w:pStyle w:val="TableText"/>
              <w:ind w:left="173"/>
              <w:spacing w:before="98" w:line="220" w:lineRule="auto"/>
              <w:rPr/>
            </w:pPr>
            <w:r>
              <w:rPr>
                <w:spacing w:val="-9"/>
              </w:rPr>
              <w:t>目环境影响</w:t>
            </w:r>
          </w:p>
          <w:p>
            <w:pPr>
              <w:pStyle w:val="TableText"/>
              <w:ind w:left="138"/>
              <w:spacing w:before="97" w:line="218" w:lineRule="auto"/>
              <w:rPr/>
            </w:pPr>
            <w:r>
              <w:rPr>
                <w:spacing w:val="-2"/>
              </w:rPr>
              <w:t>报告书的批</w:t>
            </w:r>
          </w:p>
          <w:p>
            <w:pPr>
              <w:pStyle w:val="TableText"/>
              <w:ind w:left="504"/>
              <w:spacing w:before="99" w:line="220" w:lineRule="auto"/>
              <w:rPr/>
            </w:pPr>
            <w:r>
              <w:rPr/>
              <w:t>复</w:t>
            </w:r>
          </w:p>
        </w:tc>
        <w:tc>
          <w:tcPr>
            <w:tcW w:w="4568"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27"/>
              <w:spacing w:before="58" w:line="218" w:lineRule="auto"/>
              <w:rPr/>
            </w:pPr>
            <w:r>
              <w:rPr>
                <w:spacing w:val="-2"/>
              </w:rPr>
              <w:t>1.建设项目环境影响评价文件报批申请；</w:t>
            </w:r>
          </w:p>
          <w:p>
            <w:pPr>
              <w:pStyle w:val="TableText"/>
              <w:ind w:left="113" w:right="136" w:firstLine="2"/>
              <w:spacing w:before="98" w:line="307" w:lineRule="auto"/>
              <w:rPr/>
            </w:pPr>
            <w:r>
              <w:rPr>
                <w:spacing w:val="-1"/>
              </w:rPr>
              <w:t>2.建设项目环境影响报告书。其中，环境影响报告书涉</w:t>
            </w:r>
            <w:r>
              <w:rPr>
                <w:spacing w:val="14"/>
              </w:rPr>
              <w:t xml:space="preserve"> </w:t>
            </w:r>
            <w:r>
              <w:rPr>
                <w:spacing w:val="-1"/>
              </w:rPr>
              <w:t>及国家秘密、商业秘密和个人隐私的，建设单位应当自</w:t>
            </w:r>
          </w:p>
          <w:p>
            <w:pPr>
              <w:pStyle w:val="TableText"/>
              <w:ind w:left="116" w:right="1983"/>
              <w:spacing w:before="25" w:line="307" w:lineRule="auto"/>
              <w:rPr/>
            </w:pPr>
            <w:r>
              <w:rPr>
                <w:spacing w:val="-5"/>
              </w:rPr>
              <w:t>行作出删除、遮盖等区分处理；</w:t>
            </w:r>
            <w:r>
              <w:rPr>
                <w:spacing w:val="11"/>
              </w:rPr>
              <w:t xml:space="preserve"> </w:t>
            </w:r>
            <w:r>
              <w:rPr>
                <w:spacing w:val="-1"/>
              </w:rPr>
              <w:t>3.建设项目公众参与说明。</w:t>
            </w:r>
          </w:p>
        </w:tc>
        <w:tc>
          <w:tcPr>
            <w:tcW w:w="2753" w:type="dxa"/>
            <w:vAlign w:val="top"/>
          </w:tcPr>
          <w:p>
            <w:pPr>
              <w:spacing w:line="288"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8" w:line="311" w:lineRule="auto"/>
              <w:jc w:val="both"/>
              <w:rPr/>
            </w:pPr>
            <w:r>
              <w:rPr>
                <w:spacing w:val="-4"/>
              </w:rPr>
              <w:t>6.特殊环节（部分情况下开展</w:t>
            </w:r>
            <w:r>
              <w:rPr>
                <w:spacing w:val="-36"/>
              </w:rPr>
              <w:t>）：</w:t>
            </w:r>
            <w:r>
              <w:rPr/>
              <w:t xml:space="preserve"> </w:t>
            </w:r>
            <w:r>
              <w:rPr>
                <w:spacing w:val="-1"/>
              </w:rPr>
              <w:t>技术评估、现场勘验、听证等所</w:t>
            </w:r>
            <w:r>
              <w:rPr>
                <w:spacing w:val="5"/>
              </w:rPr>
              <w:t xml:space="preserve"> </w:t>
            </w:r>
            <w:r>
              <w:rPr>
                <w:spacing w:val="-1"/>
              </w:rPr>
              <w:t>需时间不计入审批时限。</w:t>
            </w:r>
          </w:p>
        </w:tc>
        <w:tc>
          <w:tcPr>
            <w:tcW w:w="768" w:type="dxa"/>
            <w:vAlign w:val="top"/>
          </w:tcPr>
          <w:p>
            <w:pPr>
              <w:rPr>
                <w:rFonts w:ascii="Arial"/>
                <w:sz w:val="21"/>
              </w:rPr>
            </w:pPr>
            <w:r/>
          </w:p>
        </w:tc>
      </w:tr>
    </w:tbl>
    <w:p>
      <w:pPr>
        <w:pStyle w:val="BodyText"/>
        <w:rPr/>
      </w:pPr>
      <w:r/>
    </w:p>
    <w:p>
      <w:pPr>
        <w:sectPr>
          <w:footerReference w:type="default" r:id="rId10"/>
          <w:pgSz w:w="23812" w:h="16839"/>
          <w:pgMar w:top="1431" w:right="1080" w:bottom="971" w:left="1079" w:header="0" w:footer="694" w:gutter="0"/>
        </w:sectPr>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2698" w:hRule="atLeast"/>
        </w:trPr>
        <w:tc>
          <w:tcPr>
            <w:tcW w:w="400" w:type="dxa"/>
            <w:vAlign w:val="top"/>
          </w:tcPr>
          <w:p>
            <w:pPr>
              <w:rPr>
                <w:rFonts w:ascii="Arial"/>
                <w:sz w:val="21"/>
              </w:rPr>
            </w:pPr>
            <w:r/>
          </w:p>
        </w:tc>
        <w:tc>
          <w:tcPr>
            <w:tcW w:w="886" w:type="dxa"/>
            <w:vAlign w:val="top"/>
          </w:tcPr>
          <w:p>
            <w:pPr>
              <w:rPr>
                <w:rFonts w:ascii="Arial"/>
                <w:sz w:val="21"/>
              </w:rPr>
            </w:pPr>
            <w:r/>
          </w:p>
        </w:tc>
        <w:tc>
          <w:tcPr>
            <w:tcW w:w="763" w:type="dxa"/>
            <w:vAlign w:val="top"/>
          </w:tcPr>
          <w:p>
            <w:pPr>
              <w:spacing w:line="416" w:lineRule="auto"/>
              <w:rPr>
                <w:rFonts w:ascii="Arial"/>
                <w:sz w:val="21"/>
              </w:rPr>
            </w:pPr>
            <w:r/>
          </w:p>
          <w:p>
            <w:pPr>
              <w:pStyle w:val="TableText"/>
              <w:ind w:left="112" w:right="111" w:firstLine="2"/>
              <w:spacing w:before="59" w:line="316" w:lineRule="auto"/>
              <w:jc w:val="both"/>
              <w:rPr/>
            </w:pPr>
            <w:r>
              <w:rPr>
                <w:spacing w:val="-4"/>
              </w:rPr>
              <w:t>核与辐</w:t>
            </w:r>
            <w:r>
              <w:rPr>
                <w:spacing w:val="1"/>
              </w:rPr>
              <w:t xml:space="preserve"> </w:t>
            </w:r>
            <w:r>
              <w:rPr>
                <w:spacing w:val="-3"/>
              </w:rPr>
              <w:t>射类建</w:t>
            </w:r>
            <w:r>
              <w:rPr>
                <w:spacing w:val="1"/>
              </w:rPr>
              <w:t xml:space="preserve"> </w:t>
            </w:r>
            <w:r>
              <w:rPr>
                <w:spacing w:val="-3"/>
              </w:rPr>
              <w:t>设项目</w:t>
            </w:r>
            <w:r>
              <w:rPr>
                <w:spacing w:val="1"/>
              </w:rPr>
              <w:t xml:space="preserve"> </w:t>
            </w:r>
            <w:r>
              <w:rPr>
                <w:spacing w:val="-3"/>
              </w:rPr>
              <w:t>环境影</w:t>
            </w:r>
            <w:r>
              <w:rPr>
                <w:spacing w:val="1"/>
              </w:rPr>
              <w:t xml:space="preserve"> </w:t>
            </w:r>
            <w:r>
              <w:rPr>
                <w:spacing w:val="-3"/>
              </w:rPr>
              <w:t>响报告</w:t>
            </w:r>
            <w:r>
              <w:rPr>
                <w:spacing w:val="1"/>
              </w:rPr>
              <w:t xml:space="preserve"> </w:t>
            </w:r>
            <w:r>
              <w:rPr>
                <w:spacing w:val="-3"/>
              </w:rPr>
              <w:t>表审批</w:t>
            </w:r>
          </w:p>
        </w:tc>
        <w:tc>
          <w:tcPr>
            <w:tcW w:w="669"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60" w:right="154" w:hanging="1"/>
              <w:spacing w:before="58" w:line="307" w:lineRule="auto"/>
              <w:rPr/>
            </w:pPr>
            <w:r>
              <w:rPr>
                <w:spacing w:val="-5"/>
              </w:rPr>
              <w:t>省级</w:t>
            </w:r>
            <w:r>
              <w:rPr/>
              <w:t xml:space="preserve"> </w:t>
            </w:r>
            <w:r>
              <w:rPr>
                <w:spacing w:val="-6"/>
              </w:rPr>
              <w:t>市级</w:t>
            </w:r>
          </w:p>
        </w:tc>
        <w:tc>
          <w:tcPr>
            <w:tcW w:w="640" w:type="dxa"/>
            <w:vAlign w:val="top"/>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29"/>
              <w:spacing w:before="58" w:line="183" w:lineRule="auto"/>
              <w:rPr/>
            </w:pPr>
            <w:r>
              <w:rPr>
                <w:spacing w:val="-5"/>
              </w:rPr>
              <w:t>30</w:t>
            </w:r>
          </w:p>
        </w:tc>
        <w:tc>
          <w:tcPr>
            <w:tcW w:w="355" w:type="dxa"/>
            <w:vAlign w:val="top"/>
            <w:textDirection w:val="tbRlV"/>
          </w:tcPr>
          <w:p>
            <w:pPr>
              <w:pStyle w:val="TableText"/>
              <w:ind w:left="947"/>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359" w:lineRule="auto"/>
              <w:rPr>
                <w:rFonts w:ascii="Arial"/>
                <w:sz w:val="21"/>
              </w:rPr>
            </w:pPr>
            <w:r/>
          </w:p>
          <w:p>
            <w:pPr>
              <w:pStyle w:val="TableText"/>
              <w:ind w:left="124"/>
              <w:spacing w:before="58" w:line="217" w:lineRule="auto"/>
              <w:rPr/>
            </w:pPr>
            <w:r>
              <w:rPr>
                <w:spacing w:val="-1"/>
              </w:rPr>
              <w:t>1.建设项目类型及其选址、布局、规模等符合环境保护法律法规和相关法定规划；</w:t>
            </w:r>
          </w:p>
          <w:p>
            <w:pPr>
              <w:pStyle w:val="TableText"/>
              <w:ind w:left="112" w:right="185" w:firstLine="1"/>
              <w:spacing w:before="27" w:line="233" w:lineRule="auto"/>
              <w:rPr/>
            </w:pPr>
            <w:r>
              <w:rPr/>
              <w:t>2.所在区域环境质量达到国家或者地方环境质量标准，且建设项目拟</w:t>
            </w:r>
            <w:r>
              <w:rPr>
                <w:spacing w:val="-1"/>
              </w:rPr>
              <w:t>采取的措施能满足区域环</w:t>
            </w:r>
            <w:r>
              <w:rPr/>
              <w:t xml:space="preserve"> </w:t>
            </w:r>
            <w:r>
              <w:rPr>
                <w:spacing w:val="-1"/>
              </w:rPr>
              <w:t>境质量改善目标管理要求；</w:t>
            </w:r>
          </w:p>
          <w:p>
            <w:pPr>
              <w:pStyle w:val="TableText"/>
              <w:ind w:left="122" w:right="185" w:hanging="7"/>
              <w:spacing w:before="24" w:line="233" w:lineRule="auto"/>
              <w:rPr/>
            </w:pPr>
            <w:r>
              <w:rPr/>
              <w:t>3.建设项目采取的污染防治措施能确保污染物排放达到国家和地方</w:t>
            </w:r>
            <w:r>
              <w:rPr>
                <w:spacing w:val="-1"/>
              </w:rPr>
              <w:t>排放标准，采取必要措施预</w:t>
            </w:r>
            <w:r>
              <w:rPr/>
              <w:t xml:space="preserve"> </w:t>
            </w:r>
            <w:r>
              <w:rPr>
                <w:spacing w:val="-1"/>
              </w:rPr>
              <w:t>防和控制生态破坏；可能产生放射性污染的，采取必要措施预防和控制放射性污染；</w:t>
            </w:r>
          </w:p>
          <w:p>
            <w:pPr>
              <w:pStyle w:val="TableText"/>
              <w:ind w:left="110"/>
              <w:spacing w:before="27" w:line="219" w:lineRule="auto"/>
              <w:rPr/>
            </w:pPr>
            <w:r>
              <w:rPr/>
              <w:t>4.改建、扩建和技术改造项目针对项目原有环境污染和生态破坏提</w:t>
            </w:r>
            <w:r>
              <w:rPr>
                <w:spacing w:val="-1"/>
              </w:rPr>
              <w:t>出有效防治措施；</w:t>
            </w:r>
          </w:p>
          <w:p>
            <w:pPr>
              <w:pStyle w:val="TableText"/>
              <w:ind w:left="112" w:right="185" w:firstLine="2"/>
              <w:spacing w:before="27" w:line="232" w:lineRule="auto"/>
              <w:rPr/>
            </w:pPr>
            <w:r>
              <w:rPr/>
              <w:t>5.建设项目的环境影响报告表的基础资料数据真实，内容不存在重</w:t>
            </w:r>
            <w:r>
              <w:rPr>
                <w:spacing w:val="-1"/>
              </w:rPr>
              <w:t>大缺陷、遗漏，环境影响评</w:t>
            </w:r>
            <w:r>
              <w:rPr/>
              <w:t xml:space="preserve"> </w:t>
            </w:r>
            <w:r>
              <w:rPr>
                <w:spacing w:val="-1"/>
              </w:rPr>
              <w:t>价结论明确、合理。</w:t>
            </w:r>
          </w:p>
        </w:tc>
        <w:tc>
          <w:tcPr>
            <w:tcW w:w="368" w:type="dxa"/>
            <w:vAlign w:val="top"/>
            <w:textDirection w:val="tbRlV"/>
          </w:tcPr>
          <w:p>
            <w:pPr>
              <w:pStyle w:val="TableText"/>
              <w:ind w:left="947"/>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86" w:lineRule="auto"/>
              <w:rPr>
                <w:rFonts w:ascii="Arial"/>
                <w:sz w:val="21"/>
              </w:rPr>
            </w:pPr>
            <w:r/>
          </w:p>
          <w:p>
            <w:pPr>
              <w:spacing w:line="287" w:lineRule="auto"/>
              <w:rPr>
                <w:rFonts w:ascii="Arial"/>
                <w:sz w:val="21"/>
              </w:rPr>
            </w:pPr>
            <w:r/>
          </w:p>
          <w:p>
            <w:pPr>
              <w:pStyle w:val="TableText"/>
              <w:ind w:left="142"/>
              <w:spacing w:before="58" w:line="219" w:lineRule="auto"/>
              <w:rPr/>
            </w:pPr>
            <w:r>
              <w:rPr>
                <w:spacing w:val="-2"/>
              </w:rPr>
              <w:t>关于核与辐</w:t>
            </w:r>
          </w:p>
          <w:p>
            <w:pPr>
              <w:pStyle w:val="TableText"/>
              <w:ind w:left="139"/>
              <w:spacing w:before="99" w:line="219" w:lineRule="auto"/>
              <w:rPr/>
            </w:pPr>
            <w:r>
              <w:rPr>
                <w:spacing w:val="-2"/>
              </w:rPr>
              <w:t>射类建设项</w:t>
            </w:r>
          </w:p>
          <w:p>
            <w:pPr>
              <w:pStyle w:val="TableText"/>
              <w:ind w:left="173"/>
              <w:spacing w:before="98" w:line="220" w:lineRule="auto"/>
              <w:rPr/>
            </w:pPr>
            <w:r>
              <w:rPr>
                <w:spacing w:val="-9"/>
              </w:rPr>
              <w:t>目环境影响</w:t>
            </w:r>
          </w:p>
          <w:p>
            <w:pPr>
              <w:pStyle w:val="TableText"/>
              <w:ind w:left="138"/>
              <w:spacing w:before="97" w:line="218" w:lineRule="auto"/>
              <w:rPr/>
            </w:pPr>
            <w:r>
              <w:rPr>
                <w:spacing w:val="-2"/>
              </w:rPr>
              <w:t>报告表的批</w:t>
            </w:r>
          </w:p>
          <w:p>
            <w:pPr>
              <w:pStyle w:val="TableText"/>
              <w:ind w:left="504"/>
              <w:spacing w:before="99" w:line="220" w:lineRule="auto"/>
              <w:rPr/>
            </w:pPr>
            <w:r>
              <w:rPr/>
              <w:t>复</w:t>
            </w:r>
          </w:p>
        </w:tc>
        <w:tc>
          <w:tcPr>
            <w:tcW w:w="4568"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27"/>
              <w:spacing w:before="59" w:line="218" w:lineRule="auto"/>
              <w:rPr/>
            </w:pPr>
            <w:r>
              <w:rPr>
                <w:spacing w:val="-2"/>
              </w:rPr>
              <w:t>1.建设项目环境影响评价文件报批申请；</w:t>
            </w:r>
          </w:p>
          <w:p>
            <w:pPr>
              <w:pStyle w:val="TableText"/>
              <w:ind w:left="113" w:right="136" w:firstLine="2"/>
              <w:spacing w:before="99" w:line="311" w:lineRule="auto"/>
              <w:jc w:val="both"/>
              <w:rPr/>
            </w:pPr>
            <w:r>
              <w:rPr>
                <w:spacing w:val="-1"/>
              </w:rPr>
              <w:t>2.建设项目环境影响报告表。其中，环境影响报告表涉</w:t>
            </w:r>
            <w:r>
              <w:rPr>
                <w:spacing w:val="14"/>
              </w:rPr>
              <w:t xml:space="preserve"> </w:t>
            </w:r>
            <w:r>
              <w:rPr>
                <w:spacing w:val="-1"/>
              </w:rPr>
              <w:t>及国家秘密、商业秘密和个人隐私的，建设单位应当自</w:t>
            </w:r>
            <w:r>
              <w:rPr>
                <w:spacing w:val="16"/>
              </w:rPr>
              <w:t xml:space="preserve"> </w:t>
            </w:r>
            <w:r>
              <w:rPr>
                <w:spacing w:val="-1"/>
              </w:rPr>
              <w:t>行作出删除、遮盖等区分处理。</w:t>
            </w:r>
          </w:p>
        </w:tc>
        <w:tc>
          <w:tcPr>
            <w:tcW w:w="2753" w:type="dxa"/>
            <w:vAlign w:val="top"/>
          </w:tcPr>
          <w:p>
            <w:pPr>
              <w:pStyle w:val="TableText"/>
              <w:ind w:left="126"/>
              <w:spacing w:before="16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8" w:line="311" w:lineRule="auto"/>
              <w:jc w:val="both"/>
              <w:rPr/>
            </w:pPr>
            <w:r>
              <w:rPr>
                <w:spacing w:val="-4"/>
              </w:rPr>
              <w:t>6.特殊环节（部分情况下开展</w:t>
            </w:r>
            <w:r>
              <w:rPr>
                <w:spacing w:val="-36"/>
              </w:rPr>
              <w:t>）：</w:t>
            </w:r>
            <w:r>
              <w:rPr/>
              <w:t xml:space="preserve"> </w:t>
            </w:r>
            <w:r>
              <w:rPr>
                <w:spacing w:val="-1"/>
              </w:rPr>
              <w:t>技术评估、现场勘验、听证等所</w:t>
            </w:r>
            <w:r>
              <w:rPr>
                <w:spacing w:val="5"/>
              </w:rPr>
              <w:t xml:space="preserve"> </w:t>
            </w:r>
            <w:r>
              <w:rPr>
                <w:spacing w:val="-1"/>
              </w:rPr>
              <w:t>需时间不计入审批时限。</w:t>
            </w:r>
          </w:p>
        </w:tc>
        <w:tc>
          <w:tcPr>
            <w:tcW w:w="768" w:type="dxa"/>
            <w:vAlign w:val="top"/>
          </w:tcPr>
          <w:p>
            <w:pPr>
              <w:rPr>
                <w:rFonts w:ascii="Arial"/>
                <w:sz w:val="21"/>
              </w:rPr>
            </w:pPr>
            <w:r/>
          </w:p>
        </w:tc>
      </w:tr>
      <w:tr>
        <w:trPr>
          <w:trHeight w:val="3603" w:hRule="atLeast"/>
        </w:trPr>
        <w:tc>
          <w:tcPr>
            <w:tcW w:w="40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62"/>
              <w:spacing w:before="59" w:line="183" w:lineRule="auto"/>
              <w:rPr/>
            </w:pPr>
            <w:r>
              <w:rPr/>
              <w:t>3</w:t>
            </w:r>
          </w:p>
        </w:tc>
        <w:tc>
          <w:tcPr>
            <w:tcW w:w="886"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75"/>
              <w:spacing w:before="58" w:line="220" w:lineRule="auto"/>
              <w:rPr/>
            </w:pPr>
            <w:r>
              <w:rPr>
                <w:spacing w:val="-3"/>
              </w:rPr>
              <w:t>海洋工</w:t>
            </w:r>
          </w:p>
          <w:p>
            <w:pPr>
              <w:pStyle w:val="TableText"/>
              <w:ind w:left="175"/>
              <w:spacing w:before="97" w:line="220" w:lineRule="auto"/>
              <w:rPr/>
            </w:pPr>
            <w:r>
              <w:rPr>
                <w:spacing w:val="-3"/>
              </w:rPr>
              <w:t>程建设</w:t>
            </w:r>
          </w:p>
          <w:p>
            <w:pPr>
              <w:pStyle w:val="TableText"/>
              <w:ind w:left="179"/>
              <w:spacing w:before="97" w:line="219" w:lineRule="auto"/>
              <w:rPr/>
            </w:pPr>
            <w:r>
              <w:rPr>
                <w:spacing w:val="-4"/>
              </w:rPr>
              <w:t>项目环</w:t>
            </w:r>
          </w:p>
          <w:p>
            <w:pPr>
              <w:pStyle w:val="TableText"/>
              <w:ind w:left="177"/>
              <w:spacing w:before="98" w:line="220" w:lineRule="auto"/>
              <w:rPr/>
            </w:pPr>
            <w:r>
              <w:rPr>
                <w:spacing w:val="-3"/>
              </w:rPr>
              <w:t>境影响</w:t>
            </w:r>
          </w:p>
          <w:p>
            <w:pPr>
              <w:pStyle w:val="TableText"/>
              <w:ind w:left="175"/>
              <w:spacing w:before="97" w:line="218" w:lineRule="auto"/>
              <w:rPr/>
            </w:pPr>
            <w:r>
              <w:rPr>
                <w:spacing w:val="-3"/>
              </w:rPr>
              <w:t>评价审</w:t>
            </w:r>
          </w:p>
          <w:p>
            <w:pPr>
              <w:pStyle w:val="TableText"/>
              <w:ind w:left="355"/>
              <w:spacing w:before="100" w:line="221" w:lineRule="auto"/>
              <w:rPr/>
            </w:pPr>
            <w:r>
              <w:rPr/>
              <w:t>批</w:t>
            </w:r>
          </w:p>
        </w:tc>
        <w:tc>
          <w:tcPr>
            <w:tcW w:w="763" w:type="dxa"/>
            <w:vAlign w:val="top"/>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pStyle w:val="TableText"/>
              <w:ind w:left="112"/>
              <w:spacing w:before="59" w:line="220" w:lineRule="auto"/>
              <w:rPr/>
            </w:pPr>
            <w:r>
              <w:rPr>
                <w:spacing w:val="-3"/>
              </w:rPr>
              <w:t>海洋工</w:t>
            </w:r>
          </w:p>
          <w:p>
            <w:pPr>
              <w:pStyle w:val="TableText"/>
              <w:ind w:left="112"/>
              <w:spacing w:before="97" w:line="220" w:lineRule="auto"/>
              <w:rPr/>
            </w:pPr>
            <w:r>
              <w:rPr>
                <w:spacing w:val="-3"/>
              </w:rPr>
              <w:t>程建设</w:t>
            </w:r>
          </w:p>
          <w:p>
            <w:pPr>
              <w:pStyle w:val="TableText"/>
              <w:ind w:left="116"/>
              <w:spacing w:before="97" w:line="219" w:lineRule="auto"/>
              <w:rPr/>
            </w:pPr>
            <w:r>
              <w:rPr>
                <w:spacing w:val="-4"/>
              </w:rPr>
              <w:t>项目环</w:t>
            </w:r>
          </w:p>
          <w:p>
            <w:pPr>
              <w:pStyle w:val="TableText"/>
              <w:ind w:left="114"/>
              <w:spacing w:before="98" w:line="220" w:lineRule="auto"/>
              <w:rPr/>
            </w:pPr>
            <w:r>
              <w:rPr>
                <w:spacing w:val="-3"/>
              </w:rPr>
              <w:t>境影响</w:t>
            </w:r>
          </w:p>
          <w:p>
            <w:pPr>
              <w:pStyle w:val="TableText"/>
              <w:ind w:left="112"/>
              <w:spacing w:before="97" w:line="218" w:lineRule="auto"/>
              <w:rPr/>
            </w:pPr>
            <w:r>
              <w:rPr>
                <w:spacing w:val="-2"/>
              </w:rPr>
              <w:t>报告书</w:t>
            </w:r>
          </w:p>
          <w:p>
            <w:pPr>
              <w:pStyle w:val="TableText"/>
              <w:ind w:left="213"/>
              <w:spacing w:before="99" w:line="220" w:lineRule="auto"/>
              <w:rPr/>
            </w:pPr>
            <w:r>
              <w:rPr>
                <w:spacing w:val="-9"/>
              </w:rPr>
              <w:t>审批</w:t>
            </w:r>
          </w:p>
        </w:tc>
        <w:tc>
          <w:tcPr>
            <w:tcW w:w="66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27"/>
              <w:spacing w:before="58" w:line="183" w:lineRule="auto"/>
              <w:rPr/>
            </w:pPr>
            <w:r>
              <w:rPr>
                <w:spacing w:val="-4"/>
              </w:rPr>
              <w:t>60</w:t>
            </w:r>
          </w:p>
        </w:tc>
        <w:tc>
          <w:tcPr>
            <w:tcW w:w="355" w:type="dxa"/>
            <w:vAlign w:val="top"/>
            <w:textDirection w:val="tbRlV"/>
          </w:tcPr>
          <w:p>
            <w:pPr>
              <w:pStyle w:val="TableText"/>
              <w:ind w:left="1400"/>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2" w:right="185" w:firstLine="12"/>
              <w:spacing w:before="30"/>
              <w:jc w:val="both"/>
              <w:rPr/>
            </w:pPr>
            <w:r>
              <w:rPr/>
              <w:t>1.是否符合海洋环境保护相关法律法规、政</w:t>
            </w:r>
            <w:r>
              <w:rPr>
                <w:spacing w:val="-1"/>
              </w:rPr>
              <w:t>策以及相关产业政策，是否符合海洋功能区划、海</w:t>
            </w:r>
            <w:r>
              <w:rPr/>
              <w:t xml:space="preserve"> </w:t>
            </w:r>
            <w:r>
              <w:rPr/>
              <w:t>洋经济发展规划和环境保护规划；是否符合海洋生态红线管控要求；涉及</w:t>
            </w:r>
            <w:r>
              <w:rPr>
                <w:spacing w:val="-1"/>
              </w:rPr>
              <w:t>依法划定的自然保护</w:t>
            </w:r>
            <w:r>
              <w:rPr/>
              <w:t xml:space="preserve"> </w:t>
            </w:r>
            <w:r>
              <w:rPr/>
              <w:t>区、风景名胜区及其他需要特别保护的区域的，是否符合国家有关法律法</w:t>
            </w:r>
            <w:r>
              <w:rPr>
                <w:spacing w:val="-1"/>
              </w:rPr>
              <w:t>规关于该区域内工程</w:t>
            </w:r>
            <w:r>
              <w:rPr/>
              <w:t xml:space="preserve"> </w:t>
            </w:r>
            <w:r>
              <w:rPr>
                <w:spacing w:val="-1"/>
              </w:rPr>
              <w:t>建设环境管理的规定；</w:t>
            </w:r>
          </w:p>
          <w:p>
            <w:pPr>
              <w:pStyle w:val="TableText"/>
              <w:ind w:left="112" w:right="185" w:firstLine="1"/>
              <w:spacing w:before="26" w:line="232" w:lineRule="auto"/>
              <w:rPr/>
            </w:pPr>
            <w:r>
              <w:rPr/>
              <w:t>2.环评报告的编制、环境现状调查资料包括调查站位、频次等是否符</w:t>
            </w:r>
            <w:r>
              <w:rPr>
                <w:spacing w:val="-1"/>
              </w:rPr>
              <w:t>合《海洋工程环境影响评</w:t>
            </w:r>
            <w:r>
              <w:rPr/>
              <w:t xml:space="preserve"> </w:t>
            </w:r>
            <w:r>
              <w:rPr>
                <w:spacing w:val="-1"/>
              </w:rPr>
              <w:t>价技术导则》（GB/T 19485-2014）的要求；</w:t>
            </w:r>
          </w:p>
          <w:p>
            <w:pPr>
              <w:pStyle w:val="TableText"/>
              <w:ind w:left="116" w:right="185" w:hanging="1"/>
              <w:spacing w:before="27" w:line="233" w:lineRule="auto"/>
              <w:rPr/>
            </w:pPr>
            <w:r>
              <w:rPr/>
              <w:t>3.工程分析是否透彻，对海洋环境产生影响的主要环节阐述是否清</w:t>
            </w:r>
            <w:r>
              <w:rPr>
                <w:spacing w:val="-1"/>
              </w:rPr>
              <w:t>楚；工程的环境风险分析是</w:t>
            </w:r>
            <w:r>
              <w:rPr/>
              <w:t xml:space="preserve"> </w:t>
            </w:r>
            <w:r>
              <w:rPr>
                <w:spacing w:val="-1"/>
              </w:rPr>
              <w:t>否全面准确；工程建设和运营对海洋环境产生的影响是否可接受；</w:t>
            </w:r>
          </w:p>
          <w:p>
            <w:pPr>
              <w:pStyle w:val="TableText"/>
              <w:ind w:left="110" w:right="185"/>
              <w:spacing w:before="24"/>
              <w:jc w:val="both"/>
              <w:rPr/>
            </w:pPr>
            <w:r>
              <w:rPr/>
              <w:t>4.工程建设和运营过程中的环保对策措施和风险防范对策措施是否可行、有</w:t>
            </w:r>
            <w:r>
              <w:rPr>
                <w:spacing w:val="-1"/>
              </w:rPr>
              <w:t>效，拟采取的污染</w:t>
            </w:r>
            <w:r>
              <w:rPr/>
              <w:t xml:space="preserve"> </w:t>
            </w:r>
            <w:r>
              <w:rPr/>
              <w:t>防治措施是否确保污染物排放达到国家和地方规定的排放标准；污染物排</w:t>
            </w:r>
            <w:r>
              <w:rPr>
                <w:spacing w:val="-1"/>
              </w:rPr>
              <w:t>放是否符合核定的排</w:t>
            </w:r>
            <w:r>
              <w:rPr/>
              <w:t xml:space="preserve"> </w:t>
            </w:r>
            <w:r>
              <w:rPr/>
              <w:t>放指标；工程是否符合节能减排和清洁生产要求；海洋生态保护、恢复或</w:t>
            </w:r>
            <w:r>
              <w:rPr>
                <w:spacing w:val="-1"/>
              </w:rPr>
              <w:t>补偿对策措施是否可</w:t>
            </w:r>
            <w:r>
              <w:rPr/>
              <w:t xml:space="preserve"> </w:t>
            </w:r>
            <w:r>
              <w:rPr>
                <w:spacing w:val="-2"/>
              </w:rPr>
              <w:t>行、有效；</w:t>
            </w:r>
          </w:p>
          <w:p>
            <w:pPr>
              <w:pStyle w:val="TableText"/>
              <w:ind w:left="115"/>
              <w:spacing w:before="25" w:line="218" w:lineRule="auto"/>
              <w:rPr/>
            </w:pPr>
            <w:r>
              <w:rPr>
                <w:spacing w:val="-1"/>
              </w:rPr>
              <w:t>5.评价结论是否可信；</w:t>
            </w:r>
          </w:p>
          <w:p>
            <w:pPr>
              <w:pStyle w:val="TableText"/>
              <w:ind w:left="114" w:right="3292" w:hanging="2"/>
              <w:spacing w:before="27" w:line="226" w:lineRule="auto"/>
              <w:rPr/>
            </w:pPr>
            <w:r>
              <w:rPr>
                <w:spacing w:val="-3"/>
              </w:rPr>
              <w:t>6.是否符合环境影响评价公众参与相关法律法规要求；</w:t>
            </w:r>
            <w:r>
              <w:rPr>
                <w:spacing w:val="18"/>
              </w:rPr>
              <w:t xml:space="preserve"> </w:t>
            </w:r>
            <w:r>
              <w:rPr>
                <w:spacing w:val="-1"/>
              </w:rPr>
              <w:t>7.法律规定其他应核验的内容。</w:t>
            </w:r>
          </w:p>
        </w:tc>
        <w:tc>
          <w:tcPr>
            <w:tcW w:w="368" w:type="dxa"/>
            <w:vAlign w:val="top"/>
            <w:textDirection w:val="tbRlV"/>
          </w:tcPr>
          <w:p>
            <w:pPr>
              <w:pStyle w:val="TableText"/>
              <w:ind w:left="1400"/>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38" w:right="135" w:firstLine="3"/>
              <w:spacing w:before="59" w:line="313" w:lineRule="auto"/>
              <w:jc w:val="both"/>
              <w:rPr/>
            </w:pPr>
            <w:r>
              <w:rPr>
                <w:spacing w:val="-2"/>
              </w:rPr>
              <w:t>关于海洋工</w:t>
            </w:r>
            <w:r>
              <w:rPr/>
              <w:t xml:space="preserve"> </w:t>
            </w:r>
            <w:r>
              <w:rPr>
                <w:spacing w:val="-2"/>
              </w:rPr>
              <w:t>程建设项目</w:t>
            </w:r>
            <w:r>
              <w:rPr>
                <w:spacing w:val="2"/>
              </w:rPr>
              <w:t xml:space="preserve"> </w:t>
            </w:r>
            <w:r>
              <w:rPr>
                <w:spacing w:val="-2"/>
              </w:rPr>
              <w:t>环境影响报</w:t>
            </w:r>
            <w:r>
              <w:rPr>
                <w:spacing w:val="2"/>
              </w:rPr>
              <w:t xml:space="preserve"> </w:t>
            </w:r>
            <w:r>
              <w:rPr>
                <w:spacing w:val="-2"/>
              </w:rPr>
              <w:t>告书的批复</w:t>
            </w:r>
          </w:p>
        </w:tc>
        <w:tc>
          <w:tcPr>
            <w:tcW w:w="4568" w:type="dxa"/>
            <w:vAlign w:val="top"/>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15" w:right="363" w:firstLine="11"/>
              <w:spacing w:before="59" w:line="306" w:lineRule="auto"/>
              <w:rPr/>
            </w:pPr>
            <w:r>
              <w:rPr>
                <w:spacing w:val="-3"/>
              </w:rPr>
              <w:t>1.海洋工程建设项目环境影响评价文件报批申请表；</w:t>
            </w:r>
            <w:r>
              <w:rPr>
                <w:spacing w:val="3"/>
              </w:rPr>
              <w:t xml:space="preserve"> </w:t>
            </w:r>
            <w:r>
              <w:rPr>
                <w:spacing w:val="-1"/>
              </w:rPr>
              <w:t>2.海洋工程建设项目环境影响报告书；</w:t>
            </w:r>
          </w:p>
          <w:p>
            <w:pPr>
              <w:pStyle w:val="TableText"/>
              <w:ind w:left="117"/>
              <w:spacing w:before="27" w:line="219" w:lineRule="auto"/>
              <w:rPr/>
            </w:pPr>
            <w:r>
              <w:rPr>
                <w:spacing w:val="-1"/>
              </w:rPr>
              <w:t>3.建设项目公众参与说明；</w:t>
            </w:r>
          </w:p>
          <w:p>
            <w:pPr>
              <w:pStyle w:val="TableText"/>
              <w:ind w:left="113"/>
              <w:spacing w:before="98" w:line="218" w:lineRule="auto"/>
              <w:rPr/>
            </w:pPr>
            <w:r>
              <w:rPr>
                <w:spacing w:val="-1"/>
              </w:rPr>
              <w:t>4.环境现状调查数据报告汇编。</w:t>
            </w:r>
          </w:p>
        </w:tc>
        <w:tc>
          <w:tcPr>
            <w:tcW w:w="2753" w:type="dxa"/>
            <w:vAlign w:val="top"/>
          </w:tcPr>
          <w:p>
            <w:pPr>
              <w:spacing w:line="279" w:lineRule="auto"/>
              <w:rPr>
                <w:rFonts w:ascii="Arial"/>
                <w:sz w:val="21"/>
              </w:rPr>
            </w:pPr>
            <w:r/>
          </w:p>
          <w:p>
            <w:pPr>
              <w:spacing w:line="280"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8" w:line="311" w:lineRule="auto"/>
              <w:jc w:val="both"/>
              <w:rPr/>
            </w:pPr>
            <w:r>
              <w:rPr>
                <w:spacing w:val="-4"/>
              </w:rPr>
              <w:t>6.特殊环节（部分情况下开展</w:t>
            </w:r>
            <w:r>
              <w:rPr>
                <w:spacing w:val="-36"/>
              </w:rPr>
              <w:t>）：</w:t>
            </w:r>
            <w:r>
              <w:rPr/>
              <w:t xml:space="preserve"> </w:t>
            </w:r>
            <w:r>
              <w:rPr>
                <w:spacing w:val="-1"/>
              </w:rPr>
              <w:t>技术评估、现场勘验、听证等所</w:t>
            </w:r>
            <w:r>
              <w:rPr>
                <w:spacing w:val="5"/>
              </w:rPr>
              <w:t xml:space="preserve"> </w:t>
            </w:r>
            <w:r>
              <w:rPr>
                <w:spacing w:val="-1"/>
              </w:rPr>
              <w:t>需时间不计入审批时限。</w:t>
            </w:r>
          </w:p>
        </w:tc>
        <w:tc>
          <w:tcPr>
            <w:tcW w:w="768" w:type="dxa"/>
            <w:vAlign w:val="top"/>
          </w:tcPr>
          <w:p>
            <w:pPr>
              <w:rPr>
                <w:rFonts w:ascii="Arial"/>
                <w:sz w:val="21"/>
              </w:rPr>
            </w:pPr>
            <w:r/>
          </w:p>
        </w:tc>
      </w:tr>
      <w:tr>
        <w:trPr>
          <w:trHeight w:val="3615"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112"/>
              <w:spacing w:before="58" w:line="220" w:lineRule="auto"/>
              <w:rPr/>
            </w:pPr>
            <w:r>
              <w:rPr>
                <w:spacing w:val="-3"/>
              </w:rPr>
              <w:t>海洋工</w:t>
            </w:r>
          </w:p>
          <w:p>
            <w:pPr>
              <w:pStyle w:val="TableText"/>
              <w:ind w:left="112"/>
              <w:spacing w:before="97" w:line="220" w:lineRule="auto"/>
              <w:rPr/>
            </w:pPr>
            <w:r>
              <w:rPr>
                <w:spacing w:val="-3"/>
              </w:rPr>
              <w:t>程建设</w:t>
            </w:r>
          </w:p>
          <w:p>
            <w:pPr>
              <w:pStyle w:val="TableText"/>
              <w:ind w:left="116"/>
              <w:spacing w:before="97" w:line="219" w:lineRule="auto"/>
              <w:rPr/>
            </w:pPr>
            <w:r>
              <w:rPr>
                <w:spacing w:val="-4"/>
              </w:rPr>
              <w:t>项目环</w:t>
            </w:r>
          </w:p>
          <w:p>
            <w:pPr>
              <w:pStyle w:val="TableText"/>
              <w:ind w:left="114"/>
              <w:spacing w:before="98" w:line="220" w:lineRule="auto"/>
              <w:rPr/>
            </w:pPr>
            <w:r>
              <w:rPr>
                <w:spacing w:val="-3"/>
              </w:rPr>
              <w:t>境影响</w:t>
            </w:r>
          </w:p>
          <w:p>
            <w:pPr>
              <w:pStyle w:val="TableText"/>
              <w:ind w:left="112"/>
              <w:spacing w:before="97" w:line="218" w:lineRule="auto"/>
              <w:rPr/>
            </w:pPr>
            <w:r>
              <w:rPr>
                <w:spacing w:val="-2"/>
              </w:rPr>
              <w:t>报告表</w:t>
            </w:r>
          </w:p>
          <w:p>
            <w:pPr>
              <w:pStyle w:val="TableText"/>
              <w:ind w:left="213"/>
              <w:spacing w:before="100" w:line="220" w:lineRule="auto"/>
              <w:rPr/>
            </w:pPr>
            <w:r>
              <w:rPr>
                <w:spacing w:val="-9"/>
              </w:rPr>
              <w:t>审批</w:t>
            </w:r>
          </w:p>
        </w:tc>
        <w:tc>
          <w:tcPr>
            <w:tcW w:w="66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229"/>
              <w:spacing w:before="59" w:line="183" w:lineRule="auto"/>
              <w:rPr/>
            </w:pPr>
            <w:r>
              <w:rPr>
                <w:spacing w:val="-5"/>
              </w:rPr>
              <w:t>30</w:t>
            </w:r>
          </w:p>
        </w:tc>
        <w:tc>
          <w:tcPr>
            <w:tcW w:w="355" w:type="dxa"/>
            <w:vAlign w:val="top"/>
            <w:textDirection w:val="tbRlV"/>
          </w:tcPr>
          <w:p>
            <w:pPr>
              <w:pStyle w:val="TableText"/>
              <w:ind w:left="1407"/>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2" w:right="185" w:firstLine="12"/>
              <w:spacing w:before="37"/>
              <w:jc w:val="both"/>
              <w:rPr/>
            </w:pPr>
            <w:r>
              <w:rPr/>
              <w:t>1.是否符合海洋环境保护相关法律法规、政</w:t>
            </w:r>
            <w:r>
              <w:rPr>
                <w:spacing w:val="-1"/>
              </w:rPr>
              <w:t>策以及相关产业政策，是否符合海洋功能区划、海</w:t>
            </w:r>
            <w:r>
              <w:rPr/>
              <w:t xml:space="preserve"> </w:t>
            </w:r>
            <w:r>
              <w:rPr/>
              <w:t>洋经济发展规划和环境保护规划；是否符合海洋生态红线管控要求；涉及</w:t>
            </w:r>
            <w:r>
              <w:rPr>
                <w:spacing w:val="-1"/>
              </w:rPr>
              <w:t>依法划定的自然保护</w:t>
            </w:r>
            <w:r>
              <w:rPr/>
              <w:t xml:space="preserve"> </w:t>
            </w:r>
            <w:r>
              <w:rPr/>
              <w:t>区、风景名胜区及其他需要特别保护的区域的，是否符合国家有关法律法</w:t>
            </w:r>
            <w:r>
              <w:rPr>
                <w:spacing w:val="-1"/>
              </w:rPr>
              <w:t>规关于该区域内工程</w:t>
            </w:r>
            <w:r>
              <w:rPr/>
              <w:t xml:space="preserve"> </w:t>
            </w:r>
            <w:r>
              <w:rPr>
                <w:spacing w:val="-1"/>
              </w:rPr>
              <w:t>建设环境管理的规定；</w:t>
            </w:r>
          </w:p>
          <w:p>
            <w:pPr>
              <w:pStyle w:val="TableText"/>
              <w:ind w:left="112" w:right="185" w:firstLine="1"/>
              <w:spacing w:before="26" w:line="232" w:lineRule="auto"/>
              <w:rPr/>
            </w:pPr>
            <w:r>
              <w:rPr/>
              <w:t>2.环评报告的编制、环境现状调查资料包括调查站位、频次等是否符</w:t>
            </w:r>
            <w:r>
              <w:rPr>
                <w:spacing w:val="-1"/>
              </w:rPr>
              <w:t>合《海洋工程环境影响评</w:t>
            </w:r>
            <w:r>
              <w:rPr/>
              <w:t xml:space="preserve"> </w:t>
            </w:r>
            <w:r>
              <w:rPr>
                <w:spacing w:val="-1"/>
              </w:rPr>
              <w:t>价技术导则》（GB/T 19485-2014）的要求；</w:t>
            </w:r>
          </w:p>
          <w:p>
            <w:pPr>
              <w:pStyle w:val="TableText"/>
              <w:ind w:left="116" w:right="185" w:hanging="1"/>
              <w:spacing w:before="27" w:line="233" w:lineRule="auto"/>
              <w:rPr/>
            </w:pPr>
            <w:r>
              <w:rPr/>
              <w:t>3.工程分析是否透彻，对海洋环境产生影响的主要环节阐述是否清</w:t>
            </w:r>
            <w:r>
              <w:rPr>
                <w:spacing w:val="-1"/>
              </w:rPr>
              <w:t>楚；工程的环境风险分析是</w:t>
            </w:r>
            <w:r>
              <w:rPr/>
              <w:t xml:space="preserve"> </w:t>
            </w:r>
            <w:r>
              <w:rPr>
                <w:spacing w:val="-1"/>
              </w:rPr>
              <w:t>否全面准确；工程建设和运营对海洋环境产生的影响是否可接受；</w:t>
            </w:r>
          </w:p>
          <w:p>
            <w:pPr>
              <w:pStyle w:val="TableText"/>
              <w:ind w:left="110" w:right="185"/>
              <w:spacing w:before="24"/>
              <w:jc w:val="both"/>
              <w:rPr/>
            </w:pPr>
            <w:r>
              <w:rPr/>
              <w:t>4.工程建设和运营过程中的环保对策措施和风险防范对策措施是否可行、有</w:t>
            </w:r>
            <w:r>
              <w:rPr>
                <w:spacing w:val="-1"/>
              </w:rPr>
              <w:t>效，拟采取的污染</w:t>
            </w:r>
            <w:r>
              <w:rPr/>
              <w:t xml:space="preserve"> </w:t>
            </w:r>
            <w:r>
              <w:rPr/>
              <w:t>防治措施是否确保污染物排放达到国家和地方规定的排放标准；污染物排</w:t>
            </w:r>
            <w:r>
              <w:rPr>
                <w:spacing w:val="-1"/>
              </w:rPr>
              <w:t>放是否符合核定的排</w:t>
            </w:r>
            <w:r>
              <w:rPr/>
              <w:t xml:space="preserve"> </w:t>
            </w:r>
            <w:r>
              <w:rPr/>
              <w:t>放指标；工程是否符合节能减排和清洁生产要求；海洋生态保护、恢复或</w:t>
            </w:r>
            <w:r>
              <w:rPr>
                <w:spacing w:val="-1"/>
              </w:rPr>
              <w:t>补偿对策措施是否可</w:t>
            </w:r>
            <w:r>
              <w:rPr/>
              <w:t xml:space="preserve"> </w:t>
            </w:r>
            <w:r>
              <w:rPr>
                <w:spacing w:val="-2"/>
              </w:rPr>
              <w:t>行、有效；</w:t>
            </w:r>
          </w:p>
          <w:p>
            <w:pPr>
              <w:pStyle w:val="TableText"/>
              <w:ind w:left="115"/>
              <w:spacing w:before="25" w:line="218" w:lineRule="auto"/>
              <w:rPr/>
            </w:pPr>
            <w:r>
              <w:rPr>
                <w:spacing w:val="-1"/>
              </w:rPr>
              <w:t>5.评价结论是否可信；</w:t>
            </w:r>
          </w:p>
          <w:p>
            <w:pPr>
              <w:pStyle w:val="TableText"/>
              <w:ind w:left="114" w:right="3292" w:hanging="2"/>
              <w:spacing w:before="26" w:line="229" w:lineRule="auto"/>
              <w:rPr/>
            </w:pPr>
            <w:r>
              <w:rPr>
                <w:spacing w:val="-3"/>
              </w:rPr>
              <w:t>6.是否符合环境影响评价公众参与相关法律法规要求；</w:t>
            </w:r>
            <w:r>
              <w:rPr>
                <w:spacing w:val="18"/>
              </w:rPr>
              <w:t xml:space="preserve"> </w:t>
            </w:r>
            <w:r>
              <w:rPr>
                <w:spacing w:val="-1"/>
              </w:rPr>
              <w:t>7.法律规定其他应核验的内容。</w:t>
            </w:r>
          </w:p>
        </w:tc>
        <w:tc>
          <w:tcPr>
            <w:tcW w:w="368" w:type="dxa"/>
            <w:vAlign w:val="top"/>
            <w:textDirection w:val="tbRlV"/>
          </w:tcPr>
          <w:p>
            <w:pPr>
              <w:pStyle w:val="TableText"/>
              <w:ind w:left="1407"/>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138" w:right="135" w:firstLine="3"/>
              <w:spacing w:before="58" w:line="313" w:lineRule="auto"/>
              <w:jc w:val="both"/>
              <w:rPr/>
            </w:pPr>
            <w:r>
              <w:rPr>
                <w:spacing w:val="-2"/>
              </w:rPr>
              <w:t>关于海洋工</w:t>
            </w:r>
            <w:r>
              <w:rPr/>
              <w:t xml:space="preserve"> </w:t>
            </w:r>
            <w:r>
              <w:rPr>
                <w:spacing w:val="-2"/>
              </w:rPr>
              <w:t>程建设项目</w:t>
            </w:r>
            <w:r>
              <w:rPr>
                <w:spacing w:val="2"/>
              </w:rPr>
              <w:t xml:space="preserve"> </w:t>
            </w:r>
            <w:r>
              <w:rPr>
                <w:spacing w:val="-2"/>
              </w:rPr>
              <w:t>环境影响报</w:t>
            </w:r>
            <w:r>
              <w:rPr>
                <w:spacing w:val="2"/>
              </w:rPr>
              <w:t xml:space="preserve"> </w:t>
            </w:r>
            <w:r>
              <w:rPr>
                <w:spacing w:val="-2"/>
              </w:rPr>
              <w:t>告表的批复</w:t>
            </w:r>
          </w:p>
        </w:tc>
        <w:tc>
          <w:tcPr>
            <w:tcW w:w="4568"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5" w:right="363" w:firstLine="11"/>
              <w:spacing w:before="58" w:line="306" w:lineRule="auto"/>
              <w:rPr/>
            </w:pPr>
            <w:r>
              <w:rPr>
                <w:spacing w:val="-3"/>
              </w:rPr>
              <w:t>1.海洋工程建设项目环境影响评价文件报批申请表；</w:t>
            </w:r>
            <w:r>
              <w:rPr>
                <w:spacing w:val="3"/>
              </w:rPr>
              <w:t xml:space="preserve"> </w:t>
            </w:r>
            <w:r>
              <w:rPr>
                <w:spacing w:val="-1"/>
              </w:rPr>
              <w:t>2.海洋工程建设项目环境影响报告表；</w:t>
            </w:r>
          </w:p>
          <w:p>
            <w:pPr>
              <w:pStyle w:val="TableText"/>
              <w:ind w:left="117"/>
              <w:spacing w:before="27" w:line="218" w:lineRule="auto"/>
              <w:rPr/>
            </w:pPr>
            <w:r>
              <w:rPr>
                <w:spacing w:val="-1"/>
              </w:rPr>
              <w:t>3.环境现状调查数据报告汇编。</w:t>
            </w:r>
          </w:p>
        </w:tc>
        <w:tc>
          <w:tcPr>
            <w:tcW w:w="2753" w:type="dxa"/>
            <w:vAlign w:val="top"/>
          </w:tcPr>
          <w:p>
            <w:pPr>
              <w:spacing w:line="282" w:lineRule="auto"/>
              <w:rPr>
                <w:rFonts w:ascii="Arial"/>
                <w:sz w:val="21"/>
              </w:rPr>
            </w:pPr>
            <w:r/>
          </w:p>
          <w:p>
            <w:pPr>
              <w:spacing w:line="283"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8" w:line="311" w:lineRule="auto"/>
              <w:jc w:val="both"/>
              <w:rPr/>
            </w:pPr>
            <w:r>
              <w:rPr>
                <w:spacing w:val="-4"/>
              </w:rPr>
              <w:t>6.特殊环节（部分情况下开展</w:t>
            </w:r>
            <w:r>
              <w:rPr>
                <w:spacing w:val="-36"/>
              </w:rPr>
              <w:t>）：</w:t>
            </w:r>
            <w:r>
              <w:rPr/>
              <w:t xml:space="preserve"> </w:t>
            </w:r>
            <w:r>
              <w:rPr>
                <w:spacing w:val="-1"/>
              </w:rPr>
              <w:t>技术评估、现场勘验、听证等所</w:t>
            </w:r>
            <w:r>
              <w:rPr>
                <w:spacing w:val="5"/>
              </w:rPr>
              <w:t xml:space="preserve"> </w:t>
            </w:r>
            <w:r>
              <w:rPr>
                <w:spacing w:val="-1"/>
              </w:rPr>
              <w:t>需时间不计入审批时限。</w:t>
            </w:r>
          </w:p>
        </w:tc>
        <w:tc>
          <w:tcPr>
            <w:tcW w:w="768" w:type="dxa"/>
            <w:vAlign w:val="top"/>
          </w:tcPr>
          <w:p>
            <w:pPr>
              <w:rPr>
                <w:rFonts w:ascii="Arial"/>
                <w:sz w:val="21"/>
              </w:rPr>
            </w:pPr>
            <w:r/>
          </w:p>
        </w:tc>
      </w:tr>
    </w:tbl>
    <w:p>
      <w:pPr>
        <w:pStyle w:val="BodyText"/>
        <w:rPr/>
      </w:pPr>
      <w:r/>
    </w:p>
    <w:p>
      <w:pPr>
        <w:sectPr>
          <w:footerReference w:type="default" r:id="rId11"/>
          <w:pgSz w:w="23812" w:h="16839"/>
          <w:pgMar w:top="1431" w:right="1080" w:bottom="973" w:left="1079" w:header="0" w:footer="694" w:gutter="0"/>
        </w:sectPr>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2825" w:hRule="atLeast"/>
        </w:trPr>
        <w:tc>
          <w:tcPr>
            <w:tcW w:w="400"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58"/>
              <w:spacing w:before="59" w:line="183" w:lineRule="auto"/>
              <w:rPr/>
            </w:pPr>
            <w:r>
              <w:rPr/>
              <w:t>4</w:t>
            </w:r>
          </w:p>
        </w:tc>
        <w:tc>
          <w:tcPr>
            <w:tcW w:w="88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57" w:right="171" w:hanging="181"/>
              <w:spacing w:before="58" w:line="309" w:lineRule="auto"/>
              <w:rPr/>
            </w:pPr>
            <w:r>
              <w:rPr>
                <w:spacing w:val="-3"/>
              </w:rPr>
              <w:t>排污许</w:t>
            </w:r>
            <w:r>
              <w:rPr/>
              <w:t xml:space="preserve"> </w:t>
            </w:r>
            <w:r>
              <w:rPr/>
              <w:t>可</w:t>
            </w:r>
          </w:p>
        </w:tc>
        <w:tc>
          <w:tcPr>
            <w:tcW w:w="763"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113"/>
              <w:spacing w:before="59" w:line="220" w:lineRule="auto"/>
              <w:rPr/>
            </w:pPr>
            <w:r>
              <w:rPr>
                <w:spacing w:val="-3"/>
              </w:rPr>
              <w:t>排污许</w:t>
            </w:r>
          </w:p>
          <w:p>
            <w:pPr>
              <w:pStyle w:val="TableText"/>
              <w:ind w:left="115"/>
              <w:spacing w:before="97" w:line="219" w:lineRule="auto"/>
              <w:rPr/>
            </w:pPr>
            <w:r>
              <w:rPr>
                <w:spacing w:val="-3"/>
              </w:rPr>
              <w:t>可核发</w:t>
            </w:r>
          </w:p>
          <w:p>
            <w:pPr>
              <w:pStyle w:val="TableText"/>
              <w:ind w:left="117"/>
              <w:spacing w:before="98" w:line="219" w:lineRule="auto"/>
              <w:rPr/>
            </w:pPr>
            <w:r>
              <w:rPr>
                <w:spacing w:val="-4"/>
              </w:rPr>
              <w:t>简化管</w:t>
            </w:r>
          </w:p>
          <w:p>
            <w:pPr>
              <w:pStyle w:val="TableText"/>
              <w:ind w:left="295"/>
              <w:spacing w:before="99" w:line="229" w:lineRule="auto"/>
              <w:rPr/>
            </w:pPr>
            <w:r>
              <w:rPr/>
              <w:t>理</w:t>
            </w:r>
          </w:p>
        </w:tc>
        <w:tc>
          <w:tcPr>
            <w:tcW w:w="66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61"/>
              <w:spacing w:before="58" w:line="219" w:lineRule="auto"/>
              <w:rPr/>
            </w:pPr>
            <w:r>
              <w:rPr>
                <w:spacing w:val="-6"/>
              </w:rPr>
              <w:t>市级</w:t>
            </w:r>
          </w:p>
        </w:tc>
        <w:tc>
          <w:tcPr>
            <w:tcW w:w="640" w:type="dxa"/>
            <w:vAlign w:val="top"/>
          </w:tcPr>
          <w:p>
            <w:pPr>
              <w:spacing w:line="315" w:lineRule="auto"/>
              <w:rPr>
                <w:rFonts w:ascii="Arial"/>
                <w:sz w:val="21"/>
              </w:rPr>
            </w:pPr>
            <w:r/>
          </w:p>
          <w:p>
            <w:pPr>
              <w:spacing w:line="315" w:lineRule="auto"/>
              <w:rPr>
                <w:rFonts w:ascii="Arial"/>
                <w:sz w:val="21"/>
              </w:rPr>
            </w:pPr>
            <w:r/>
          </w:p>
          <w:p>
            <w:pPr>
              <w:spacing w:line="316"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1010"/>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300" w:lineRule="auto"/>
              <w:rPr>
                <w:rFonts w:ascii="Arial"/>
                <w:sz w:val="21"/>
              </w:rPr>
            </w:pPr>
            <w:r/>
          </w:p>
          <w:p>
            <w:pPr>
              <w:pStyle w:val="TableText"/>
              <w:ind w:left="111" w:right="185" w:firstLine="13"/>
              <w:spacing w:before="59" w:line="233" w:lineRule="auto"/>
              <w:rPr/>
            </w:pPr>
            <w:r>
              <w:rPr/>
              <w:t>1.是否依法取得建设项目环境影响报告书（</w:t>
            </w:r>
            <w:r>
              <w:rPr>
                <w:spacing w:val="-1"/>
              </w:rPr>
              <w:t>表）批准文件，或者已经办理环境影响登记表备案</w:t>
            </w:r>
            <w:r>
              <w:rPr/>
              <w:t xml:space="preserve"> </w:t>
            </w:r>
            <w:r>
              <w:rPr>
                <w:spacing w:val="-3"/>
              </w:rPr>
              <w:t>手续；</w:t>
            </w:r>
          </w:p>
          <w:p>
            <w:pPr>
              <w:pStyle w:val="TableText"/>
              <w:ind w:left="110" w:right="46" w:firstLine="2"/>
              <w:spacing w:before="27" w:line="239" w:lineRule="auto"/>
              <w:jc w:val="both"/>
              <w:rPr/>
            </w:pPr>
            <w:r>
              <w:rPr>
                <w:spacing w:val="-1"/>
              </w:rPr>
              <w:t>2.排污许可证内容是否符合排污许可证申请与核发技术规范、环境影响报告书</w:t>
            </w:r>
            <w:r>
              <w:rPr>
                <w:spacing w:val="-2"/>
              </w:rPr>
              <w:t>（表）批准文件、</w:t>
            </w:r>
            <w:r>
              <w:rPr/>
              <w:t xml:space="preserve"> </w:t>
            </w:r>
            <w:r>
              <w:rPr/>
              <w:t>重点污染物排放总量控制要求；污染物排放是否符合污染物排放标准要求，</w:t>
            </w:r>
            <w:r>
              <w:rPr>
                <w:spacing w:val="-1"/>
              </w:rPr>
              <w:t>排污单位生产经营</w:t>
            </w:r>
            <w:r>
              <w:rPr/>
              <w:t xml:space="preserve">  </w:t>
            </w:r>
            <w:r>
              <w:rPr/>
              <w:t>场所位于未达到国家环境质量标准的重点区域、流域的，污染物排放是否还</w:t>
            </w:r>
            <w:r>
              <w:rPr>
                <w:spacing w:val="-1"/>
              </w:rPr>
              <w:t>符合有关地方人民</w:t>
            </w:r>
            <w:r>
              <w:rPr/>
              <w:t xml:space="preserve">  </w:t>
            </w:r>
            <w:r>
              <w:rPr>
                <w:spacing w:val="-1"/>
              </w:rPr>
              <w:t>政府关于改善生态环境质量的特别要求；</w:t>
            </w:r>
          </w:p>
          <w:p>
            <w:pPr>
              <w:pStyle w:val="TableText"/>
              <w:ind w:left="115"/>
              <w:spacing w:before="26" w:line="219" w:lineRule="auto"/>
              <w:rPr/>
            </w:pPr>
            <w:r>
              <w:rPr/>
              <w:t>3.是否采用污染防治设施可以达到许可排放浓度要求或</w:t>
            </w:r>
            <w:r>
              <w:rPr>
                <w:spacing w:val="-1"/>
              </w:rPr>
              <w:t>者符合污染防治可行技术；</w:t>
            </w:r>
          </w:p>
          <w:p>
            <w:pPr>
              <w:pStyle w:val="TableText"/>
              <w:ind w:left="114" w:right="2212" w:hanging="4"/>
              <w:spacing w:before="26" w:line="232" w:lineRule="auto"/>
              <w:rPr/>
            </w:pPr>
            <w:r>
              <w:rPr>
                <w:spacing w:val="-2"/>
              </w:rPr>
              <w:t>4.自行监测方案的监测点位、指标、频次等符合国家自行监测规范；</w:t>
            </w:r>
            <w:r>
              <w:rPr>
                <w:spacing w:val="7"/>
              </w:rPr>
              <w:t xml:space="preserve"> </w:t>
            </w:r>
            <w:r>
              <w:rPr>
                <w:spacing w:val="-1"/>
              </w:rPr>
              <w:t>5.法律规定其他应核验的内容。</w:t>
            </w:r>
          </w:p>
        </w:tc>
        <w:tc>
          <w:tcPr>
            <w:tcW w:w="368" w:type="dxa"/>
            <w:vAlign w:val="top"/>
            <w:textDirection w:val="tbRlV"/>
          </w:tcPr>
          <w:p>
            <w:pPr>
              <w:pStyle w:val="TableText"/>
              <w:ind w:left="1010"/>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39"/>
              <w:spacing w:before="59" w:line="220" w:lineRule="auto"/>
              <w:rPr/>
            </w:pPr>
            <w:r>
              <w:rPr>
                <w:spacing w:val="-2"/>
              </w:rPr>
              <w:t>排污许可证</w:t>
            </w:r>
          </w:p>
        </w:tc>
        <w:tc>
          <w:tcPr>
            <w:tcW w:w="4568" w:type="dxa"/>
            <w:vAlign w:val="top"/>
          </w:tcPr>
          <w:p>
            <w:pPr>
              <w:rPr>
                <w:rFonts w:ascii="Arial"/>
                <w:sz w:val="21"/>
              </w:rPr>
            </w:pPr>
            <w:r/>
          </w:p>
          <w:p>
            <w:pPr>
              <w:spacing w:line="241" w:lineRule="auto"/>
              <w:rPr>
                <w:rFonts w:ascii="Arial"/>
                <w:sz w:val="21"/>
              </w:rPr>
            </w:pPr>
            <w:r/>
          </w:p>
          <w:p>
            <w:pPr>
              <w:pStyle w:val="TableText"/>
              <w:ind w:left="127"/>
              <w:spacing w:before="58" w:line="219" w:lineRule="auto"/>
              <w:rPr/>
            </w:pPr>
            <w:r>
              <w:rPr>
                <w:spacing w:val="-2"/>
              </w:rPr>
              <w:t>1.排污许可证申请表；</w:t>
            </w:r>
          </w:p>
          <w:p>
            <w:pPr>
              <w:pStyle w:val="TableText"/>
              <w:ind w:left="115" w:right="136"/>
              <w:spacing w:before="98" w:line="306" w:lineRule="auto"/>
              <w:rPr/>
            </w:pPr>
            <w:r>
              <w:rPr>
                <w:spacing w:val="-1"/>
              </w:rPr>
              <w:t>2.属于城镇和工业污水集中处理设施的，排污单位的纳</w:t>
            </w:r>
            <w:r>
              <w:rPr>
                <w:spacing w:val="14"/>
              </w:rPr>
              <w:t xml:space="preserve"> </w:t>
            </w:r>
            <w:r>
              <w:rPr>
                <w:spacing w:val="-1"/>
              </w:rPr>
              <w:t>污范围、管网布置、最终排放去向等说明材料；</w:t>
            </w:r>
          </w:p>
          <w:p>
            <w:pPr>
              <w:pStyle w:val="TableText"/>
              <w:ind w:left="113" w:right="136" w:firstLine="4"/>
              <w:spacing w:before="25" w:line="311" w:lineRule="auto"/>
              <w:jc w:val="both"/>
              <w:rPr/>
            </w:pPr>
            <w:r>
              <w:rPr>
                <w:spacing w:val="-1"/>
              </w:rPr>
              <w:t>3.属于排放重点污染物的新建、改建、扩建项目以及实</w:t>
            </w:r>
            <w:r>
              <w:rPr>
                <w:spacing w:val="13"/>
              </w:rPr>
              <w:t xml:space="preserve"> </w:t>
            </w:r>
            <w:r>
              <w:rPr>
                <w:spacing w:val="-1"/>
              </w:rPr>
              <w:t>施技术改造项目的，排污单位通过污染物排放量削减替</w:t>
            </w:r>
            <w:r>
              <w:rPr>
                <w:spacing w:val="16"/>
              </w:rPr>
              <w:t xml:space="preserve"> </w:t>
            </w:r>
            <w:r>
              <w:rPr>
                <w:spacing w:val="-1"/>
              </w:rPr>
              <w:t>代获得重点污染物排放总量控制指标的说明材料。</w:t>
            </w:r>
          </w:p>
        </w:tc>
        <w:tc>
          <w:tcPr>
            <w:tcW w:w="2753" w:type="dxa"/>
            <w:vAlign w:val="top"/>
          </w:tcPr>
          <w:p>
            <w:pPr>
              <w:pStyle w:val="TableText"/>
              <w:ind w:left="126"/>
              <w:spacing w:before="74"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19" w:lineRule="auto"/>
              <w:rPr/>
            </w:pPr>
            <w:r>
              <w:rPr>
                <w:spacing w:val="-1"/>
              </w:rPr>
              <w:t>4.审批机构批准/不予批准；</w:t>
            </w:r>
          </w:p>
          <w:p>
            <w:pPr>
              <w:pStyle w:val="TableText"/>
              <w:ind w:left="116"/>
              <w:spacing w:before="98" w:line="220" w:lineRule="auto"/>
              <w:rPr/>
            </w:pPr>
            <w:r>
              <w:rPr>
                <w:spacing w:val="-1"/>
              </w:rPr>
              <w:t>5.颁发排污许可证/不予许可；</w:t>
            </w:r>
          </w:p>
          <w:p>
            <w:pPr>
              <w:pStyle w:val="TableText"/>
              <w:ind w:left="114" w:right="60"/>
              <w:spacing w:before="97" w:line="303" w:lineRule="auto"/>
              <w:jc w:val="both"/>
              <w:rPr/>
            </w:pPr>
            <w:r>
              <w:rPr>
                <w:spacing w:val="-4"/>
              </w:rPr>
              <w:t>6.特殊环节（部分情况下开展</w:t>
            </w:r>
            <w:r>
              <w:rPr>
                <w:spacing w:val="-36"/>
              </w:rPr>
              <w:t>）：</w:t>
            </w:r>
            <w:r>
              <w:rPr/>
              <w:t xml:space="preserve"> </w:t>
            </w:r>
            <w:r>
              <w:rPr>
                <w:spacing w:val="-1"/>
              </w:rPr>
              <w:t>现场核查、委托服务机构开展技</w:t>
            </w:r>
            <w:r>
              <w:rPr>
                <w:spacing w:val="4"/>
              </w:rPr>
              <w:t xml:space="preserve"> </w:t>
            </w:r>
            <w:r>
              <w:rPr>
                <w:spacing w:val="-1"/>
              </w:rPr>
              <w:t>术性服务所需时间不计入审批时</w:t>
            </w:r>
            <w:r>
              <w:rPr>
                <w:spacing w:val="4"/>
              </w:rPr>
              <w:t xml:space="preserve"> </w:t>
            </w:r>
            <w:r>
              <w:rPr>
                <w:spacing w:val="-5"/>
              </w:rPr>
              <w:t>限。</w:t>
            </w:r>
          </w:p>
        </w:tc>
        <w:tc>
          <w:tcPr>
            <w:tcW w:w="768" w:type="dxa"/>
            <w:vAlign w:val="top"/>
          </w:tcPr>
          <w:p>
            <w:pPr>
              <w:rPr>
                <w:rFonts w:ascii="Arial"/>
                <w:sz w:val="21"/>
              </w:rPr>
            </w:pPr>
            <w:r/>
          </w:p>
        </w:tc>
      </w:tr>
      <w:tr>
        <w:trPr>
          <w:trHeight w:val="2593" w:hRule="atLeast"/>
        </w:trPr>
        <w:tc>
          <w:tcPr>
            <w:tcW w:w="400" w:type="dxa"/>
            <w:vAlign w:val="top"/>
            <w:vMerge w:val="continue"/>
            <w:tcBorders>
              <w:top w:val="nil"/>
              <w:bottom w:val="nil"/>
            </w:tcBorders>
          </w:tcPr>
          <w:p>
            <w:pPr>
              <w:rPr>
                <w:rFonts w:ascii="Arial"/>
                <w:sz w:val="21"/>
              </w:rPr>
            </w:pPr>
            <w:r/>
          </w:p>
        </w:tc>
        <w:tc>
          <w:tcPr>
            <w:tcW w:w="886" w:type="dxa"/>
            <w:vAlign w:val="top"/>
            <w:vMerge w:val="continue"/>
            <w:tcBorders>
              <w:top w:val="nil"/>
              <w:bottom w:val="nil"/>
            </w:tcBorders>
          </w:tcPr>
          <w:p>
            <w:pPr>
              <w:rPr>
                <w:rFonts w:ascii="Arial"/>
                <w:sz w:val="21"/>
              </w:rPr>
            </w:pPr>
            <w:r/>
          </w:p>
        </w:tc>
        <w:tc>
          <w:tcPr>
            <w:tcW w:w="763" w:type="dxa"/>
            <w:vAlign w:val="top"/>
          </w:tcPr>
          <w:p>
            <w:pPr>
              <w:spacing w:line="337" w:lineRule="auto"/>
              <w:rPr>
                <w:rFonts w:ascii="Arial"/>
                <w:sz w:val="21"/>
              </w:rPr>
            </w:pPr>
            <w:r/>
          </w:p>
          <w:p>
            <w:pPr>
              <w:spacing w:line="338" w:lineRule="auto"/>
              <w:rPr>
                <w:rFonts w:ascii="Arial"/>
                <w:sz w:val="21"/>
              </w:rPr>
            </w:pPr>
            <w:r/>
          </w:p>
          <w:p>
            <w:pPr>
              <w:pStyle w:val="TableText"/>
              <w:ind w:left="113"/>
              <w:spacing w:before="59" w:line="220" w:lineRule="auto"/>
              <w:rPr/>
            </w:pPr>
            <w:r>
              <w:rPr>
                <w:spacing w:val="-3"/>
              </w:rPr>
              <w:t>排污许</w:t>
            </w:r>
          </w:p>
          <w:p>
            <w:pPr>
              <w:pStyle w:val="TableText"/>
              <w:ind w:left="115"/>
              <w:spacing w:before="97" w:line="219" w:lineRule="auto"/>
              <w:rPr/>
            </w:pPr>
            <w:r>
              <w:rPr>
                <w:spacing w:val="-3"/>
              </w:rPr>
              <w:t>可核发</w:t>
            </w:r>
          </w:p>
          <w:p>
            <w:pPr>
              <w:pStyle w:val="TableText"/>
              <w:ind w:left="114"/>
              <w:spacing w:before="99" w:line="219" w:lineRule="auto"/>
              <w:rPr/>
            </w:pPr>
            <w:r>
              <w:rPr>
                <w:spacing w:val="-3"/>
              </w:rPr>
              <w:t>重点管</w:t>
            </w:r>
          </w:p>
          <w:p>
            <w:pPr>
              <w:pStyle w:val="TableText"/>
              <w:ind w:left="295"/>
              <w:spacing w:before="98" w:line="229" w:lineRule="auto"/>
              <w:rPr/>
            </w:pPr>
            <w:r>
              <w:rPr/>
              <w:t>理</w:t>
            </w:r>
          </w:p>
        </w:tc>
        <w:tc>
          <w:tcPr>
            <w:tcW w:w="669"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61"/>
              <w:spacing w:before="58" w:line="219" w:lineRule="auto"/>
              <w:rPr/>
            </w:pPr>
            <w:r>
              <w:rPr>
                <w:spacing w:val="-6"/>
              </w:rPr>
              <w:t>市级</w:t>
            </w:r>
          </w:p>
        </w:tc>
        <w:tc>
          <w:tcPr>
            <w:tcW w:w="640" w:type="dxa"/>
            <w:vAlign w:val="top"/>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TableText"/>
              <w:ind w:left="229"/>
              <w:spacing w:before="58" w:line="183" w:lineRule="auto"/>
              <w:rPr/>
            </w:pPr>
            <w:r>
              <w:rPr>
                <w:spacing w:val="-5"/>
              </w:rPr>
              <w:t>30</w:t>
            </w:r>
          </w:p>
        </w:tc>
        <w:tc>
          <w:tcPr>
            <w:tcW w:w="355" w:type="dxa"/>
            <w:vAlign w:val="top"/>
            <w:textDirection w:val="tbRlV"/>
          </w:tcPr>
          <w:p>
            <w:pPr>
              <w:pStyle w:val="TableText"/>
              <w:ind w:left="894"/>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pStyle w:val="TableText"/>
              <w:ind w:left="111" w:right="185" w:firstLine="13"/>
              <w:spacing w:before="245" w:line="233" w:lineRule="auto"/>
              <w:rPr/>
            </w:pPr>
            <w:r>
              <w:rPr/>
              <w:t>1.是否依法取得建设项目环境影响报告书（</w:t>
            </w:r>
            <w:r>
              <w:rPr>
                <w:spacing w:val="-1"/>
              </w:rPr>
              <w:t>表）批准文件，或者已经办理环境影响登记表备案</w:t>
            </w:r>
            <w:r>
              <w:rPr/>
              <w:t xml:space="preserve"> </w:t>
            </w:r>
            <w:r>
              <w:rPr>
                <w:spacing w:val="-3"/>
              </w:rPr>
              <w:t>手续；</w:t>
            </w:r>
          </w:p>
          <w:p>
            <w:pPr>
              <w:pStyle w:val="TableText"/>
              <w:ind w:left="110" w:right="185" w:firstLine="2"/>
              <w:spacing w:before="27" w:line="239" w:lineRule="auto"/>
              <w:jc w:val="both"/>
              <w:rPr/>
            </w:pPr>
            <w:r>
              <w:rPr/>
              <w:t>2.污染物排放是否符合污染物排放标准要求，重点污染物排放是否符</w:t>
            </w:r>
            <w:r>
              <w:rPr>
                <w:spacing w:val="-1"/>
              </w:rPr>
              <w:t>合排污许可证申请与核发</w:t>
            </w:r>
            <w:r>
              <w:rPr/>
              <w:t xml:space="preserve"> </w:t>
            </w:r>
            <w:r>
              <w:rPr/>
              <w:t>技术规范、环境影响报告书（表）批准文件、重点污染物排放总量控制要求</w:t>
            </w:r>
            <w:r>
              <w:rPr>
                <w:spacing w:val="-1"/>
              </w:rPr>
              <w:t>；其中，排污单位</w:t>
            </w:r>
            <w:r>
              <w:rPr/>
              <w:t xml:space="preserve"> </w:t>
            </w:r>
            <w:r>
              <w:rPr/>
              <w:t>生产经营场所位于未达到国家环境质量标准的重点区域、流域的，还应当符</w:t>
            </w:r>
            <w:r>
              <w:rPr>
                <w:spacing w:val="-1"/>
              </w:rPr>
              <w:t>合有关地方人民政</w:t>
            </w:r>
            <w:r>
              <w:rPr/>
              <w:t xml:space="preserve"> </w:t>
            </w:r>
            <w:r>
              <w:rPr>
                <w:spacing w:val="-1"/>
              </w:rPr>
              <w:t>府关于改善生态环境质量的特别要求；</w:t>
            </w:r>
          </w:p>
          <w:p>
            <w:pPr>
              <w:pStyle w:val="TableText"/>
              <w:ind w:left="115"/>
              <w:spacing w:before="26" w:line="219" w:lineRule="auto"/>
              <w:rPr/>
            </w:pPr>
            <w:r>
              <w:rPr/>
              <w:t>3.是否采用污染防治设施可以达到许可排放浓度要求或</w:t>
            </w:r>
            <w:r>
              <w:rPr>
                <w:spacing w:val="-1"/>
              </w:rPr>
              <w:t>者符合污染防治可行技术；</w:t>
            </w:r>
          </w:p>
          <w:p>
            <w:pPr>
              <w:pStyle w:val="TableText"/>
              <w:ind w:left="114" w:right="1852" w:hanging="4"/>
              <w:spacing w:before="26" w:line="232" w:lineRule="auto"/>
              <w:rPr/>
            </w:pPr>
            <w:r>
              <w:rPr>
                <w:spacing w:val="-2"/>
              </w:rPr>
              <w:t>4.自行监测方案的监测点位、指标、频次等是否符合国家自行监测规范；</w:t>
            </w:r>
            <w:r>
              <w:rPr>
                <w:spacing w:val="11"/>
              </w:rPr>
              <w:t xml:space="preserve"> </w:t>
            </w:r>
            <w:r>
              <w:rPr>
                <w:spacing w:val="-1"/>
              </w:rPr>
              <w:t>5.法律规定其他应核验的内容。</w:t>
            </w:r>
          </w:p>
        </w:tc>
        <w:tc>
          <w:tcPr>
            <w:tcW w:w="368" w:type="dxa"/>
            <w:vAlign w:val="top"/>
            <w:textDirection w:val="tbRlV"/>
          </w:tcPr>
          <w:p>
            <w:pPr>
              <w:pStyle w:val="TableText"/>
              <w:ind w:left="894"/>
              <w:spacing w:before="77" w:line="209" w:lineRule="auto"/>
              <w:rPr/>
            </w:pPr>
            <w:r>
              <w:rPr>
                <w:spacing w:val="-1"/>
              </w:rPr>
              <w:t>条</w:t>
            </w:r>
            <w:r>
              <w:rPr>
                <w:spacing w:val="43"/>
              </w:rPr>
              <w:t xml:space="preserve"> </w:t>
            </w:r>
            <w:r>
              <w:rPr>
                <w:spacing w:val="-1"/>
              </w:rPr>
              <w:t>件</w:t>
            </w:r>
            <w:r>
              <w:rPr>
                <w:spacing w:val="42"/>
                <w:w w:val="101"/>
              </w:rPr>
              <w:t xml:space="preserve"> </w:t>
            </w:r>
            <w:r>
              <w:rPr>
                <w:spacing w:val="-1"/>
              </w:rPr>
              <w:t>型</w:t>
            </w:r>
          </w:p>
        </w:tc>
        <w:tc>
          <w:tcPr>
            <w:tcW w:w="1173"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39"/>
              <w:spacing w:before="58" w:line="220" w:lineRule="auto"/>
              <w:rPr/>
            </w:pPr>
            <w:r>
              <w:rPr>
                <w:spacing w:val="-2"/>
              </w:rPr>
              <w:t>排污许可证</w:t>
            </w:r>
          </w:p>
        </w:tc>
        <w:tc>
          <w:tcPr>
            <w:tcW w:w="4568" w:type="dxa"/>
            <w:vAlign w:val="top"/>
          </w:tcPr>
          <w:p>
            <w:pPr>
              <w:pStyle w:val="TableText"/>
              <w:ind w:left="127"/>
              <w:spacing w:before="246" w:line="219" w:lineRule="auto"/>
              <w:rPr/>
            </w:pPr>
            <w:r>
              <w:rPr>
                <w:spacing w:val="-2"/>
              </w:rPr>
              <w:t>1.排污许可证申请表；</w:t>
            </w:r>
          </w:p>
          <w:p>
            <w:pPr>
              <w:pStyle w:val="TableText"/>
              <w:ind w:left="115" w:right="136"/>
              <w:spacing w:before="26" w:line="237" w:lineRule="auto"/>
              <w:jc w:val="both"/>
              <w:rPr/>
            </w:pPr>
            <w:r>
              <w:rPr>
                <w:spacing w:val="-1"/>
              </w:rPr>
              <w:t>2.属于实行排污许可重点管理的，排污单位在提出申请</w:t>
            </w:r>
            <w:r>
              <w:rPr>
                <w:spacing w:val="14"/>
              </w:rPr>
              <w:t xml:space="preserve"> </w:t>
            </w:r>
            <w:r>
              <w:rPr>
                <w:spacing w:val="-1"/>
              </w:rPr>
              <w:t>前已通过全国排污许可证管理信息平台公开单位基本信</w:t>
            </w:r>
            <w:r>
              <w:rPr>
                <w:spacing w:val="13"/>
              </w:rPr>
              <w:t xml:space="preserve"> </w:t>
            </w:r>
            <w:r>
              <w:rPr>
                <w:spacing w:val="-1"/>
              </w:rPr>
              <w:t>息、拟申请许可事项的说明材料；</w:t>
            </w:r>
          </w:p>
          <w:p>
            <w:pPr>
              <w:pStyle w:val="TableText"/>
              <w:ind w:left="115" w:right="136" w:firstLine="2"/>
              <w:spacing w:before="25" w:line="233" w:lineRule="auto"/>
              <w:rPr/>
            </w:pPr>
            <w:r>
              <w:rPr>
                <w:spacing w:val="-1"/>
              </w:rPr>
              <w:t>3.属于城镇和工业污水集中处理设施的，排污单位的纳</w:t>
            </w:r>
            <w:r>
              <w:rPr>
                <w:spacing w:val="13"/>
              </w:rPr>
              <w:t xml:space="preserve"> </w:t>
            </w:r>
            <w:r>
              <w:rPr>
                <w:spacing w:val="-1"/>
              </w:rPr>
              <w:t>污范围、管网布置、最终排放去向等说明材料；</w:t>
            </w:r>
          </w:p>
          <w:p>
            <w:pPr>
              <w:pStyle w:val="TableText"/>
              <w:ind w:left="113" w:right="136"/>
              <w:spacing w:before="26" w:line="237" w:lineRule="auto"/>
              <w:jc w:val="both"/>
              <w:rPr/>
            </w:pPr>
            <w:r>
              <w:rPr>
                <w:spacing w:val="-1"/>
              </w:rPr>
              <w:t>4.属于排放重点污染物的新建、改建、扩建项目以及实</w:t>
            </w:r>
            <w:r>
              <w:rPr>
                <w:spacing w:val="17"/>
              </w:rPr>
              <w:t xml:space="preserve"> </w:t>
            </w:r>
            <w:r>
              <w:rPr>
                <w:spacing w:val="-1"/>
              </w:rPr>
              <w:t>施技术改造项目的，排污单位通过污染物排放量削减替</w:t>
            </w:r>
            <w:r>
              <w:rPr>
                <w:spacing w:val="16"/>
              </w:rPr>
              <w:t xml:space="preserve"> </w:t>
            </w:r>
            <w:r>
              <w:rPr>
                <w:spacing w:val="-1"/>
              </w:rPr>
              <w:t>代获得重点污染物排放总量控制指标的说明材料。</w:t>
            </w:r>
          </w:p>
        </w:tc>
        <w:tc>
          <w:tcPr>
            <w:tcW w:w="2753" w:type="dxa"/>
            <w:vAlign w:val="top"/>
          </w:tcPr>
          <w:p>
            <w:pPr>
              <w:pStyle w:val="TableText"/>
              <w:ind w:left="126"/>
              <w:spacing w:before="114"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20" w:lineRule="auto"/>
              <w:rPr/>
            </w:pPr>
            <w:r>
              <w:rPr>
                <w:spacing w:val="-1"/>
              </w:rPr>
              <w:t>4.颁发排污许可证/不予许可；</w:t>
            </w:r>
          </w:p>
          <w:p>
            <w:pPr>
              <w:pStyle w:val="TableText"/>
              <w:ind w:left="114" w:right="60" w:firstLine="2"/>
              <w:spacing w:before="97" w:line="313" w:lineRule="auto"/>
              <w:rPr/>
            </w:pPr>
            <w:r>
              <w:rPr>
                <w:spacing w:val="-4"/>
              </w:rPr>
              <w:t>5.特殊环节（部分情况下开展</w:t>
            </w:r>
            <w:r>
              <w:rPr>
                <w:spacing w:val="-38"/>
              </w:rPr>
              <w:t>）：</w:t>
            </w:r>
            <w:r>
              <w:rPr>
                <w:spacing w:val="1"/>
              </w:rPr>
              <w:t xml:space="preserve"> </w:t>
            </w:r>
            <w:r>
              <w:rPr>
                <w:spacing w:val="-1"/>
              </w:rPr>
              <w:t>现场核查、委托服务机构开展技</w:t>
            </w:r>
            <w:r>
              <w:rPr>
                <w:spacing w:val="4"/>
              </w:rPr>
              <w:t xml:space="preserve"> </w:t>
            </w:r>
            <w:r>
              <w:rPr>
                <w:spacing w:val="-1"/>
              </w:rPr>
              <w:t>术性服务所需时间不计入审批时</w:t>
            </w:r>
            <w:r>
              <w:rPr>
                <w:spacing w:val="4"/>
              </w:rPr>
              <w:t xml:space="preserve"> </w:t>
            </w:r>
            <w:r>
              <w:rPr>
                <w:spacing w:val="-5"/>
              </w:rPr>
              <w:t>限。</w:t>
            </w:r>
          </w:p>
        </w:tc>
        <w:tc>
          <w:tcPr>
            <w:tcW w:w="768" w:type="dxa"/>
            <w:vAlign w:val="top"/>
          </w:tcPr>
          <w:p>
            <w:pPr>
              <w:rPr>
                <w:rFonts w:ascii="Arial"/>
                <w:sz w:val="21"/>
              </w:rPr>
            </w:pPr>
            <w:r/>
          </w:p>
        </w:tc>
      </w:tr>
      <w:tr>
        <w:trPr>
          <w:trHeight w:val="2637" w:hRule="atLeast"/>
        </w:trPr>
        <w:tc>
          <w:tcPr>
            <w:tcW w:w="400" w:type="dxa"/>
            <w:vAlign w:val="top"/>
            <w:vMerge w:val="continue"/>
            <w:tcBorders>
              <w:top w:val="nil"/>
              <w:bottom w:val="nil"/>
            </w:tcBorders>
          </w:tcPr>
          <w:p>
            <w:pPr>
              <w:rPr>
                <w:rFonts w:ascii="Arial"/>
                <w:sz w:val="21"/>
              </w:rPr>
            </w:pPr>
            <w:r/>
          </w:p>
        </w:tc>
        <w:tc>
          <w:tcPr>
            <w:tcW w:w="886" w:type="dxa"/>
            <w:vAlign w:val="top"/>
            <w:vMerge w:val="continue"/>
            <w:tcBorders>
              <w:top w:val="nil"/>
              <w:bottom w:val="nil"/>
            </w:tcBorders>
          </w:tcPr>
          <w:p>
            <w:pPr>
              <w:rPr>
                <w:rFonts w:ascii="Arial"/>
                <w:sz w:val="21"/>
              </w:rPr>
            </w:pPr>
            <w:r/>
          </w:p>
        </w:tc>
        <w:tc>
          <w:tcPr>
            <w:tcW w:w="763"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14" w:right="111" w:hanging="1"/>
              <w:spacing w:before="58" w:line="306" w:lineRule="auto"/>
              <w:rPr/>
            </w:pPr>
            <w:r>
              <w:rPr>
                <w:spacing w:val="-3"/>
              </w:rPr>
              <w:t>排污许</w:t>
            </w:r>
            <w:r>
              <w:rPr/>
              <w:t xml:space="preserve"> </w:t>
            </w:r>
            <w:r>
              <w:rPr>
                <w:spacing w:val="-3"/>
              </w:rPr>
              <w:t>可延续</w:t>
            </w:r>
          </w:p>
        </w:tc>
        <w:tc>
          <w:tcPr>
            <w:tcW w:w="669"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61"/>
              <w:spacing w:before="58" w:line="219" w:lineRule="auto"/>
              <w:rPr/>
            </w:pPr>
            <w:r>
              <w:rPr>
                <w:spacing w:val="-6"/>
              </w:rPr>
              <w:t>市级</w:t>
            </w:r>
          </w:p>
        </w:tc>
        <w:tc>
          <w:tcPr>
            <w:tcW w:w="640"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917"/>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1" w:right="185" w:firstLine="13"/>
              <w:spacing w:before="268" w:line="233" w:lineRule="auto"/>
              <w:rPr/>
            </w:pPr>
            <w:r>
              <w:rPr/>
              <w:t>1.是否依法取得建设项目环境影响报告书（</w:t>
            </w:r>
            <w:r>
              <w:rPr>
                <w:spacing w:val="-1"/>
              </w:rPr>
              <w:t>表）批准文件，或者已经办理环境影响登记表备案</w:t>
            </w:r>
            <w:r>
              <w:rPr/>
              <w:t xml:space="preserve"> </w:t>
            </w:r>
            <w:r>
              <w:rPr>
                <w:spacing w:val="-3"/>
              </w:rPr>
              <w:t>手续；</w:t>
            </w:r>
          </w:p>
          <w:p>
            <w:pPr>
              <w:pStyle w:val="TableText"/>
              <w:ind w:left="110" w:right="185" w:firstLine="2"/>
              <w:spacing w:before="27" w:line="239" w:lineRule="auto"/>
              <w:jc w:val="both"/>
              <w:rPr/>
            </w:pPr>
            <w:r>
              <w:rPr/>
              <w:t>2.污染物排放是否符合污染物排放标准要求，重点污染物排放是否符</w:t>
            </w:r>
            <w:r>
              <w:rPr>
                <w:spacing w:val="-1"/>
              </w:rPr>
              <w:t>合排污许可证申请与核发</w:t>
            </w:r>
            <w:r>
              <w:rPr/>
              <w:t xml:space="preserve"> </w:t>
            </w:r>
            <w:r>
              <w:rPr/>
              <w:t>技术规范、环境影响报告书（表）批准文件、重点污染物排放总量控制要求</w:t>
            </w:r>
            <w:r>
              <w:rPr>
                <w:spacing w:val="-1"/>
              </w:rPr>
              <w:t>；其中，排污单位</w:t>
            </w:r>
            <w:r>
              <w:rPr/>
              <w:t xml:space="preserve"> </w:t>
            </w:r>
            <w:r>
              <w:rPr/>
              <w:t>生产经营场所位于未达到国家环境质量标准的重点区域、流域的，还应当符</w:t>
            </w:r>
            <w:r>
              <w:rPr>
                <w:spacing w:val="-1"/>
              </w:rPr>
              <w:t>合有关地方人民政</w:t>
            </w:r>
            <w:r>
              <w:rPr/>
              <w:t xml:space="preserve"> </w:t>
            </w:r>
            <w:r>
              <w:rPr>
                <w:spacing w:val="-1"/>
              </w:rPr>
              <w:t>府关于改善生态环境质量的特别要求；</w:t>
            </w:r>
          </w:p>
          <w:p>
            <w:pPr>
              <w:pStyle w:val="TableText"/>
              <w:ind w:left="115"/>
              <w:spacing w:before="26" w:line="219" w:lineRule="auto"/>
              <w:rPr/>
            </w:pPr>
            <w:r>
              <w:rPr/>
              <w:t>3.是否采用污染防治设施可以达到许可排放浓度要求或</w:t>
            </w:r>
            <w:r>
              <w:rPr>
                <w:spacing w:val="-1"/>
              </w:rPr>
              <w:t>者符合污染防治可行技术；</w:t>
            </w:r>
          </w:p>
          <w:p>
            <w:pPr>
              <w:pStyle w:val="TableText"/>
              <w:ind w:left="114" w:right="2212" w:hanging="4"/>
              <w:spacing w:before="26" w:line="232" w:lineRule="auto"/>
              <w:rPr/>
            </w:pPr>
            <w:r>
              <w:rPr>
                <w:spacing w:val="-2"/>
              </w:rPr>
              <w:t>4.自行监测方案的监测点位、指标、频次等符合国家自行监测规范；</w:t>
            </w:r>
            <w:r>
              <w:rPr>
                <w:spacing w:val="7"/>
              </w:rPr>
              <w:t xml:space="preserve"> </w:t>
            </w:r>
            <w:r>
              <w:rPr>
                <w:spacing w:val="-1"/>
              </w:rPr>
              <w:t>5.法律规定其他应核验的内容。</w:t>
            </w:r>
          </w:p>
        </w:tc>
        <w:tc>
          <w:tcPr>
            <w:tcW w:w="368" w:type="dxa"/>
            <w:vAlign w:val="top"/>
            <w:textDirection w:val="tbRlV"/>
          </w:tcPr>
          <w:p>
            <w:pPr>
              <w:pStyle w:val="TableText"/>
              <w:ind w:left="917"/>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39"/>
              <w:spacing w:before="59" w:line="220" w:lineRule="auto"/>
              <w:rPr/>
            </w:pPr>
            <w:r>
              <w:rPr>
                <w:spacing w:val="-2"/>
              </w:rPr>
              <w:t>排污许可证</w:t>
            </w:r>
          </w:p>
        </w:tc>
        <w:tc>
          <w:tcPr>
            <w:tcW w:w="4568"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13"/>
              <w:spacing w:before="58" w:line="219" w:lineRule="auto"/>
              <w:rPr/>
            </w:pPr>
            <w:r>
              <w:rPr>
                <w:spacing w:val="-1"/>
              </w:rPr>
              <w:t>排污许可证申请表。</w:t>
            </w:r>
          </w:p>
        </w:tc>
        <w:tc>
          <w:tcPr>
            <w:tcW w:w="2753" w:type="dxa"/>
            <w:vAlign w:val="top"/>
          </w:tcPr>
          <w:p>
            <w:pPr>
              <w:pStyle w:val="TableText"/>
              <w:ind w:left="126"/>
              <w:spacing w:before="137"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20" w:lineRule="auto"/>
              <w:rPr/>
            </w:pPr>
            <w:r>
              <w:rPr>
                <w:spacing w:val="-1"/>
              </w:rPr>
              <w:t>4.颁发排污许可证/不予许可；</w:t>
            </w:r>
          </w:p>
          <w:p>
            <w:pPr>
              <w:pStyle w:val="TableText"/>
              <w:ind w:left="114" w:right="60" w:firstLine="2"/>
              <w:spacing w:before="95" w:line="314" w:lineRule="auto"/>
              <w:rPr/>
            </w:pPr>
            <w:r>
              <w:rPr>
                <w:spacing w:val="-4"/>
              </w:rPr>
              <w:t>5.特殊环节（部分情况下开展</w:t>
            </w:r>
            <w:r>
              <w:rPr>
                <w:spacing w:val="-38"/>
              </w:rPr>
              <w:t>）：</w:t>
            </w:r>
            <w:r>
              <w:rPr>
                <w:spacing w:val="1"/>
              </w:rPr>
              <w:t xml:space="preserve"> </w:t>
            </w:r>
            <w:r>
              <w:rPr>
                <w:spacing w:val="-1"/>
              </w:rPr>
              <w:t>现场核查、委托服务机构开展技</w:t>
            </w:r>
            <w:r>
              <w:rPr>
                <w:spacing w:val="4"/>
              </w:rPr>
              <w:t xml:space="preserve"> </w:t>
            </w:r>
            <w:r>
              <w:rPr>
                <w:spacing w:val="-1"/>
              </w:rPr>
              <w:t>术性服务所需时间不计入审批时</w:t>
            </w:r>
            <w:r>
              <w:rPr>
                <w:spacing w:val="4"/>
              </w:rPr>
              <w:t xml:space="preserve"> </w:t>
            </w:r>
            <w:r>
              <w:rPr>
                <w:spacing w:val="-5"/>
              </w:rPr>
              <w:t>限。</w:t>
            </w:r>
          </w:p>
        </w:tc>
        <w:tc>
          <w:tcPr>
            <w:tcW w:w="768" w:type="dxa"/>
            <w:vAlign w:val="top"/>
          </w:tcPr>
          <w:p>
            <w:pPr>
              <w:rPr>
                <w:rFonts w:ascii="Arial"/>
                <w:sz w:val="21"/>
              </w:rPr>
            </w:pPr>
            <w:r/>
          </w:p>
        </w:tc>
      </w:tr>
      <w:tr>
        <w:trPr>
          <w:trHeight w:val="3067"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14" w:right="111" w:hanging="1"/>
              <w:spacing w:before="59" w:line="307" w:lineRule="auto"/>
              <w:rPr/>
            </w:pPr>
            <w:r>
              <w:rPr>
                <w:spacing w:val="-3"/>
              </w:rPr>
              <w:t>排污许</w:t>
            </w:r>
            <w:r>
              <w:rPr/>
              <w:t xml:space="preserve"> </w:t>
            </w:r>
            <w:r>
              <w:rPr>
                <w:spacing w:val="-3"/>
              </w:rPr>
              <w:t>可变更</w:t>
            </w:r>
          </w:p>
        </w:tc>
        <w:tc>
          <w:tcPr>
            <w:tcW w:w="669"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61"/>
              <w:spacing w:before="58" w:line="219" w:lineRule="auto"/>
              <w:rPr/>
            </w:pPr>
            <w:r>
              <w:rPr>
                <w:spacing w:val="-6"/>
              </w:rPr>
              <w:t>市级</w:t>
            </w:r>
          </w:p>
        </w:tc>
        <w:tc>
          <w:tcPr>
            <w:tcW w:w="64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1133"/>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423" w:lineRule="auto"/>
              <w:rPr>
                <w:rFonts w:ascii="Arial"/>
                <w:sz w:val="21"/>
              </w:rPr>
            </w:pPr>
            <w:r/>
          </w:p>
          <w:p>
            <w:pPr>
              <w:pStyle w:val="TableText"/>
              <w:ind w:left="111" w:right="185" w:firstLine="13"/>
              <w:spacing w:before="59" w:line="233" w:lineRule="auto"/>
              <w:rPr/>
            </w:pPr>
            <w:r>
              <w:rPr/>
              <w:t>1.是否依法取得建设项目环境影响报告书（</w:t>
            </w:r>
            <w:r>
              <w:rPr>
                <w:spacing w:val="-1"/>
              </w:rPr>
              <w:t>表）批准文件，或者已经办理环境影响登记表备案</w:t>
            </w:r>
            <w:r>
              <w:rPr/>
              <w:t xml:space="preserve"> </w:t>
            </w:r>
            <w:r>
              <w:rPr>
                <w:spacing w:val="-3"/>
              </w:rPr>
              <w:t>手续；</w:t>
            </w:r>
          </w:p>
          <w:p>
            <w:pPr>
              <w:pStyle w:val="TableText"/>
              <w:ind w:left="110" w:right="185" w:firstLine="2"/>
              <w:spacing w:before="27" w:line="239" w:lineRule="auto"/>
              <w:jc w:val="both"/>
              <w:rPr/>
            </w:pPr>
            <w:r>
              <w:rPr/>
              <w:t>2.污染物排放是否符合污染物排放标准要求，重点污染物排放是否符</w:t>
            </w:r>
            <w:r>
              <w:rPr>
                <w:spacing w:val="-1"/>
              </w:rPr>
              <w:t>合排污许可证申请与核发</w:t>
            </w:r>
            <w:r>
              <w:rPr/>
              <w:t xml:space="preserve"> </w:t>
            </w:r>
            <w:r>
              <w:rPr/>
              <w:t>技术规范、环境影响报告书（表）批准文件、重点污染物排放总量控制要求</w:t>
            </w:r>
            <w:r>
              <w:rPr>
                <w:spacing w:val="-1"/>
              </w:rPr>
              <w:t>；其中，排污单位</w:t>
            </w:r>
            <w:r>
              <w:rPr/>
              <w:t xml:space="preserve"> </w:t>
            </w:r>
            <w:r>
              <w:rPr/>
              <w:t>生产经营场所位于未达到国家环境质量标准的重点区域、流域的，还应当符</w:t>
            </w:r>
            <w:r>
              <w:rPr>
                <w:spacing w:val="-1"/>
              </w:rPr>
              <w:t>合有关地方人民政</w:t>
            </w:r>
            <w:r>
              <w:rPr/>
              <w:t xml:space="preserve"> </w:t>
            </w:r>
            <w:r>
              <w:rPr>
                <w:spacing w:val="-1"/>
              </w:rPr>
              <w:t>府关于改善生态环境质量的特别要求；</w:t>
            </w:r>
          </w:p>
          <w:p>
            <w:pPr>
              <w:pStyle w:val="TableText"/>
              <w:ind w:left="115"/>
              <w:spacing w:before="26" w:line="219" w:lineRule="auto"/>
              <w:rPr/>
            </w:pPr>
            <w:r>
              <w:rPr/>
              <w:t>3.是否采用污染防治设施可以达到许可排放浓度要求或</w:t>
            </w:r>
            <w:r>
              <w:rPr>
                <w:spacing w:val="-1"/>
              </w:rPr>
              <w:t>者符合污染防治可行技术；</w:t>
            </w:r>
          </w:p>
          <w:p>
            <w:pPr>
              <w:pStyle w:val="TableText"/>
              <w:ind w:left="114" w:right="2212" w:hanging="4"/>
              <w:spacing w:before="26" w:line="232" w:lineRule="auto"/>
              <w:rPr/>
            </w:pPr>
            <w:r>
              <w:rPr>
                <w:spacing w:val="-2"/>
              </w:rPr>
              <w:t>4.自行监测方案的监测点位、指标、频次等符合国家自行监测规范；</w:t>
            </w:r>
            <w:r>
              <w:rPr>
                <w:spacing w:val="7"/>
              </w:rPr>
              <w:t xml:space="preserve"> </w:t>
            </w:r>
            <w:r>
              <w:rPr>
                <w:spacing w:val="-1"/>
              </w:rPr>
              <w:t>5.法律规定其他应核验的内容。</w:t>
            </w:r>
          </w:p>
        </w:tc>
        <w:tc>
          <w:tcPr>
            <w:tcW w:w="368" w:type="dxa"/>
            <w:vAlign w:val="top"/>
            <w:textDirection w:val="tbRlV"/>
          </w:tcPr>
          <w:p>
            <w:pPr>
              <w:pStyle w:val="TableText"/>
              <w:ind w:left="1133"/>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39"/>
              <w:spacing w:before="59" w:line="220" w:lineRule="auto"/>
              <w:rPr/>
            </w:pPr>
            <w:r>
              <w:rPr>
                <w:spacing w:val="-2"/>
              </w:rPr>
              <w:t>排污许可证</w:t>
            </w:r>
          </w:p>
        </w:tc>
        <w:tc>
          <w:tcPr>
            <w:tcW w:w="4568"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13"/>
              <w:spacing w:before="58" w:line="219" w:lineRule="auto"/>
              <w:rPr/>
            </w:pPr>
            <w:r>
              <w:rPr>
                <w:spacing w:val="-1"/>
              </w:rPr>
              <w:t>排污许可证申请表。</w:t>
            </w:r>
          </w:p>
        </w:tc>
        <w:tc>
          <w:tcPr>
            <w:tcW w:w="2753" w:type="dxa"/>
            <w:vAlign w:val="top"/>
          </w:tcPr>
          <w:p>
            <w:pPr>
              <w:spacing w:line="293"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20" w:lineRule="auto"/>
              <w:rPr/>
            </w:pPr>
            <w:r>
              <w:rPr>
                <w:spacing w:val="-1"/>
              </w:rPr>
              <w:t>4.颁发排污许可证/不予许可；</w:t>
            </w:r>
          </w:p>
          <w:p>
            <w:pPr>
              <w:pStyle w:val="TableText"/>
              <w:ind w:left="114" w:right="60" w:firstLine="2"/>
              <w:spacing w:before="95" w:line="314" w:lineRule="auto"/>
              <w:rPr/>
            </w:pPr>
            <w:r>
              <w:rPr>
                <w:spacing w:val="-4"/>
              </w:rPr>
              <w:t>5.特殊环节（部分情况下开展</w:t>
            </w:r>
            <w:r>
              <w:rPr>
                <w:spacing w:val="-38"/>
              </w:rPr>
              <w:t>）：</w:t>
            </w:r>
            <w:r>
              <w:rPr>
                <w:spacing w:val="1"/>
              </w:rPr>
              <w:t xml:space="preserve"> </w:t>
            </w:r>
            <w:r>
              <w:rPr>
                <w:spacing w:val="-1"/>
              </w:rPr>
              <w:t>现场核查、委托服务机构开展技</w:t>
            </w:r>
            <w:r>
              <w:rPr>
                <w:spacing w:val="4"/>
              </w:rPr>
              <w:t xml:space="preserve"> </w:t>
            </w:r>
            <w:r>
              <w:rPr>
                <w:spacing w:val="-1"/>
              </w:rPr>
              <w:t>术性服务所需时间不计入审批时</w:t>
            </w:r>
            <w:r>
              <w:rPr>
                <w:spacing w:val="4"/>
              </w:rPr>
              <w:t xml:space="preserve"> </w:t>
            </w:r>
            <w:r>
              <w:rPr>
                <w:spacing w:val="-5"/>
              </w:rPr>
              <w:t>限。</w:t>
            </w:r>
          </w:p>
        </w:tc>
        <w:tc>
          <w:tcPr>
            <w:tcW w:w="768" w:type="dxa"/>
            <w:vAlign w:val="top"/>
          </w:tcPr>
          <w:p>
            <w:pPr>
              <w:rPr>
                <w:rFonts w:ascii="Arial"/>
                <w:sz w:val="21"/>
              </w:rPr>
            </w:pPr>
            <w:r/>
          </w:p>
        </w:tc>
      </w:tr>
    </w:tbl>
    <w:p>
      <w:pPr>
        <w:pStyle w:val="BodyText"/>
        <w:rPr/>
      </w:pPr>
      <w:r/>
    </w:p>
    <w:p>
      <w:pPr>
        <w:sectPr>
          <w:footerReference w:type="default" r:id="rId12"/>
          <w:pgSz w:w="23812" w:h="16839"/>
          <w:pgMar w:top="1431" w:right="1080" w:bottom="973" w:left="1079" w:header="0" w:footer="694" w:gutter="0"/>
        </w:sectPr>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2166" w:hRule="atLeast"/>
        </w:trPr>
        <w:tc>
          <w:tcPr>
            <w:tcW w:w="400" w:type="dxa"/>
            <w:vAlign w:val="top"/>
            <w:vMerge w:val="restart"/>
            <w:tcBorders>
              <w:bottom w:val="nil"/>
            </w:tcBorders>
          </w:tcPr>
          <w:p>
            <w:pPr>
              <w:rPr>
                <w:rFonts w:ascii="Arial"/>
                <w:sz w:val="21"/>
              </w:rPr>
            </w:pPr>
            <w:r/>
          </w:p>
        </w:tc>
        <w:tc>
          <w:tcPr>
            <w:tcW w:w="886" w:type="dxa"/>
            <w:vAlign w:val="top"/>
            <w:vMerge w:val="restart"/>
            <w:tcBorders>
              <w:bottom w:val="nil"/>
            </w:tcBorders>
          </w:tcPr>
          <w:p>
            <w:pPr>
              <w:rPr>
                <w:rFonts w:ascii="Arial"/>
                <w:sz w:val="21"/>
              </w:rPr>
            </w:pPr>
            <w:r/>
          </w:p>
        </w:tc>
        <w:tc>
          <w:tcPr>
            <w:tcW w:w="763"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14" w:right="111" w:hanging="1"/>
              <w:spacing w:before="59" w:line="307" w:lineRule="auto"/>
              <w:rPr/>
            </w:pPr>
            <w:r>
              <w:rPr>
                <w:spacing w:val="-3"/>
              </w:rPr>
              <w:t>排污许</w:t>
            </w:r>
            <w:r>
              <w:rPr/>
              <w:t xml:space="preserve"> </w:t>
            </w:r>
            <w:r>
              <w:rPr>
                <w:spacing w:val="-3"/>
              </w:rPr>
              <w:t>可补办</w:t>
            </w:r>
          </w:p>
        </w:tc>
        <w:tc>
          <w:tcPr>
            <w:tcW w:w="669" w:type="dxa"/>
            <w:vAlign w:val="top"/>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61"/>
              <w:spacing w:before="58" w:line="219" w:lineRule="auto"/>
              <w:rPr/>
            </w:pPr>
            <w:r>
              <w:rPr>
                <w:spacing w:val="-6"/>
              </w:rPr>
              <w:t>市级</w:t>
            </w:r>
          </w:p>
        </w:tc>
        <w:tc>
          <w:tcPr>
            <w:tcW w:w="640" w:type="dxa"/>
            <w:vAlign w:val="top"/>
          </w:tcPr>
          <w:p>
            <w:pPr>
              <w:spacing w:line="310" w:lineRule="auto"/>
              <w:rPr>
                <w:rFonts w:ascii="Arial"/>
                <w:sz w:val="21"/>
              </w:rPr>
            </w:pPr>
            <w:r/>
          </w:p>
          <w:p>
            <w:pPr>
              <w:spacing w:line="310"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318"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238"/>
              <w:spacing w:before="58" w:line="184" w:lineRule="auto"/>
              <w:rPr/>
            </w:pPr>
            <w:r>
              <w:rPr>
                <w:spacing w:val="-10"/>
              </w:rPr>
              <w:t>10</w:t>
            </w:r>
          </w:p>
        </w:tc>
        <w:tc>
          <w:tcPr>
            <w:tcW w:w="355" w:type="dxa"/>
            <w:vAlign w:val="top"/>
            <w:textDirection w:val="tbRlV"/>
          </w:tcPr>
          <w:p>
            <w:pPr>
              <w:pStyle w:val="TableText"/>
              <w:ind w:left="681"/>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24"/>
              <w:spacing w:before="58" w:line="219" w:lineRule="auto"/>
              <w:rPr/>
            </w:pPr>
            <w:r>
              <w:rPr>
                <w:spacing w:val="-2"/>
              </w:rPr>
              <w:t>1.前期是否已取得排污许可证；</w:t>
            </w:r>
          </w:p>
          <w:p>
            <w:pPr>
              <w:pStyle w:val="TableText"/>
              <w:ind w:left="113"/>
              <w:spacing w:before="26" w:line="219" w:lineRule="auto"/>
              <w:rPr/>
            </w:pPr>
            <w:r>
              <w:rPr>
                <w:spacing w:val="-1"/>
              </w:rPr>
              <w:t>2.是否提交排污许可证（被损毁的）。</w:t>
            </w:r>
          </w:p>
        </w:tc>
        <w:tc>
          <w:tcPr>
            <w:tcW w:w="368" w:type="dxa"/>
            <w:vAlign w:val="top"/>
            <w:textDirection w:val="tbRlV"/>
          </w:tcPr>
          <w:p>
            <w:pPr>
              <w:pStyle w:val="TableText"/>
              <w:ind w:left="681"/>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39"/>
              <w:spacing w:before="58" w:line="220" w:lineRule="auto"/>
              <w:rPr/>
            </w:pPr>
            <w:r>
              <w:rPr>
                <w:spacing w:val="-2"/>
              </w:rPr>
              <w:t>排污许可证</w:t>
            </w:r>
          </w:p>
        </w:tc>
        <w:tc>
          <w:tcPr>
            <w:tcW w:w="4568" w:type="dxa"/>
            <w:vAlign w:val="top"/>
          </w:tcPr>
          <w:p>
            <w:pPr>
              <w:spacing w:line="309" w:lineRule="auto"/>
              <w:rPr>
                <w:rFonts w:ascii="Arial"/>
                <w:sz w:val="21"/>
              </w:rPr>
            </w:pPr>
            <w:r/>
          </w:p>
          <w:p>
            <w:pPr>
              <w:spacing w:line="309" w:lineRule="auto"/>
              <w:rPr>
                <w:rFonts w:ascii="Arial"/>
                <w:sz w:val="21"/>
              </w:rPr>
            </w:pPr>
            <w:r/>
          </w:p>
          <w:p>
            <w:pPr>
              <w:pStyle w:val="TableText"/>
              <w:ind w:left="115" w:right="3243" w:firstLine="11"/>
              <w:spacing w:before="59" w:line="307" w:lineRule="auto"/>
              <w:rPr/>
            </w:pPr>
            <w:r>
              <w:rPr>
                <w:spacing w:val="-9"/>
              </w:rPr>
              <w:t>1.补办申请书；</w:t>
            </w:r>
            <w:r>
              <w:rPr>
                <w:spacing w:val="3"/>
              </w:rPr>
              <w:t xml:space="preserve"> </w:t>
            </w:r>
            <w:r>
              <w:rPr>
                <w:spacing w:val="-2"/>
              </w:rPr>
              <w:t>2.遗失声明；</w:t>
            </w:r>
          </w:p>
          <w:p>
            <w:pPr>
              <w:pStyle w:val="TableText"/>
              <w:ind w:left="117"/>
              <w:spacing w:before="26" w:line="219" w:lineRule="auto"/>
              <w:rPr/>
            </w:pPr>
            <w:r>
              <w:rPr>
                <w:spacing w:val="-1"/>
              </w:rPr>
              <w:t>3.排污许可证（被损毁的）。</w:t>
            </w:r>
          </w:p>
        </w:tc>
        <w:tc>
          <w:tcPr>
            <w:tcW w:w="2753" w:type="dxa"/>
            <w:vAlign w:val="top"/>
          </w:tcPr>
          <w:p>
            <w:pPr>
              <w:spacing w:line="464"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20" w:lineRule="auto"/>
              <w:rPr/>
            </w:pPr>
            <w:r>
              <w:rPr>
                <w:spacing w:val="-1"/>
              </w:rPr>
              <w:t>4.颁发排污许可证/不予许可；</w:t>
            </w:r>
          </w:p>
        </w:tc>
        <w:tc>
          <w:tcPr>
            <w:tcW w:w="768" w:type="dxa"/>
            <w:vAlign w:val="top"/>
          </w:tcPr>
          <w:p>
            <w:pPr>
              <w:rPr>
                <w:rFonts w:ascii="Arial"/>
                <w:sz w:val="21"/>
              </w:rPr>
            </w:pPr>
            <w:r/>
          </w:p>
        </w:tc>
      </w:tr>
      <w:tr>
        <w:trPr>
          <w:trHeight w:val="2362"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14" w:right="111" w:hanging="1"/>
              <w:spacing w:before="59" w:line="307" w:lineRule="auto"/>
              <w:rPr/>
            </w:pPr>
            <w:r>
              <w:rPr>
                <w:spacing w:val="-3"/>
              </w:rPr>
              <w:t>排污许</w:t>
            </w:r>
            <w:r>
              <w:rPr/>
              <w:t xml:space="preserve"> </w:t>
            </w:r>
            <w:r>
              <w:rPr>
                <w:spacing w:val="-3"/>
              </w:rPr>
              <w:t>可注销</w:t>
            </w:r>
          </w:p>
        </w:tc>
        <w:tc>
          <w:tcPr>
            <w:tcW w:w="669"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1"/>
              <w:spacing w:before="58" w:line="219" w:lineRule="auto"/>
              <w:rPr/>
            </w:pPr>
            <w:r>
              <w:rPr>
                <w:spacing w:val="-6"/>
              </w:rPr>
              <w:t>市级</w:t>
            </w:r>
          </w:p>
        </w:tc>
        <w:tc>
          <w:tcPr>
            <w:tcW w:w="640" w:type="dxa"/>
            <w:vAlign w:val="top"/>
          </w:tcPr>
          <w:p>
            <w:pPr>
              <w:spacing w:line="359" w:lineRule="auto"/>
              <w:rPr>
                <w:rFonts w:ascii="Arial"/>
                <w:sz w:val="21"/>
              </w:rPr>
            </w:pPr>
            <w:r/>
          </w:p>
          <w:p>
            <w:pPr>
              <w:spacing w:line="359"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780"/>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3" w:right="4372" w:firstLine="11"/>
              <w:spacing w:before="58" w:line="233" w:lineRule="auto"/>
              <w:rPr/>
            </w:pPr>
            <w:r>
              <w:rPr>
                <w:spacing w:val="-4"/>
              </w:rPr>
              <w:t>1.排污许可证是否有效期届满，未延续；</w:t>
            </w:r>
            <w:r>
              <w:rPr>
                <w:spacing w:val="7"/>
              </w:rPr>
              <w:t xml:space="preserve"> </w:t>
            </w:r>
            <w:r>
              <w:rPr>
                <w:spacing w:val="-1"/>
              </w:rPr>
              <w:t>2.排污单位是否被依法终止；</w:t>
            </w:r>
          </w:p>
          <w:p>
            <w:pPr>
              <w:pStyle w:val="TableText"/>
              <w:ind w:left="115"/>
              <w:spacing w:before="26" w:line="220" w:lineRule="auto"/>
              <w:rPr/>
            </w:pPr>
            <w:r>
              <w:rPr>
                <w:spacing w:val="-1"/>
              </w:rPr>
              <w:t>3.是否提交原排污许可证。</w:t>
            </w:r>
          </w:p>
        </w:tc>
        <w:tc>
          <w:tcPr>
            <w:tcW w:w="368" w:type="dxa"/>
            <w:vAlign w:val="top"/>
            <w:textDirection w:val="tbRlV"/>
          </w:tcPr>
          <w:p>
            <w:pPr>
              <w:pStyle w:val="TableText"/>
              <w:ind w:left="780"/>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81" w:lineRule="auto"/>
              <w:rPr>
                <w:rFonts w:ascii="Arial"/>
                <w:sz w:val="21"/>
              </w:rPr>
            </w:pPr>
            <w:r/>
          </w:p>
          <w:p>
            <w:pPr>
              <w:spacing w:line="281" w:lineRule="auto"/>
              <w:rPr>
                <w:rFonts w:ascii="Arial"/>
                <w:sz w:val="21"/>
              </w:rPr>
            </w:pPr>
            <w:r/>
          </w:p>
          <w:p>
            <w:pPr>
              <w:pStyle w:val="TableText"/>
              <w:ind w:left="142"/>
              <w:spacing w:before="59" w:line="220" w:lineRule="auto"/>
              <w:rPr/>
            </w:pPr>
            <w:r>
              <w:rPr>
                <w:spacing w:val="-2"/>
              </w:rPr>
              <w:t>关于排污许</w:t>
            </w:r>
          </w:p>
          <w:p>
            <w:pPr>
              <w:pStyle w:val="TableText"/>
              <w:ind w:left="141"/>
              <w:spacing w:before="97" w:line="221" w:lineRule="auto"/>
              <w:rPr/>
            </w:pPr>
            <w:r>
              <w:rPr>
                <w:spacing w:val="-2"/>
              </w:rPr>
              <w:t>可证注销的</w:t>
            </w:r>
          </w:p>
          <w:p>
            <w:pPr>
              <w:pStyle w:val="TableText"/>
              <w:ind w:left="142"/>
              <w:spacing w:before="97" w:line="219" w:lineRule="auto"/>
              <w:rPr/>
            </w:pPr>
            <w:r>
              <w:rPr>
                <w:spacing w:val="-2"/>
              </w:rPr>
              <w:t>行政许可决</w:t>
            </w:r>
          </w:p>
          <w:p>
            <w:pPr>
              <w:pStyle w:val="TableText"/>
              <w:ind w:left="415"/>
              <w:spacing w:before="97" w:line="219" w:lineRule="auto"/>
              <w:rPr/>
            </w:pPr>
            <w:r>
              <w:rPr>
                <w:spacing w:val="-6"/>
              </w:rPr>
              <w:t>定书</w:t>
            </w:r>
          </w:p>
        </w:tc>
        <w:tc>
          <w:tcPr>
            <w:tcW w:w="4568" w:type="dxa"/>
            <w:vAlign w:val="top"/>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27"/>
              <w:spacing w:before="59" w:line="219" w:lineRule="auto"/>
              <w:rPr/>
            </w:pPr>
            <w:r>
              <w:rPr>
                <w:spacing w:val="-3"/>
              </w:rPr>
              <w:t>1.注销申请书；</w:t>
            </w:r>
          </w:p>
          <w:p>
            <w:pPr>
              <w:pStyle w:val="TableText"/>
              <w:ind w:left="115"/>
              <w:spacing w:before="98" w:line="220" w:lineRule="auto"/>
              <w:rPr/>
            </w:pPr>
            <w:r>
              <w:rPr>
                <w:spacing w:val="-1"/>
              </w:rPr>
              <w:t>2.原《排污许可证》。</w:t>
            </w:r>
          </w:p>
        </w:tc>
        <w:tc>
          <w:tcPr>
            <w:tcW w:w="2753" w:type="dxa"/>
            <w:vAlign w:val="top"/>
          </w:tcPr>
          <w:p>
            <w:pPr>
              <w:spacing w:line="281" w:lineRule="auto"/>
              <w:rPr>
                <w:rFonts w:ascii="Arial"/>
                <w:sz w:val="21"/>
              </w:rPr>
            </w:pPr>
            <w:r/>
          </w:p>
          <w:p>
            <w:pPr>
              <w:spacing w:line="282"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19" w:lineRule="auto"/>
              <w:rPr/>
            </w:pPr>
            <w:r>
              <w:rPr>
                <w:spacing w:val="-1"/>
              </w:rPr>
              <w:t>4.审批机构批准/不予批准。</w:t>
            </w:r>
          </w:p>
        </w:tc>
        <w:tc>
          <w:tcPr>
            <w:tcW w:w="768" w:type="dxa"/>
            <w:vAlign w:val="top"/>
          </w:tcPr>
          <w:p>
            <w:pPr>
              <w:rPr>
                <w:rFonts w:ascii="Arial"/>
                <w:sz w:val="21"/>
              </w:rPr>
            </w:pPr>
            <w:r/>
          </w:p>
        </w:tc>
      </w:tr>
      <w:tr>
        <w:trPr>
          <w:trHeight w:val="3395" w:hRule="atLeast"/>
        </w:trPr>
        <w:tc>
          <w:tcPr>
            <w:tcW w:w="400"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62"/>
              <w:spacing w:before="58" w:line="182" w:lineRule="auto"/>
              <w:rPr/>
            </w:pPr>
            <w:r>
              <w:rPr/>
              <w:t>5</w:t>
            </w:r>
          </w:p>
        </w:tc>
        <w:tc>
          <w:tcPr>
            <w:tcW w:w="886"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12"/>
              <w:spacing w:before="58" w:line="221" w:lineRule="auto"/>
              <w:rPr/>
            </w:pPr>
            <w:r>
              <w:rPr>
                <w:spacing w:val="-13"/>
              </w:rPr>
              <w:t>江河、湖</w:t>
            </w:r>
          </w:p>
          <w:p>
            <w:pPr>
              <w:pStyle w:val="TableText"/>
              <w:ind w:left="116"/>
              <w:spacing w:before="96" w:line="220" w:lineRule="auto"/>
              <w:rPr/>
            </w:pPr>
            <w:r>
              <w:rPr>
                <w:spacing w:val="-3"/>
              </w:rPr>
              <w:t>泊新建、</w:t>
            </w:r>
          </w:p>
          <w:p>
            <w:pPr>
              <w:pStyle w:val="TableText"/>
              <w:ind w:left="182"/>
              <w:spacing w:before="97" w:line="219" w:lineRule="auto"/>
              <w:rPr/>
            </w:pPr>
            <w:r>
              <w:rPr>
                <w:spacing w:val="-5"/>
              </w:rPr>
              <w:t>改建或</w:t>
            </w:r>
          </w:p>
          <w:p>
            <w:pPr>
              <w:pStyle w:val="TableText"/>
              <w:ind w:left="177"/>
              <w:spacing w:before="98" w:line="220" w:lineRule="auto"/>
              <w:rPr/>
            </w:pPr>
            <w:r>
              <w:rPr>
                <w:spacing w:val="-3"/>
              </w:rPr>
              <w:t>者扩大</w:t>
            </w:r>
          </w:p>
          <w:p>
            <w:pPr>
              <w:pStyle w:val="TableText"/>
              <w:ind w:left="176"/>
              <w:spacing w:before="97" w:line="221" w:lineRule="auto"/>
              <w:rPr/>
            </w:pPr>
            <w:r>
              <w:rPr>
                <w:spacing w:val="-3"/>
              </w:rPr>
              <w:t>排污口</w:t>
            </w:r>
          </w:p>
          <w:p>
            <w:pPr>
              <w:pStyle w:val="TableText"/>
              <w:ind w:left="274"/>
              <w:spacing w:before="97" w:line="220" w:lineRule="auto"/>
              <w:rPr/>
            </w:pPr>
            <w:r>
              <w:rPr>
                <w:spacing w:val="-9"/>
              </w:rPr>
              <w:t>审批</w:t>
            </w:r>
          </w:p>
        </w:tc>
        <w:tc>
          <w:tcPr>
            <w:tcW w:w="763" w:type="dxa"/>
            <w:vAlign w:val="top"/>
          </w:tcPr>
          <w:p>
            <w:pPr>
              <w:spacing w:line="304" w:lineRule="auto"/>
              <w:rPr>
                <w:rFonts w:ascii="Arial"/>
                <w:sz w:val="21"/>
              </w:rPr>
            </w:pPr>
            <w:r/>
          </w:p>
          <w:p>
            <w:pPr>
              <w:spacing w:line="304" w:lineRule="auto"/>
              <w:rPr>
                <w:rFonts w:ascii="Arial"/>
                <w:sz w:val="21"/>
              </w:rPr>
            </w:pPr>
            <w:r/>
          </w:p>
          <w:p>
            <w:pPr>
              <w:pStyle w:val="TableText"/>
              <w:ind w:left="112" w:right="111" w:firstLine="1"/>
              <w:spacing w:before="58" w:line="316" w:lineRule="auto"/>
              <w:rPr/>
            </w:pPr>
            <w:r>
              <w:rPr>
                <w:spacing w:val="-3"/>
              </w:rPr>
              <w:t>江河、</w:t>
            </w:r>
            <w:r>
              <w:rPr/>
              <w:t xml:space="preserve"> </w:t>
            </w:r>
            <w:r>
              <w:rPr>
                <w:spacing w:val="-3"/>
              </w:rPr>
              <w:t>湖泊新</w:t>
            </w:r>
            <w:r>
              <w:rPr>
                <w:spacing w:val="1"/>
              </w:rPr>
              <w:t xml:space="preserve"> </w:t>
            </w:r>
            <w:r>
              <w:rPr>
                <w:spacing w:val="-3"/>
              </w:rPr>
              <w:t>建、改</w:t>
            </w:r>
            <w:r>
              <w:rPr>
                <w:spacing w:val="1"/>
              </w:rPr>
              <w:t xml:space="preserve"> </w:t>
            </w:r>
            <w:r>
              <w:rPr>
                <w:spacing w:val="-3"/>
              </w:rPr>
              <w:t>建或者</w:t>
            </w:r>
            <w:r>
              <w:rPr>
                <w:spacing w:val="1"/>
              </w:rPr>
              <w:t xml:space="preserve"> </w:t>
            </w:r>
            <w:r>
              <w:rPr>
                <w:spacing w:val="-3"/>
              </w:rPr>
              <w:t>扩大排</w:t>
            </w:r>
            <w:r>
              <w:rPr>
                <w:spacing w:val="1"/>
              </w:rPr>
              <w:t xml:space="preserve"> </w:t>
            </w:r>
            <w:r>
              <w:rPr>
                <w:spacing w:val="-3"/>
              </w:rPr>
              <w:t>污口审</w:t>
            </w:r>
          </w:p>
          <w:p>
            <w:pPr>
              <w:pStyle w:val="TableText"/>
              <w:ind w:left="292"/>
              <w:spacing w:before="25" w:line="221" w:lineRule="auto"/>
              <w:rPr/>
            </w:pPr>
            <w:r>
              <w:rPr/>
              <w:t>批</w:t>
            </w:r>
          </w:p>
        </w:tc>
        <w:tc>
          <w:tcPr>
            <w:tcW w:w="669"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1296"/>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spacing w:line="293" w:lineRule="auto"/>
              <w:rPr>
                <w:rFonts w:ascii="Arial"/>
                <w:sz w:val="21"/>
              </w:rPr>
            </w:pPr>
            <w:r/>
          </w:p>
          <w:p>
            <w:pPr>
              <w:spacing w:line="293" w:lineRule="auto"/>
              <w:rPr>
                <w:rFonts w:ascii="Arial"/>
                <w:sz w:val="21"/>
              </w:rPr>
            </w:pPr>
            <w:r/>
          </w:p>
          <w:p>
            <w:pPr>
              <w:pStyle w:val="TableText"/>
              <w:ind w:left="112"/>
              <w:spacing w:before="58" w:line="220" w:lineRule="auto"/>
              <w:rPr/>
            </w:pPr>
            <w:r>
              <w:rPr>
                <w:spacing w:val="-1"/>
              </w:rPr>
              <w:t>有下列情形之一的，不予同意设置入河排污口：</w:t>
            </w:r>
          </w:p>
          <w:p>
            <w:pPr>
              <w:pStyle w:val="TableText"/>
              <w:ind w:left="121"/>
              <w:spacing w:before="25" w:line="219" w:lineRule="auto"/>
              <w:rPr/>
            </w:pPr>
            <w:r>
              <w:rPr>
                <w:spacing w:val="-1"/>
              </w:rPr>
              <w:t>（1）在饮用水水源保护区内设置入河排污口的；</w:t>
            </w:r>
          </w:p>
          <w:p>
            <w:pPr>
              <w:pStyle w:val="TableText"/>
              <w:ind w:left="121"/>
              <w:spacing w:before="25" w:line="219" w:lineRule="auto"/>
              <w:rPr/>
            </w:pPr>
            <w:r>
              <w:rPr>
                <w:spacing w:val="-1"/>
              </w:rPr>
              <w:t>（2）在省级以上人民政府要求削减排污总量的水域设置入河排污口的；</w:t>
            </w:r>
          </w:p>
          <w:p>
            <w:pPr>
              <w:pStyle w:val="TableText"/>
              <w:ind w:left="121"/>
              <w:spacing w:before="27" w:line="219" w:lineRule="auto"/>
              <w:rPr/>
            </w:pPr>
            <w:r>
              <w:rPr>
                <w:spacing w:val="-1"/>
              </w:rPr>
              <w:t>（3）入河排污口设置可能使水域水质达不到水功能区要求的；</w:t>
            </w:r>
          </w:p>
          <w:p>
            <w:pPr>
              <w:pStyle w:val="TableText"/>
              <w:ind w:left="121"/>
              <w:spacing w:before="26" w:line="219" w:lineRule="auto"/>
              <w:rPr/>
            </w:pPr>
            <w:r>
              <w:rPr>
                <w:spacing w:val="-1"/>
              </w:rPr>
              <w:t>（4）入河排污口设置直接影响合法取水户用水安全的；</w:t>
            </w:r>
          </w:p>
          <w:p>
            <w:pPr>
              <w:pStyle w:val="TableText"/>
              <w:ind w:left="121"/>
              <w:spacing w:before="27" w:line="219" w:lineRule="auto"/>
              <w:rPr/>
            </w:pPr>
            <w:r>
              <w:rPr>
                <w:spacing w:val="-1"/>
              </w:rPr>
              <w:t>（5）入河排污口设置不符合防洪要求的；</w:t>
            </w:r>
          </w:p>
          <w:p>
            <w:pPr>
              <w:pStyle w:val="TableText"/>
              <w:ind w:left="125" w:right="106" w:hanging="4"/>
              <w:spacing w:before="26" w:line="234" w:lineRule="auto"/>
              <w:rPr/>
            </w:pPr>
            <w:r>
              <w:rPr>
                <w:spacing w:val="-1"/>
              </w:rPr>
              <w:t>（6）在风景名胜区水体、重要渔业水体和其他具有特殊经济文化价值的水体的保护区内设置新</w:t>
            </w:r>
            <w:r>
              <w:rPr>
                <w:spacing w:val="13"/>
              </w:rPr>
              <w:t xml:space="preserve"> </w:t>
            </w:r>
            <w:r>
              <w:rPr>
                <w:spacing w:val="-3"/>
              </w:rPr>
              <w:t>的入河排污口的；</w:t>
            </w:r>
          </w:p>
          <w:p>
            <w:pPr>
              <w:pStyle w:val="TableText"/>
              <w:ind w:left="121"/>
              <w:spacing w:before="23" w:line="219" w:lineRule="auto"/>
              <w:rPr/>
            </w:pPr>
            <w:r>
              <w:rPr>
                <w:spacing w:val="-1"/>
              </w:rPr>
              <w:t>（7）在南水北调东线工程干线、中线工程总干渠设置入河排污口的；</w:t>
            </w:r>
          </w:p>
        </w:tc>
        <w:tc>
          <w:tcPr>
            <w:tcW w:w="368" w:type="dxa"/>
            <w:vAlign w:val="top"/>
            <w:textDirection w:val="tbRlV"/>
          </w:tcPr>
          <w:p>
            <w:pPr>
              <w:pStyle w:val="TableText"/>
              <w:ind w:left="1296"/>
              <w:spacing w:before="77" w:line="209" w:lineRule="auto"/>
              <w:rPr/>
            </w:pPr>
            <w:r>
              <w:rPr>
                <w:spacing w:val="-1"/>
              </w:rPr>
              <w:t>条</w:t>
            </w:r>
            <w:r>
              <w:rPr>
                <w:spacing w:val="43"/>
              </w:rPr>
              <w:t xml:space="preserve"> </w:t>
            </w:r>
            <w:r>
              <w:rPr>
                <w:spacing w:val="-1"/>
              </w:rPr>
              <w:t>件</w:t>
            </w:r>
            <w:r>
              <w:rPr>
                <w:spacing w:val="42"/>
                <w:w w:val="101"/>
              </w:rPr>
              <w:t xml:space="preserve"> </w:t>
            </w:r>
            <w:r>
              <w:rPr>
                <w:spacing w:val="-1"/>
              </w:rPr>
              <w:t>型</w:t>
            </w:r>
          </w:p>
        </w:tc>
        <w:tc>
          <w:tcPr>
            <w:tcW w:w="1173"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41" w:right="135" w:hanging="3"/>
              <w:spacing w:before="59" w:line="306" w:lineRule="auto"/>
              <w:rPr/>
            </w:pPr>
            <w:r>
              <w:rPr>
                <w:spacing w:val="-2"/>
              </w:rPr>
              <w:t>入河排污口</w:t>
            </w:r>
            <w:r>
              <w:rPr>
                <w:spacing w:val="2"/>
              </w:rPr>
              <w:t xml:space="preserve"> </w:t>
            </w:r>
            <w:r>
              <w:rPr>
                <w:spacing w:val="-2"/>
              </w:rPr>
              <w:t>设置决定书</w:t>
            </w:r>
          </w:p>
        </w:tc>
        <w:tc>
          <w:tcPr>
            <w:tcW w:w="4568"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15" w:right="2343" w:firstLine="11"/>
              <w:spacing w:before="59" w:line="306" w:lineRule="auto"/>
              <w:rPr/>
            </w:pPr>
            <w:r>
              <w:rPr>
                <w:spacing w:val="-6"/>
              </w:rPr>
              <w:t>1.入河排污口设置申请书；</w:t>
            </w:r>
            <w:r>
              <w:rPr>
                <w:spacing w:val="9"/>
              </w:rPr>
              <w:t xml:space="preserve"> </w:t>
            </w:r>
            <w:r>
              <w:rPr>
                <w:spacing w:val="-1"/>
              </w:rPr>
              <w:t>2.建设项目依据文件；</w:t>
            </w:r>
          </w:p>
          <w:p>
            <w:pPr>
              <w:pStyle w:val="TableText"/>
              <w:ind w:left="115" w:right="136" w:firstLine="2"/>
              <w:spacing w:before="26" w:line="307" w:lineRule="auto"/>
              <w:rPr/>
            </w:pPr>
            <w:r>
              <w:rPr>
                <w:spacing w:val="-1"/>
              </w:rPr>
              <w:t>3.与排污口设置有利害关系第三方的承诺书或达成的协</w:t>
            </w:r>
            <w:r>
              <w:rPr>
                <w:spacing w:val="13"/>
              </w:rPr>
              <w:t xml:space="preserve"> </w:t>
            </w:r>
            <w:r>
              <w:rPr>
                <w:spacing w:val="-5"/>
              </w:rPr>
              <w:t>议；</w:t>
            </w:r>
          </w:p>
          <w:p>
            <w:pPr>
              <w:pStyle w:val="TableText"/>
              <w:ind w:left="113"/>
              <w:spacing w:before="25" w:line="218" w:lineRule="auto"/>
              <w:rPr/>
            </w:pPr>
            <w:r>
              <w:rPr>
                <w:spacing w:val="-1"/>
              </w:rPr>
              <w:t>4.入河排污口设置论证报告。</w:t>
            </w:r>
          </w:p>
        </w:tc>
        <w:tc>
          <w:tcPr>
            <w:tcW w:w="2753" w:type="dxa"/>
            <w:vAlign w:val="top"/>
          </w:tcPr>
          <w:p>
            <w:pPr>
              <w:spacing w:line="455"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1249" w:hanging="4"/>
              <w:spacing w:before="26" w:line="307" w:lineRule="auto"/>
              <w:rPr/>
            </w:pPr>
            <w:r>
              <w:rPr>
                <w:spacing w:val="-6"/>
              </w:rPr>
              <w:t>4.审批机构决定；</w:t>
            </w:r>
            <w:r>
              <w:rPr/>
              <w:t xml:space="preserve"> </w:t>
            </w:r>
            <w:r>
              <w:rPr>
                <w:spacing w:val="-3"/>
              </w:rPr>
              <w:t>5.验收；</w:t>
            </w:r>
          </w:p>
          <w:p>
            <w:pPr>
              <w:pStyle w:val="TableText"/>
              <w:ind w:left="112" w:right="60" w:firstLine="2"/>
              <w:spacing w:before="26" w:line="311" w:lineRule="auto"/>
              <w:jc w:val="both"/>
              <w:rPr/>
            </w:pPr>
            <w:r>
              <w:rPr>
                <w:spacing w:val="-4"/>
              </w:rPr>
              <w:t>6.特殊环节（部分情况下开展</w:t>
            </w:r>
            <w:r>
              <w:rPr>
                <w:spacing w:val="-36"/>
              </w:rPr>
              <w:t>）：</w:t>
            </w:r>
            <w:r>
              <w:rPr/>
              <w:t xml:space="preserve"> </w:t>
            </w:r>
            <w:r>
              <w:rPr>
                <w:spacing w:val="-1"/>
              </w:rPr>
              <w:t>委托技术性服务、专家评审、听</w:t>
            </w:r>
            <w:r>
              <w:rPr>
                <w:spacing w:val="6"/>
              </w:rPr>
              <w:t xml:space="preserve"> </w:t>
            </w:r>
            <w:r>
              <w:rPr>
                <w:spacing w:val="-1"/>
              </w:rPr>
              <w:t>证等所需时间不计入审批时限。</w:t>
            </w:r>
          </w:p>
        </w:tc>
        <w:tc>
          <w:tcPr>
            <w:tcW w:w="768" w:type="dxa"/>
            <w:vAlign w:val="top"/>
          </w:tcPr>
          <w:p>
            <w:pPr>
              <w:rPr>
                <w:rFonts w:ascii="Arial"/>
                <w:sz w:val="21"/>
              </w:rPr>
            </w:pPr>
            <w:r/>
          </w:p>
        </w:tc>
      </w:tr>
    </w:tbl>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10</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footerReference w:type="default" r:id="rId13"/>
          <w:pgSz w:w="23812" w:h="16839"/>
          <w:pgMar w:top="1431" w:right="1080" w:bottom="400" w:left="1079" w:header="0" w:footer="0" w:gutter="0"/>
        </w:sectPr>
        <w:rPr>
          <w:rFonts w:ascii="SimSun" w:hAnsi="SimSun" w:eastAsia="SimSun" w:cs="SimSun"/>
          <w:sz w:val="28"/>
          <w:szCs w:val="28"/>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5750" w:hRule="atLeast"/>
        </w:trPr>
        <w:tc>
          <w:tcPr>
            <w:tcW w:w="400"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60"/>
              <w:spacing w:before="59" w:line="183" w:lineRule="auto"/>
              <w:rPr/>
            </w:pPr>
            <w:r>
              <w:rPr/>
              <w:t>6</w:t>
            </w:r>
          </w:p>
        </w:tc>
        <w:tc>
          <w:tcPr>
            <w:tcW w:w="886"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76" w:right="171" w:firstLine="2"/>
              <w:spacing w:before="59" w:line="311" w:lineRule="auto"/>
              <w:jc w:val="both"/>
              <w:rPr/>
            </w:pPr>
            <w:r>
              <w:rPr>
                <w:spacing w:val="-4"/>
              </w:rPr>
              <w:t>危险废</w:t>
            </w:r>
            <w:r>
              <w:rPr>
                <w:spacing w:val="1"/>
              </w:rPr>
              <w:t xml:space="preserve"> </w:t>
            </w:r>
            <w:r>
              <w:rPr>
                <w:spacing w:val="-3"/>
              </w:rPr>
              <w:t>物经营</w:t>
            </w:r>
            <w:r>
              <w:rPr/>
              <w:t xml:space="preserve"> </w:t>
            </w:r>
            <w:r>
              <w:rPr>
                <w:spacing w:val="40"/>
              </w:rPr>
              <w:t>许可</w:t>
            </w:r>
          </w:p>
        </w:tc>
        <w:tc>
          <w:tcPr>
            <w:tcW w:w="76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5"/>
              <w:spacing w:before="59" w:line="220" w:lineRule="auto"/>
              <w:rPr/>
            </w:pPr>
            <w:r>
              <w:rPr>
                <w:spacing w:val="-4"/>
              </w:rPr>
              <w:t>危险废</w:t>
            </w:r>
          </w:p>
          <w:p>
            <w:pPr>
              <w:pStyle w:val="TableText"/>
              <w:ind w:left="113"/>
              <w:spacing w:before="97" w:line="220" w:lineRule="auto"/>
              <w:rPr/>
            </w:pPr>
            <w:r>
              <w:rPr>
                <w:spacing w:val="-3"/>
              </w:rPr>
              <w:t>物经营</w:t>
            </w:r>
          </w:p>
          <w:p>
            <w:pPr>
              <w:pStyle w:val="TableText"/>
              <w:ind w:left="114"/>
              <w:spacing w:before="97" w:line="220" w:lineRule="auto"/>
              <w:rPr/>
            </w:pPr>
            <w:r>
              <w:rPr>
                <w:spacing w:val="-3"/>
              </w:rPr>
              <w:t>许可证</w:t>
            </w:r>
          </w:p>
          <w:p>
            <w:pPr>
              <w:pStyle w:val="TableText"/>
              <w:ind w:left="206"/>
              <w:spacing w:before="97" w:line="219" w:lineRule="auto"/>
              <w:rPr/>
            </w:pPr>
            <w:r>
              <w:rPr>
                <w:spacing w:val="-5"/>
              </w:rPr>
              <w:t>核发</w:t>
            </w:r>
          </w:p>
        </w:tc>
        <w:tc>
          <w:tcPr>
            <w:tcW w:w="669"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2474"/>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0" w:right="185" w:firstLine="14"/>
              <w:spacing w:before="59" w:line="233" w:lineRule="auto"/>
              <w:rPr/>
            </w:pPr>
            <w:r>
              <w:rPr>
                <w:spacing w:val="-2"/>
              </w:rPr>
              <w:t>1.《危险废物经营许可证变更（或注销）申请书》“</w:t>
            </w:r>
            <w:r>
              <w:rPr>
                <w:spacing w:val="-52"/>
              </w:rPr>
              <w:t xml:space="preserve"> </w:t>
            </w:r>
            <w:r>
              <w:rPr>
                <w:spacing w:val="-2"/>
              </w:rPr>
              <w:t>申请单位名称</w:t>
            </w:r>
            <w:r>
              <w:rPr>
                <w:spacing w:val="-66"/>
              </w:rPr>
              <w:t xml:space="preserve"> </w:t>
            </w:r>
            <w:r>
              <w:rPr>
                <w:spacing w:val="-2"/>
              </w:rPr>
              <w:t>”处加盖单位公章；法定代</w:t>
            </w:r>
            <w:r>
              <w:rPr/>
              <w:t xml:space="preserve"> </w:t>
            </w:r>
            <w:r>
              <w:rPr>
                <w:spacing w:val="-1"/>
              </w:rPr>
              <w:t>表人手写签字并按手印或手章；</w:t>
            </w:r>
          </w:p>
          <w:p>
            <w:pPr>
              <w:pStyle w:val="TableText"/>
              <w:ind w:left="113"/>
              <w:spacing w:before="27" w:line="216" w:lineRule="auto"/>
              <w:rPr/>
            </w:pPr>
            <w:r>
              <w:rPr/>
              <w:t>2.省厅制式表格内容均应在表格内部填写</w:t>
            </w:r>
            <w:r>
              <w:rPr>
                <w:spacing w:val="-1"/>
              </w:rPr>
              <w:t>，不得整体套用原文件；</w:t>
            </w:r>
          </w:p>
          <w:p>
            <w:pPr>
              <w:pStyle w:val="TableText"/>
              <w:ind w:left="115"/>
              <w:spacing w:before="28" w:line="219" w:lineRule="auto"/>
              <w:rPr/>
            </w:pPr>
            <w:r>
              <w:rPr/>
              <w:t>3.所有电子版材料文件名称应按照河北省固体废物动态信息平台</w:t>
            </w:r>
            <w:r>
              <w:rPr>
                <w:spacing w:val="-1"/>
              </w:rPr>
              <w:t>附件序号进行编号，编号如</w:t>
            </w:r>
          </w:p>
          <w:p>
            <w:pPr>
              <w:pStyle w:val="TableText"/>
              <w:ind w:left="110" w:right="143" w:firstLine="10"/>
              <w:spacing w:before="27" w:line="237" w:lineRule="auto"/>
              <w:rPr/>
            </w:pPr>
            <w:r>
              <w:rPr>
                <w:spacing w:val="-1"/>
              </w:rPr>
              <w:t>（1.1</w:t>
            </w:r>
            <w:r>
              <w:rPr>
                <w:spacing w:val="-36"/>
              </w:rPr>
              <w:t xml:space="preserve"> </w:t>
            </w:r>
            <w:r>
              <w:rPr>
                <w:spacing w:val="-1"/>
              </w:rPr>
              <w:t>专业技术人员学历学位职称证明；1.2</w:t>
            </w:r>
            <w:r>
              <w:rPr>
                <w:spacing w:val="-38"/>
              </w:rPr>
              <w:t xml:space="preserve"> </w:t>
            </w:r>
            <w:r>
              <w:rPr>
                <w:spacing w:val="-1"/>
              </w:rPr>
              <w:t>技术人员工作经历证明；2.1……</w:t>
            </w:r>
            <w:r>
              <w:rPr>
                <w:spacing w:val="-68"/>
              </w:rPr>
              <w:t xml:space="preserve"> </w:t>
            </w:r>
            <w:r>
              <w:rPr>
                <w:spacing w:val="-1"/>
              </w:rPr>
              <w:t>；3.</w:t>
            </w:r>
            <w:r>
              <w:rPr>
                <w:spacing w:val="-2"/>
              </w:rPr>
              <w:t>1,3.1.1</w:t>
            </w:r>
            <w:r>
              <w:rPr>
                <w:spacing w:val="-25"/>
              </w:rPr>
              <w:t>）；</w:t>
            </w:r>
            <w:r>
              <w:rPr/>
              <w:t xml:space="preserve"> </w:t>
            </w:r>
            <w:r>
              <w:rPr/>
              <w:t>4.有关环评文件、验收文件、设计文件、监理文件等均上传完整的、加盖编</w:t>
            </w:r>
            <w:r>
              <w:rPr>
                <w:spacing w:val="-1"/>
              </w:rPr>
              <w:t>写单位公章，有编</w:t>
            </w:r>
            <w:r>
              <w:rPr/>
              <w:t xml:space="preserve"> </w:t>
            </w:r>
            <w:r>
              <w:rPr>
                <w:spacing w:val="-1"/>
              </w:rPr>
              <w:t>制日期的原件扫描件，并保证内容清晰；</w:t>
            </w:r>
          </w:p>
          <w:p>
            <w:pPr>
              <w:pStyle w:val="TableText"/>
              <w:ind w:left="112" w:right="952" w:firstLine="2"/>
              <w:spacing w:before="25" w:line="233" w:lineRule="auto"/>
              <w:rPr/>
            </w:pPr>
            <w:r>
              <w:rPr>
                <w:spacing w:val="-2"/>
              </w:rPr>
              <w:t>5.要按照有关证明材料要求逐项对应上传、不要缺项、漏项；不涉及的要写明情况；</w:t>
            </w:r>
            <w:r>
              <w:rPr>
                <w:spacing w:val="17"/>
              </w:rPr>
              <w:t xml:space="preserve"> </w:t>
            </w:r>
            <w:r>
              <w:rPr>
                <w:spacing w:val="-1"/>
              </w:rPr>
              <w:t>6.所有证件、执照不可超期。</w:t>
            </w:r>
          </w:p>
        </w:tc>
        <w:tc>
          <w:tcPr>
            <w:tcW w:w="368" w:type="dxa"/>
            <w:vAlign w:val="top"/>
            <w:textDirection w:val="tbRlV"/>
          </w:tcPr>
          <w:p>
            <w:pPr>
              <w:pStyle w:val="TableText"/>
              <w:ind w:left="2474"/>
              <w:spacing w:before="78" w:line="206" w:lineRule="auto"/>
              <w:rPr/>
            </w:pPr>
            <w:r>
              <w:rPr>
                <w:spacing w:val="-1"/>
              </w:rPr>
              <w:t>资</w:t>
            </w:r>
            <w:r>
              <w:rPr>
                <w:spacing w:val="43"/>
              </w:rPr>
              <w:t xml:space="preserve"> </w:t>
            </w:r>
            <w:r>
              <w:rPr>
                <w:spacing w:val="-1"/>
              </w:rPr>
              <w:t>格</w:t>
            </w:r>
            <w:r>
              <w:rPr>
                <w:spacing w:val="43"/>
              </w:rPr>
              <w:t xml:space="preserve"> </w:t>
            </w:r>
            <w:r>
              <w:rPr>
                <w:spacing w:val="-1"/>
              </w:rPr>
              <w:t>型</w:t>
            </w:r>
          </w:p>
        </w:tc>
        <w:tc>
          <w:tcPr>
            <w:tcW w:w="117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235" w:right="135" w:hanging="94"/>
              <w:spacing w:before="58" w:line="307" w:lineRule="auto"/>
              <w:rPr/>
            </w:pPr>
            <w:r>
              <w:rPr>
                <w:spacing w:val="-2"/>
              </w:rPr>
              <w:t>危险废物经</w:t>
            </w:r>
            <w:r>
              <w:rPr/>
              <w:t xml:space="preserve"> </w:t>
            </w:r>
            <w:r>
              <w:rPr>
                <w:spacing w:val="-4"/>
              </w:rPr>
              <w:t>营许可证</w:t>
            </w:r>
          </w:p>
        </w:tc>
        <w:tc>
          <w:tcPr>
            <w:tcW w:w="4568" w:type="dxa"/>
            <w:vAlign w:val="top"/>
          </w:tcPr>
          <w:p>
            <w:pPr>
              <w:spacing w:line="445" w:lineRule="auto"/>
              <w:rPr>
                <w:rFonts w:ascii="Arial"/>
                <w:sz w:val="21"/>
              </w:rPr>
            </w:pPr>
            <w:r/>
          </w:p>
          <w:p>
            <w:pPr>
              <w:pStyle w:val="TableText"/>
              <w:ind w:left="127"/>
              <w:spacing w:before="58" w:line="219" w:lineRule="auto"/>
              <w:rPr/>
            </w:pPr>
            <w:r>
              <w:rPr>
                <w:spacing w:val="-2"/>
              </w:rPr>
              <w:t>1.河北省危险废物经营许可证申请表；</w:t>
            </w:r>
          </w:p>
          <w:p>
            <w:pPr>
              <w:pStyle w:val="TableText"/>
              <w:ind w:left="113" w:right="181" w:firstLine="2"/>
              <w:spacing w:before="26" w:line="237" w:lineRule="auto"/>
              <w:jc w:val="both"/>
              <w:rPr/>
            </w:pPr>
            <w:r>
              <w:rPr>
                <w:spacing w:val="-2"/>
              </w:rPr>
              <w:t>2.有</w:t>
            </w:r>
            <w:r>
              <w:rPr>
                <w:spacing w:val="-19"/>
              </w:rPr>
              <w:t xml:space="preserve"> </w:t>
            </w:r>
            <w:r>
              <w:rPr>
                <w:spacing w:val="-2"/>
              </w:rPr>
              <w:t>3</w:t>
            </w:r>
            <w:r>
              <w:rPr>
                <w:spacing w:val="-34"/>
              </w:rPr>
              <w:t xml:space="preserve"> </w:t>
            </w:r>
            <w:r>
              <w:rPr>
                <w:spacing w:val="-2"/>
              </w:rPr>
              <w:t>名以上环境工程专业或者相关专业中级上以职</w:t>
            </w:r>
            <w:r>
              <w:rPr/>
              <w:t xml:space="preserve">  </w:t>
            </w:r>
            <w:r>
              <w:rPr>
                <w:spacing w:val="-3"/>
              </w:rPr>
              <w:t>称，并有</w:t>
            </w:r>
            <w:r>
              <w:rPr>
                <w:spacing w:val="-36"/>
              </w:rPr>
              <w:t xml:space="preserve"> </w:t>
            </w:r>
            <w:r>
              <w:rPr>
                <w:spacing w:val="-3"/>
              </w:rPr>
              <w:t>3</w:t>
            </w:r>
            <w:r>
              <w:rPr>
                <w:spacing w:val="-35"/>
              </w:rPr>
              <w:t xml:space="preserve"> </w:t>
            </w:r>
            <w:r>
              <w:rPr>
                <w:spacing w:val="-3"/>
              </w:rPr>
              <w:t>年以上固体废物污染治理经历的技术人员，</w:t>
            </w:r>
            <w:r>
              <w:rPr/>
              <w:t xml:space="preserve"> </w:t>
            </w:r>
            <w:r>
              <w:rPr>
                <w:spacing w:val="-1"/>
              </w:rPr>
              <w:t>需提供的证明材料；</w:t>
            </w:r>
          </w:p>
          <w:p>
            <w:pPr>
              <w:pStyle w:val="TableText"/>
              <w:ind w:left="114" w:right="136" w:firstLine="2"/>
              <w:spacing w:before="26" w:line="237" w:lineRule="auto"/>
              <w:jc w:val="both"/>
              <w:rPr/>
            </w:pPr>
            <w:r>
              <w:rPr>
                <w:spacing w:val="-1"/>
              </w:rPr>
              <w:t>3.有符合国务院交通主管部门有关危险货物运输安全要</w:t>
            </w:r>
            <w:r>
              <w:rPr>
                <w:spacing w:val="13"/>
              </w:rPr>
              <w:t xml:space="preserve"> </w:t>
            </w:r>
            <w:r>
              <w:rPr/>
              <w:t>求的运输工具</w:t>
            </w:r>
            <w:r>
              <w:rPr>
                <w:spacing w:val="-5"/>
              </w:rPr>
              <w:t>；（</w:t>
            </w:r>
            <w:r>
              <w:rPr/>
              <w:t>提供运输过程遵守危险货物运输管理</w:t>
            </w:r>
            <w:r>
              <w:rPr>
                <w:spacing w:val="1"/>
              </w:rPr>
              <w:t xml:space="preserve"> </w:t>
            </w:r>
            <w:r>
              <w:rPr>
                <w:spacing w:val="-1"/>
              </w:rPr>
              <w:t>规定或有关豁免管理规定的承诺书）</w:t>
            </w:r>
          </w:p>
          <w:p>
            <w:pPr>
              <w:pStyle w:val="TableText"/>
              <w:ind w:left="113" w:right="136"/>
              <w:spacing w:before="26" w:line="237" w:lineRule="auto"/>
              <w:jc w:val="both"/>
              <w:rPr/>
            </w:pPr>
            <w:r>
              <w:rPr>
                <w:spacing w:val="-1"/>
              </w:rPr>
              <w:t>4.有符合国家或者地方环境保护标准和安全要求的包装</w:t>
            </w:r>
            <w:r>
              <w:rPr>
                <w:spacing w:val="17"/>
              </w:rPr>
              <w:t xml:space="preserve"> </w:t>
            </w:r>
            <w:r>
              <w:rPr>
                <w:spacing w:val="-1"/>
              </w:rPr>
              <w:t>工具，中转和临时存放设施、设备以及经验收合格的贮</w:t>
            </w:r>
            <w:r>
              <w:rPr>
                <w:spacing w:val="16"/>
              </w:rPr>
              <w:t xml:space="preserve"> </w:t>
            </w:r>
            <w:r>
              <w:rPr>
                <w:spacing w:val="-1"/>
              </w:rPr>
              <w:t>存设施、设备，需提供的证明材料。</w:t>
            </w:r>
          </w:p>
          <w:p>
            <w:pPr>
              <w:pStyle w:val="TableText"/>
              <w:ind w:left="113" w:right="136" w:firstLine="4"/>
              <w:spacing w:before="28" w:line="239" w:lineRule="auto"/>
              <w:jc w:val="both"/>
              <w:rPr/>
            </w:pPr>
            <w:r>
              <w:rPr>
                <w:spacing w:val="-2"/>
              </w:rPr>
              <w:t>5.有符合国家或者省、</w:t>
            </w:r>
            <w:r>
              <w:rPr>
                <w:spacing w:val="-52"/>
              </w:rPr>
              <w:t xml:space="preserve"> </w:t>
            </w:r>
            <w:r>
              <w:rPr>
                <w:spacing w:val="-2"/>
              </w:rPr>
              <w:t>自治区、直辖市危险废物处置设</w:t>
            </w:r>
            <w:r>
              <w:rPr/>
              <w:t xml:space="preserve"> </w:t>
            </w:r>
            <w:r>
              <w:rPr>
                <w:spacing w:val="-1"/>
              </w:rPr>
              <w:t>施建设规划，符合国家或者地方环境保护标准和安全要</w:t>
            </w:r>
            <w:r>
              <w:rPr>
                <w:spacing w:val="16"/>
              </w:rPr>
              <w:t xml:space="preserve"> </w:t>
            </w:r>
            <w:r>
              <w:rPr>
                <w:spacing w:val="-1"/>
              </w:rPr>
              <w:t>求的处置设施、设备和配套的污染防治设施，需提供的</w:t>
            </w:r>
            <w:r>
              <w:rPr>
                <w:spacing w:val="16"/>
              </w:rPr>
              <w:t xml:space="preserve"> </w:t>
            </w:r>
            <w:r>
              <w:rPr>
                <w:spacing w:val="-2"/>
              </w:rPr>
              <w:t>证明材料。</w:t>
            </w:r>
          </w:p>
          <w:p>
            <w:pPr>
              <w:pStyle w:val="TableText"/>
              <w:ind w:left="117" w:right="316" w:hanging="2"/>
              <w:spacing w:before="26" w:line="233" w:lineRule="auto"/>
              <w:rPr/>
            </w:pPr>
            <w:r>
              <w:rPr>
                <w:spacing w:val="-1"/>
              </w:rPr>
              <w:t>6.有与所经营的危险废物类别相适应的处置技术和工</w:t>
            </w:r>
            <w:r>
              <w:rPr>
                <w:spacing w:val="14"/>
              </w:rPr>
              <w:t xml:space="preserve"> </w:t>
            </w:r>
            <w:r>
              <w:rPr>
                <w:spacing w:val="-2"/>
              </w:rPr>
              <w:t>艺，需提供的证明材料。</w:t>
            </w:r>
          </w:p>
          <w:p>
            <w:pPr>
              <w:pStyle w:val="TableText"/>
              <w:ind w:left="114" w:right="136" w:firstLine="3"/>
              <w:spacing w:before="25" w:line="233" w:lineRule="auto"/>
              <w:rPr/>
            </w:pPr>
            <w:r>
              <w:rPr>
                <w:spacing w:val="-1"/>
              </w:rPr>
              <w:t>7.有保证危险废物经营安全的规章制度、污染防治措施</w:t>
            </w:r>
            <w:r>
              <w:rPr>
                <w:spacing w:val="12"/>
              </w:rPr>
              <w:t xml:space="preserve"> </w:t>
            </w:r>
            <w:r>
              <w:rPr>
                <w:spacing w:val="-1"/>
              </w:rPr>
              <w:t>和事故应急救援措施，需提供的证明材料。</w:t>
            </w:r>
          </w:p>
          <w:p>
            <w:pPr>
              <w:pStyle w:val="TableText"/>
              <w:ind w:left="114" w:right="136"/>
              <w:spacing w:before="26" w:line="233" w:lineRule="auto"/>
              <w:rPr/>
            </w:pPr>
            <w:r>
              <w:rPr>
                <w:spacing w:val="-1"/>
              </w:rPr>
              <w:t>8.以填埋方式处置危险废物的，需提交关于依法取得填</w:t>
            </w:r>
            <w:r>
              <w:rPr>
                <w:spacing w:val="16"/>
              </w:rPr>
              <w:t xml:space="preserve"> </w:t>
            </w:r>
            <w:r>
              <w:rPr>
                <w:spacing w:val="-1"/>
              </w:rPr>
              <w:t>埋场所的土地使用权，需提供的证明材料。</w:t>
            </w:r>
          </w:p>
        </w:tc>
        <w:tc>
          <w:tcPr>
            <w:tcW w:w="275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77" w:hanging="4"/>
              <w:spacing w:before="26" w:line="307" w:lineRule="auto"/>
              <w:rPr/>
            </w:pPr>
            <w:r>
              <w:rPr>
                <w:spacing w:val="-4"/>
              </w:rPr>
              <w:t>4.审批机构决定核发/不予核发；</w:t>
            </w:r>
            <w:r>
              <w:rPr>
                <w:spacing w:val="10"/>
              </w:rPr>
              <w:t xml:space="preserve"> </w:t>
            </w:r>
            <w:r>
              <w:rPr>
                <w:spacing w:val="-2"/>
              </w:rPr>
              <w:t>5.制作颁发许可证；</w:t>
            </w:r>
          </w:p>
          <w:p>
            <w:pPr>
              <w:pStyle w:val="TableText"/>
              <w:ind w:left="121" w:right="122" w:hanging="7"/>
              <w:spacing w:before="24" w:line="307" w:lineRule="auto"/>
              <w:rPr/>
            </w:pPr>
            <w:r>
              <w:rPr>
                <w:spacing w:val="-1"/>
              </w:rPr>
              <w:t>6.特殊环节：现场勘验、专家评</w:t>
            </w:r>
            <w:r>
              <w:rPr>
                <w:spacing w:val="5"/>
              </w:rPr>
              <w:t xml:space="preserve"> </w:t>
            </w:r>
            <w:r>
              <w:rPr>
                <w:spacing w:val="-2"/>
              </w:rPr>
              <w:t>审等所需时间不计入审批时限。</w:t>
            </w:r>
          </w:p>
        </w:tc>
        <w:tc>
          <w:tcPr>
            <w:tcW w:w="768" w:type="dxa"/>
            <w:vAlign w:val="top"/>
          </w:tcPr>
          <w:p>
            <w:pPr>
              <w:rPr>
                <w:rFonts w:ascii="Arial"/>
                <w:sz w:val="21"/>
              </w:rPr>
            </w:pPr>
            <w:r/>
          </w:p>
        </w:tc>
      </w:tr>
      <w:tr>
        <w:trPr>
          <w:trHeight w:val="4910"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15"/>
              <w:spacing w:before="59" w:line="220" w:lineRule="auto"/>
              <w:rPr/>
            </w:pPr>
            <w:r>
              <w:rPr>
                <w:spacing w:val="-4"/>
              </w:rPr>
              <w:t>危险废</w:t>
            </w:r>
          </w:p>
          <w:p>
            <w:pPr>
              <w:pStyle w:val="TableText"/>
              <w:ind w:left="113"/>
              <w:spacing w:before="97" w:line="220" w:lineRule="auto"/>
              <w:rPr/>
            </w:pPr>
            <w:r>
              <w:rPr>
                <w:spacing w:val="-3"/>
              </w:rPr>
              <w:t>物经营</w:t>
            </w:r>
          </w:p>
          <w:p>
            <w:pPr>
              <w:pStyle w:val="TableText"/>
              <w:ind w:left="114"/>
              <w:spacing w:before="97" w:line="220" w:lineRule="auto"/>
              <w:rPr/>
            </w:pPr>
            <w:r>
              <w:rPr>
                <w:spacing w:val="-3"/>
              </w:rPr>
              <w:t>许可证</w:t>
            </w:r>
          </w:p>
          <w:p>
            <w:pPr>
              <w:pStyle w:val="TableText"/>
              <w:ind w:left="205"/>
              <w:spacing w:before="97" w:line="219" w:lineRule="auto"/>
              <w:rPr/>
            </w:pPr>
            <w:r>
              <w:rPr>
                <w:spacing w:val="-4"/>
              </w:rPr>
              <w:t>延续</w:t>
            </w:r>
          </w:p>
        </w:tc>
        <w:tc>
          <w:tcPr>
            <w:tcW w:w="669" w:type="dxa"/>
            <w:vAlign w:val="top"/>
            <w:vMerge w:val="continue"/>
            <w:tcBorders>
              <w:top w:val="nil"/>
            </w:tcBorders>
          </w:tcPr>
          <w:p>
            <w:pPr>
              <w:rPr>
                <w:rFonts w:ascii="Arial"/>
                <w:sz w:val="21"/>
              </w:rPr>
            </w:pPr>
            <w:r/>
          </w:p>
        </w:tc>
        <w:tc>
          <w:tcPr>
            <w:tcW w:w="640" w:type="dxa"/>
            <w:vAlign w:val="top"/>
            <w:vMerge w:val="continue"/>
            <w:tcBorders>
              <w:top w:val="nil"/>
            </w:tcBorders>
          </w:tcPr>
          <w:p>
            <w:pPr>
              <w:rPr>
                <w:rFonts w:ascii="Arial"/>
                <w:sz w:val="21"/>
              </w:rPr>
            </w:pPr>
            <w:r/>
          </w:p>
        </w:tc>
        <w:tc>
          <w:tcPr>
            <w:tcW w:w="628"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2054"/>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0" w:right="185" w:firstLine="14"/>
              <w:spacing w:before="59" w:line="233" w:lineRule="auto"/>
              <w:rPr/>
            </w:pPr>
            <w:r>
              <w:rPr>
                <w:spacing w:val="-2"/>
              </w:rPr>
              <w:t>1.《危险废物经营许可证变更（或注销）申请书》“</w:t>
            </w:r>
            <w:r>
              <w:rPr>
                <w:spacing w:val="-52"/>
              </w:rPr>
              <w:t xml:space="preserve"> </w:t>
            </w:r>
            <w:r>
              <w:rPr>
                <w:spacing w:val="-2"/>
              </w:rPr>
              <w:t>申请单位名称</w:t>
            </w:r>
            <w:r>
              <w:rPr>
                <w:spacing w:val="-66"/>
              </w:rPr>
              <w:t xml:space="preserve"> </w:t>
            </w:r>
            <w:r>
              <w:rPr>
                <w:spacing w:val="-2"/>
              </w:rPr>
              <w:t>”处加盖单位公章；法定代</w:t>
            </w:r>
            <w:r>
              <w:rPr/>
              <w:t xml:space="preserve"> </w:t>
            </w:r>
            <w:r>
              <w:rPr>
                <w:spacing w:val="-1"/>
              </w:rPr>
              <w:t>表人手写签字并按手印或手章；</w:t>
            </w:r>
          </w:p>
          <w:p>
            <w:pPr>
              <w:pStyle w:val="TableText"/>
              <w:ind w:left="113"/>
              <w:spacing w:before="27" w:line="216" w:lineRule="auto"/>
              <w:rPr/>
            </w:pPr>
            <w:r>
              <w:rPr/>
              <w:t>2.省厅制式表格内容均应在表格内部填写</w:t>
            </w:r>
            <w:r>
              <w:rPr>
                <w:spacing w:val="-1"/>
              </w:rPr>
              <w:t>，不得整体套用原文件；</w:t>
            </w:r>
          </w:p>
          <w:p>
            <w:pPr>
              <w:pStyle w:val="TableText"/>
              <w:ind w:left="115"/>
              <w:spacing w:before="28" w:line="219" w:lineRule="auto"/>
              <w:rPr/>
            </w:pPr>
            <w:r>
              <w:rPr/>
              <w:t>3.所有电子版材料文件名称应按照河北省固体废物动态信息平台</w:t>
            </w:r>
            <w:r>
              <w:rPr>
                <w:spacing w:val="-1"/>
              </w:rPr>
              <w:t>附件序号进行编号，编号如</w:t>
            </w:r>
          </w:p>
          <w:p>
            <w:pPr>
              <w:pStyle w:val="TableText"/>
              <w:ind w:left="110" w:right="143" w:firstLine="10"/>
              <w:spacing w:before="27" w:line="237" w:lineRule="auto"/>
              <w:rPr/>
            </w:pPr>
            <w:r>
              <w:rPr>
                <w:spacing w:val="-1"/>
              </w:rPr>
              <w:t>（1.1</w:t>
            </w:r>
            <w:r>
              <w:rPr>
                <w:spacing w:val="-36"/>
              </w:rPr>
              <w:t xml:space="preserve"> </w:t>
            </w:r>
            <w:r>
              <w:rPr>
                <w:spacing w:val="-1"/>
              </w:rPr>
              <w:t>专业技术人员学历学位职称证明；1.2</w:t>
            </w:r>
            <w:r>
              <w:rPr>
                <w:spacing w:val="-38"/>
              </w:rPr>
              <w:t xml:space="preserve"> </w:t>
            </w:r>
            <w:r>
              <w:rPr>
                <w:spacing w:val="-1"/>
              </w:rPr>
              <w:t>技术人员工作经历证明；2.1……</w:t>
            </w:r>
            <w:r>
              <w:rPr>
                <w:spacing w:val="-68"/>
              </w:rPr>
              <w:t xml:space="preserve"> </w:t>
            </w:r>
            <w:r>
              <w:rPr>
                <w:spacing w:val="-1"/>
              </w:rPr>
              <w:t>；3.</w:t>
            </w:r>
            <w:r>
              <w:rPr>
                <w:spacing w:val="-2"/>
              </w:rPr>
              <w:t>1,3.1.1</w:t>
            </w:r>
            <w:r>
              <w:rPr>
                <w:spacing w:val="-25"/>
              </w:rPr>
              <w:t>）；</w:t>
            </w:r>
            <w:r>
              <w:rPr/>
              <w:t xml:space="preserve"> </w:t>
            </w:r>
            <w:r>
              <w:rPr/>
              <w:t>4.有关环评文件、验收文件、设计文件、监理文件等均上传完整的、加盖编</w:t>
            </w:r>
            <w:r>
              <w:rPr>
                <w:spacing w:val="-1"/>
              </w:rPr>
              <w:t>写单位公章，有编</w:t>
            </w:r>
            <w:r>
              <w:rPr/>
              <w:t xml:space="preserve"> </w:t>
            </w:r>
            <w:r>
              <w:rPr>
                <w:spacing w:val="-1"/>
              </w:rPr>
              <w:t>制日期的原件扫描件，并保证内容清晰；</w:t>
            </w:r>
          </w:p>
          <w:p>
            <w:pPr>
              <w:pStyle w:val="TableText"/>
              <w:ind w:left="112" w:right="952" w:firstLine="2"/>
              <w:spacing w:before="25" w:line="233" w:lineRule="auto"/>
              <w:rPr/>
            </w:pPr>
            <w:r>
              <w:rPr>
                <w:spacing w:val="-2"/>
              </w:rPr>
              <w:t>5.要按照有关证明材料要求逐项对应上传、不要缺项、漏项；不涉及的要写明情况；</w:t>
            </w:r>
            <w:r>
              <w:rPr>
                <w:spacing w:val="17"/>
              </w:rPr>
              <w:t xml:space="preserve"> </w:t>
            </w:r>
            <w:r>
              <w:rPr>
                <w:spacing w:val="-1"/>
              </w:rPr>
              <w:t>6.所有证件、执照不可超期。</w:t>
            </w:r>
          </w:p>
        </w:tc>
        <w:tc>
          <w:tcPr>
            <w:tcW w:w="368" w:type="dxa"/>
            <w:vAlign w:val="top"/>
            <w:textDirection w:val="tbRlV"/>
          </w:tcPr>
          <w:p>
            <w:pPr>
              <w:pStyle w:val="TableText"/>
              <w:ind w:left="2054"/>
              <w:spacing w:before="78" w:line="206" w:lineRule="auto"/>
              <w:rPr/>
            </w:pPr>
            <w:r>
              <w:rPr>
                <w:spacing w:val="-1"/>
              </w:rPr>
              <w:t>资</w:t>
            </w:r>
            <w:r>
              <w:rPr>
                <w:spacing w:val="43"/>
              </w:rPr>
              <w:t xml:space="preserve"> </w:t>
            </w:r>
            <w:r>
              <w:rPr>
                <w:spacing w:val="-1"/>
              </w:rPr>
              <w:t>格</w:t>
            </w:r>
            <w:r>
              <w:rPr>
                <w:spacing w:val="42"/>
                <w:w w:val="101"/>
              </w:rPr>
              <w:t xml:space="preserve"> </w:t>
            </w:r>
            <w:r>
              <w:rPr>
                <w:spacing w:val="-1"/>
              </w:rPr>
              <w:t>型</w:t>
            </w:r>
          </w:p>
        </w:tc>
        <w:tc>
          <w:tcPr>
            <w:tcW w:w="1173"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35" w:right="135" w:hanging="94"/>
              <w:spacing w:before="59" w:line="307" w:lineRule="auto"/>
              <w:rPr/>
            </w:pPr>
            <w:r>
              <w:rPr>
                <w:spacing w:val="-2"/>
              </w:rPr>
              <w:t>危险废物经</w:t>
            </w:r>
            <w:r>
              <w:rPr/>
              <w:t xml:space="preserve"> </w:t>
            </w:r>
            <w:r>
              <w:rPr>
                <w:spacing w:val="-4"/>
              </w:rPr>
              <w:t>营许可证</w:t>
            </w:r>
          </w:p>
        </w:tc>
        <w:tc>
          <w:tcPr>
            <w:tcW w:w="4568" w:type="dxa"/>
            <w:vAlign w:val="top"/>
          </w:tcPr>
          <w:p>
            <w:pPr>
              <w:pStyle w:val="TableText"/>
              <w:ind w:left="127"/>
              <w:spacing w:before="86" w:line="219" w:lineRule="auto"/>
              <w:rPr/>
            </w:pPr>
            <w:r>
              <w:rPr>
                <w:spacing w:val="-2"/>
              </w:rPr>
              <w:t>1.河北省危险废物经营许可证申请表；</w:t>
            </w:r>
          </w:p>
          <w:p>
            <w:pPr>
              <w:pStyle w:val="TableText"/>
              <w:ind w:left="113" w:right="181" w:firstLine="2"/>
              <w:spacing w:before="26" w:line="237" w:lineRule="auto"/>
              <w:jc w:val="both"/>
              <w:rPr/>
            </w:pPr>
            <w:r>
              <w:rPr>
                <w:spacing w:val="-2"/>
              </w:rPr>
              <w:t>2.有</w:t>
            </w:r>
            <w:r>
              <w:rPr>
                <w:spacing w:val="-19"/>
              </w:rPr>
              <w:t xml:space="preserve"> </w:t>
            </w:r>
            <w:r>
              <w:rPr>
                <w:spacing w:val="-2"/>
              </w:rPr>
              <w:t>3</w:t>
            </w:r>
            <w:r>
              <w:rPr>
                <w:spacing w:val="-34"/>
              </w:rPr>
              <w:t xml:space="preserve"> </w:t>
            </w:r>
            <w:r>
              <w:rPr>
                <w:spacing w:val="-2"/>
              </w:rPr>
              <w:t>名以上环境工程专业或者相关专业中级上以职</w:t>
            </w:r>
            <w:r>
              <w:rPr/>
              <w:t xml:space="preserve">  </w:t>
            </w:r>
            <w:r>
              <w:rPr>
                <w:spacing w:val="-3"/>
              </w:rPr>
              <w:t>称，并有</w:t>
            </w:r>
            <w:r>
              <w:rPr>
                <w:spacing w:val="-36"/>
              </w:rPr>
              <w:t xml:space="preserve"> </w:t>
            </w:r>
            <w:r>
              <w:rPr>
                <w:spacing w:val="-3"/>
              </w:rPr>
              <w:t>3</w:t>
            </w:r>
            <w:r>
              <w:rPr>
                <w:spacing w:val="-35"/>
              </w:rPr>
              <w:t xml:space="preserve"> </w:t>
            </w:r>
            <w:r>
              <w:rPr>
                <w:spacing w:val="-3"/>
              </w:rPr>
              <w:t>年以上固体废物污染治理经历的技术人员，</w:t>
            </w:r>
            <w:r>
              <w:rPr/>
              <w:t xml:space="preserve"> </w:t>
            </w:r>
            <w:r>
              <w:rPr>
                <w:spacing w:val="-1"/>
              </w:rPr>
              <w:t>需提供的证明材料；</w:t>
            </w:r>
          </w:p>
          <w:p>
            <w:pPr>
              <w:pStyle w:val="TableText"/>
              <w:ind w:left="114" w:right="136" w:firstLine="2"/>
              <w:spacing w:before="26" w:line="237" w:lineRule="auto"/>
              <w:jc w:val="both"/>
              <w:rPr/>
            </w:pPr>
            <w:r>
              <w:rPr>
                <w:spacing w:val="-1"/>
              </w:rPr>
              <w:t>3.有符合国务院交通主管部门有关危险货物运输安全要</w:t>
            </w:r>
            <w:r>
              <w:rPr>
                <w:spacing w:val="13"/>
              </w:rPr>
              <w:t xml:space="preserve"> </w:t>
            </w:r>
            <w:r>
              <w:rPr/>
              <w:t>求的运输工具</w:t>
            </w:r>
            <w:r>
              <w:rPr>
                <w:spacing w:val="-5"/>
              </w:rPr>
              <w:t>；（</w:t>
            </w:r>
            <w:r>
              <w:rPr/>
              <w:t>提供运输过程遵守危险货物运输管理</w:t>
            </w:r>
            <w:r>
              <w:rPr>
                <w:spacing w:val="1"/>
              </w:rPr>
              <w:t xml:space="preserve"> </w:t>
            </w:r>
            <w:r>
              <w:rPr>
                <w:spacing w:val="-1"/>
              </w:rPr>
              <w:t>规定或有关豁免管理规定的承诺书）</w:t>
            </w:r>
          </w:p>
          <w:p>
            <w:pPr>
              <w:pStyle w:val="TableText"/>
              <w:ind w:left="113" w:right="136"/>
              <w:spacing w:before="26" w:line="237" w:lineRule="auto"/>
              <w:jc w:val="both"/>
              <w:rPr/>
            </w:pPr>
            <w:r>
              <w:rPr>
                <w:spacing w:val="-1"/>
              </w:rPr>
              <w:t>4.有符合国家或者地方环境保护标准和安全要求的包装</w:t>
            </w:r>
            <w:r>
              <w:rPr>
                <w:spacing w:val="17"/>
              </w:rPr>
              <w:t xml:space="preserve"> </w:t>
            </w:r>
            <w:r>
              <w:rPr>
                <w:spacing w:val="-1"/>
              </w:rPr>
              <w:t>工具，中转和临时存放设施、设备以及经验收合格的贮</w:t>
            </w:r>
            <w:r>
              <w:rPr>
                <w:spacing w:val="16"/>
              </w:rPr>
              <w:t xml:space="preserve"> </w:t>
            </w:r>
            <w:r>
              <w:rPr>
                <w:spacing w:val="-1"/>
              </w:rPr>
              <w:t>存设施、设备，需提供的证明材料。</w:t>
            </w:r>
          </w:p>
          <w:p>
            <w:pPr>
              <w:pStyle w:val="TableText"/>
              <w:ind w:left="113" w:right="136" w:firstLine="4"/>
              <w:spacing w:before="28" w:line="239" w:lineRule="auto"/>
              <w:jc w:val="both"/>
              <w:rPr/>
            </w:pPr>
            <w:r>
              <w:rPr>
                <w:spacing w:val="-2"/>
              </w:rPr>
              <w:t>5.有符合国家或者省、</w:t>
            </w:r>
            <w:r>
              <w:rPr>
                <w:spacing w:val="-52"/>
              </w:rPr>
              <w:t xml:space="preserve"> </w:t>
            </w:r>
            <w:r>
              <w:rPr>
                <w:spacing w:val="-2"/>
              </w:rPr>
              <w:t>自治区、直辖市危险废物处置设</w:t>
            </w:r>
            <w:r>
              <w:rPr/>
              <w:t xml:space="preserve"> </w:t>
            </w:r>
            <w:r>
              <w:rPr>
                <w:spacing w:val="-1"/>
              </w:rPr>
              <w:t>施建设规划，符合国家或者地方环境保护标准和安全要</w:t>
            </w:r>
            <w:r>
              <w:rPr>
                <w:spacing w:val="16"/>
              </w:rPr>
              <w:t xml:space="preserve"> </w:t>
            </w:r>
            <w:r>
              <w:rPr>
                <w:spacing w:val="-1"/>
              </w:rPr>
              <w:t>求的处置设施、设备和配套的污染防治设施，需提供的</w:t>
            </w:r>
            <w:r>
              <w:rPr>
                <w:spacing w:val="16"/>
              </w:rPr>
              <w:t xml:space="preserve"> </w:t>
            </w:r>
            <w:r>
              <w:rPr>
                <w:spacing w:val="-2"/>
              </w:rPr>
              <w:t>证明材料。</w:t>
            </w:r>
          </w:p>
          <w:p>
            <w:pPr>
              <w:pStyle w:val="TableText"/>
              <w:ind w:left="117" w:right="316" w:hanging="2"/>
              <w:spacing w:before="26" w:line="233" w:lineRule="auto"/>
              <w:rPr/>
            </w:pPr>
            <w:r>
              <w:rPr>
                <w:spacing w:val="-1"/>
              </w:rPr>
              <w:t>6.有与所经营的危险废物类别相适应的处置技术和工</w:t>
            </w:r>
            <w:r>
              <w:rPr>
                <w:spacing w:val="14"/>
              </w:rPr>
              <w:t xml:space="preserve"> </w:t>
            </w:r>
            <w:r>
              <w:rPr>
                <w:spacing w:val="-2"/>
              </w:rPr>
              <w:t>艺，需提供的证明材料。</w:t>
            </w:r>
          </w:p>
          <w:p>
            <w:pPr>
              <w:pStyle w:val="TableText"/>
              <w:ind w:left="114" w:right="136" w:firstLine="3"/>
              <w:spacing w:before="25" w:line="233" w:lineRule="auto"/>
              <w:rPr/>
            </w:pPr>
            <w:r>
              <w:rPr>
                <w:spacing w:val="-1"/>
              </w:rPr>
              <w:t>7.有保证危险废物经营安全的规章制度、污染防治措施</w:t>
            </w:r>
            <w:r>
              <w:rPr>
                <w:spacing w:val="12"/>
              </w:rPr>
              <w:t xml:space="preserve"> </w:t>
            </w:r>
            <w:r>
              <w:rPr>
                <w:spacing w:val="-1"/>
              </w:rPr>
              <w:t>和事故应急救援措施，需提供的证明材料。</w:t>
            </w:r>
          </w:p>
          <w:p>
            <w:pPr>
              <w:pStyle w:val="TableText"/>
              <w:ind w:left="114" w:right="136"/>
              <w:spacing w:before="26" w:line="233" w:lineRule="auto"/>
              <w:rPr/>
            </w:pPr>
            <w:r>
              <w:rPr>
                <w:spacing w:val="-1"/>
              </w:rPr>
              <w:t>8.以填埋方式处置危险废物的，需提交关于依法取得填</w:t>
            </w:r>
            <w:r>
              <w:rPr>
                <w:spacing w:val="16"/>
              </w:rPr>
              <w:t xml:space="preserve"> </w:t>
            </w:r>
            <w:r>
              <w:rPr>
                <w:spacing w:val="-1"/>
              </w:rPr>
              <w:t>埋场所的土地使用权，需提供的证明材料。</w:t>
            </w:r>
          </w:p>
        </w:tc>
        <w:tc>
          <w:tcPr>
            <w:tcW w:w="2753"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77" w:hanging="4"/>
              <w:spacing w:before="26" w:line="307" w:lineRule="auto"/>
              <w:rPr/>
            </w:pPr>
            <w:r>
              <w:rPr>
                <w:spacing w:val="-4"/>
              </w:rPr>
              <w:t>4.审批机构决定核发/不予核发；</w:t>
            </w:r>
            <w:r>
              <w:rPr>
                <w:spacing w:val="10"/>
              </w:rPr>
              <w:t xml:space="preserve"> </w:t>
            </w:r>
            <w:r>
              <w:rPr>
                <w:spacing w:val="-2"/>
              </w:rPr>
              <w:t>5.制作颁发许可证；</w:t>
            </w:r>
          </w:p>
          <w:p>
            <w:pPr>
              <w:pStyle w:val="TableText"/>
              <w:ind w:left="121" w:right="122" w:hanging="7"/>
              <w:spacing w:before="24" w:line="307" w:lineRule="auto"/>
              <w:rPr/>
            </w:pPr>
            <w:r>
              <w:rPr>
                <w:spacing w:val="-1"/>
              </w:rPr>
              <w:t>6.特殊环节：现场勘验、专家评</w:t>
            </w:r>
            <w:r>
              <w:rPr>
                <w:spacing w:val="5"/>
              </w:rPr>
              <w:t xml:space="preserve"> </w:t>
            </w:r>
            <w:r>
              <w:rPr>
                <w:spacing w:val="-2"/>
              </w:rPr>
              <w:t>审等所需时间不计入审批时限。</w:t>
            </w:r>
          </w:p>
        </w:tc>
        <w:tc>
          <w:tcPr>
            <w:tcW w:w="768" w:type="dxa"/>
            <w:vAlign w:val="top"/>
          </w:tcPr>
          <w:p>
            <w:pPr>
              <w:rPr>
                <w:rFonts w:ascii="Arial"/>
                <w:sz w:val="21"/>
              </w:rPr>
            </w:pPr>
            <w:r/>
          </w:p>
        </w:tc>
      </w:tr>
    </w:tbl>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11</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pgSz w:w="23812" w:h="16839"/>
          <w:pgMar w:top="1431" w:right="1080" w:bottom="400" w:left="1079" w:header="0" w:footer="0" w:gutter="0"/>
        </w:sectPr>
        <w:rPr>
          <w:rFonts w:ascii="SimSun" w:hAnsi="SimSun" w:eastAsia="SimSun" w:cs="SimSun"/>
          <w:sz w:val="28"/>
          <w:szCs w:val="28"/>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2342" w:hRule="atLeast"/>
        </w:trPr>
        <w:tc>
          <w:tcPr>
            <w:tcW w:w="400" w:type="dxa"/>
            <w:vAlign w:val="top"/>
            <w:vMerge w:val="restart"/>
            <w:tcBorders>
              <w:bottom w:val="nil"/>
            </w:tcBorders>
          </w:tcPr>
          <w:p>
            <w:pPr>
              <w:rPr>
                <w:rFonts w:ascii="Arial"/>
                <w:sz w:val="21"/>
              </w:rPr>
            </w:pPr>
            <w:r/>
          </w:p>
        </w:tc>
        <w:tc>
          <w:tcPr>
            <w:tcW w:w="886" w:type="dxa"/>
            <w:vAlign w:val="top"/>
            <w:vMerge w:val="restart"/>
            <w:tcBorders>
              <w:bottom w:val="nil"/>
            </w:tcBorders>
          </w:tcPr>
          <w:p>
            <w:pPr>
              <w:rPr>
                <w:rFonts w:ascii="Arial"/>
                <w:sz w:val="21"/>
              </w:rPr>
            </w:pPr>
            <w:r/>
          </w:p>
        </w:tc>
        <w:tc>
          <w:tcPr>
            <w:tcW w:w="763" w:type="dxa"/>
            <w:vAlign w:val="top"/>
          </w:tcPr>
          <w:p>
            <w:pPr>
              <w:spacing w:line="276" w:lineRule="auto"/>
              <w:rPr>
                <w:rFonts w:ascii="Arial"/>
                <w:sz w:val="21"/>
              </w:rPr>
            </w:pPr>
            <w:r/>
          </w:p>
          <w:p>
            <w:pPr>
              <w:spacing w:line="276" w:lineRule="auto"/>
              <w:rPr>
                <w:rFonts w:ascii="Arial"/>
                <w:sz w:val="21"/>
              </w:rPr>
            </w:pPr>
            <w:r/>
          </w:p>
          <w:p>
            <w:pPr>
              <w:pStyle w:val="TableText"/>
              <w:ind w:left="115"/>
              <w:spacing w:before="58" w:line="220" w:lineRule="auto"/>
              <w:rPr/>
            </w:pPr>
            <w:r>
              <w:rPr>
                <w:spacing w:val="-4"/>
              </w:rPr>
              <w:t>危险废</w:t>
            </w:r>
          </w:p>
          <w:p>
            <w:pPr>
              <w:pStyle w:val="TableText"/>
              <w:ind w:left="113"/>
              <w:spacing w:before="97" w:line="220" w:lineRule="auto"/>
              <w:rPr/>
            </w:pPr>
            <w:r>
              <w:rPr>
                <w:spacing w:val="-3"/>
              </w:rPr>
              <w:t>物经营</w:t>
            </w:r>
          </w:p>
          <w:p>
            <w:pPr>
              <w:pStyle w:val="TableText"/>
              <w:ind w:left="114"/>
              <w:spacing w:before="97" w:line="220" w:lineRule="auto"/>
              <w:rPr/>
            </w:pPr>
            <w:r>
              <w:rPr>
                <w:spacing w:val="-3"/>
              </w:rPr>
              <w:t>许可证</w:t>
            </w:r>
          </w:p>
          <w:p>
            <w:pPr>
              <w:pStyle w:val="TableText"/>
              <w:ind w:left="204"/>
              <w:spacing w:before="97" w:line="221" w:lineRule="auto"/>
              <w:rPr/>
            </w:pPr>
            <w:r>
              <w:rPr>
                <w:spacing w:val="-4"/>
              </w:rPr>
              <w:t>变更</w:t>
            </w:r>
          </w:p>
        </w:tc>
        <w:tc>
          <w:tcPr>
            <w:tcW w:w="669" w:type="dxa"/>
            <w:vAlign w:val="top"/>
            <w:vMerge w:val="restart"/>
            <w:tcBorders>
              <w:bottom w:val="nil"/>
            </w:tcBorders>
          </w:tcPr>
          <w:p>
            <w:pPr>
              <w:rPr>
                <w:rFonts w:ascii="Arial"/>
                <w:sz w:val="21"/>
              </w:rPr>
            </w:pPr>
            <w:r/>
          </w:p>
        </w:tc>
        <w:tc>
          <w:tcPr>
            <w:tcW w:w="640" w:type="dxa"/>
            <w:vAlign w:val="top"/>
            <w:vMerge w:val="restart"/>
            <w:tcBorders>
              <w:bottom w:val="nil"/>
            </w:tcBorders>
          </w:tcPr>
          <w:p>
            <w:pPr>
              <w:rPr>
                <w:rFonts w:ascii="Arial"/>
                <w:sz w:val="21"/>
              </w:rPr>
            </w:pPr>
            <w:r/>
          </w:p>
        </w:tc>
        <w:tc>
          <w:tcPr>
            <w:tcW w:w="628"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27"/>
              <w:spacing w:before="59" w:line="183" w:lineRule="auto"/>
              <w:rPr/>
            </w:pPr>
            <w:r>
              <w:rPr>
                <w:spacing w:val="-4"/>
              </w:rPr>
              <w:t>20</w:t>
            </w:r>
          </w:p>
        </w:tc>
        <w:tc>
          <w:tcPr>
            <w:tcW w:w="355" w:type="dxa"/>
            <w:vAlign w:val="top"/>
            <w:textDirection w:val="tbRlV"/>
          </w:tcPr>
          <w:p>
            <w:pPr>
              <w:pStyle w:val="TableText"/>
              <w:ind w:left="770"/>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0" w:right="185" w:firstLine="14"/>
              <w:spacing w:before="121" w:line="233" w:lineRule="auto"/>
              <w:rPr/>
            </w:pPr>
            <w:r>
              <w:rPr>
                <w:spacing w:val="-2"/>
              </w:rPr>
              <w:t>1.《危险废物经营许可证变更（或注销）申请书》“</w:t>
            </w:r>
            <w:r>
              <w:rPr>
                <w:spacing w:val="-52"/>
              </w:rPr>
              <w:t xml:space="preserve"> </w:t>
            </w:r>
            <w:r>
              <w:rPr>
                <w:spacing w:val="-2"/>
              </w:rPr>
              <w:t>申请单位名称</w:t>
            </w:r>
            <w:r>
              <w:rPr>
                <w:spacing w:val="-66"/>
              </w:rPr>
              <w:t xml:space="preserve"> </w:t>
            </w:r>
            <w:r>
              <w:rPr>
                <w:spacing w:val="-2"/>
              </w:rPr>
              <w:t>”处加盖单位公章；法定代</w:t>
            </w:r>
            <w:r>
              <w:rPr/>
              <w:t xml:space="preserve"> </w:t>
            </w:r>
            <w:r>
              <w:rPr>
                <w:spacing w:val="-1"/>
              </w:rPr>
              <w:t>表人手写签字并按手印或手章；</w:t>
            </w:r>
          </w:p>
          <w:p>
            <w:pPr>
              <w:pStyle w:val="TableText"/>
              <w:ind w:left="113"/>
              <w:spacing w:before="27" w:line="216" w:lineRule="auto"/>
              <w:rPr/>
            </w:pPr>
            <w:r>
              <w:rPr/>
              <w:t>2.省厅制式表格内容均应在表格内部填写</w:t>
            </w:r>
            <w:r>
              <w:rPr>
                <w:spacing w:val="-1"/>
              </w:rPr>
              <w:t>，不得整体套用原文件；</w:t>
            </w:r>
          </w:p>
          <w:p>
            <w:pPr>
              <w:pStyle w:val="TableText"/>
              <w:ind w:left="115"/>
              <w:spacing w:before="28" w:line="219" w:lineRule="auto"/>
              <w:rPr/>
            </w:pPr>
            <w:r>
              <w:rPr/>
              <w:t>3.所有电子版材料文件名称应按照河北省固体废物动态信息平台</w:t>
            </w:r>
            <w:r>
              <w:rPr>
                <w:spacing w:val="-1"/>
              </w:rPr>
              <w:t>附件序号进行编号，编号如</w:t>
            </w:r>
          </w:p>
          <w:p>
            <w:pPr>
              <w:pStyle w:val="TableText"/>
              <w:ind w:left="110" w:right="143" w:firstLine="10"/>
              <w:spacing w:before="27" w:line="237" w:lineRule="auto"/>
              <w:rPr/>
            </w:pPr>
            <w:r>
              <w:rPr>
                <w:spacing w:val="-1"/>
              </w:rPr>
              <w:t>（1.1</w:t>
            </w:r>
            <w:r>
              <w:rPr>
                <w:spacing w:val="-36"/>
              </w:rPr>
              <w:t xml:space="preserve"> </w:t>
            </w:r>
            <w:r>
              <w:rPr>
                <w:spacing w:val="-1"/>
              </w:rPr>
              <w:t>专业技术人员学历学位职称证明；1.2</w:t>
            </w:r>
            <w:r>
              <w:rPr>
                <w:spacing w:val="-38"/>
              </w:rPr>
              <w:t xml:space="preserve"> </w:t>
            </w:r>
            <w:r>
              <w:rPr>
                <w:spacing w:val="-1"/>
              </w:rPr>
              <w:t>技术人员工作经历证明；2.1……</w:t>
            </w:r>
            <w:r>
              <w:rPr>
                <w:spacing w:val="-68"/>
              </w:rPr>
              <w:t xml:space="preserve"> </w:t>
            </w:r>
            <w:r>
              <w:rPr>
                <w:spacing w:val="-1"/>
              </w:rPr>
              <w:t>；3.</w:t>
            </w:r>
            <w:r>
              <w:rPr>
                <w:spacing w:val="-2"/>
              </w:rPr>
              <w:t>1,3.1.1</w:t>
            </w:r>
            <w:r>
              <w:rPr>
                <w:spacing w:val="-25"/>
              </w:rPr>
              <w:t>）；</w:t>
            </w:r>
            <w:r>
              <w:rPr/>
              <w:t xml:space="preserve"> </w:t>
            </w:r>
            <w:r>
              <w:rPr/>
              <w:t>4.有关环评文件、验收文件、设计文件、监理文件等均上传完整的、加盖编</w:t>
            </w:r>
            <w:r>
              <w:rPr>
                <w:spacing w:val="-1"/>
              </w:rPr>
              <w:t>写单位公章，有编</w:t>
            </w:r>
            <w:r>
              <w:rPr/>
              <w:t xml:space="preserve"> </w:t>
            </w:r>
            <w:r>
              <w:rPr>
                <w:spacing w:val="-1"/>
              </w:rPr>
              <w:t>制日期的原件扫描件，并保证内容清晰；</w:t>
            </w:r>
          </w:p>
          <w:p>
            <w:pPr>
              <w:pStyle w:val="TableText"/>
              <w:ind w:left="112" w:right="952" w:firstLine="2"/>
              <w:spacing w:before="25" w:line="233" w:lineRule="auto"/>
              <w:rPr/>
            </w:pPr>
            <w:r>
              <w:rPr>
                <w:spacing w:val="-2"/>
              </w:rPr>
              <w:t>5.要按照有关证明材料要求逐项对应上传、不要缺项、漏项；不涉及的要写明情况；</w:t>
            </w:r>
            <w:r>
              <w:rPr>
                <w:spacing w:val="17"/>
              </w:rPr>
              <w:t xml:space="preserve"> </w:t>
            </w:r>
            <w:r>
              <w:rPr>
                <w:spacing w:val="-1"/>
              </w:rPr>
              <w:t>6.所有证件、执照不可超期。</w:t>
            </w:r>
          </w:p>
        </w:tc>
        <w:tc>
          <w:tcPr>
            <w:tcW w:w="368" w:type="dxa"/>
            <w:vAlign w:val="top"/>
            <w:textDirection w:val="tbRlV"/>
          </w:tcPr>
          <w:p>
            <w:pPr>
              <w:pStyle w:val="TableText"/>
              <w:ind w:left="770"/>
              <w:spacing w:before="78" w:line="206" w:lineRule="auto"/>
              <w:rPr/>
            </w:pPr>
            <w:r>
              <w:rPr>
                <w:spacing w:val="-1"/>
              </w:rPr>
              <w:t>资</w:t>
            </w:r>
            <w:r>
              <w:rPr>
                <w:spacing w:val="43"/>
              </w:rPr>
              <w:t xml:space="preserve"> </w:t>
            </w:r>
            <w:r>
              <w:rPr>
                <w:spacing w:val="-1"/>
              </w:rPr>
              <w:t>格</w:t>
            </w:r>
            <w:r>
              <w:rPr>
                <w:spacing w:val="43"/>
              </w:rPr>
              <w:t xml:space="preserve"> </w:t>
            </w:r>
            <w:r>
              <w:rPr>
                <w:spacing w:val="-1"/>
              </w:rPr>
              <w:t>型</w:t>
            </w:r>
          </w:p>
        </w:tc>
        <w:tc>
          <w:tcPr>
            <w:tcW w:w="1173"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pStyle w:val="TableText"/>
              <w:ind w:left="235" w:right="135" w:hanging="94"/>
              <w:spacing w:before="59" w:line="307" w:lineRule="auto"/>
              <w:rPr/>
            </w:pPr>
            <w:r>
              <w:rPr>
                <w:spacing w:val="-2"/>
              </w:rPr>
              <w:t>危险废物经</w:t>
            </w:r>
            <w:r>
              <w:rPr/>
              <w:t xml:space="preserve"> </w:t>
            </w:r>
            <w:r>
              <w:rPr>
                <w:spacing w:val="-4"/>
              </w:rPr>
              <w:t>营许可证</w:t>
            </w:r>
          </w:p>
        </w:tc>
        <w:tc>
          <w:tcPr>
            <w:tcW w:w="4568"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127"/>
              <w:spacing w:before="59" w:line="219" w:lineRule="auto"/>
              <w:rPr/>
            </w:pPr>
            <w:r>
              <w:rPr>
                <w:spacing w:val="-2"/>
              </w:rPr>
              <w:t>1.危险废物经营许可证变更申请书；</w:t>
            </w:r>
          </w:p>
          <w:p>
            <w:pPr>
              <w:pStyle w:val="TableText"/>
              <w:ind w:right="13"/>
              <w:spacing w:before="99" w:line="219" w:lineRule="auto"/>
              <w:jc w:val="right"/>
              <w:rPr/>
            </w:pPr>
            <w:r>
              <w:rPr>
                <w:spacing w:val="-3"/>
              </w:rPr>
              <w:t>2.企业变更后的工商营业执照，及工商部门变更登记表。</w:t>
            </w:r>
          </w:p>
        </w:tc>
        <w:tc>
          <w:tcPr>
            <w:tcW w:w="2753" w:type="dxa"/>
            <w:vAlign w:val="top"/>
          </w:tcPr>
          <w:p>
            <w:pPr>
              <w:spacing w:line="397"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77" w:hanging="4"/>
              <w:spacing w:before="26" w:line="307" w:lineRule="auto"/>
              <w:rPr/>
            </w:pPr>
            <w:r>
              <w:rPr>
                <w:spacing w:val="-4"/>
              </w:rPr>
              <w:t>4.审批机构决定核发/不予核发；</w:t>
            </w:r>
            <w:r>
              <w:rPr>
                <w:spacing w:val="10"/>
              </w:rPr>
              <w:t xml:space="preserve"> </w:t>
            </w:r>
            <w:r>
              <w:rPr>
                <w:spacing w:val="-2"/>
              </w:rPr>
              <w:t>5.制作颁发许可证。</w:t>
            </w:r>
          </w:p>
        </w:tc>
        <w:tc>
          <w:tcPr>
            <w:tcW w:w="768" w:type="dxa"/>
            <w:vAlign w:val="top"/>
          </w:tcPr>
          <w:p>
            <w:pPr>
              <w:rPr>
                <w:rFonts w:ascii="Arial"/>
                <w:sz w:val="21"/>
              </w:rPr>
            </w:pPr>
            <w:r/>
          </w:p>
        </w:tc>
      </w:tr>
      <w:tr>
        <w:trPr>
          <w:trHeight w:val="2476"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spacing w:line="309" w:lineRule="auto"/>
              <w:rPr>
                <w:rFonts w:ascii="Arial"/>
                <w:sz w:val="21"/>
              </w:rPr>
            </w:pPr>
            <w:r/>
          </w:p>
          <w:p>
            <w:pPr>
              <w:spacing w:line="310" w:lineRule="auto"/>
              <w:rPr>
                <w:rFonts w:ascii="Arial"/>
                <w:sz w:val="21"/>
              </w:rPr>
            </w:pPr>
            <w:r/>
          </w:p>
          <w:p>
            <w:pPr>
              <w:pStyle w:val="TableText"/>
              <w:ind w:left="115"/>
              <w:spacing w:before="58" w:line="220" w:lineRule="auto"/>
              <w:rPr/>
            </w:pPr>
            <w:r>
              <w:rPr>
                <w:spacing w:val="-4"/>
              </w:rPr>
              <w:t>危险废</w:t>
            </w:r>
          </w:p>
          <w:p>
            <w:pPr>
              <w:pStyle w:val="TableText"/>
              <w:ind w:left="113"/>
              <w:spacing w:before="97" w:line="220" w:lineRule="auto"/>
              <w:rPr/>
            </w:pPr>
            <w:r>
              <w:rPr>
                <w:spacing w:val="-3"/>
              </w:rPr>
              <w:t>物经营</w:t>
            </w:r>
          </w:p>
          <w:p>
            <w:pPr>
              <w:pStyle w:val="TableText"/>
              <w:ind w:left="114"/>
              <w:spacing w:before="97" w:line="220" w:lineRule="auto"/>
              <w:rPr/>
            </w:pPr>
            <w:r>
              <w:rPr>
                <w:spacing w:val="-3"/>
              </w:rPr>
              <w:t>许可证</w:t>
            </w:r>
          </w:p>
          <w:p>
            <w:pPr>
              <w:pStyle w:val="TableText"/>
              <w:ind w:left="204"/>
              <w:spacing w:before="97" w:line="221" w:lineRule="auto"/>
              <w:rPr/>
            </w:pPr>
            <w:r>
              <w:rPr>
                <w:spacing w:val="-4"/>
              </w:rPr>
              <w:t>注销</w:t>
            </w:r>
          </w:p>
        </w:tc>
        <w:tc>
          <w:tcPr>
            <w:tcW w:w="669" w:type="dxa"/>
            <w:vAlign w:val="top"/>
            <w:vMerge w:val="continue"/>
            <w:tcBorders>
              <w:top w:val="nil"/>
            </w:tcBorders>
          </w:tcPr>
          <w:p>
            <w:pPr>
              <w:rPr>
                <w:rFonts w:ascii="Arial"/>
                <w:sz w:val="21"/>
              </w:rPr>
            </w:pPr>
            <w:r/>
          </w:p>
        </w:tc>
        <w:tc>
          <w:tcPr>
            <w:tcW w:w="640" w:type="dxa"/>
            <w:vAlign w:val="top"/>
            <w:vMerge w:val="continue"/>
            <w:tcBorders>
              <w:top w:val="nil"/>
            </w:tcBorders>
          </w:tcPr>
          <w:p>
            <w:pPr>
              <w:rPr>
                <w:rFonts w:ascii="Arial"/>
                <w:sz w:val="21"/>
              </w:rPr>
            </w:pPr>
            <w:r/>
          </w:p>
        </w:tc>
        <w:tc>
          <w:tcPr>
            <w:tcW w:w="628"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227"/>
              <w:spacing w:before="59" w:line="183" w:lineRule="auto"/>
              <w:rPr/>
            </w:pPr>
            <w:r>
              <w:rPr>
                <w:spacing w:val="-4"/>
              </w:rPr>
              <w:t>20</w:t>
            </w:r>
          </w:p>
        </w:tc>
        <w:tc>
          <w:tcPr>
            <w:tcW w:w="355" w:type="dxa"/>
            <w:vAlign w:val="top"/>
            <w:textDirection w:val="tbRlV"/>
          </w:tcPr>
          <w:p>
            <w:pPr>
              <w:pStyle w:val="TableText"/>
              <w:ind w:left="837"/>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pStyle w:val="TableText"/>
              <w:ind w:left="110" w:right="185" w:firstLine="14"/>
              <w:spacing w:before="188" w:line="233" w:lineRule="auto"/>
              <w:rPr/>
            </w:pPr>
            <w:r>
              <w:rPr>
                <w:spacing w:val="-2"/>
              </w:rPr>
              <w:t>1.《危险废物经营许可证变更（或注销）申请书》“</w:t>
            </w:r>
            <w:r>
              <w:rPr>
                <w:spacing w:val="-52"/>
              </w:rPr>
              <w:t xml:space="preserve"> </w:t>
            </w:r>
            <w:r>
              <w:rPr>
                <w:spacing w:val="-2"/>
              </w:rPr>
              <w:t>申请单位名称</w:t>
            </w:r>
            <w:r>
              <w:rPr>
                <w:spacing w:val="-66"/>
              </w:rPr>
              <w:t xml:space="preserve"> </w:t>
            </w:r>
            <w:r>
              <w:rPr>
                <w:spacing w:val="-2"/>
              </w:rPr>
              <w:t>”处加盖单位公章；法定代</w:t>
            </w:r>
            <w:r>
              <w:rPr/>
              <w:t xml:space="preserve"> </w:t>
            </w:r>
            <w:r>
              <w:rPr>
                <w:spacing w:val="-1"/>
              </w:rPr>
              <w:t>表人手写签字并按手印或手章；</w:t>
            </w:r>
          </w:p>
          <w:p>
            <w:pPr>
              <w:pStyle w:val="TableText"/>
              <w:ind w:left="113"/>
              <w:spacing w:before="27" w:line="216" w:lineRule="auto"/>
              <w:rPr/>
            </w:pPr>
            <w:r>
              <w:rPr/>
              <w:t>2.省厅制式表格内容均应在表格内部填写</w:t>
            </w:r>
            <w:r>
              <w:rPr>
                <w:spacing w:val="-1"/>
              </w:rPr>
              <w:t>，不得整体套用原文件；</w:t>
            </w:r>
          </w:p>
          <w:p>
            <w:pPr>
              <w:pStyle w:val="TableText"/>
              <w:ind w:left="115"/>
              <w:spacing w:before="28" w:line="219" w:lineRule="auto"/>
              <w:rPr/>
            </w:pPr>
            <w:r>
              <w:rPr/>
              <w:t>3.所有电子版材料文件名称应按照河北省固体废物动态信息平台</w:t>
            </w:r>
            <w:r>
              <w:rPr>
                <w:spacing w:val="-1"/>
              </w:rPr>
              <w:t>附件序号进行编号，编号如</w:t>
            </w:r>
          </w:p>
          <w:p>
            <w:pPr>
              <w:pStyle w:val="TableText"/>
              <w:ind w:left="110" w:right="143" w:firstLine="10"/>
              <w:spacing w:before="27" w:line="237" w:lineRule="auto"/>
              <w:rPr/>
            </w:pPr>
            <w:r>
              <w:rPr>
                <w:spacing w:val="-1"/>
              </w:rPr>
              <w:t>（1.1</w:t>
            </w:r>
            <w:r>
              <w:rPr>
                <w:spacing w:val="-36"/>
              </w:rPr>
              <w:t xml:space="preserve"> </w:t>
            </w:r>
            <w:r>
              <w:rPr>
                <w:spacing w:val="-1"/>
              </w:rPr>
              <w:t>专业技术人员学历学位职称证明；1.2</w:t>
            </w:r>
            <w:r>
              <w:rPr>
                <w:spacing w:val="-38"/>
              </w:rPr>
              <w:t xml:space="preserve"> </w:t>
            </w:r>
            <w:r>
              <w:rPr>
                <w:spacing w:val="-1"/>
              </w:rPr>
              <w:t>技术人员工作经历证明；2.1……</w:t>
            </w:r>
            <w:r>
              <w:rPr>
                <w:spacing w:val="-68"/>
              </w:rPr>
              <w:t xml:space="preserve"> </w:t>
            </w:r>
            <w:r>
              <w:rPr>
                <w:spacing w:val="-1"/>
              </w:rPr>
              <w:t>；3.</w:t>
            </w:r>
            <w:r>
              <w:rPr>
                <w:spacing w:val="-2"/>
              </w:rPr>
              <w:t>1,3.1.1</w:t>
            </w:r>
            <w:r>
              <w:rPr>
                <w:spacing w:val="-25"/>
              </w:rPr>
              <w:t>）；</w:t>
            </w:r>
            <w:r>
              <w:rPr/>
              <w:t xml:space="preserve"> </w:t>
            </w:r>
            <w:r>
              <w:rPr/>
              <w:t>4.有关环评文件、验收文件、设计文件、监理文件等均上传完整的、加盖编</w:t>
            </w:r>
            <w:r>
              <w:rPr>
                <w:spacing w:val="-1"/>
              </w:rPr>
              <w:t>写单位公章，有编</w:t>
            </w:r>
            <w:r>
              <w:rPr/>
              <w:t xml:space="preserve"> </w:t>
            </w:r>
            <w:r>
              <w:rPr>
                <w:spacing w:val="-1"/>
              </w:rPr>
              <w:t>制日期的原件扫描件，并保证内容清晰；</w:t>
            </w:r>
          </w:p>
          <w:p>
            <w:pPr>
              <w:pStyle w:val="TableText"/>
              <w:ind w:left="112" w:right="952" w:firstLine="2"/>
              <w:spacing w:before="25" w:line="233" w:lineRule="auto"/>
              <w:rPr/>
            </w:pPr>
            <w:r>
              <w:rPr>
                <w:spacing w:val="-2"/>
              </w:rPr>
              <w:t>5.要按照有关证明材料要求逐项对应上传、不要缺项、漏项；不涉及的要写明情况；</w:t>
            </w:r>
            <w:r>
              <w:rPr>
                <w:spacing w:val="17"/>
              </w:rPr>
              <w:t xml:space="preserve"> </w:t>
            </w:r>
            <w:r>
              <w:rPr>
                <w:spacing w:val="-1"/>
              </w:rPr>
              <w:t>6.所有证件、执照不可超期。</w:t>
            </w:r>
          </w:p>
        </w:tc>
        <w:tc>
          <w:tcPr>
            <w:tcW w:w="368" w:type="dxa"/>
            <w:vAlign w:val="top"/>
            <w:textDirection w:val="tbRlV"/>
          </w:tcPr>
          <w:p>
            <w:pPr>
              <w:pStyle w:val="TableText"/>
              <w:ind w:left="837"/>
              <w:spacing w:before="78" w:line="206" w:lineRule="auto"/>
              <w:rPr/>
            </w:pPr>
            <w:r>
              <w:rPr>
                <w:spacing w:val="-1"/>
              </w:rPr>
              <w:t>资</w:t>
            </w:r>
            <w:r>
              <w:rPr>
                <w:spacing w:val="43"/>
              </w:rPr>
              <w:t xml:space="preserve"> </w:t>
            </w:r>
            <w:r>
              <w:rPr>
                <w:spacing w:val="-1"/>
              </w:rPr>
              <w:t>格</w:t>
            </w:r>
            <w:r>
              <w:rPr>
                <w:spacing w:val="42"/>
                <w:w w:val="101"/>
              </w:rPr>
              <w:t xml:space="preserve"> </w:t>
            </w:r>
            <w:r>
              <w:rPr>
                <w:spacing w:val="-1"/>
              </w:rPr>
              <w:t>型</w:t>
            </w:r>
          </w:p>
        </w:tc>
        <w:tc>
          <w:tcPr>
            <w:tcW w:w="1173" w:type="dxa"/>
            <w:vAlign w:val="top"/>
          </w:tcPr>
          <w:p>
            <w:pPr>
              <w:spacing w:line="309" w:lineRule="auto"/>
              <w:rPr>
                <w:rFonts w:ascii="Arial"/>
                <w:sz w:val="21"/>
              </w:rPr>
            </w:pPr>
            <w:r/>
          </w:p>
          <w:p>
            <w:pPr>
              <w:spacing w:line="310" w:lineRule="auto"/>
              <w:rPr>
                <w:rFonts w:ascii="Arial"/>
                <w:sz w:val="21"/>
              </w:rPr>
            </w:pPr>
            <w:r/>
          </w:p>
          <w:p>
            <w:pPr>
              <w:pStyle w:val="TableText"/>
              <w:ind w:left="142"/>
              <w:spacing w:before="58" w:line="220" w:lineRule="auto"/>
              <w:rPr/>
            </w:pPr>
            <w:r>
              <w:rPr>
                <w:spacing w:val="-2"/>
              </w:rPr>
              <w:t>关于同意注</w:t>
            </w:r>
          </w:p>
          <w:p>
            <w:pPr>
              <w:pStyle w:val="TableText"/>
              <w:ind w:left="140"/>
              <w:spacing w:before="97" w:line="220" w:lineRule="auto"/>
              <w:rPr/>
            </w:pPr>
            <w:r>
              <w:rPr>
                <w:spacing w:val="-2"/>
              </w:rPr>
              <w:t>销危险废物</w:t>
            </w:r>
          </w:p>
          <w:p>
            <w:pPr>
              <w:pStyle w:val="TableText"/>
              <w:ind w:left="141"/>
              <w:spacing w:before="97" w:line="220" w:lineRule="auto"/>
              <w:rPr/>
            </w:pPr>
            <w:r>
              <w:rPr>
                <w:spacing w:val="-2"/>
              </w:rPr>
              <w:t>经营许可证</w:t>
            </w:r>
          </w:p>
          <w:p>
            <w:pPr>
              <w:pStyle w:val="TableText"/>
              <w:ind w:left="334"/>
              <w:spacing w:before="97" w:line="220" w:lineRule="auto"/>
              <w:rPr/>
            </w:pPr>
            <w:r>
              <w:rPr>
                <w:spacing w:val="-8"/>
              </w:rPr>
              <w:t>的批复</w:t>
            </w:r>
          </w:p>
        </w:tc>
        <w:tc>
          <w:tcPr>
            <w:tcW w:w="4568" w:type="dxa"/>
            <w:vAlign w:val="top"/>
          </w:tcPr>
          <w:p>
            <w:pPr>
              <w:spacing w:line="309" w:lineRule="auto"/>
              <w:rPr>
                <w:rFonts w:ascii="Arial"/>
                <w:sz w:val="21"/>
              </w:rPr>
            </w:pPr>
            <w:r/>
          </w:p>
          <w:p>
            <w:pPr>
              <w:spacing w:line="309" w:lineRule="auto"/>
              <w:rPr>
                <w:rFonts w:ascii="Arial"/>
                <w:sz w:val="21"/>
              </w:rPr>
            </w:pPr>
            <w:r/>
          </w:p>
          <w:p>
            <w:pPr>
              <w:pStyle w:val="TableText"/>
              <w:ind w:left="127"/>
              <w:spacing w:before="59" w:line="219" w:lineRule="auto"/>
              <w:rPr/>
            </w:pPr>
            <w:r>
              <w:rPr>
                <w:spacing w:val="-2"/>
              </w:rPr>
              <w:t>1.危险废物经营许可证注销申请书；</w:t>
            </w:r>
          </w:p>
          <w:p>
            <w:pPr>
              <w:pStyle w:val="TableText"/>
              <w:ind w:left="113" w:right="136" w:firstLine="2"/>
              <w:spacing w:before="98" w:line="307" w:lineRule="auto"/>
              <w:rPr/>
            </w:pPr>
            <w:r>
              <w:rPr>
                <w:spacing w:val="-1"/>
              </w:rPr>
              <w:t>2.对经营设施、场所采取污染防治措施的说明及证明材</w:t>
            </w:r>
            <w:r>
              <w:rPr>
                <w:spacing w:val="14"/>
              </w:rPr>
              <w:t xml:space="preserve"> </w:t>
            </w:r>
            <w:r>
              <w:rPr>
                <w:spacing w:val="-4"/>
              </w:rPr>
              <w:t>料；</w:t>
            </w:r>
          </w:p>
          <w:p>
            <w:pPr>
              <w:pStyle w:val="TableText"/>
              <w:ind w:left="117"/>
              <w:spacing w:before="24" w:line="219" w:lineRule="auto"/>
              <w:rPr/>
            </w:pPr>
            <w:r>
              <w:rPr>
                <w:spacing w:val="-1"/>
              </w:rPr>
              <w:t>3.对未处置的危险废物处理情况说明及证明材料。</w:t>
            </w:r>
          </w:p>
        </w:tc>
        <w:tc>
          <w:tcPr>
            <w:tcW w:w="2753" w:type="dxa"/>
            <w:vAlign w:val="top"/>
          </w:tcPr>
          <w:p>
            <w:pPr>
              <w:pStyle w:val="TableText"/>
              <w:ind w:left="126"/>
              <w:spacing w:before="213"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77" w:hanging="4"/>
              <w:spacing w:before="26" w:line="307" w:lineRule="auto"/>
              <w:rPr/>
            </w:pPr>
            <w:r>
              <w:rPr>
                <w:spacing w:val="-4"/>
              </w:rPr>
              <w:t>4.审批机构决定核发/不予核发；</w:t>
            </w:r>
            <w:r>
              <w:rPr>
                <w:spacing w:val="10"/>
              </w:rPr>
              <w:t xml:space="preserve"> </w:t>
            </w:r>
            <w:r>
              <w:rPr>
                <w:spacing w:val="-2"/>
              </w:rPr>
              <w:t>5.制作颁发许可证；</w:t>
            </w:r>
          </w:p>
          <w:p>
            <w:pPr>
              <w:pStyle w:val="TableText"/>
              <w:ind w:left="121" w:right="122" w:hanging="7"/>
              <w:spacing w:before="25" w:line="307" w:lineRule="auto"/>
              <w:rPr/>
            </w:pPr>
            <w:r>
              <w:rPr>
                <w:spacing w:val="-1"/>
              </w:rPr>
              <w:t>6.特殊环节：现场勘验、专家评</w:t>
            </w:r>
            <w:r>
              <w:rPr>
                <w:spacing w:val="5"/>
              </w:rPr>
              <w:t xml:space="preserve"> </w:t>
            </w:r>
            <w:r>
              <w:rPr>
                <w:spacing w:val="-2"/>
              </w:rPr>
              <w:t>审等所需时间不计入审批时限。</w:t>
            </w:r>
          </w:p>
        </w:tc>
        <w:tc>
          <w:tcPr>
            <w:tcW w:w="768" w:type="dxa"/>
            <w:vAlign w:val="top"/>
          </w:tcPr>
          <w:p>
            <w:pPr>
              <w:rPr>
                <w:rFonts w:ascii="Arial"/>
                <w:sz w:val="21"/>
              </w:rPr>
            </w:pPr>
            <w:r/>
          </w:p>
        </w:tc>
      </w:tr>
      <w:tr>
        <w:trPr>
          <w:trHeight w:val="3041" w:hRule="atLeast"/>
        </w:trPr>
        <w:tc>
          <w:tcPr>
            <w:tcW w:w="400"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63"/>
              <w:spacing w:before="59" w:line="182" w:lineRule="auto"/>
              <w:rPr/>
            </w:pPr>
            <w:r>
              <w:rPr/>
              <w:t>7</w:t>
            </w:r>
          </w:p>
        </w:tc>
        <w:tc>
          <w:tcPr>
            <w:tcW w:w="886" w:type="dxa"/>
            <w:vAlign w:val="top"/>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177" w:right="171"/>
              <w:spacing w:before="59" w:line="314" w:lineRule="auto"/>
              <w:jc w:val="both"/>
              <w:rPr/>
            </w:pPr>
            <w:r>
              <w:rPr>
                <w:spacing w:val="-3"/>
              </w:rPr>
              <w:t>延长危</w:t>
            </w:r>
            <w:r>
              <w:rPr/>
              <w:t xml:space="preserve"> </w:t>
            </w:r>
            <w:r>
              <w:rPr>
                <w:spacing w:val="-3"/>
              </w:rPr>
              <w:t>险废物</w:t>
            </w:r>
            <w:r>
              <w:rPr/>
              <w:t xml:space="preserve"> </w:t>
            </w:r>
            <w:r>
              <w:rPr>
                <w:spacing w:val="-3"/>
              </w:rPr>
              <w:t>贮存期</w:t>
            </w:r>
            <w:r>
              <w:rPr/>
              <w:t xml:space="preserve"> </w:t>
            </w:r>
            <w:r>
              <w:rPr>
                <w:spacing w:val="-3"/>
              </w:rPr>
              <w:t>限审批</w:t>
            </w:r>
          </w:p>
        </w:tc>
        <w:tc>
          <w:tcPr>
            <w:tcW w:w="763" w:type="dxa"/>
            <w:vAlign w:val="top"/>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114" w:right="111"/>
              <w:spacing w:before="59" w:line="314" w:lineRule="auto"/>
              <w:jc w:val="both"/>
              <w:rPr/>
            </w:pPr>
            <w:r>
              <w:rPr>
                <w:spacing w:val="-3"/>
              </w:rPr>
              <w:t>延长危</w:t>
            </w:r>
            <w:r>
              <w:rPr/>
              <w:t xml:space="preserve"> </w:t>
            </w:r>
            <w:r>
              <w:rPr>
                <w:spacing w:val="-3"/>
              </w:rPr>
              <w:t>险废物</w:t>
            </w:r>
            <w:r>
              <w:rPr/>
              <w:t xml:space="preserve"> </w:t>
            </w:r>
            <w:r>
              <w:rPr>
                <w:spacing w:val="-3"/>
              </w:rPr>
              <w:t>贮存期</w:t>
            </w:r>
            <w:r>
              <w:rPr/>
              <w:t xml:space="preserve"> </w:t>
            </w:r>
            <w:r>
              <w:rPr>
                <w:spacing w:val="-3"/>
              </w:rPr>
              <w:t>限审批</w:t>
            </w:r>
          </w:p>
        </w:tc>
        <w:tc>
          <w:tcPr>
            <w:tcW w:w="66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27"/>
              <w:spacing w:before="59" w:line="183" w:lineRule="auto"/>
              <w:rPr/>
            </w:pPr>
            <w:r>
              <w:rPr>
                <w:spacing w:val="-4"/>
              </w:rPr>
              <w:t>20</w:t>
            </w:r>
          </w:p>
        </w:tc>
        <w:tc>
          <w:tcPr>
            <w:tcW w:w="355" w:type="dxa"/>
            <w:vAlign w:val="top"/>
            <w:textDirection w:val="tbRlV"/>
          </w:tcPr>
          <w:p>
            <w:pPr>
              <w:pStyle w:val="TableText"/>
              <w:ind w:left="1121"/>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3" w:right="4732" w:firstLine="11"/>
              <w:spacing w:before="58" w:line="233" w:lineRule="auto"/>
              <w:rPr/>
            </w:pPr>
            <w:r>
              <w:rPr>
                <w:spacing w:val="-4"/>
              </w:rPr>
              <w:t>1.贮存危险废物类别、数量、来源；</w:t>
            </w:r>
            <w:r>
              <w:rPr/>
              <w:t xml:space="preserve"> </w:t>
            </w:r>
            <w:r>
              <w:rPr>
                <w:spacing w:val="-1"/>
              </w:rPr>
              <w:t>2.超期贮存原因描述清晰；</w:t>
            </w:r>
          </w:p>
          <w:p>
            <w:pPr>
              <w:pStyle w:val="TableText"/>
              <w:ind w:left="115"/>
              <w:spacing w:before="26" w:line="219" w:lineRule="auto"/>
              <w:rPr/>
            </w:pPr>
            <w:r>
              <w:rPr>
                <w:spacing w:val="-1"/>
              </w:rPr>
              <w:t>3.污染防治、安全防护措施完善；</w:t>
            </w:r>
          </w:p>
          <w:p>
            <w:pPr>
              <w:pStyle w:val="TableText"/>
              <w:ind w:left="110"/>
              <w:spacing w:before="25" w:line="216" w:lineRule="auto"/>
              <w:rPr/>
            </w:pPr>
            <w:r>
              <w:rPr>
                <w:spacing w:val="-1"/>
              </w:rPr>
              <w:t>4.市级生态环境部门现场核查情况属实。</w:t>
            </w:r>
          </w:p>
        </w:tc>
        <w:tc>
          <w:tcPr>
            <w:tcW w:w="368" w:type="dxa"/>
            <w:vAlign w:val="top"/>
            <w:textDirection w:val="tbRlV"/>
          </w:tcPr>
          <w:p>
            <w:pPr>
              <w:pStyle w:val="TableText"/>
              <w:ind w:left="1121"/>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33"/>
              <w:spacing w:before="58" w:line="220" w:lineRule="auto"/>
              <w:rPr/>
            </w:pPr>
            <w:r>
              <w:rPr>
                <w:spacing w:val="-3"/>
              </w:rPr>
              <w:t>关于同意</w:t>
            </w:r>
          </w:p>
          <w:p>
            <w:pPr>
              <w:pStyle w:val="TableText"/>
              <w:ind w:left="149"/>
              <w:spacing w:before="97" w:line="221" w:lineRule="auto"/>
              <w:rPr/>
            </w:pPr>
            <w:r>
              <w:rPr>
                <w:spacing w:val="-4"/>
              </w:rPr>
              <w:t>（不同意）</w:t>
            </w:r>
          </w:p>
          <w:p>
            <w:pPr>
              <w:pStyle w:val="TableText"/>
              <w:ind w:left="140"/>
              <w:spacing w:before="96" w:line="220" w:lineRule="auto"/>
              <w:rPr/>
            </w:pPr>
            <w:r>
              <w:rPr>
                <w:spacing w:val="-2"/>
              </w:rPr>
              <w:t>延长危险废</w:t>
            </w:r>
          </w:p>
          <w:p>
            <w:pPr>
              <w:pStyle w:val="TableText"/>
              <w:ind w:left="139"/>
              <w:spacing w:before="97" w:line="219" w:lineRule="auto"/>
              <w:rPr/>
            </w:pPr>
            <w:r>
              <w:rPr>
                <w:spacing w:val="-2"/>
              </w:rPr>
              <w:t>物贮存期限</w:t>
            </w:r>
          </w:p>
          <w:p>
            <w:pPr>
              <w:pStyle w:val="TableText"/>
              <w:ind w:left="334"/>
              <w:spacing w:before="98" w:line="220" w:lineRule="auto"/>
              <w:rPr/>
            </w:pPr>
            <w:r>
              <w:rPr>
                <w:spacing w:val="-8"/>
              </w:rPr>
              <w:t>的批复</w:t>
            </w:r>
          </w:p>
        </w:tc>
        <w:tc>
          <w:tcPr>
            <w:tcW w:w="4568"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14"/>
              <w:spacing w:before="59" w:line="219" w:lineRule="auto"/>
              <w:rPr/>
            </w:pPr>
            <w:r>
              <w:rPr>
                <w:spacing w:val="-1"/>
              </w:rPr>
              <w:t>延长危险废物贮存期限的申请</w:t>
            </w:r>
          </w:p>
        </w:tc>
        <w:tc>
          <w:tcPr>
            <w:tcW w:w="2753" w:type="dxa"/>
            <w:vAlign w:val="top"/>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19" w:lineRule="auto"/>
              <w:rPr/>
            </w:pPr>
            <w:r>
              <w:rPr>
                <w:spacing w:val="-1"/>
              </w:rPr>
              <w:t>4.审批机构批准/不予批准。</w:t>
            </w:r>
          </w:p>
        </w:tc>
        <w:tc>
          <w:tcPr>
            <w:tcW w:w="768" w:type="dxa"/>
            <w:vAlign w:val="top"/>
          </w:tcPr>
          <w:p>
            <w:pPr>
              <w:rPr>
                <w:rFonts w:ascii="Arial"/>
                <w:sz w:val="21"/>
              </w:rPr>
            </w:pPr>
            <w:r/>
          </w:p>
        </w:tc>
      </w:tr>
    </w:tbl>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12</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pgSz w:w="23812" w:h="16839"/>
          <w:pgMar w:top="1431" w:right="1080" w:bottom="400" w:left="1079" w:header="0" w:footer="0" w:gutter="0"/>
        </w:sectPr>
        <w:rPr>
          <w:rFonts w:ascii="SimSun" w:hAnsi="SimSun" w:eastAsia="SimSun" w:cs="SimSun"/>
          <w:sz w:val="28"/>
          <w:szCs w:val="28"/>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4680" w:hRule="atLeast"/>
        </w:trPr>
        <w:tc>
          <w:tcPr>
            <w:tcW w:w="400"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59"/>
              <w:spacing w:before="58" w:line="183" w:lineRule="auto"/>
              <w:rPr/>
            </w:pPr>
            <w:r>
              <w:rPr/>
              <w:t>8</w:t>
            </w:r>
          </w:p>
        </w:tc>
        <w:tc>
          <w:tcPr>
            <w:tcW w:w="886"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76" w:right="171" w:firstLine="2"/>
              <w:spacing w:before="58" w:line="315" w:lineRule="auto"/>
              <w:jc w:val="both"/>
              <w:rPr/>
            </w:pPr>
            <w:r>
              <w:rPr>
                <w:spacing w:val="-4"/>
              </w:rPr>
              <w:t>危险废</w:t>
            </w:r>
            <w:r>
              <w:rPr>
                <w:spacing w:val="1"/>
              </w:rPr>
              <w:t xml:space="preserve"> </w:t>
            </w:r>
            <w:r>
              <w:rPr>
                <w:spacing w:val="-3"/>
              </w:rPr>
              <w:t>物跨省</w:t>
            </w:r>
            <w:r>
              <w:rPr/>
              <w:t xml:space="preserve"> </w:t>
            </w:r>
            <w:r>
              <w:rPr>
                <w:spacing w:val="-3"/>
              </w:rPr>
              <w:t>级行政</w:t>
            </w:r>
            <w:r>
              <w:rPr/>
              <w:t xml:space="preserve"> </w:t>
            </w:r>
            <w:r>
              <w:rPr>
                <w:spacing w:val="-3"/>
              </w:rPr>
              <w:t>区域转</w:t>
            </w:r>
            <w:r>
              <w:rPr/>
              <w:t xml:space="preserve"> </w:t>
            </w:r>
            <w:r>
              <w:rPr>
                <w:spacing w:val="-3"/>
              </w:rPr>
              <w:t>移审批</w:t>
            </w:r>
          </w:p>
        </w:tc>
        <w:tc>
          <w:tcPr>
            <w:tcW w:w="763"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13" w:right="111" w:firstLine="2"/>
              <w:spacing w:before="58" w:line="315" w:lineRule="auto"/>
              <w:jc w:val="both"/>
              <w:rPr/>
            </w:pPr>
            <w:r>
              <w:rPr>
                <w:spacing w:val="-4"/>
              </w:rPr>
              <w:t>危险废</w:t>
            </w:r>
            <w:r>
              <w:rPr>
                <w:spacing w:val="1"/>
              </w:rPr>
              <w:t xml:space="preserve"> </w:t>
            </w:r>
            <w:r>
              <w:rPr>
                <w:spacing w:val="-3"/>
              </w:rPr>
              <w:t>物跨省</w:t>
            </w:r>
            <w:r>
              <w:rPr/>
              <w:t xml:space="preserve"> </w:t>
            </w:r>
            <w:r>
              <w:rPr>
                <w:spacing w:val="-3"/>
              </w:rPr>
              <w:t>级行政</w:t>
            </w:r>
            <w:r>
              <w:rPr/>
              <w:t xml:space="preserve"> </w:t>
            </w:r>
            <w:r>
              <w:rPr>
                <w:spacing w:val="-3"/>
              </w:rPr>
              <w:t>区域转</w:t>
            </w:r>
            <w:r>
              <w:rPr/>
              <w:t xml:space="preserve"> </w:t>
            </w:r>
            <w:r>
              <w:rPr>
                <w:spacing w:val="-3"/>
              </w:rPr>
              <w:t>移审批</w:t>
            </w:r>
          </w:p>
        </w:tc>
        <w:tc>
          <w:tcPr>
            <w:tcW w:w="66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59"/>
              <w:spacing w:before="58" w:line="219" w:lineRule="auto"/>
              <w:rPr/>
            </w:pPr>
            <w:r>
              <w:rPr>
                <w:spacing w:val="-5"/>
              </w:rPr>
              <w:t>省级</w:t>
            </w:r>
          </w:p>
        </w:tc>
        <w:tc>
          <w:tcPr>
            <w:tcW w:w="64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1938"/>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0" w:right="185" w:firstLine="9"/>
              <w:spacing w:before="91" w:line="231" w:lineRule="auto"/>
              <w:rPr/>
            </w:pPr>
            <w:r>
              <w:rPr/>
              <w:t>审批系统中上传的材料均为原件扫描件，所有材料都</w:t>
            </w:r>
            <w:r>
              <w:rPr>
                <w:spacing w:val="-1"/>
              </w:rPr>
              <w:t>要整页扫描再按系统中的顺序创建单独附</w:t>
            </w:r>
            <w:r>
              <w:rPr/>
              <w:t xml:space="preserve"> </w:t>
            </w:r>
            <w:r>
              <w:rPr>
                <w:spacing w:val="-2"/>
              </w:rPr>
              <w:t>件上传。</w:t>
            </w:r>
          </w:p>
          <w:p>
            <w:pPr>
              <w:pStyle w:val="TableText"/>
              <w:ind w:left="124"/>
              <w:spacing w:before="29" w:line="219" w:lineRule="auto"/>
              <w:rPr/>
            </w:pPr>
            <w:r>
              <w:rPr>
                <w:spacing w:val="-5"/>
              </w:rPr>
              <w:t>1.申请表</w:t>
            </w:r>
          </w:p>
          <w:p>
            <w:pPr>
              <w:pStyle w:val="TableText"/>
              <w:ind w:left="121"/>
              <w:spacing w:before="26" w:line="219" w:lineRule="auto"/>
              <w:rPr/>
            </w:pPr>
            <w:r>
              <w:rPr>
                <w:spacing w:val="-2"/>
              </w:rPr>
              <w:t>（1）申请表由系统导出生成。</w:t>
            </w:r>
          </w:p>
          <w:p>
            <w:pPr>
              <w:pStyle w:val="TableText"/>
              <w:ind w:left="121"/>
              <w:spacing w:before="25" w:line="219" w:lineRule="auto"/>
              <w:rPr/>
            </w:pPr>
            <w:r>
              <w:rPr>
                <w:spacing w:val="-1"/>
              </w:rPr>
              <w:t>（2）申请表加盖申请单位移出单位和接收单位公章。</w:t>
            </w:r>
          </w:p>
          <w:p>
            <w:pPr>
              <w:pStyle w:val="TableText"/>
              <w:ind w:left="118" w:right="106" w:firstLine="2"/>
              <w:spacing w:before="27" w:line="231" w:lineRule="auto"/>
              <w:rPr/>
            </w:pPr>
            <w:r>
              <w:rPr>
                <w:spacing w:val="-1"/>
              </w:rPr>
              <w:t>（3）申请表需移出单位法定代表人或单位负责人（指法定代表人书面委托负责公司全面事务的</w:t>
            </w:r>
            <w:r>
              <w:rPr>
                <w:spacing w:val="13"/>
              </w:rPr>
              <w:t xml:space="preserve"> </w:t>
            </w:r>
            <w:r>
              <w:rPr>
                <w:spacing w:val="-2"/>
              </w:rPr>
              <w:t>负责人，并提供佐证材料）。</w:t>
            </w:r>
          </w:p>
          <w:p>
            <w:pPr>
              <w:pStyle w:val="TableText"/>
              <w:ind w:left="113"/>
              <w:spacing w:before="29" w:line="216" w:lineRule="auto"/>
              <w:rPr/>
            </w:pPr>
            <w:r>
              <w:rPr>
                <w:spacing w:val="-2"/>
              </w:rPr>
              <w:t>2.转移实施计划</w:t>
            </w:r>
          </w:p>
          <w:p>
            <w:pPr>
              <w:pStyle w:val="TableText"/>
              <w:ind w:left="121"/>
              <w:spacing w:before="29" w:line="216" w:lineRule="auto"/>
              <w:rPr/>
            </w:pPr>
            <w:r>
              <w:rPr>
                <w:spacing w:val="-1"/>
              </w:rPr>
              <w:t>（1）申请材料真实性法律承诺书要有移出单位法定代表人手写签字、手印与日期。</w:t>
            </w:r>
          </w:p>
          <w:p>
            <w:pPr>
              <w:pStyle w:val="TableText"/>
              <w:ind w:left="111" w:right="106" w:firstLine="9"/>
              <w:spacing w:before="29" w:line="233" w:lineRule="auto"/>
              <w:rPr/>
            </w:pPr>
            <w:r>
              <w:rPr>
                <w:spacing w:val="-1"/>
              </w:rPr>
              <w:t>（2）转移实施计划第二部分表</w:t>
            </w:r>
            <w:r>
              <w:rPr>
                <w:spacing w:val="-35"/>
              </w:rPr>
              <w:t xml:space="preserve"> </w:t>
            </w:r>
            <w:r>
              <w:rPr>
                <w:spacing w:val="-1"/>
              </w:rPr>
              <w:t>2</w:t>
            </w:r>
            <w:r>
              <w:rPr>
                <w:spacing w:val="-39"/>
              </w:rPr>
              <w:t xml:space="preserve"> </w:t>
            </w:r>
            <w:r>
              <w:rPr>
                <w:spacing w:val="-1"/>
              </w:rPr>
              <w:t>废物运输情况要有人员信息（姓名、资格类别、资格证</w:t>
            </w:r>
            <w:r>
              <w:rPr>
                <w:spacing w:val="-2"/>
              </w:rPr>
              <w:t>号、身</w:t>
            </w:r>
            <w:r>
              <w:rPr/>
              <w:t xml:space="preserve"> </w:t>
            </w:r>
            <w:r>
              <w:rPr/>
              <w:t>份证号、准驾车型）与车辆信息（车牌号、运输证号、经营许可</w:t>
            </w:r>
            <w:r>
              <w:rPr>
                <w:spacing w:val="-1"/>
              </w:rPr>
              <w:t>证号、联网编号）。</w:t>
            </w:r>
          </w:p>
          <w:p>
            <w:pPr>
              <w:pStyle w:val="TableText"/>
              <w:ind w:left="115" w:right="3727" w:firstLine="6"/>
              <w:spacing w:before="26" w:line="234" w:lineRule="auto"/>
              <w:rPr/>
            </w:pPr>
            <w:r>
              <w:rPr>
                <w:spacing w:val="-3"/>
              </w:rPr>
              <w:t>（3）转移实施计划要按制式模板中的格式填写。</w:t>
            </w:r>
            <w:r>
              <w:rPr>
                <w:spacing w:val="15"/>
              </w:rPr>
              <w:t xml:space="preserve"> </w:t>
            </w:r>
            <w:r>
              <w:rPr>
                <w:spacing w:val="-2"/>
              </w:rPr>
              <w:t>3.处置合同</w:t>
            </w:r>
          </w:p>
          <w:p>
            <w:pPr>
              <w:pStyle w:val="TableText"/>
              <w:ind w:left="112" w:right="185"/>
              <w:spacing w:before="24" w:line="231" w:lineRule="auto"/>
              <w:rPr/>
            </w:pPr>
            <w:r>
              <w:rPr/>
              <w:t>合同上需体现废物名称、类别、代码、数量、处置方式、有效期、单价（</w:t>
            </w:r>
            <w:r>
              <w:rPr>
                <w:spacing w:val="-1"/>
              </w:rPr>
              <w:t>特殊类型除外）、双</w:t>
            </w:r>
            <w:r>
              <w:rPr/>
              <w:t xml:space="preserve"> </w:t>
            </w:r>
            <w:r>
              <w:rPr/>
              <w:t>方公章、骑缝章、签订日期和法定代表人或授权委托书中的</w:t>
            </w:r>
            <w:r>
              <w:rPr>
                <w:spacing w:val="-1"/>
              </w:rPr>
              <w:t>被委托人手写签字。</w:t>
            </w:r>
          </w:p>
          <w:p>
            <w:pPr>
              <w:pStyle w:val="TableText"/>
              <w:ind w:left="110"/>
              <w:spacing w:before="29" w:line="216" w:lineRule="auto"/>
              <w:rPr/>
            </w:pPr>
            <w:r>
              <w:rPr>
                <w:spacing w:val="-1"/>
              </w:rPr>
              <w:t>4.法人授权委托书</w:t>
            </w:r>
          </w:p>
          <w:p>
            <w:pPr>
              <w:pStyle w:val="TableText"/>
              <w:ind w:left="121"/>
              <w:spacing w:before="30" w:line="216" w:lineRule="auto"/>
              <w:rPr/>
            </w:pPr>
            <w:r>
              <w:rPr>
                <w:spacing w:val="-2"/>
              </w:rPr>
              <w:t>（1）法人授权委托书要填写废物种类。</w:t>
            </w:r>
          </w:p>
          <w:p>
            <w:pPr>
              <w:pStyle w:val="TableText"/>
              <w:ind w:left="121"/>
              <w:spacing w:before="29" w:line="216" w:lineRule="auto"/>
              <w:rPr/>
            </w:pPr>
            <w:r>
              <w:rPr>
                <w:spacing w:val="-1"/>
              </w:rPr>
              <w:t>（2）法人授权委托书要有法定代表人手写签字或签章，被委托人需要手写签字。</w:t>
            </w:r>
          </w:p>
          <w:p>
            <w:pPr>
              <w:pStyle w:val="TableText"/>
              <w:ind w:left="121"/>
              <w:spacing w:before="30" w:line="216" w:lineRule="auto"/>
              <w:rPr/>
            </w:pPr>
            <w:r>
              <w:rPr>
                <w:spacing w:val="-1"/>
              </w:rPr>
              <w:t>（3）法人授权委托书移出单位和接收单位双方都需填写。</w:t>
            </w:r>
          </w:p>
        </w:tc>
        <w:tc>
          <w:tcPr>
            <w:tcW w:w="368" w:type="dxa"/>
            <w:vAlign w:val="top"/>
            <w:textDirection w:val="tbRlV"/>
          </w:tcPr>
          <w:p>
            <w:pPr>
              <w:pStyle w:val="TableText"/>
              <w:ind w:left="1938"/>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33"/>
              <w:spacing w:before="59" w:line="220" w:lineRule="auto"/>
              <w:rPr/>
            </w:pPr>
            <w:r>
              <w:rPr>
                <w:spacing w:val="-3"/>
              </w:rPr>
              <w:t>关于同意</w:t>
            </w:r>
          </w:p>
          <w:p>
            <w:pPr>
              <w:pStyle w:val="TableText"/>
              <w:ind w:left="149"/>
              <w:spacing w:before="97" w:line="221" w:lineRule="auto"/>
              <w:rPr/>
            </w:pPr>
            <w:r>
              <w:rPr>
                <w:spacing w:val="-4"/>
              </w:rPr>
              <w:t>（不同意）</w:t>
            </w:r>
          </w:p>
          <w:p>
            <w:pPr>
              <w:pStyle w:val="TableText"/>
              <w:ind w:left="141"/>
              <w:spacing w:before="96" w:line="220" w:lineRule="auto"/>
              <w:rPr/>
            </w:pPr>
            <w:r>
              <w:rPr>
                <w:spacing w:val="-2"/>
              </w:rPr>
              <w:t>危险废物跨</w:t>
            </w:r>
          </w:p>
          <w:p>
            <w:pPr>
              <w:pStyle w:val="TableText"/>
              <w:ind w:left="142"/>
              <w:spacing w:before="97" w:line="218" w:lineRule="auto"/>
              <w:rPr/>
            </w:pPr>
            <w:r>
              <w:rPr>
                <w:spacing w:val="-2"/>
              </w:rPr>
              <w:t>省转移的告</w:t>
            </w:r>
          </w:p>
          <w:p>
            <w:pPr>
              <w:pStyle w:val="TableText"/>
              <w:ind w:left="414"/>
              <w:spacing w:before="99" w:line="221" w:lineRule="auto"/>
              <w:rPr/>
            </w:pPr>
            <w:r>
              <w:rPr>
                <w:spacing w:val="-6"/>
              </w:rPr>
              <w:t>知函</w:t>
            </w:r>
          </w:p>
        </w:tc>
        <w:tc>
          <w:tcPr>
            <w:tcW w:w="4568" w:type="dxa"/>
            <w:vAlign w:val="top"/>
          </w:tcPr>
          <w:p>
            <w:pPr>
              <w:spacing w:line="312"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127"/>
              <w:spacing w:before="59" w:line="218" w:lineRule="auto"/>
              <w:rPr/>
            </w:pPr>
            <w:r>
              <w:rPr>
                <w:spacing w:val="-2"/>
              </w:rPr>
              <w:t>1.危险废物跨省转移申请表；</w:t>
            </w:r>
          </w:p>
          <w:p>
            <w:pPr>
              <w:pStyle w:val="TableText"/>
              <w:ind w:left="116" w:right="723" w:hanging="1"/>
              <w:spacing w:before="99" w:line="305" w:lineRule="auto"/>
              <w:rPr/>
            </w:pPr>
            <w:r>
              <w:rPr>
                <w:spacing w:val="-3"/>
              </w:rPr>
              <w:t>2.河北省固体（危险）废物跨省转移实施计划；</w:t>
            </w:r>
            <w:r>
              <w:rPr>
                <w:spacing w:val="8"/>
              </w:rPr>
              <w:t xml:space="preserve"> </w:t>
            </w:r>
            <w:r>
              <w:rPr>
                <w:spacing w:val="-1"/>
              </w:rPr>
              <w:t>3.危险废物委托利用处置合同；</w:t>
            </w:r>
          </w:p>
          <w:p>
            <w:pPr>
              <w:pStyle w:val="TableText"/>
              <w:ind w:left="113"/>
              <w:spacing w:before="29" w:line="218" w:lineRule="auto"/>
              <w:rPr/>
            </w:pPr>
            <w:r>
              <w:rPr>
                <w:spacing w:val="-1"/>
              </w:rPr>
              <w:t>4.危险废物移出单位营业执照（收集单位提供资质证</w:t>
            </w:r>
          </w:p>
          <w:p>
            <w:pPr>
              <w:pStyle w:val="TableText"/>
              <w:ind w:left="128" w:right="136" w:hanging="11"/>
              <w:spacing w:before="99" w:line="305" w:lineRule="auto"/>
              <w:rPr/>
            </w:pPr>
            <w:r>
              <w:rPr>
                <w:spacing w:val="-1"/>
              </w:rPr>
              <w:t>书</w:t>
            </w:r>
            <w:r>
              <w:rPr>
                <w:spacing w:val="5"/>
              </w:rPr>
              <w:t>）；</w:t>
            </w:r>
            <w:r>
              <w:rPr>
                <w:spacing w:val="-1"/>
              </w:rPr>
              <w:t>危险废物移出单位法人授权委托书；危险废物移</w:t>
            </w:r>
            <w:r>
              <w:rPr/>
              <w:t xml:space="preserve"> </w:t>
            </w:r>
            <w:r>
              <w:rPr>
                <w:spacing w:val="-3"/>
              </w:rPr>
              <w:t>出单位被委托人身份证；</w:t>
            </w:r>
          </w:p>
          <w:p>
            <w:pPr>
              <w:pStyle w:val="TableText"/>
              <w:ind w:left="113" w:right="136" w:firstLine="4"/>
              <w:spacing w:before="29" w:line="310" w:lineRule="auto"/>
              <w:rPr/>
            </w:pPr>
            <w:r>
              <w:rPr>
                <w:spacing w:val="-1"/>
              </w:rPr>
              <w:t>5.危险废物接收单位营业执照；危险废物接收单位危险</w:t>
            </w:r>
            <w:r>
              <w:rPr>
                <w:spacing w:val="13"/>
              </w:rPr>
              <w:t xml:space="preserve"> </w:t>
            </w:r>
            <w:r>
              <w:rPr>
                <w:spacing w:val="-1"/>
              </w:rPr>
              <w:t>废物经营许可证；危险废物接收单位法人授权委托书；</w:t>
            </w:r>
            <w:r>
              <w:rPr>
                <w:spacing w:val="16"/>
              </w:rPr>
              <w:t xml:space="preserve"> </w:t>
            </w:r>
            <w:r>
              <w:rPr>
                <w:spacing w:val="-1"/>
              </w:rPr>
              <w:t>危险废物接收单位被委托人身份证。</w:t>
            </w:r>
          </w:p>
        </w:tc>
        <w:tc>
          <w:tcPr>
            <w:tcW w:w="2753" w:type="dxa"/>
            <w:vAlign w:val="top"/>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18" w:lineRule="auto"/>
              <w:rPr/>
            </w:pPr>
            <w:r>
              <w:rPr>
                <w:spacing w:val="-1"/>
              </w:rPr>
              <w:t>4.审批机构同意/不同意转移；</w:t>
            </w:r>
          </w:p>
          <w:p>
            <w:pPr>
              <w:pStyle w:val="TableText"/>
              <w:ind w:left="116" w:right="122"/>
              <w:spacing w:before="98" w:line="307" w:lineRule="auto"/>
              <w:rPr/>
            </w:pPr>
            <w:r>
              <w:rPr>
                <w:spacing w:val="-1"/>
              </w:rPr>
              <w:t>5.特殊环节：寄送征询函，等待</w:t>
            </w:r>
            <w:r>
              <w:rPr>
                <w:spacing w:val="3"/>
              </w:rPr>
              <w:t xml:space="preserve"> </w:t>
            </w:r>
            <w:r>
              <w:rPr>
                <w:spacing w:val="-1"/>
              </w:rPr>
              <w:t>外省复函(不计入审批时限）。</w:t>
            </w:r>
          </w:p>
        </w:tc>
        <w:tc>
          <w:tcPr>
            <w:tcW w:w="768" w:type="dxa"/>
            <w:vAlign w:val="top"/>
          </w:tcPr>
          <w:p>
            <w:pPr>
              <w:rPr>
                <w:rFonts w:ascii="Arial"/>
                <w:sz w:val="21"/>
              </w:rPr>
            </w:pPr>
            <w:r/>
          </w:p>
        </w:tc>
      </w:tr>
      <w:tr>
        <w:trPr>
          <w:trHeight w:val="2127" w:hRule="atLeast"/>
        </w:trPr>
        <w:tc>
          <w:tcPr>
            <w:tcW w:w="400"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159"/>
              <w:spacing w:before="59" w:line="183" w:lineRule="auto"/>
              <w:rPr/>
            </w:pPr>
            <w:r>
              <w:rPr/>
              <w:t>9</w:t>
            </w:r>
          </w:p>
        </w:tc>
        <w:tc>
          <w:tcPr>
            <w:tcW w:w="886" w:type="dxa"/>
            <w:vAlign w:val="top"/>
          </w:tcPr>
          <w:p>
            <w:pPr>
              <w:spacing w:line="292" w:lineRule="auto"/>
              <w:rPr>
                <w:rFonts w:ascii="Arial"/>
                <w:sz w:val="21"/>
              </w:rPr>
            </w:pPr>
            <w:r/>
          </w:p>
          <w:p>
            <w:pPr>
              <w:pStyle w:val="TableText"/>
              <w:ind w:left="179"/>
              <w:spacing w:before="58" w:line="220" w:lineRule="auto"/>
              <w:rPr/>
            </w:pPr>
            <w:r>
              <w:rPr>
                <w:spacing w:val="-4"/>
              </w:rPr>
              <w:t>必需经</w:t>
            </w:r>
          </w:p>
          <w:p>
            <w:pPr>
              <w:pStyle w:val="TableText"/>
              <w:ind w:left="178"/>
              <w:spacing w:before="97" w:line="219" w:lineRule="auto"/>
              <w:rPr/>
            </w:pPr>
            <w:r>
              <w:rPr>
                <w:spacing w:val="-4"/>
              </w:rPr>
              <w:t>水路运</w:t>
            </w:r>
          </w:p>
          <w:p>
            <w:pPr>
              <w:pStyle w:val="TableText"/>
              <w:ind w:left="175"/>
              <w:spacing w:before="98" w:line="219" w:lineRule="auto"/>
              <w:rPr/>
            </w:pPr>
            <w:r>
              <w:rPr>
                <w:spacing w:val="-3"/>
              </w:rPr>
              <w:t>输医疗</w:t>
            </w:r>
          </w:p>
          <w:p>
            <w:pPr>
              <w:pStyle w:val="TableText"/>
              <w:ind w:left="175"/>
              <w:spacing w:before="98" w:line="220" w:lineRule="auto"/>
              <w:rPr/>
            </w:pPr>
            <w:r>
              <w:rPr>
                <w:spacing w:val="-3"/>
              </w:rPr>
              <w:t>废物审</w:t>
            </w:r>
          </w:p>
          <w:p>
            <w:pPr>
              <w:pStyle w:val="TableText"/>
              <w:ind w:left="355"/>
              <w:spacing w:before="98" w:line="221" w:lineRule="auto"/>
              <w:rPr/>
            </w:pPr>
            <w:r>
              <w:rPr/>
              <w:t>批</w:t>
            </w:r>
          </w:p>
        </w:tc>
        <w:tc>
          <w:tcPr>
            <w:tcW w:w="763" w:type="dxa"/>
            <w:vAlign w:val="top"/>
          </w:tcPr>
          <w:p>
            <w:pPr>
              <w:spacing w:line="292" w:lineRule="auto"/>
              <w:rPr>
                <w:rFonts w:ascii="Arial"/>
                <w:sz w:val="21"/>
              </w:rPr>
            </w:pPr>
            <w:r/>
          </w:p>
          <w:p>
            <w:pPr>
              <w:pStyle w:val="TableText"/>
              <w:ind w:left="116"/>
              <w:spacing w:before="58" w:line="220" w:lineRule="auto"/>
              <w:rPr/>
            </w:pPr>
            <w:r>
              <w:rPr>
                <w:spacing w:val="-4"/>
              </w:rPr>
              <w:t>必需经</w:t>
            </w:r>
          </w:p>
          <w:p>
            <w:pPr>
              <w:pStyle w:val="TableText"/>
              <w:ind w:left="115"/>
              <w:spacing w:before="97" w:line="219" w:lineRule="auto"/>
              <w:rPr/>
            </w:pPr>
            <w:r>
              <w:rPr>
                <w:spacing w:val="-4"/>
              </w:rPr>
              <w:t>水路运</w:t>
            </w:r>
          </w:p>
          <w:p>
            <w:pPr>
              <w:pStyle w:val="TableText"/>
              <w:ind w:left="112"/>
              <w:spacing w:before="98" w:line="219" w:lineRule="auto"/>
              <w:rPr/>
            </w:pPr>
            <w:r>
              <w:rPr>
                <w:spacing w:val="-3"/>
              </w:rPr>
              <w:t>输医疗</w:t>
            </w:r>
          </w:p>
          <w:p>
            <w:pPr>
              <w:pStyle w:val="TableText"/>
              <w:ind w:left="112"/>
              <w:spacing w:before="98" w:line="220" w:lineRule="auto"/>
              <w:rPr/>
            </w:pPr>
            <w:r>
              <w:rPr>
                <w:spacing w:val="-3"/>
              </w:rPr>
              <w:t>废物审</w:t>
            </w:r>
          </w:p>
          <w:p>
            <w:pPr>
              <w:pStyle w:val="TableText"/>
              <w:ind w:left="292"/>
              <w:spacing w:before="98" w:line="221" w:lineRule="auto"/>
              <w:rPr/>
            </w:pPr>
            <w:r>
              <w:rPr/>
              <w:t>批</w:t>
            </w:r>
          </w:p>
        </w:tc>
        <w:tc>
          <w:tcPr>
            <w:tcW w:w="66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301" w:lineRule="auto"/>
              <w:rPr>
                <w:rFonts w:ascii="Arial"/>
                <w:sz w:val="21"/>
              </w:rPr>
            </w:pPr>
            <w:r/>
          </w:p>
          <w:p>
            <w:pPr>
              <w:spacing w:line="302"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227"/>
              <w:spacing w:before="59" w:line="183" w:lineRule="auto"/>
              <w:rPr/>
            </w:pPr>
            <w:r>
              <w:rPr>
                <w:spacing w:val="-4"/>
              </w:rPr>
              <w:t>20</w:t>
            </w:r>
          </w:p>
        </w:tc>
        <w:tc>
          <w:tcPr>
            <w:tcW w:w="355" w:type="dxa"/>
            <w:vAlign w:val="top"/>
            <w:textDirection w:val="tbRlV"/>
          </w:tcPr>
          <w:p>
            <w:pPr>
              <w:pStyle w:val="TableText"/>
              <w:ind w:left="664"/>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435" w:lineRule="auto"/>
              <w:rPr>
                <w:rFonts w:ascii="Arial"/>
                <w:sz w:val="21"/>
              </w:rPr>
            </w:pPr>
            <w:r/>
          </w:p>
          <w:p>
            <w:pPr>
              <w:pStyle w:val="TableText"/>
              <w:ind w:left="124"/>
              <w:spacing w:before="59" w:line="219" w:lineRule="auto"/>
              <w:rPr/>
            </w:pPr>
            <w:r>
              <w:rPr>
                <w:spacing w:val="-1"/>
              </w:rPr>
              <w:t>1.有陆路通道的，禁止通过水路运输医疗废物；</w:t>
            </w:r>
          </w:p>
          <w:p>
            <w:pPr>
              <w:pStyle w:val="TableText"/>
              <w:ind w:left="110" w:right="185" w:firstLine="2"/>
              <w:spacing w:before="25" w:line="233" w:lineRule="auto"/>
              <w:rPr/>
            </w:pPr>
            <w:r>
              <w:rPr/>
              <w:t>2.没有陆路通道必需经水路运输医疗废物的，须采取严格的环境保护</w:t>
            </w:r>
            <w:r>
              <w:rPr>
                <w:spacing w:val="-1"/>
              </w:rPr>
              <w:t>措施后，方可通过水路运</w:t>
            </w:r>
            <w:r>
              <w:rPr/>
              <w:t xml:space="preserve"> </w:t>
            </w:r>
            <w:r>
              <w:rPr>
                <w:spacing w:val="-4"/>
              </w:rPr>
              <w:t>输；</w:t>
            </w:r>
          </w:p>
          <w:p>
            <w:pPr>
              <w:pStyle w:val="TableText"/>
              <w:ind w:left="110" w:right="3636" w:firstLine="4"/>
              <w:spacing w:before="25" w:line="233" w:lineRule="auto"/>
              <w:rPr/>
            </w:pPr>
            <w:r>
              <w:rPr>
                <w:spacing w:val="-2"/>
              </w:rPr>
              <w:t>3.禁止将医疗废物与旅客在同一运输工具上载运；</w:t>
            </w:r>
            <w:r>
              <w:rPr>
                <w:spacing w:val="3"/>
              </w:rPr>
              <w:t xml:space="preserve"> </w:t>
            </w:r>
            <w:r>
              <w:rPr>
                <w:spacing w:val="-2"/>
              </w:rPr>
              <w:t>4.禁止在饮用水源保护区的水体上运输医疗废物。</w:t>
            </w:r>
          </w:p>
        </w:tc>
        <w:tc>
          <w:tcPr>
            <w:tcW w:w="368" w:type="dxa"/>
            <w:vAlign w:val="top"/>
            <w:textDirection w:val="tbRlV"/>
          </w:tcPr>
          <w:p>
            <w:pPr>
              <w:pStyle w:val="TableText"/>
              <w:ind w:left="664"/>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447" w:lineRule="auto"/>
              <w:rPr>
                <w:rFonts w:ascii="Arial"/>
                <w:sz w:val="21"/>
              </w:rPr>
            </w:pPr>
            <w:r/>
          </w:p>
          <w:p>
            <w:pPr>
              <w:pStyle w:val="TableText"/>
              <w:ind w:left="138"/>
              <w:spacing w:before="58" w:line="219" w:lineRule="auto"/>
              <w:rPr/>
            </w:pPr>
            <w:r>
              <w:rPr>
                <w:spacing w:val="-2"/>
              </w:rPr>
              <w:t>河北省经水</w:t>
            </w:r>
          </w:p>
          <w:p>
            <w:pPr>
              <w:pStyle w:val="TableText"/>
              <w:ind w:left="141"/>
              <w:spacing w:before="98" w:line="219" w:lineRule="auto"/>
              <w:rPr/>
            </w:pPr>
            <w:r>
              <w:rPr>
                <w:spacing w:val="-2"/>
              </w:rPr>
              <w:t>路运输医疗</w:t>
            </w:r>
          </w:p>
          <w:p>
            <w:pPr>
              <w:pStyle w:val="TableText"/>
              <w:ind w:left="138"/>
              <w:spacing w:before="98" w:line="220" w:lineRule="auto"/>
              <w:rPr/>
            </w:pPr>
            <w:r>
              <w:rPr>
                <w:spacing w:val="-2"/>
              </w:rPr>
              <w:t>废物审批意</w:t>
            </w:r>
          </w:p>
          <w:p>
            <w:pPr>
              <w:pStyle w:val="TableText"/>
              <w:ind w:left="502"/>
              <w:spacing w:before="97" w:line="219" w:lineRule="auto"/>
              <w:rPr/>
            </w:pPr>
            <w:r>
              <w:rPr/>
              <w:t>见</w:t>
            </w:r>
          </w:p>
        </w:tc>
        <w:tc>
          <w:tcPr>
            <w:tcW w:w="4568" w:type="dxa"/>
            <w:vAlign w:val="top"/>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pStyle w:val="TableText"/>
              <w:ind w:left="113"/>
              <w:spacing w:before="59" w:line="219" w:lineRule="auto"/>
              <w:rPr/>
            </w:pPr>
            <w:r>
              <w:rPr>
                <w:spacing w:val="-1"/>
              </w:rPr>
              <w:t>河北省经水路运输医疗废物审批表</w:t>
            </w:r>
          </w:p>
        </w:tc>
        <w:tc>
          <w:tcPr>
            <w:tcW w:w="2753" w:type="dxa"/>
            <w:vAlign w:val="top"/>
          </w:tcPr>
          <w:p>
            <w:pPr>
              <w:spacing w:line="447"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19" w:lineRule="auto"/>
              <w:rPr/>
            </w:pPr>
            <w:r>
              <w:rPr>
                <w:spacing w:val="-1"/>
              </w:rPr>
              <w:t>4.审批机构批准/不予批准。</w:t>
            </w:r>
          </w:p>
        </w:tc>
        <w:tc>
          <w:tcPr>
            <w:tcW w:w="768" w:type="dxa"/>
            <w:vAlign w:val="top"/>
          </w:tcPr>
          <w:p>
            <w:pPr>
              <w:rPr>
                <w:rFonts w:ascii="Arial"/>
                <w:sz w:val="21"/>
              </w:rPr>
            </w:pPr>
            <w:r/>
          </w:p>
        </w:tc>
      </w:tr>
      <w:tr>
        <w:trPr>
          <w:trHeight w:val="3094" w:hRule="atLeast"/>
        </w:trPr>
        <w:tc>
          <w:tcPr>
            <w:tcW w:w="400"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28"/>
              <w:spacing w:before="59" w:line="184" w:lineRule="auto"/>
              <w:rPr/>
            </w:pPr>
            <w:r>
              <w:rPr>
                <w:spacing w:val="-10"/>
              </w:rPr>
              <w:t>10</w:t>
            </w:r>
          </w:p>
        </w:tc>
        <w:tc>
          <w:tcPr>
            <w:tcW w:w="886" w:type="dxa"/>
            <w:vAlign w:val="top"/>
          </w:tcPr>
          <w:p>
            <w:pPr>
              <w:spacing w:line="309" w:lineRule="auto"/>
              <w:rPr>
                <w:rFonts w:ascii="Arial"/>
                <w:sz w:val="21"/>
              </w:rPr>
            </w:pPr>
            <w:r/>
          </w:p>
          <w:p>
            <w:pPr>
              <w:spacing w:line="309" w:lineRule="auto"/>
              <w:rPr>
                <w:rFonts w:ascii="Arial"/>
                <w:sz w:val="21"/>
              </w:rPr>
            </w:pPr>
            <w:r/>
          </w:p>
          <w:p>
            <w:pPr>
              <w:pStyle w:val="TableText"/>
              <w:ind w:left="175"/>
              <w:spacing w:before="58" w:line="219" w:lineRule="auto"/>
              <w:rPr/>
            </w:pPr>
            <w:r>
              <w:rPr>
                <w:spacing w:val="-3"/>
              </w:rPr>
              <w:t>废弃电</w:t>
            </w:r>
          </w:p>
          <w:p>
            <w:pPr>
              <w:pStyle w:val="TableText"/>
              <w:ind w:left="176"/>
              <w:spacing w:before="98" w:line="220" w:lineRule="auto"/>
              <w:rPr/>
            </w:pPr>
            <w:r>
              <w:rPr>
                <w:spacing w:val="-3"/>
              </w:rPr>
              <w:t>器电子</w:t>
            </w:r>
          </w:p>
          <w:p>
            <w:pPr>
              <w:pStyle w:val="TableText"/>
              <w:ind w:left="176"/>
              <w:spacing w:before="97" w:line="219" w:lineRule="auto"/>
              <w:rPr/>
            </w:pPr>
            <w:r>
              <w:rPr>
                <w:spacing w:val="-3"/>
              </w:rPr>
              <w:t>产品处</w:t>
            </w:r>
          </w:p>
          <w:p>
            <w:pPr>
              <w:pStyle w:val="TableText"/>
              <w:ind w:left="178"/>
              <w:spacing w:before="98" w:line="229" w:lineRule="auto"/>
              <w:rPr/>
            </w:pPr>
            <w:r>
              <w:rPr>
                <w:spacing w:val="-4"/>
              </w:rPr>
              <w:t>理企业</w:t>
            </w:r>
          </w:p>
          <w:p>
            <w:pPr>
              <w:pStyle w:val="TableText"/>
              <w:ind w:left="184"/>
              <w:spacing w:before="88" w:line="218" w:lineRule="auto"/>
              <w:rPr/>
            </w:pPr>
            <w:r>
              <w:rPr>
                <w:spacing w:val="-5"/>
              </w:rPr>
              <w:t>资格审</w:t>
            </w:r>
          </w:p>
          <w:p>
            <w:pPr>
              <w:pStyle w:val="TableText"/>
              <w:ind w:left="355"/>
              <w:spacing w:before="100" w:line="221" w:lineRule="auto"/>
              <w:rPr/>
            </w:pPr>
            <w:r>
              <w:rPr/>
              <w:t>批</w:t>
            </w:r>
          </w:p>
        </w:tc>
        <w:tc>
          <w:tcPr>
            <w:tcW w:w="763" w:type="dxa"/>
            <w:vAlign w:val="top"/>
          </w:tcPr>
          <w:p>
            <w:pPr>
              <w:spacing w:line="309" w:lineRule="auto"/>
              <w:rPr>
                <w:rFonts w:ascii="Arial"/>
                <w:sz w:val="21"/>
              </w:rPr>
            </w:pPr>
            <w:r/>
          </w:p>
          <w:p>
            <w:pPr>
              <w:spacing w:line="309" w:lineRule="auto"/>
              <w:rPr>
                <w:rFonts w:ascii="Arial"/>
                <w:sz w:val="21"/>
              </w:rPr>
            </w:pPr>
            <w:r/>
          </w:p>
          <w:p>
            <w:pPr>
              <w:pStyle w:val="TableText"/>
              <w:ind w:left="112"/>
              <w:spacing w:before="58" w:line="219" w:lineRule="auto"/>
              <w:rPr/>
            </w:pPr>
            <w:r>
              <w:rPr>
                <w:spacing w:val="-3"/>
              </w:rPr>
              <w:t>废弃电</w:t>
            </w:r>
          </w:p>
          <w:p>
            <w:pPr>
              <w:pStyle w:val="TableText"/>
              <w:ind w:left="113"/>
              <w:spacing w:before="98" w:line="220" w:lineRule="auto"/>
              <w:rPr/>
            </w:pPr>
            <w:r>
              <w:rPr>
                <w:spacing w:val="-3"/>
              </w:rPr>
              <w:t>器电子</w:t>
            </w:r>
          </w:p>
          <w:p>
            <w:pPr>
              <w:pStyle w:val="TableText"/>
              <w:ind w:left="113"/>
              <w:spacing w:before="97" w:line="219" w:lineRule="auto"/>
              <w:rPr/>
            </w:pPr>
            <w:r>
              <w:rPr>
                <w:spacing w:val="-3"/>
              </w:rPr>
              <w:t>产品处</w:t>
            </w:r>
          </w:p>
          <w:p>
            <w:pPr>
              <w:pStyle w:val="TableText"/>
              <w:ind w:left="115"/>
              <w:spacing w:before="98" w:line="218" w:lineRule="auto"/>
              <w:rPr/>
            </w:pPr>
            <w:r>
              <w:rPr>
                <w:spacing w:val="-4"/>
              </w:rPr>
              <w:t>理资格</w:t>
            </w:r>
          </w:p>
          <w:p>
            <w:pPr>
              <w:pStyle w:val="TableText"/>
              <w:ind w:left="113"/>
              <w:spacing w:before="99" w:line="219" w:lineRule="auto"/>
              <w:rPr/>
            </w:pPr>
            <w:r>
              <w:rPr>
                <w:spacing w:val="-3"/>
              </w:rPr>
              <w:t>证书颁</w:t>
            </w:r>
          </w:p>
          <w:p>
            <w:pPr>
              <w:pStyle w:val="TableText"/>
              <w:ind w:left="296"/>
              <w:spacing w:before="98" w:line="220" w:lineRule="auto"/>
              <w:rPr/>
            </w:pPr>
            <w:r>
              <w:rPr/>
              <w:t>发</w:t>
            </w:r>
          </w:p>
        </w:tc>
        <w:tc>
          <w:tcPr>
            <w:tcW w:w="669" w:type="dxa"/>
            <w:vAlign w:val="top"/>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61"/>
              <w:spacing w:before="59" w:line="219" w:lineRule="auto"/>
              <w:rPr/>
            </w:pPr>
            <w:r>
              <w:rPr>
                <w:spacing w:val="-6"/>
              </w:rPr>
              <w:t>市级</w:t>
            </w:r>
          </w:p>
        </w:tc>
        <w:tc>
          <w:tcPr>
            <w:tcW w:w="640"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227"/>
              <w:spacing w:before="59" w:line="183" w:lineRule="auto"/>
              <w:rPr/>
            </w:pPr>
            <w:r>
              <w:rPr>
                <w:spacing w:val="-4"/>
              </w:rPr>
              <w:t>60</w:t>
            </w:r>
          </w:p>
        </w:tc>
        <w:tc>
          <w:tcPr>
            <w:tcW w:w="355" w:type="dxa"/>
            <w:vAlign w:val="top"/>
            <w:textDirection w:val="tbRlV"/>
          </w:tcPr>
          <w:p>
            <w:pPr>
              <w:pStyle w:val="TableText"/>
              <w:ind w:left="1148"/>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pStyle w:val="TableText"/>
              <w:ind w:left="114"/>
              <w:spacing w:before="140" w:line="217" w:lineRule="auto"/>
              <w:rPr/>
            </w:pPr>
            <w:r>
              <w:rPr>
                <w:spacing w:val="-2"/>
              </w:rPr>
              <w:t>是否具备以下条件：</w:t>
            </w:r>
          </w:p>
          <w:p>
            <w:pPr>
              <w:pStyle w:val="TableText"/>
              <w:ind w:left="121"/>
              <w:spacing w:before="27" w:line="219" w:lineRule="auto"/>
              <w:rPr/>
            </w:pPr>
            <w:r>
              <w:rPr>
                <w:spacing w:val="-3"/>
              </w:rPr>
              <w:t>（1）依法成立；</w:t>
            </w:r>
          </w:p>
          <w:p>
            <w:pPr>
              <w:pStyle w:val="TableText"/>
              <w:ind w:left="110" w:right="106" w:firstLine="10"/>
              <w:spacing w:before="26" w:line="234" w:lineRule="auto"/>
              <w:rPr/>
            </w:pPr>
            <w:r>
              <w:rPr>
                <w:spacing w:val="-1"/>
              </w:rPr>
              <w:t>（2）符合本地区废弃电器电子产品处理发展规划的要求，具备完善的废弃电器电子产品处理设</w:t>
            </w:r>
            <w:r>
              <w:rPr>
                <w:spacing w:val="13"/>
              </w:rPr>
              <w:t xml:space="preserve"> </w:t>
            </w:r>
            <w:r>
              <w:rPr>
                <w:spacing w:val="-4"/>
              </w:rPr>
              <w:t>施；</w:t>
            </w:r>
          </w:p>
          <w:p>
            <w:pPr>
              <w:pStyle w:val="TableText"/>
              <w:ind w:left="121"/>
              <w:spacing w:before="24" w:line="217" w:lineRule="auto"/>
              <w:rPr/>
            </w:pPr>
            <w:r>
              <w:rPr>
                <w:spacing w:val="-1"/>
              </w:rPr>
              <w:t>（3）具有增值税一般纳税人企业法人资格；</w:t>
            </w:r>
          </w:p>
          <w:p>
            <w:pPr>
              <w:pStyle w:val="TableText"/>
              <w:ind w:left="114" w:right="106" w:firstLine="6"/>
              <w:spacing w:before="28" w:line="232" w:lineRule="auto"/>
              <w:rPr/>
            </w:pPr>
            <w:r>
              <w:rPr>
                <w:spacing w:val="-1"/>
              </w:rPr>
              <w:t>（4）具备与其申请处理能力相适应的废弃电器电子产品处理车间和场地、贮存场所、拆解处理</w:t>
            </w:r>
            <w:r>
              <w:rPr>
                <w:spacing w:val="13"/>
              </w:rPr>
              <w:t xml:space="preserve"> </w:t>
            </w:r>
            <w:r>
              <w:rPr>
                <w:spacing w:val="-1"/>
              </w:rPr>
              <w:t>设备及配套的数据信息管理系统、污染防治设施等；</w:t>
            </w:r>
          </w:p>
          <w:p>
            <w:pPr>
              <w:pStyle w:val="TableText"/>
              <w:ind w:left="111" w:right="106" w:firstLine="9"/>
              <w:spacing w:before="28" w:line="232" w:lineRule="auto"/>
              <w:rPr/>
            </w:pPr>
            <w:r>
              <w:rPr>
                <w:spacing w:val="-1"/>
              </w:rPr>
              <w:t>（5）具有与所处理的废弃电器电子产品相适应的分拣、包装设备以及运输车辆、搬运设备、压</w:t>
            </w:r>
            <w:r>
              <w:rPr>
                <w:spacing w:val="13"/>
              </w:rPr>
              <w:t xml:space="preserve"> </w:t>
            </w:r>
            <w:r>
              <w:rPr/>
              <w:t>缩打包设备、专用容器及中央监控设备、计量设备、事故应急</w:t>
            </w:r>
            <w:r>
              <w:rPr>
                <w:spacing w:val="-1"/>
              </w:rPr>
              <w:t>救援和处理设备等；</w:t>
            </w:r>
          </w:p>
          <w:p>
            <w:pPr>
              <w:pStyle w:val="TableText"/>
              <w:ind w:left="112" w:right="106" w:firstLine="8"/>
              <w:spacing w:before="27" w:line="233" w:lineRule="auto"/>
              <w:rPr/>
            </w:pPr>
            <w:r>
              <w:rPr>
                <w:spacing w:val="-1"/>
              </w:rPr>
              <w:t>（6）具有健全的环境管理制度和措施，包括对不能完全处理的废弃电器电子产品的妥善利用或</w:t>
            </w:r>
            <w:r>
              <w:rPr>
                <w:spacing w:val="13"/>
              </w:rPr>
              <w:t xml:space="preserve"> </w:t>
            </w:r>
            <w:r>
              <w:rPr>
                <w:spacing w:val="-1"/>
              </w:rPr>
              <w:t>者处置方案，突发环境事件的防范措施和应急预案等；</w:t>
            </w:r>
          </w:p>
          <w:p>
            <w:pPr>
              <w:pStyle w:val="TableText"/>
              <w:ind w:left="121"/>
              <w:spacing w:before="26" w:line="217" w:lineRule="auto"/>
              <w:rPr/>
            </w:pPr>
            <w:r>
              <w:rPr>
                <w:spacing w:val="-1"/>
              </w:rPr>
              <w:t>（7）具有相关安全、质量和环境保护的专业技术人员。</w:t>
            </w:r>
          </w:p>
        </w:tc>
        <w:tc>
          <w:tcPr>
            <w:tcW w:w="368" w:type="dxa"/>
            <w:vAlign w:val="top"/>
            <w:textDirection w:val="tbRlV"/>
          </w:tcPr>
          <w:p>
            <w:pPr>
              <w:pStyle w:val="TableText"/>
              <w:ind w:left="1148"/>
              <w:spacing w:before="78" w:line="206" w:lineRule="auto"/>
              <w:rPr/>
            </w:pPr>
            <w:r>
              <w:rPr>
                <w:spacing w:val="-1"/>
              </w:rPr>
              <w:t>资</w:t>
            </w:r>
            <w:r>
              <w:rPr>
                <w:spacing w:val="43"/>
              </w:rPr>
              <w:t xml:space="preserve"> </w:t>
            </w:r>
            <w:r>
              <w:rPr>
                <w:spacing w:val="-1"/>
              </w:rPr>
              <w:t>格</w:t>
            </w:r>
            <w:r>
              <w:rPr>
                <w:spacing w:val="42"/>
                <w:w w:val="101"/>
              </w:rPr>
              <w:t xml:space="preserve"> </w:t>
            </w:r>
            <w:r>
              <w:rPr>
                <w:spacing w:val="-1"/>
              </w:rPr>
              <w:t>型</w:t>
            </w:r>
          </w:p>
        </w:tc>
        <w:tc>
          <w:tcPr>
            <w:tcW w:w="1173"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38"/>
              <w:spacing w:before="59" w:line="219" w:lineRule="auto"/>
              <w:rPr/>
            </w:pPr>
            <w:r>
              <w:rPr>
                <w:spacing w:val="-2"/>
              </w:rPr>
              <w:t>废弃电器电</w:t>
            </w:r>
          </w:p>
          <w:p>
            <w:pPr>
              <w:pStyle w:val="TableText"/>
              <w:ind w:left="140"/>
              <w:spacing w:before="98" w:line="219" w:lineRule="auto"/>
              <w:rPr/>
            </w:pPr>
            <w:r>
              <w:rPr>
                <w:spacing w:val="-2"/>
              </w:rPr>
              <w:t>子产品处理</w:t>
            </w:r>
          </w:p>
          <w:p>
            <w:pPr>
              <w:pStyle w:val="TableText"/>
              <w:ind w:left="238"/>
              <w:spacing w:before="98" w:line="218" w:lineRule="auto"/>
              <w:rPr/>
            </w:pPr>
            <w:r>
              <w:rPr>
                <w:spacing w:val="-4"/>
              </w:rPr>
              <w:t>资格证书</w:t>
            </w:r>
          </w:p>
        </w:tc>
        <w:tc>
          <w:tcPr>
            <w:tcW w:w="4568"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27"/>
              <w:spacing w:before="58" w:line="218" w:lineRule="auto"/>
              <w:rPr/>
            </w:pPr>
            <w:r>
              <w:rPr>
                <w:spacing w:val="-2"/>
              </w:rPr>
              <w:t>1.废弃电器电子产品处理资格申请书；</w:t>
            </w:r>
          </w:p>
          <w:p>
            <w:pPr>
              <w:pStyle w:val="TableText"/>
              <w:ind w:left="115"/>
              <w:spacing w:before="99" w:line="218" w:lineRule="auto"/>
              <w:rPr/>
            </w:pPr>
            <w:r>
              <w:rPr>
                <w:spacing w:val="-1"/>
              </w:rPr>
              <w:t>2.《废弃电器电子产品处理资格申请书》（附四）证明</w:t>
            </w:r>
          </w:p>
          <w:p>
            <w:pPr>
              <w:pStyle w:val="TableText"/>
              <w:ind w:left="113"/>
              <w:spacing w:before="99" w:line="219" w:lineRule="auto"/>
              <w:rPr/>
            </w:pPr>
            <w:r>
              <w:rPr>
                <w:spacing w:val="-3"/>
              </w:rPr>
              <w:t>材料。</w:t>
            </w:r>
          </w:p>
        </w:tc>
        <w:tc>
          <w:tcPr>
            <w:tcW w:w="2753" w:type="dxa"/>
            <w:vAlign w:val="top"/>
          </w:tcPr>
          <w:p>
            <w:pPr>
              <w:spacing w:line="463" w:lineRule="auto"/>
              <w:rPr>
                <w:rFonts w:ascii="Arial"/>
                <w:sz w:val="21"/>
              </w:rPr>
            </w:pPr>
            <w:r/>
          </w:p>
          <w:p>
            <w:pPr>
              <w:pStyle w:val="TableText"/>
              <w:ind w:left="126"/>
              <w:spacing w:before="58" w:line="219" w:lineRule="auto"/>
              <w:rPr/>
            </w:pPr>
            <w:r>
              <w:rPr>
                <w:spacing w:val="-3"/>
              </w:rPr>
              <w:t>1.申请人申请；</w:t>
            </w:r>
          </w:p>
          <w:p>
            <w:pPr>
              <w:pStyle w:val="TableText"/>
              <w:ind w:left="116" w:right="437" w:hanging="1"/>
              <w:spacing w:before="97" w:line="307" w:lineRule="auto"/>
              <w:rPr/>
            </w:pPr>
            <w:r>
              <w:rPr>
                <w:spacing w:val="-4"/>
              </w:rPr>
              <w:t>2.审批机构受理/不予受理；</w:t>
            </w:r>
            <w:r>
              <w:rPr/>
              <w:t xml:space="preserve"> </w:t>
            </w:r>
            <w:r>
              <w:rPr>
                <w:spacing w:val="-3"/>
              </w:rPr>
              <w:t>3.公示；</w:t>
            </w:r>
          </w:p>
          <w:p>
            <w:pPr>
              <w:pStyle w:val="TableText"/>
              <w:ind w:left="116" w:right="889" w:hanging="4"/>
              <w:spacing w:before="25" w:line="306" w:lineRule="auto"/>
              <w:rPr/>
            </w:pPr>
            <w:r>
              <w:rPr>
                <w:spacing w:val="-5"/>
              </w:rPr>
              <w:t>4.审批机构材料审查；</w:t>
            </w:r>
            <w:r>
              <w:rPr/>
              <w:t xml:space="preserve"> </w:t>
            </w:r>
            <w:r>
              <w:rPr>
                <w:spacing w:val="-6"/>
              </w:rPr>
              <w:t>5.组织专家现场核查；</w:t>
            </w:r>
          </w:p>
          <w:p>
            <w:pPr>
              <w:pStyle w:val="TableText"/>
              <w:ind w:left="120" w:right="210" w:hanging="6"/>
              <w:spacing w:before="27" w:line="306" w:lineRule="auto"/>
              <w:rPr/>
            </w:pPr>
            <w:r>
              <w:rPr>
                <w:spacing w:val="-1"/>
              </w:rPr>
              <w:t>6.决定核发资格证书/不予核发</w:t>
            </w:r>
            <w:r>
              <w:rPr>
                <w:spacing w:val="6"/>
              </w:rPr>
              <w:t xml:space="preserve"> </w:t>
            </w:r>
            <w:r>
              <w:rPr>
                <w:spacing w:val="-3"/>
              </w:rPr>
              <w:t>资格证书。</w:t>
            </w:r>
          </w:p>
        </w:tc>
        <w:tc>
          <w:tcPr>
            <w:tcW w:w="768" w:type="dxa"/>
            <w:vAlign w:val="top"/>
          </w:tcPr>
          <w:p>
            <w:pPr>
              <w:rPr>
                <w:rFonts w:ascii="Arial"/>
                <w:sz w:val="21"/>
              </w:rPr>
            </w:pPr>
            <w:r/>
          </w:p>
        </w:tc>
      </w:tr>
    </w:tbl>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13</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pgSz w:w="23812" w:h="16839"/>
          <w:pgMar w:top="1431" w:right="1080" w:bottom="400" w:left="1079" w:header="0" w:footer="0" w:gutter="0"/>
        </w:sectPr>
        <w:rPr>
          <w:rFonts w:ascii="SimSun" w:hAnsi="SimSun" w:eastAsia="SimSun" w:cs="SimSun"/>
          <w:sz w:val="28"/>
          <w:szCs w:val="28"/>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3094" w:hRule="atLeast"/>
        </w:trPr>
        <w:tc>
          <w:tcPr>
            <w:tcW w:w="400" w:type="dxa"/>
            <w:vAlign w:val="top"/>
            <w:vMerge w:val="restart"/>
            <w:tcBorders>
              <w:bottom w:val="nil"/>
            </w:tcBorders>
          </w:tcPr>
          <w:p>
            <w:pPr>
              <w:rPr>
                <w:rFonts w:ascii="Arial"/>
                <w:sz w:val="21"/>
              </w:rPr>
            </w:pPr>
            <w:r/>
          </w:p>
        </w:tc>
        <w:tc>
          <w:tcPr>
            <w:tcW w:w="886" w:type="dxa"/>
            <w:vAlign w:val="top"/>
            <w:vMerge w:val="restart"/>
            <w:tcBorders>
              <w:bottom w:val="nil"/>
            </w:tcBorders>
          </w:tcPr>
          <w:p>
            <w:pPr>
              <w:rPr>
                <w:rFonts w:ascii="Arial"/>
                <w:sz w:val="21"/>
              </w:rPr>
            </w:pPr>
            <w:r/>
          </w:p>
        </w:tc>
        <w:tc>
          <w:tcPr>
            <w:tcW w:w="763" w:type="dxa"/>
            <w:vAlign w:val="top"/>
          </w:tcPr>
          <w:p>
            <w:pPr>
              <w:spacing w:line="459" w:lineRule="auto"/>
              <w:rPr>
                <w:rFonts w:ascii="Arial"/>
                <w:sz w:val="21"/>
              </w:rPr>
            </w:pPr>
            <w:r/>
          </w:p>
          <w:p>
            <w:pPr>
              <w:pStyle w:val="TableText"/>
              <w:ind w:left="112"/>
              <w:spacing w:before="59" w:line="219" w:lineRule="auto"/>
              <w:rPr/>
            </w:pPr>
            <w:r>
              <w:rPr>
                <w:spacing w:val="-3"/>
              </w:rPr>
              <w:t>废弃电</w:t>
            </w:r>
          </w:p>
          <w:p>
            <w:pPr>
              <w:pStyle w:val="TableText"/>
              <w:ind w:left="113"/>
              <w:spacing w:before="98" w:line="220" w:lineRule="auto"/>
              <w:rPr/>
            </w:pPr>
            <w:r>
              <w:rPr>
                <w:spacing w:val="-3"/>
              </w:rPr>
              <w:t>器电子</w:t>
            </w:r>
          </w:p>
          <w:p>
            <w:pPr>
              <w:pStyle w:val="TableText"/>
              <w:ind w:left="113"/>
              <w:spacing w:before="97" w:line="219" w:lineRule="auto"/>
              <w:rPr/>
            </w:pPr>
            <w:r>
              <w:rPr>
                <w:spacing w:val="-3"/>
              </w:rPr>
              <w:t>产品处</w:t>
            </w:r>
          </w:p>
          <w:p>
            <w:pPr>
              <w:pStyle w:val="TableText"/>
              <w:ind w:left="115"/>
              <w:spacing w:before="98" w:line="218" w:lineRule="auto"/>
              <w:rPr/>
            </w:pPr>
            <w:r>
              <w:rPr>
                <w:spacing w:val="-4"/>
              </w:rPr>
              <w:t>理资格</w:t>
            </w:r>
          </w:p>
          <w:p>
            <w:pPr>
              <w:pStyle w:val="TableText"/>
              <w:ind w:left="113"/>
              <w:spacing w:before="99" w:line="219" w:lineRule="auto"/>
              <w:rPr/>
            </w:pPr>
            <w:r>
              <w:rPr>
                <w:spacing w:val="-3"/>
              </w:rPr>
              <w:t>证书重</w:t>
            </w:r>
          </w:p>
          <w:p>
            <w:pPr>
              <w:pStyle w:val="TableText"/>
              <w:ind w:left="114"/>
              <w:spacing w:before="99" w:line="219" w:lineRule="auto"/>
              <w:rPr/>
            </w:pPr>
            <w:r>
              <w:rPr>
                <w:spacing w:val="-3"/>
              </w:rPr>
              <w:t>新申请</w:t>
            </w:r>
          </w:p>
          <w:p>
            <w:pPr>
              <w:pStyle w:val="TableText"/>
              <w:ind w:left="204"/>
              <w:spacing w:before="98" w:line="220" w:lineRule="auto"/>
              <w:rPr/>
            </w:pPr>
            <w:r>
              <w:rPr>
                <w:spacing w:val="-4"/>
              </w:rPr>
              <w:t>颁发</w:t>
            </w:r>
          </w:p>
        </w:tc>
        <w:tc>
          <w:tcPr>
            <w:tcW w:w="669"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61"/>
              <w:spacing w:before="59" w:line="219" w:lineRule="auto"/>
              <w:rPr/>
            </w:pPr>
            <w:r>
              <w:rPr>
                <w:spacing w:val="-6"/>
              </w:rPr>
              <w:t>市级</w:t>
            </w:r>
          </w:p>
        </w:tc>
        <w:tc>
          <w:tcPr>
            <w:tcW w:w="640"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27"/>
              <w:spacing w:before="59" w:line="183" w:lineRule="auto"/>
              <w:rPr/>
            </w:pPr>
            <w:r>
              <w:rPr>
                <w:spacing w:val="-4"/>
              </w:rPr>
              <w:t>60</w:t>
            </w:r>
          </w:p>
        </w:tc>
        <w:tc>
          <w:tcPr>
            <w:tcW w:w="355" w:type="dxa"/>
            <w:vAlign w:val="top"/>
            <w:textDirection w:val="tbRlV"/>
          </w:tcPr>
          <w:p>
            <w:pPr>
              <w:pStyle w:val="TableText"/>
              <w:ind w:left="1144"/>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4"/>
              <w:spacing w:before="136" w:line="217" w:lineRule="auto"/>
              <w:rPr/>
            </w:pPr>
            <w:r>
              <w:rPr>
                <w:spacing w:val="-2"/>
              </w:rPr>
              <w:t>是否具备以下条件：</w:t>
            </w:r>
          </w:p>
          <w:p>
            <w:pPr>
              <w:pStyle w:val="TableText"/>
              <w:ind w:left="121"/>
              <w:spacing w:before="27" w:line="219" w:lineRule="auto"/>
              <w:rPr/>
            </w:pPr>
            <w:r>
              <w:rPr>
                <w:spacing w:val="-3"/>
              </w:rPr>
              <w:t>（1）依法成立；</w:t>
            </w:r>
          </w:p>
          <w:p>
            <w:pPr>
              <w:pStyle w:val="TableText"/>
              <w:ind w:left="110" w:right="106" w:firstLine="10"/>
              <w:spacing w:before="26" w:line="234" w:lineRule="auto"/>
              <w:rPr/>
            </w:pPr>
            <w:r>
              <w:rPr>
                <w:spacing w:val="-1"/>
              </w:rPr>
              <w:t>（2）符合本地区废弃电器电子产品处理发展规划的要求，具备完善的废弃电器电子产品处理设</w:t>
            </w:r>
            <w:r>
              <w:rPr>
                <w:spacing w:val="13"/>
              </w:rPr>
              <w:t xml:space="preserve"> </w:t>
            </w:r>
            <w:r>
              <w:rPr>
                <w:spacing w:val="-4"/>
              </w:rPr>
              <w:t>施；</w:t>
            </w:r>
          </w:p>
          <w:p>
            <w:pPr>
              <w:pStyle w:val="TableText"/>
              <w:ind w:left="121"/>
              <w:spacing w:before="24" w:line="217" w:lineRule="auto"/>
              <w:rPr/>
            </w:pPr>
            <w:r>
              <w:rPr>
                <w:spacing w:val="-1"/>
              </w:rPr>
              <w:t>（3）具有增值税一般纳税人企业法人资格；</w:t>
            </w:r>
          </w:p>
          <w:p>
            <w:pPr>
              <w:pStyle w:val="TableText"/>
              <w:ind w:left="114" w:right="106" w:firstLine="6"/>
              <w:spacing w:before="28" w:line="232" w:lineRule="auto"/>
              <w:rPr/>
            </w:pPr>
            <w:r>
              <w:rPr>
                <w:spacing w:val="-1"/>
              </w:rPr>
              <w:t>（4）具备与其申请处理能力相适应的废弃电器电子产品处理车间和场地、贮存场所、拆解处理</w:t>
            </w:r>
            <w:r>
              <w:rPr>
                <w:spacing w:val="13"/>
              </w:rPr>
              <w:t xml:space="preserve"> </w:t>
            </w:r>
            <w:r>
              <w:rPr>
                <w:spacing w:val="-1"/>
              </w:rPr>
              <w:t>设备及配套的数据信息管理系统、污染防治设施等；</w:t>
            </w:r>
          </w:p>
          <w:p>
            <w:pPr>
              <w:pStyle w:val="TableText"/>
              <w:ind w:left="111" w:right="106" w:firstLine="9"/>
              <w:spacing w:before="28" w:line="232" w:lineRule="auto"/>
              <w:rPr/>
            </w:pPr>
            <w:r>
              <w:rPr>
                <w:spacing w:val="-1"/>
              </w:rPr>
              <w:t>（5）具有与所处理的废弃电器电子产品相适应的分拣、包装设备以及运输车辆、搬运设备、压</w:t>
            </w:r>
            <w:r>
              <w:rPr>
                <w:spacing w:val="13"/>
              </w:rPr>
              <w:t xml:space="preserve"> </w:t>
            </w:r>
            <w:r>
              <w:rPr/>
              <w:t>缩打包设备、专用容器及中央监控设备、计量设备、事故应急</w:t>
            </w:r>
            <w:r>
              <w:rPr>
                <w:spacing w:val="-1"/>
              </w:rPr>
              <w:t>救援和处理设备等；</w:t>
            </w:r>
          </w:p>
          <w:p>
            <w:pPr>
              <w:pStyle w:val="TableText"/>
              <w:ind w:left="112" w:right="106" w:firstLine="8"/>
              <w:spacing w:before="27" w:line="233" w:lineRule="auto"/>
              <w:rPr/>
            </w:pPr>
            <w:r>
              <w:rPr>
                <w:spacing w:val="-1"/>
              </w:rPr>
              <w:t>（6）具有健全的环境管理制度和措施，包括对不能完全处理的废弃电器电子产品的妥善利用或</w:t>
            </w:r>
            <w:r>
              <w:rPr>
                <w:spacing w:val="13"/>
              </w:rPr>
              <w:t xml:space="preserve"> </w:t>
            </w:r>
            <w:r>
              <w:rPr>
                <w:spacing w:val="-1"/>
              </w:rPr>
              <w:t>者处置方案，突发环境事件的防范措施和应急预案等；</w:t>
            </w:r>
          </w:p>
          <w:p>
            <w:pPr>
              <w:pStyle w:val="TableText"/>
              <w:ind w:left="121"/>
              <w:spacing w:before="26" w:line="217" w:lineRule="auto"/>
              <w:rPr/>
            </w:pPr>
            <w:r>
              <w:rPr>
                <w:spacing w:val="-1"/>
              </w:rPr>
              <w:t>（7）具有相关安全、质量和环境保护的专业技术人员。</w:t>
            </w:r>
          </w:p>
        </w:tc>
        <w:tc>
          <w:tcPr>
            <w:tcW w:w="368" w:type="dxa"/>
            <w:vAlign w:val="top"/>
            <w:textDirection w:val="tbRlV"/>
          </w:tcPr>
          <w:p>
            <w:pPr>
              <w:pStyle w:val="TableText"/>
              <w:ind w:left="1144"/>
              <w:spacing w:before="78" w:line="206" w:lineRule="auto"/>
              <w:rPr/>
            </w:pPr>
            <w:r>
              <w:rPr>
                <w:spacing w:val="-1"/>
              </w:rPr>
              <w:t>资</w:t>
            </w:r>
            <w:r>
              <w:rPr>
                <w:spacing w:val="43"/>
              </w:rPr>
              <w:t xml:space="preserve"> </w:t>
            </w:r>
            <w:r>
              <w:rPr>
                <w:spacing w:val="-1"/>
              </w:rPr>
              <w:t>格</w:t>
            </w:r>
            <w:r>
              <w:rPr>
                <w:spacing w:val="43"/>
              </w:rPr>
              <w:t xml:space="preserve"> </w:t>
            </w:r>
            <w:r>
              <w:rPr>
                <w:spacing w:val="-1"/>
              </w:rPr>
              <w:t>型</w:t>
            </w:r>
          </w:p>
        </w:tc>
        <w:tc>
          <w:tcPr>
            <w:tcW w:w="1173"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38"/>
              <w:spacing w:before="59" w:line="219" w:lineRule="auto"/>
              <w:rPr/>
            </w:pPr>
            <w:r>
              <w:rPr>
                <w:spacing w:val="-2"/>
              </w:rPr>
              <w:t>废弃电器电</w:t>
            </w:r>
          </w:p>
          <w:p>
            <w:pPr>
              <w:pStyle w:val="TableText"/>
              <w:ind w:left="140"/>
              <w:spacing w:before="98" w:line="219" w:lineRule="auto"/>
              <w:rPr/>
            </w:pPr>
            <w:r>
              <w:rPr>
                <w:spacing w:val="-2"/>
              </w:rPr>
              <w:t>子产品处理</w:t>
            </w:r>
          </w:p>
          <w:p>
            <w:pPr>
              <w:pStyle w:val="TableText"/>
              <w:ind w:left="238"/>
              <w:spacing w:before="98" w:line="218" w:lineRule="auto"/>
              <w:rPr/>
            </w:pPr>
            <w:r>
              <w:rPr>
                <w:spacing w:val="-4"/>
              </w:rPr>
              <w:t>资格证书</w:t>
            </w:r>
          </w:p>
        </w:tc>
        <w:tc>
          <w:tcPr>
            <w:tcW w:w="4568"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27"/>
              <w:spacing w:before="58" w:line="218" w:lineRule="auto"/>
              <w:rPr/>
            </w:pPr>
            <w:r>
              <w:rPr>
                <w:spacing w:val="-2"/>
              </w:rPr>
              <w:t>1.废弃电器电子产品处理资格申请书；</w:t>
            </w:r>
          </w:p>
          <w:p>
            <w:pPr>
              <w:pStyle w:val="TableText"/>
              <w:ind w:left="115"/>
              <w:spacing w:before="99" w:line="218" w:lineRule="auto"/>
              <w:rPr/>
            </w:pPr>
            <w:r>
              <w:rPr>
                <w:spacing w:val="-1"/>
              </w:rPr>
              <w:t>2.《废弃电器电子产品处理资格申请书》（附四）证明</w:t>
            </w:r>
          </w:p>
          <w:p>
            <w:pPr>
              <w:pStyle w:val="TableText"/>
              <w:ind w:left="113"/>
              <w:spacing w:before="99" w:line="219" w:lineRule="auto"/>
              <w:rPr/>
            </w:pPr>
            <w:r>
              <w:rPr>
                <w:spacing w:val="-3"/>
              </w:rPr>
              <w:t>材料。</w:t>
            </w:r>
          </w:p>
        </w:tc>
        <w:tc>
          <w:tcPr>
            <w:tcW w:w="2753" w:type="dxa"/>
            <w:vAlign w:val="top"/>
          </w:tcPr>
          <w:p>
            <w:pPr>
              <w:spacing w:line="459"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7" w:line="307" w:lineRule="auto"/>
              <w:rPr/>
            </w:pPr>
            <w:r>
              <w:rPr>
                <w:spacing w:val="-4"/>
              </w:rPr>
              <w:t>2.审批机构受理/不予受理；</w:t>
            </w:r>
            <w:r>
              <w:rPr/>
              <w:t xml:space="preserve"> </w:t>
            </w:r>
            <w:r>
              <w:rPr>
                <w:spacing w:val="-3"/>
              </w:rPr>
              <w:t>3.公示；</w:t>
            </w:r>
          </w:p>
          <w:p>
            <w:pPr>
              <w:pStyle w:val="TableText"/>
              <w:ind w:left="116" w:right="889" w:hanging="4"/>
              <w:spacing w:before="25" w:line="306" w:lineRule="auto"/>
              <w:rPr/>
            </w:pPr>
            <w:r>
              <w:rPr>
                <w:spacing w:val="-5"/>
              </w:rPr>
              <w:t>4.审批机构材料审查；</w:t>
            </w:r>
            <w:r>
              <w:rPr/>
              <w:t xml:space="preserve"> </w:t>
            </w:r>
            <w:r>
              <w:rPr>
                <w:spacing w:val="-6"/>
              </w:rPr>
              <w:t>5.组织专家现场核查；</w:t>
            </w:r>
          </w:p>
          <w:p>
            <w:pPr>
              <w:pStyle w:val="TableText"/>
              <w:ind w:left="120" w:right="210" w:hanging="6"/>
              <w:spacing w:before="27" w:line="306" w:lineRule="auto"/>
              <w:rPr/>
            </w:pPr>
            <w:r>
              <w:rPr>
                <w:spacing w:val="-1"/>
              </w:rPr>
              <w:t>6.决定核发资格证书/不予核发</w:t>
            </w:r>
            <w:r>
              <w:rPr>
                <w:spacing w:val="6"/>
              </w:rPr>
              <w:t xml:space="preserve"> </w:t>
            </w:r>
            <w:r>
              <w:rPr>
                <w:spacing w:val="-3"/>
              </w:rPr>
              <w:t>资格证书。</w:t>
            </w:r>
          </w:p>
        </w:tc>
        <w:tc>
          <w:tcPr>
            <w:tcW w:w="768" w:type="dxa"/>
            <w:vAlign w:val="top"/>
          </w:tcPr>
          <w:p>
            <w:pPr>
              <w:rPr>
                <w:rFonts w:ascii="Arial"/>
                <w:sz w:val="21"/>
              </w:rPr>
            </w:pPr>
            <w:r/>
          </w:p>
        </w:tc>
      </w:tr>
      <w:tr>
        <w:trPr>
          <w:trHeight w:val="2884" w:hRule="atLeast"/>
        </w:trPr>
        <w:tc>
          <w:tcPr>
            <w:tcW w:w="400" w:type="dxa"/>
            <w:vAlign w:val="top"/>
            <w:vMerge w:val="continue"/>
            <w:tcBorders>
              <w:top w:val="nil"/>
              <w:bottom w:val="nil"/>
            </w:tcBorders>
          </w:tcPr>
          <w:p>
            <w:pPr>
              <w:rPr>
                <w:rFonts w:ascii="Arial"/>
                <w:sz w:val="21"/>
              </w:rPr>
            </w:pPr>
            <w:r/>
          </w:p>
        </w:tc>
        <w:tc>
          <w:tcPr>
            <w:tcW w:w="886" w:type="dxa"/>
            <w:vAlign w:val="top"/>
            <w:vMerge w:val="continue"/>
            <w:tcBorders>
              <w:top w:val="nil"/>
              <w:bottom w:val="nil"/>
            </w:tcBorders>
          </w:tcPr>
          <w:p>
            <w:pPr>
              <w:rPr>
                <w:rFonts w:ascii="Arial"/>
                <w:sz w:val="21"/>
              </w:rPr>
            </w:pPr>
            <w:r/>
          </w:p>
        </w:tc>
        <w:tc>
          <w:tcPr>
            <w:tcW w:w="763" w:type="dxa"/>
            <w:vAlign w:val="top"/>
          </w:tcPr>
          <w:p>
            <w:pPr>
              <w:spacing w:line="256" w:lineRule="auto"/>
              <w:rPr>
                <w:rFonts w:ascii="Arial"/>
                <w:sz w:val="21"/>
              </w:rPr>
            </w:pPr>
            <w:r/>
          </w:p>
          <w:p>
            <w:pPr>
              <w:spacing w:line="257" w:lineRule="auto"/>
              <w:rPr>
                <w:rFonts w:ascii="Arial"/>
                <w:sz w:val="21"/>
              </w:rPr>
            </w:pPr>
            <w:r/>
          </w:p>
          <w:p>
            <w:pPr>
              <w:pStyle w:val="TableText"/>
              <w:ind w:left="112"/>
              <w:spacing w:before="59" w:line="219" w:lineRule="auto"/>
              <w:rPr/>
            </w:pPr>
            <w:r>
              <w:rPr>
                <w:spacing w:val="-3"/>
              </w:rPr>
              <w:t>废弃电</w:t>
            </w:r>
          </w:p>
          <w:p>
            <w:pPr>
              <w:pStyle w:val="TableText"/>
              <w:ind w:left="113"/>
              <w:spacing w:before="98" w:line="220" w:lineRule="auto"/>
              <w:rPr/>
            </w:pPr>
            <w:r>
              <w:rPr>
                <w:spacing w:val="-3"/>
              </w:rPr>
              <w:t>器电子</w:t>
            </w:r>
          </w:p>
          <w:p>
            <w:pPr>
              <w:pStyle w:val="TableText"/>
              <w:ind w:left="113"/>
              <w:spacing w:before="97" w:line="219" w:lineRule="auto"/>
              <w:rPr/>
            </w:pPr>
            <w:r>
              <w:rPr>
                <w:spacing w:val="-3"/>
              </w:rPr>
              <w:t>产品处</w:t>
            </w:r>
          </w:p>
          <w:p>
            <w:pPr>
              <w:pStyle w:val="TableText"/>
              <w:ind w:left="115"/>
              <w:spacing w:before="98" w:line="218" w:lineRule="auto"/>
              <w:rPr/>
            </w:pPr>
            <w:r>
              <w:rPr>
                <w:spacing w:val="-4"/>
              </w:rPr>
              <w:t>理资格</w:t>
            </w:r>
          </w:p>
          <w:p>
            <w:pPr>
              <w:pStyle w:val="TableText"/>
              <w:ind w:left="113"/>
              <w:spacing w:before="99" w:line="219" w:lineRule="auto"/>
              <w:rPr/>
            </w:pPr>
            <w:r>
              <w:rPr>
                <w:spacing w:val="-3"/>
              </w:rPr>
              <w:t>证书换</w:t>
            </w:r>
          </w:p>
          <w:p>
            <w:pPr>
              <w:pStyle w:val="TableText"/>
              <w:ind w:left="296"/>
              <w:spacing w:before="98" w:line="220" w:lineRule="auto"/>
              <w:rPr/>
            </w:pPr>
            <w:r>
              <w:rPr/>
              <w:t>发</w:t>
            </w:r>
          </w:p>
        </w:tc>
        <w:tc>
          <w:tcPr>
            <w:tcW w:w="669"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61"/>
              <w:spacing w:before="58" w:line="219" w:lineRule="auto"/>
              <w:rPr/>
            </w:pPr>
            <w:r>
              <w:rPr>
                <w:spacing w:val="-6"/>
              </w:rPr>
              <w:t>市级</w:t>
            </w:r>
          </w:p>
        </w:tc>
        <w:tc>
          <w:tcPr>
            <w:tcW w:w="640"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27"/>
              <w:spacing w:before="58" w:line="183" w:lineRule="auto"/>
              <w:rPr/>
            </w:pPr>
            <w:r>
              <w:rPr>
                <w:spacing w:val="-4"/>
              </w:rPr>
              <w:t>60</w:t>
            </w:r>
          </w:p>
        </w:tc>
        <w:tc>
          <w:tcPr>
            <w:tcW w:w="355" w:type="dxa"/>
            <w:vAlign w:val="top"/>
            <w:textDirection w:val="tbRlV"/>
          </w:tcPr>
          <w:p>
            <w:pPr>
              <w:pStyle w:val="TableText"/>
              <w:ind w:left="1043"/>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14"/>
              <w:spacing w:before="35" w:line="217" w:lineRule="auto"/>
              <w:rPr/>
            </w:pPr>
            <w:r>
              <w:rPr>
                <w:spacing w:val="-2"/>
              </w:rPr>
              <w:t>是否具备以下条件：</w:t>
            </w:r>
          </w:p>
          <w:p>
            <w:pPr>
              <w:pStyle w:val="TableText"/>
              <w:ind w:left="121"/>
              <w:spacing w:before="27" w:line="219" w:lineRule="auto"/>
              <w:rPr/>
            </w:pPr>
            <w:r>
              <w:rPr>
                <w:spacing w:val="-3"/>
              </w:rPr>
              <w:t>（1）依法成立；</w:t>
            </w:r>
          </w:p>
          <w:p>
            <w:pPr>
              <w:pStyle w:val="TableText"/>
              <w:ind w:left="110" w:right="106" w:firstLine="10"/>
              <w:spacing w:before="26" w:line="234" w:lineRule="auto"/>
              <w:rPr/>
            </w:pPr>
            <w:r>
              <w:rPr>
                <w:spacing w:val="-1"/>
              </w:rPr>
              <w:t>（2）符合本地区废弃电器电子产品处理发展规划的要求，具备完善的废弃电器电子产品处理设</w:t>
            </w:r>
            <w:r>
              <w:rPr>
                <w:spacing w:val="13"/>
              </w:rPr>
              <w:t xml:space="preserve"> </w:t>
            </w:r>
            <w:r>
              <w:rPr>
                <w:spacing w:val="-4"/>
              </w:rPr>
              <w:t>施；</w:t>
            </w:r>
          </w:p>
          <w:p>
            <w:pPr>
              <w:pStyle w:val="TableText"/>
              <w:ind w:left="121"/>
              <w:spacing w:before="24" w:line="217" w:lineRule="auto"/>
              <w:rPr/>
            </w:pPr>
            <w:r>
              <w:rPr>
                <w:spacing w:val="-1"/>
              </w:rPr>
              <w:t>（3）具有增值税一般纳税人企业法人资格；</w:t>
            </w:r>
          </w:p>
          <w:p>
            <w:pPr>
              <w:pStyle w:val="TableText"/>
              <w:ind w:left="114" w:right="106" w:firstLine="6"/>
              <w:spacing w:before="28" w:line="232" w:lineRule="auto"/>
              <w:rPr/>
            </w:pPr>
            <w:r>
              <w:rPr>
                <w:spacing w:val="-1"/>
              </w:rPr>
              <w:t>（4）具备与其申请处理能力相适应的废弃电器电子产品处理车间和场地、贮存场所、拆解处理</w:t>
            </w:r>
            <w:r>
              <w:rPr>
                <w:spacing w:val="13"/>
              </w:rPr>
              <w:t xml:space="preserve"> </w:t>
            </w:r>
            <w:r>
              <w:rPr>
                <w:spacing w:val="-1"/>
              </w:rPr>
              <w:t>设备及配套的数据信息管理系统、污染防治设施等；</w:t>
            </w:r>
          </w:p>
          <w:p>
            <w:pPr>
              <w:pStyle w:val="TableText"/>
              <w:ind w:left="111" w:right="106" w:firstLine="9"/>
              <w:spacing w:before="27" w:line="232" w:lineRule="auto"/>
              <w:rPr/>
            </w:pPr>
            <w:r>
              <w:rPr>
                <w:spacing w:val="-1"/>
              </w:rPr>
              <w:t>（5）具有与所处理的废弃电器电子产品相适应的分拣、包装设备以及运输车辆、搬运设备、压</w:t>
            </w:r>
            <w:r>
              <w:rPr>
                <w:spacing w:val="13"/>
              </w:rPr>
              <w:t xml:space="preserve"> </w:t>
            </w:r>
            <w:r>
              <w:rPr/>
              <w:t>缩打包设备、专用容器及中央监控设备、计量设备、事故应急</w:t>
            </w:r>
            <w:r>
              <w:rPr>
                <w:spacing w:val="-1"/>
              </w:rPr>
              <w:t>救援和处理设备等；</w:t>
            </w:r>
          </w:p>
          <w:p>
            <w:pPr>
              <w:pStyle w:val="TableText"/>
              <w:ind w:left="112" w:right="106" w:firstLine="8"/>
              <w:spacing w:before="27" w:line="233" w:lineRule="auto"/>
              <w:rPr/>
            </w:pPr>
            <w:r>
              <w:rPr>
                <w:spacing w:val="-1"/>
              </w:rPr>
              <w:t>（6）具有健全的环境管理制度和措施，包括对不能完全处理的废弃电器电子产品的妥善利用或</w:t>
            </w:r>
            <w:r>
              <w:rPr>
                <w:spacing w:val="13"/>
              </w:rPr>
              <w:t xml:space="preserve"> </w:t>
            </w:r>
            <w:r>
              <w:rPr>
                <w:spacing w:val="-1"/>
              </w:rPr>
              <w:t>者处置方案，突发环境事件的防范措施和应急预案等；</w:t>
            </w:r>
          </w:p>
          <w:p>
            <w:pPr>
              <w:pStyle w:val="TableText"/>
              <w:ind w:left="121"/>
              <w:spacing w:before="26" w:line="204" w:lineRule="auto"/>
              <w:rPr/>
            </w:pPr>
            <w:r>
              <w:rPr>
                <w:spacing w:val="-1"/>
              </w:rPr>
              <w:t>（7）具有相关安全、质量和环境保护的专业技术人员。</w:t>
            </w:r>
          </w:p>
        </w:tc>
        <w:tc>
          <w:tcPr>
            <w:tcW w:w="368" w:type="dxa"/>
            <w:vAlign w:val="top"/>
            <w:textDirection w:val="tbRlV"/>
          </w:tcPr>
          <w:p>
            <w:pPr>
              <w:pStyle w:val="TableText"/>
              <w:ind w:left="1043"/>
              <w:spacing w:before="78" w:line="206" w:lineRule="auto"/>
              <w:rPr/>
            </w:pPr>
            <w:r>
              <w:rPr>
                <w:spacing w:val="-1"/>
              </w:rPr>
              <w:t>资</w:t>
            </w:r>
            <w:r>
              <w:rPr>
                <w:spacing w:val="43"/>
              </w:rPr>
              <w:t xml:space="preserve"> </w:t>
            </w:r>
            <w:r>
              <w:rPr>
                <w:spacing w:val="-1"/>
              </w:rPr>
              <w:t>格</w:t>
            </w:r>
            <w:r>
              <w:rPr>
                <w:spacing w:val="43"/>
              </w:rPr>
              <w:t xml:space="preserve"> </w:t>
            </w:r>
            <w:r>
              <w:rPr>
                <w:spacing w:val="-1"/>
              </w:rPr>
              <w:t>型</w:t>
            </w:r>
          </w:p>
        </w:tc>
        <w:tc>
          <w:tcPr>
            <w:tcW w:w="1173"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38"/>
              <w:spacing w:before="59" w:line="219" w:lineRule="auto"/>
              <w:rPr/>
            </w:pPr>
            <w:r>
              <w:rPr>
                <w:spacing w:val="-2"/>
              </w:rPr>
              <w:t>废弃电器电</w:t>
            </w:r>
          </w:p>
          <w:p>
            <w:pPr>
              <w:pStyle w:val="TableText"/>
              <w:ind w:left="140"/>
              <w:spacing w:before="98" w:line="219" w:lineRule="auto"/>
              <w:rPr/>
            </w:pPr>
            <w:r>
              <w:rPr>
                <w:spacing w:val="-2"/>
              </w:rPr>
              <w:t>子产品处理</w:t>
            </w:r>
          </w:p>
          <w:p>
            <w:pPr>
              <w:pStyle w:val="TableText"/>
              <w:ind w:left="238"/>
              <w:spacing w:before="98" w:line="218" w:lineRule="auto"/>
              <w:rPr/>
            </w:pPr>
            <w:r>
              <w:rPr>
                <w:spacing w:val="-4"/>
              </w:rPr>
              <w:t>资格证书</w:t>
            </w:r>
          </w:p>
        </w:tc>
        <w:tc>
          <w:tcPr>
            <w:tcW w:w="4568"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27"/>
              <w:spacing w:before="59" w:line="218" w:lineRule="auto"/>
              <w:rPr/>
            </w:pPr>
            <w:r>
              <w:rPr>
                <w:spacing w:val="-2"/>
              </w:rPr>
              <w:t>1.废弃电器电子产品处理资格申请书；</w:t>
            </w:r>
          </w:p>
          <w:p>
            <w:pPr>
              <w:pStyle w:val="TableText"/>
              <w:ind w:left="115"/>
              <w:spacing w:before="99" w:line="218" w:lineRule="auto"/>
              <w:rPr/>
            </w:pPr>
            <w:r>
              <w:rPr>
                <w:spacing w:val="-1"/>
              </w:rPr>
              <w:t>2.《废弃电器电子产品处理资格申请书》（附四）证明</w:t>
            </w:r>
          </w:p>
          <w:p>
            <w:pPr>
              <w:pStyle w:val="TableText"/>
              <w:ind w:left="113"/>
              <w:spacing w:before="99" w:line="219" w:lineRule="auto"/>
              <w:rPr/>
            </w:pPr>
            <w:r>
              <w:rPr>
                <w:spacing w:val="-3"/>
              </w:rPr>
              <w:t>材料。</w:t>
            </w:r>
          </w:p>
        </w:tc>
        <w:tc>
          <w:tcPr>
            <w:tcW w:w="2753" w:type="dxa"/>
            <w:vAlign w:val="top"/>
          </w:tcPr>
          <w:p>
            <w:pPr>
              <w:spacing w:line="358"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7" w:line="307" w:lineRule="auto"/>
              <w:rPr/>
            </w:pPr>
            <w:r>
              <w:rPr>
                <w:spacing w:val="-4"/>
              </w:rPr>
              <w:t>2.审批机构受理/不予受理；</w:t>
            </w:r>
            <w:r>
              <w:rPr/>
              <w:t xml:space="preserve"> </w:t>
            </w:r>
            <w:r>
              <w:rPr>
                <w:spacing w:val="-3"/>
              </w:rPr>
              <w:t>3.公示；</w:t>
            </w:r>
          </w:p>
          <w:p>
            <w:pPr>
              <w:pStyle w:val="TableText"/>
              <w:ind w:left="116" w:right="889" w:hanging="4"/>
              <w:spacing w:before="25" w:line="306" w:lineRule="auto"/>
              <w:rPr/>
            </w:pPr>
            <w:r>
              <w:rPr>
                <w:spacing w:val="-5"/>
              </w:rPr>
              <w:t>4.审批机构材料审查；</w:t>
            </w:r>
            <w:r>
              <w:rPr/>
              <w:t xml:space="preserve"> </w:t>
            </w:r>
            <w:r>
              <w:rPr>
                <w:spacing w:val="-6"/>
              </w:rPr>
              <w:t>5.组织专家现场核查；</w:t>
            </w:r>
          </w:p>
          <w:p>
            <w:pPr>
              <w:pStyle w:val="TableText"/>
              <w:ind w:left="120" w:right="210" w:hanging="6"/>
              <w:spacing w:before="27" w:line="306" w:lineRule="auto"/>
              <w:rPr/>
            </w:pPr>
            <w:r>
              <w:rPr>
                <w:spacing w:val="-1"/>
              </w:rPr>
              <w:t>6.决定核发资格证书/不予核发</w:t>
            </w:r>
            <w:r>
              <w:rPr>
                <w:spacing w:val="6"/>
              </w:rPr>
              <w:t xml:space="preserve"> </w:t>
            </w:r>
            <w:r>
              <w:rPr>
                <w:spacing w:val="-3"/>
              </w:rPr>
              <w:t>资格证书。</w:t>
            </w:r>
          </w:p>
        </w:tc>
        <w:tc>
          <w:tcPr>
            <w:tcW w:w="768" w:type="dxa"/>
            <w:vAlign w:val="top"/>
          </w:tcPr>
          <w:p>
            <w:pPr>
              <w:rPr>
                <w:rFonts w:ascii="Arial"/>
                <w:sz w:val="21"/>
              </w:rPr>
            </w:pPr>
            <w:r/>
          </w:p>
        </w:tc>
      </w:tr>
      <w:tr>
        <w:trPr>
          <w:trHeight w:val="2188" w:hRule="atLeast"/>
        </w:trPr>
        <w:tc>
          <w:tcPr>
            <w:tcW w:w="400" w:type="dxa"/>
            <w:vAlign w:val="top"/>
            <w:vMerge w:val="continue"/>
            <w:tcBorders>
              <w:top w:val="nil"/>
              <w:bottom w:val="nil"/>
            </w:tcBorders>
          </w:tcPr>
          <w:p>
            <w:pPr>
              <w:rPr>
                <w:rFonts w:ascii="Arial"/>
                <w:sz w:val="21"/>
              </w:rPr>
            </w:pPr>
            <w:r/>
          </w:p>
        </w:tc>
        <w:tc>
          <w:tcPr>
            <w:tcW w:w="886" w:type="dxa"/>
            <w:vAlign w:val="top"/>
            <w:vMerge w:val="continue"/>
            <w:tcBorders>
              <w:top w:val="nil"/>
              <w:bottom w:val="nil"/>
            </w:tcBorders>
          </w:tcPr>
          <w:p>
            <w:pPr>
              <w:rPr>
                <w:rFonts w:ascii="Arial"/>
                <w:sz w:val="21"/>
              </w:rPr>
            </w:pPr>
            <w:r/>
          </w:p>
        </w:tc>
        <w:tc>
          <w:tcPr>
            <w:tcW w:w="763" w:type="dxa"/>
            <w:vAlign w:val="top"/>
          </w:tcPr>
          <w:p>
            <w:pPr>
              <w:pStyle w:val="TableText"/>
              <w:ind w:left="112"/>
              <w:spacing w:before="228" w:line="219" w:lineRule="auto"/>
              <w:rPr/>
            </w:pPr>
            <w:r>
              <w:rPr>
                <w:spacing w:val="-3"/>
              </w:rPr>
              <w:t>废弃电</w:t>
            </w:r>
          </w:p>
          <w:p>
            <w:pPr>
              <w:pStyle w:val="TableText"/>
              <w:ind w:left="113"/>
              <w:spacing w:before="98" w:line="220" w:lineRule="auto"/>
              <w:rPr/>
            </w:pPr>
            <w:r>
              <w:rPr>
                <w:spacing w:val="-3"/>
              </w:rPr>
              <w:t>器电子</w:t>
            </w:r>
          </w:p>
          <w:p>
            <w:pPr>
              <w:pStyle w:val="TableText"/>
              <w:ind w:left="113"/>
              <w:spacing w:before="97" w:line="219" w:lineRule="auto"/>
              <w:rPr/>
            </w:pPr>
            <w:r>
              <w:rPr>
                <w:spacing w:val="-3"/>
              </w:rPr>
              <w:t>产品处</w:t>
            </w:r>
          </w:p>
          <w:p>
            <w:pPr>
              <w:pStyle w:val="TableText"/>
              <w:ind w:left="115"/>
              <w:spacing w:before="98" w:line="218" w:lineRule="auto"/>
              <w:rPr/>
            </w:pPr>
            <w:r>
              <w:rPr>
                <w:spacing w:val="-4"/>
              </w:rPr>
              <w:t>理资格</w:t>
            </w:r>
          </w:p>
          <w:p>
            <w:pPr>
              <w:pStyle w:val="TableText"/>
              <w:ind w:left="113"/>
              <w:spacing w:before="99" w:line="219" w:lineRule="auto"/>
              <w:rPr/>
            </w:pPr>
            <w:r>
              <w:rPr>
                <w:spacing w:val="-3"/>
              </w:rPr>
              <w:t>证书变</w:t>
            </w:r>
          </w:p>
          <w:p>
            <w:pPr>
              <w:pStyle w:val="TableText"/>
              <w:ind w:left="295"/>
              <w:spacing w:before="98" w:line="221" w:lineRule="auto"/>
              <w:rPr/>
            </w:pPr>
            <w:r>
              <w:rPr/>
              <w:t>更</w:t>
            </w:r>
          </w:p>
        </w:tc>
        <w:tc>
          <w:tcPr>
            <w:tcW w:w="669" w:type="dxa"/>
            <w:vAlign w:val="top"/>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pStyle w:val="TableText"/>
              <w:ind w:left="161"/>
              <w:spacing w:before="59" w:line="219" w:lineRule="auto"/>
              <w:rPr/>
            </w:pPr>
            <w:r>
              <w:rPr>
                <w:spacing w:val="-6"/>
              </w:rPr>
              <w:t>市级</w:t>
            </w:r>
          </w:p>
        </w:tc>
        <w:tc>
          <w:tcPr>
            <w:tcW w:w="640" w:type="dxa"/>
            <w:vAlign w:val="top"/>
          </w:tcPr>
          <w:p>
            <w:pPr>
              <w:spacing w:line="317" w:lineRule="auto"/>
              <w:rPr>
                <w:rFonts w:ascii="Arial"/>
                <w:sz w:val="21"/>
              </w:rPr>
            </w:pPr>
            <w:r/>
          </w:p>
          <w:p>
            <w:pPr>
              <w:spacing w:line="317"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38"/>
              <w:spacing w:before="59" w:line="184" w:lineRule="auto"/>
              <w:rPr/>
            </w:pPr>
            <w:r>
              <w:rPr>
                <w:spacing w:val="-10"/>
              </w:rPr>
              <w:t>15</w:t>
            </w:r>
          </w:p>
        </w:tc>
        <w:tc>
          <w:tcPr>
            <w:tcW w:w="355" w:type="dxa"/>
            <w:vAlign w:val="top"/>
            <w:textDirection w:val="tbRlV"/>
          </w:tcPr>
          <w:p>
            <w:pPr>
              <w:pStyle w:val="TableText"/>
              <w:ind w:left="695"/>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13" w:right="5256" w:firstLine="11"/>
              <w:spacing w:before="59" w:line="233" w:lineRule="auto"/>
              <w:rPr/>
            </w:pPr>
            <w:r>
              <w:rPr>
                <w:spacing w:val="-4"/>
              </w:rPr>
              <w:t>1.前期是否已取得资格证书；</w:t>
            </w:r>
            <w:r>
              <w:rPr>
                <w:spacing w:val="3"/>
              </w:rPr>
              <w:t xml:space="preserve"> </w:t>
            </w:r>
            <w:r>
              <w:rPr>
                <w:spacing w:val="-3"/>
              </w:rPr>
              <w:t>2.是否属于工商变更的情形。</w:t>
            </w:r>
          </w:p>
        </w:tc>
        <w:tc>
          <w:tcPr>
            <w:tcW w:w="368" w:type="dxa"/>
            <w:vAlign w:val="top"/>
            <w:textDirection w:val="tbRlV"/>
          </w:tcPr>
          <w:p>
            <w:pPr>
              <w:pStyle w:val="TableText"/>
              <w:ind w:left="695"/>
              <w:spacing w:before="78" w:line="206" w:lineRule="auto"/>
              <w:rPr/>
            </w:pPr>
            <w:r>
              <w:rPr>
                <w:spacing w:val="-1"/>
              </w:rPr>
              <w:t>资</w:t>
            </w:r>
            <w:r>
              <w:rPr>
                <w:spacing w:val="43"/>
              </w:rPr>
              <w:t xml:space="preserve"> </w:t>
            </w:r>
            <w:r>
              <w:rPr>
                <w:spacing w:val="-1"/>
              </w:rPr>
              <w:t>格</w:t>
            </w:r>
            <w:r>
              <w:rPr>
                <w:spacing w:val="43"/>
              </w:rPr>
              <w:t xml:space="preserve"> </w:t>
            </w:r>
            <w:r>
              <w:rPr>
                <w:spacing w:val="-1"/>
              </w:rPr>
              <w:t>型</w:t>
            </w:r>
          </w:p>
        </w:tc>
        <w:tc>
          <w:tcPr>
            <w:tcW w:w="1173" w:type="dxa"/>
            <w:vAlign w:val="top"/>
          </w:tcPr>
          <w:p>
            <w:pPr>
              <w:spacing w:line="316" w:lineRule="auto"/>
              <w:rPr>
                <w:rFonts w:ascii="Arial"/>
                <w:sz w:val="21"/>
              </w:rPr>
            </w:pPr>
            <w:r/>
          </w:p>
          <w:p>
            <w:pPr>
              <w:spacing w:line="317" w:lineRule="auto"/>
              <w:rPr>
                <w:rFonts w:ascii="Arial"/>
                <w:sz w:val="21"/>
              </w:rPr>
            </w:pPr>
            <w:r/>
          </w:p>
          <w:p>
            <w:pPr>
              <w:pStyle w:val="TableText"/>
              <w:ind w:left="138"/>
              <w:spacing w:before="59" w:line="219" w:lineRule="auto"/>
              <w:rPr/>
            </w:pPr>
            <w:r>
              <w:rPr>
                <w:spacing w:val="-2"/>
              </w:rPr>
              <w:t>废弃电器电</w:t>
            </w:r>
          </w:p>
          <w:p>
            <w:pPr>
              <w:pStyle w:val="TableText"/>
              <w:ind w:left="140"/>
              <w:spacing w:before="98" w:line="219" w:lineRule="auto"/>
              <w:rPr/>
            </w:pPr>
            <w:r>
              <w:rPr>
                <w:spacing w:val="-2"/>
              </w:rPr>
              <w:t>子产品处理</w:t>
            </w:r>
          </w:p>
          <w:p>
            <w:pPr>
              <w:pStyle w:val="TableText"/>
              <w:ind w:left="238"/>
              <w:spacing w:before="98" w:line="218" w:lineRule="auto"/>
              <w:rPr/>
            </w:pPr>
            <w:r>
              <w:rPr>
                <w:spacing w:val="-4"/>
              </w:rPr>
              <w:t>资格证书</w:t>
            </w:r>
          </w:p>
        </w:tc>
        <w:tc>
          <w:tcPr>
            <w:tcW w:w="4568" w:type="dxa"/>
            <w:vAlign w:val="top"/>
          </w:tcPr>
          <w:p>
            <w:pPr>
              <w:spacing w:line="316" w:lineRule="auto"/>
              <w:rPr>
                <w:rFonts w:ascii="Arial"/>
                <w:sz w:val="21"/>
              </w:rPr>
            </w:pPr>
            <w:r/>
          </w:p>
          <w:p>
            <w:pPr>
              <w:spacing w:line="316" w:lineRule="auto"/>
              <w:rPr>
                <w:rFonts w:ascii="Arial"/>
                <w:sz w:val="21"/>
              </w:rPr>
            </w:pPr>
            <w:r/>
          </w:p>
          <w:p>
            <w:pPr>
              <w:pStyle w:val="TableText"/>
              <w:ind w:left="115" w:right="2883" w:firstLine="11"/>
              <w:spacing w:before="59" w:line="307" w:lineRule="auto"/>
              <w:rPr/>
            </w:pPr>
            <w:r>
              <w:rPr>
                <w:spacing w:val="-7"/>
              </w:rPr>
              <w:t>1.行政许可申请书；</w:t>
            </w:r>
            <w:r>
              <w:rPr>
                <w:spacing w:val="1"/>
              </w:rPr>
              <w:t xml:space="preserve"> </w:t>
            </w:r>
            <w:r>
              <w:rPr>
                <w:spacing w:val="-2"/>
              </w:rPr>
              <w:t>2.营业执照；</w:t>
            </w:r>
          </w:p>
          <w:p>
            <w:pPr>
              <w:pStyle w:val="TableText"/>
              <w:ind w:left="117"/>
              <w:spacing w:before="25" w:line="218" w:lineRule="auto"/>
              <w:rPr/>
            </w:pPr>
            <w:r>
              <w:rPr>
                <w:spacing w:val="-1"/>
              </w:rPr>
              <w:t>3.原废弃电器电子产品处理资格证书。</w:t>
            </w:r>
          </w:p>
        </w:tc>
        <w:tc>
          <w:tcPr>
            <w:tcW w:w="2753" w:type="dxa"/>
            <w:vAlign w:val="top"/>
          </w:tcPr>
          <w:p>
            <w:pPr>
              <w:pStyle w:val="TableText"/>
              <w:ind w:left="126"/>
              <w:spacing w:before="72" w:line="219" w:lineRule="auto"/>
              <w:rPr/>
            </w:pPr>
            <w:r>
              <w:rPr>
                <w:spacing w:val="-3"/>
              </w:rPr>
              <w:t>1.申请人申请；</w:t>
            </w:r>
          </w:p>
          <w:p>
            <w:pPr>
              <w:pStyle w:val="TableText"/>
              <w:ind w:left="116" w:right="437" w:hanging="1"/>
              <w:spacing w:before="97" w:line="307" w:lineRule="auto"/>
              <w:rPr/>
            </w:pPr>
            <w:r>
              <w:rPr>
                <w:spacing w:val="-4"/>
              </w:rPr>
              <w:t>2.审批机构受理/不予受理；</w:t>
            </w:r>
            <w:r>
              <w:rPr/>
              <w:t xml:space="preserve"> </w:t>
            </w:r>
            <w:r>
              <w:rPr>
                <w:spacing w:val="-3"/>
              </w:rPr>
              <w:t>3.公示；</w:t>
            </w:r>
          </w:p>
          <w:p>
            <w:pPr>
              <w:pStyle w:val="TableText"/>
              <w:ind w:left="116" w:right="889" w:hanging="4"/>
              <w:spacing w:before="25" w:line="306" w:lineRule="auto"/>
              <w:rPr/>
            </w:pPr>
            <w:r>
              <w:rPr>
                <w:spacing w:val="-5"/>
              </w:rPr>
              <w:t>4.审批机构材料审查；</w:t>
            </w:r>
            <w:r>
              <w:rPr/>
              <w:t xml:space="preserve"> </w:t>
            </w:r>
            <w:r>
              <w:rPr>
                <w:spacing w:val="-6"/>
              </w:rPr>
              <w:t>5.组织专家现场核查；</w:t>
            </w:r>
          </w:p>
          <w:p>
            <w:pPr>
              <w:pStyle w:val="TableText"/>
              <w:ind w:left="120" w:right="210" w:hanging="6"/>
              <w:spacing w:before="27" w:line="280" w:lineRule="auto"/>
              <w:rPr/>
            </w:pPr>
            <w:r>
              <w:rPr>
                <w:spacing w:val="-1"/>
              </w:rPr>
              <w:t>6.决定核发资格证书/不予核发</w:t>
            </w:r>
            <w:r>
              <w:rPr>
                <w:spacing w:val="6"/>
              </w:rPr>
              <w:t xml:space="preserve"> </w:t>
            </w:r>
            <w:r>
              <w:rPr>
                <w:spacing w:val="-3"/>
              </w:rPr>
              <w:t>资格证书。</w:t>
            </w:r>
          </w:p>
        </w:tc>
        <w:tc>
          <w:tcPr>
            <w:tcW w:w="768" w:type="dxa"/>
            <w:vAlign w:val="top"/>
          </w:tcPr>
          <w:p>
            <w:pPr>
              <w:rPr>
                <w:rFonts w:ascii="Arial"/>
                <w:sz w:val="21"/>
              </w:rPr>
            </w:pPr>
            <w:r/>
          </w:p>
        </w:tc>
      </w:tr>
      <w:tr>
        <w:trPr>
          <w:trHeight w:val="1879"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pStyle w:val="TableText"/>
              <w:ind w:left="112"/>
              <w:spacing w:before="72" w:line="219" w:lineRule="auto"/>
              <w:rPr/>
            </w:pPr>
            <w:r>
              <w:rPr>
                <w:spacing w:val="-3"/>
              </w:rPr>
              <w:t>废弃电</w:t>
            </w:r>
          </w:p>
          <w:p>
            <w:pPr>
              <w:pStyle w:val="TableText"/>
              <w:ind w:left="113"/>
              <w:spacing w:before="98" w:line="220" w:lineRule="auto"/>
              <w:rPr/>
            </w:pPr>
            <w:r>
              <w:rPr>
                <w:spacing w:val="-3"/>
              </w:rPr>
              <w:t>器电子</w:t>
            </w:r>
          </w:p>
          <w:p>
            <w:pPr>
              <w:pStyle w:val="TableText"/>
              <w:ind w:left="113"/>
              <w:spacing w:before="97" w:line="219" w:lineRule="auto"/>
              <w:rPr/>
            </w:pPr>
            <w:r>
              <w:rPr>
                <w:spacing w:val="-3"/>
              </w:rPr>
              <w:t>产品处</w:t>
            </w:r>
          </w:p>
          <w:p>
            <w:pPr>
              <w:pStyle w:val="TableText"/>
              <w:ind w:left="115"/>
              <w:spacing w:before="98" w:line="218" w:lineRule="auto"/>
              <w:rPr/>
            </w:pPr>
            <w:r>
              <w:rPr>
                <w:spacing w:val="-4"/>
              </w:rPr>
              <w:t>理资格</w:t>
            </w:r>
          </w:p>
          <w:p>
            <w:pPr>
              <w:pStyle w:val="TableText"/>
              <w:ind w:left="113"/>
              <w:spacing w:before="99" w:line="219" w:lineRule="auto"/>
              <w:rPr/>
            </w:pPr>
            <w:r>
              <w:rPr>
                <w:spacing w:val="-3"/>
              </w:rPr>
              <w:t>证书注</w:t>
            </w:r>
          </w:p>
          <w:p>
            <w:pPr>
              <w:pStyle w:val="TableText"/>
              <w:ind w:left="294"/>
              <w:spacing w:before="98" w:line="221" w:lineRule="auto"/>
              <w:rPr/>
            </w:pPr>
            <w:r>
              <w:rPr/>
              <w:t>销</w:t>
            </w:r>
          </w:p>
        </w:tc>
        <w:tc>
          <w:tcPr>
            <w:tcW w:w="669"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61"/>
              <w:spacing w:before="58" w:line="219" w:lineRule="auto"/>
              <w:rPr/>
            </w:pPr>
            <w:r>
              <w:rPr>
                <w:spacing w:val="-6"/>
              </w:rPr>
              <w:t>市级</w:t>
            </w:r>
          </w:p>
        </w:tc>
        <w:tc>
          <w:tcPr>
            <w:tcW w:w="640" w:type="dxa"/>
            <w:vAlign w:val="top"/>
          </w:tcPr>
          <w:p>
            <w:pPr>
              <w:rPr>
                <w:rFonts w:ascii="Arial"/>
                <w:sz w:val="21"/>
              </w:rPr>
            </w:pPr>
            <w:r/>
          </w:p>
          <w:p>
            <w:pPr>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540"/>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311" w:lineRule="auto"/>
              <w:rPr>
                <w:rFonts w:ascii="Arial"/>
                <w:sz w:val="21"/>
              </w:rPr>
            </w:pPr>
            <w:r/>
          </w:p>
          <w:p>
            <w:pPr>
              <w:pStyle w:val="TableText"/>
              <w:ind w:left="115" w:right="185" w:firstLine="9"/>
              <w:spacing w:before="59" w:line="234" w:lineRule="auto"/>
              <w:rPr/>
            </w:pPr>
            <w:r>
              <w:rPr/>
              <w:t>1.排污单位是否对经营设施、场所采取污染</w:t>
            </w:r>
            <w:r>
              <w:rPr>
                <w:spacing w:val="-1"/>
              </w:rPr>
              <w:t>防治措施，对未处置的废弃电器电子产品作出妥善</w:t>
            </w:r>
            <w:r>
              <w:rPr/>
              <w:t xml:space="preserve"> </w:t>
            </w:r>
            <w:r>
              <w:rPr>
                <w:spacing w:val="-4"/>
              </w:rPr>
              <w:t>处理；</w:t>
            </w:r>
          </w:p>
          <w:p>
            <w:pPr>
              <w:pStyle w:val="TableText"/>
              <w:ind w:left="116" w:right="185" w:hanging="3"/>
              <w:spacing w:before="24" w:line="231" w:lineRule="auto"/>
              <w:rPr/>
            </w:pPr>
            <w:r>
              <w:rPr/>
              <w:t>2.排污单位是否已对其经营设施、场所进行环境调查与风险评估；经</w:t>
            </w:r>
            <w:r>
              <w:rPr>
                <w:spacing w:val="-1"/>
              </w:rPr>
              <w:t>评估需要治理修复的，是</w:t>
            </w:r>
            <w:r>
              <w:rPr/>
              <w:t xml:space="preserve"> </w:t>
            </w:r>
            <w:r>
              <w:rPr>
                <w:spacing w:val="-1"/>
              </w:rPr>
              <w:t>否已依法承担治理修复责任；</w:t>
            </w:r>
          </w:p>
          <w:p>
            <w:pPr>
              <w:pStyle w:val="TableText"/>
              <w:ind w:left="115"/>
              <w:spacing w:before="28" w:line="218" w:lineRule="auto"/>
              <w:rPr/>
            </w:pPr>
            <w:r>
              <w:rPr>
                <w:spacing w:val="-1"/>
              </w:rPr>
              <w:t>3.是否提交原资格证书。</w:t>
            </w:r>
          </w:p>
        </w:tc>
        <w:tc>
          <w:tcPr>
            <w:tcW w:w="368" w:type="dxa"/>
            <w:vAlign w:val="top"/>
            <w:textDirection w:val="tbRlV"/>
          </w:tcPr>
          <w:p>
            <w:pPr>
              <w:pStyle w:val="TableText"/>
              <w:ind w:left="540"/>
              <w:spacing w:before="78" w:line="206" w:lineRule="auto"/>
              <w:rPr/>
            </w:pPr>
            <w:r>
              <w:rPr>
                <w:spacing w:val="-1"/>
              </w:rPr>
              <w:t>资</w:t>
            </w:r>
            <w:r>
              <w:rPr>
                <w:spacing w:val="43"/>
              </w:rPr>
              <w:t xml:space="preserve"> </w:t>
            </w:r>
            <w:r>
              <w:rPr>
                <w:spacing w:val="-1"/>
              </w:rPr>
              <w:t>格</w:t>
            </w:r>
            <w:r>
              <w:rPr>
                <w:spacing w:val="43"/>
              </w:rPr>
              <w:t xml:space="preserve"> </w:t>
            </w:r>
            <w:r>
              <w:rPr>
                <w:spacing w:val="-1"/>
              </w:rPr>
              <w:t>型</w:t>
            </w:r>
          </w:p>
        </w:tc>
        <w:tc>
          <w:tcPr>
            <w:tcW w:w="1173" w:type="dxa"/>
            <w:vAlign w:val="top"/>
          </w:tcPr>
          <w:p>
            <w:pPr>
              <w:spacing w:line="317" w:lineRule="auto"/>
              <w:rPr>
                <w:rFonts w:ascii="Arial"/>
                <w:sz w:val="21"/>
              </w:rPr>
            </w:pPr>
            <w:r/>
          </w:p>
          <w:p>
            <w:pPr>
              <w:spacing w:line="317" w:lineRule="auto"/>
              <w:rPr>
                <w:rFonts w:ascii="Arial"/>
                <w:sz w:val="21"/>
              </w:rPr>
            </w:pPr>
            <w:r/>
          </w:p>
          <w:p>
            <w:pPr>
              <w:pStyle w:val="TableText"/>
              <w:ind w:left="414" w:right="135" w:hanging="272"/>
              <w:spacing w:before="59" w:line="306" w:lineRule="auto"/>
              <w:rPr/>
            </w:pPr>
            <w:r>
              <w:rPr>
                <w:spacing w:val="-2"/>
              </w:rPr>
              <w:t>行政许可决</w:t>
            </w:r>
            <w:r>
              <w:rPr/>
              <w:t xml:space="preserve"> </w:t>
            </w:r>
            <w:r>
              <w:rPr>
                <w:spacing w:val="-6"/>
              </w:rPr>
              <w:t>定书</w:t>
            </w:r>
          </w:p>
        </w:tc>
        <w:tc>
          <w:tcPr>
            <w:tcW w:w="4568" w:type="dxa"/>
            <w:vAlign w:val="top"/>
          </w:tcPr>
          <w:p>
            <w:pPr>
              <w:spacing w:line="478" w:lineRule="auto"/>
              <w:rPr>
                <w:rFonts w:ascii="Arial"/>
                <w:sz w:val="21"/>
              </w:rPr>
            </w:pPr>
            <w:r/>
          </w:p>
          <w:p>
            <w:pPr>
              <w:pStyle w:val="TableText"/>
              <w:ind w:left="127"/>
              <w:spacing w:before="59" w:line="219" w:lineRule="auto"/>
              <w:rPr/>
            </w:pPr>
            <w:r>
              <w:rPr>
                <w:spacing w:val="-3"/>
              </w:rPr>
              <w:t>1.行政许可申请书；</w:t>
            </w:r>
          </w:p>
          <w:p>
            <w:pPr>
              <w:pStyle w:val="TableText"/>
              <w:ind w:left="115"/>
              <w:spacing w:before="98" w:line="218" w:lineRule="auto"/>
              <w:rPr/>
            </w:pPr>
            <w:r>
              <w:rPr>
                <w:spacing w:val="-1"/>
              </w:rPr>
              <w:t>2.环境调查与风险评估报告；</w:t>
            </w:r>
          </w:p>
          <w:p>
            <w:pPr>
              <w:pStyle w:val="TableText"/>
              <w:ind w:left="117"/>
              <w:spacing w:before="99" w:line="218" w:lineRule="auto"/>
              <w:rPr/>
            </w:pPr>
            <w:r>
              <w:rPr>
                <w:spacing w:val="-1"/>
              </w:rPr>
              <w:t>3.原废弃电器电子产品处理资格证书。</w:t>
            </w:r>
          </w:p>
        </w:tc>
        <w:tc>
          <w:tcPr>
            <w:tcW w:w="2753" w:type="dxa"/>
            <w:vAlign w:val="top"/>
          </w:tcPr>
          <w:p>
            <w:pPr>
              <w:pStyle w:val="TableText"/>
              <w:ind w:left="126"/>
              <w:spacing w:before="72" w:line="219" w:lineRule="auto"/>
              <w:rPr/>
            </w:pPr>
            <w:r>
              <w:rPr>
                <w:spacing w:val="-3"/>
              </w:rPr>
              <w:t>1.申请人申请；</w:t>
            </w:r>
          </w:p>
          <w:p>
            <w:pPr>
              <w:pStyle w:val="TableText"/>
              <w:ind w:left="116" w:right="437" w:hanging="1"/>
              <w:spacing w:before="97" w:line="307" w:lineRule="auto"/>
              <w:rPr/>
            </w:pPr>
            <w:r>
              <w:rPr>
                <w:spacing w:val="-4"/>
              </w:rPr>
              <w:t>2.审批机构受理/不予受理；</w:t>
            </w:r>
            <w:r>
              <w:rPr/>
              <w:t xml:space="preserve"> </w:t>
            </w:r>
            <w:r>
              <w:rPr>
                <w:spacing w:val="-3"/>
              </w:rPr>
              <w:t>3.公示；</w:t>
            </w:r>
          </w:p>
          <w:p>
            <w:pPr>
              <w:pStyle w:val="TableText"/>
              <w:ind w:left="116" w:right="889" w:hanging="4"/>
              <w:spacing w:before="25" w:line="306" w:lineRule="auto"/>
              <w:rPr/>
            </w:pPr>
            <w:r>
              <w:rPr>
                <w:spacing w:val="-5"/>
              </w:rPr>
              <w:t>4.审批机构材料审查；</w:t>
            </w:r>
            <w:r>
              <w:rPr/>
              <w:t xml:space="preserve"> </w:t>
            </w:r>
            <w:r>
              <w:rPr>
                <w:spacing w:val="-6"/>
              </w:rPr>
              <w:t>5.组织专家现场核查；</w:t>
            </w:r>
          </w:p>
          <w:p>
            <w:pPr>
              <w:pStyle w:val="TableText"/>
              <w:ind w:left="114"/>
              <w:spacing w:before="27" w:line="218" w:lineRule="auto"/>
              <w:rPr/>
            </w:pPr>
            <w:r>
              <w:rPr>
                <w:spacing w:val="-1"/>
              </w:rPr>
              <w:t>6.决定注销/不注销资格证书。</w:t>
            </w:r>
          </w:p>
        </w:tc>
        <w:tc>
          <w:tcPr>
            <w:tcW w:w="768" w:type="dxa"/>
            <w:vAlign w:val="top"/>
          </w:tcPr>
          <w:p>
            <w:pPr>
              <w:rPr>
                <w:rFonts w:ascii="Arial"/>
                <w:sz w:val="21"/>
              </w:rPr>
            </w:pPr>
            <w:r/>
          </w:p>
        </w:tc>
      </w:tr>
    </w:tbl>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14</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pgSz w:w="23812" w:h="16839"/>
          <w:pgMar w:top="1431" w:right="1080" w:bottom="400" w:left="1079" w:header="0" w:footer="0" w:gutter="0"/>
        </w:sectPr>
        <w:rPr>
          <w:rFonts w:ascii="SimSun" w:hAnsi="SimSun" w:eastAsia="SimSun" w:cs="SimSun"/>
          <w:sz w:val="28"/>
          <w:szCs w:val="28"/>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2409" w:hRule="atLeast"/>
        </w:trPr>
        <w:tc>
          <w:tcPr>
            <w:tcW w:w="400"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28"/>
              <w:spacing w:before="59" w:line="184" w:lineRule="auto"/>
              <w:rPr/>
            </w:pPr>
            <w:r>
              <w:rPr>
                <w:spacing w:val="-10"/>
              </w:rPr>
              <w:t>11</w:t>
            </w:r>
          </w:p>
        </w:tc>
        <w:tc>
          <w:tcPr>
            <w:tcW w:w="886" w:type="dxa"/>
            <w:vAlign w:val="top"/>
          </w:tcPr>
          <w:p>
            <w:pPr>
              <w:pStyle w:val="TableText"/>
              <w:ind w:left="179"/>
              <w:spacing w:before="177" w:line="220" w:lineRule="auto"/>
              <w:rPr/>
            </w:pPr>
            <w:r>
              <w:rPr>
                <w:spacing w:val="-4"/>
              </w:rPr>
              <w:t>一般固</w:t>
            </w:r>
          </w:p>
          <w:p>
            <w:pPr>
              <w:pStyle w:val="TableText"/>
              <w:ind w:left="176"/>
              <w:spacing w:before="97" w:line="220" w:lineRule="auto"/>
              <w:rPr/>
            </w:pPr>
            <w:r>
              <w:rPr>
                <w:spacing w:val="-3"/>
              </w:rPr>
              <w:t>体废物</w:t>
            </w:r>
          </w:p>
          <w:p>
            <w:pPr>
              <w:pStyle w:val="TableText"/>
              <w:ind w:left="176"/>
              <w:spacing w:before="97" w:line="219" w:lineRule="auto"/>
              <w:rPr/>
            </w:pPr>
            <w:r>
              <w:rPr>
                <w:spacing w:val="-3"/>
              </w:rPr>
              <w:t>跨省级</w:t>
            </w:r>
          </w:p>
          <w:p>
            <w:pPr>
              <w:pStyle w:val="TableText"/>
              <w:ind w:left="179"/>
              <w:spacing w:before="98" w:line="220" w:lineRule="auto"/>
              <w:rPr/>
            </w:pPr>
            <w:r>
              <w:rPr>
                <w:spacing w:val="-4"/>
              </w:rPr>
              <w:t>行政区</w:t>
            </w:r>
          </w:p>
          <w:p>
            <w:pPr>
              <w:pStyle w:val="TableText"/>
              <w:ind w:left="112"/>
              <w:spacing w:before="97" w:line="219" w:lineRule="auto"/>
              <w:rPr/>
            </w:pPr>
            <w:r>
              <w:rPr>
                <w:spacing w:val="-2"/>
              </w:rPr>
              <w:t>域贮存、</w:t>
            </w:r>
          </w:p>
          <w:p>
            <w:pPr>
              <w:pStyle w:val="TableText"/>
              <w:ind w:left="180"/>
              <w:spacing w:before="98" w:line="220" w:lineRule="auto"/>
              <w:rPr/>
            </w:pPr>
            <w:r>
              <w:rPr>
                <w:spacing w:val="-4"/>
              </w:rPr>
              <w:t>处置审</w:t>
            </w:r>
          </w:p>
          <w:p>
            <w:pPr>
              <w:pStyle w:val="TableText"/>
              <w:ind w:left="355"/>
              <w:spacing w:before="98" w:line="221" w:lineRule="auto"/>
              <w:rPr/>
            </w:pPr>
            <w:r>
              <w:rPr/>
              <w:t>批</w:t>
            </w:r>
          </w:p>
        </w:tc>
        <w:tc>
          <w:tcPr>
            <w:tcW w:w="763" w:type="dxa"/>
            <w:vAlign w:val="top"/>
          </w:tcPr>
          <w:p>
            <w:pPr>
              <w:pStyle w:val="TableText"/>
              <w:ind w:left="116"/>
              <w:spacing w:before="177" w:line="220" w:lineRule="auto"/>
              <w:rPr/>
            </w:pPr>
            <w:r>
              <w:rPr>
                <w:spacing w:val="-4"/>
              </w:rPr>
              <w:t>一般固</w:t>
            </w:r>
          </w:p>
          <w:p>
            <w:pPr>
              <w:pStyle w:val="TableText"/>
              <w:ind w:left="113"/>
              <w:spacing w:before="97" w:line="220" w:lineRule="auto"/>
              <w:rPr/>
            </w:pPr>
            <w:r>
              <w:rPr>
                <w:spacing w:val="-3"/>
              </w:rPr>
              <w:t>体废物</w:t>
            </w:r>
          </w:p>
          <w:p>
            <w:pPr>
              <w:pStyle w:val="TableText"/>
              <w:ind w:left="113"/>
              <w:spacing w:before="97" w:line="219" w:lineRule="auto"/>
              <w:rPr/>
            </w:pPr>
            <w:r>
              <w:rPr>
                <w:spacing w:val="-3"/>
              </w:rPr>
              <w:t>跨省级</w:t>
            </w:r>
          </w:p>
          <w:p>
            <w:pPr>
              <w:pStyle w:val="TableText"/>
              <w:ind w:left="116"/>
              <w:spacing w:before="98" w:line="220" w:lineRule="auto"/>
              <w:rPr/>
            </w:pPr>
            <w:r>
              <w:rPr>
                <w:spacing w:val="-4"/>
              </w:rPr>
              <w:t>行政区</w:t>
            </w:r>
          </w:p>
          <w:p>
            <w:pPr>
              <w:pStyle w:val="TableText"/>
              <w:ind w:left="205"/>
              <w:spacing w:before="97" w:line="219" w:lineRule="auto"/>
              <w:rPr/>
            </w:pPr>
            <w:r>
              <w:rPr>
                <w:spacing w:val="-4"/>
              </w:rPr>
              <w:t>域贮</w:t>
            </w:r>
          </w:p>
          <w:p>
            <w:pPr>
              <w:pStyle w:val="TableText"/>
              <w:ind w:left="112"/>
              <w:spacing w:before="99" w:line="219" w:lineRule="auto"/>
              <w:rPr/>
            </w:pPr>
            <w:r>
              <w:rPr>
                <w:spacing w:val="1"/>
              </w:rPr>
              <w:t>存、处</w:t>
            </w:r>
          </w:p>
          <w:p>
            <w:pPr>
              <w:pStyle w:val="TableText"/>
              <w:ind w:left="112"/>
              <w:spacing w:before="98" w:line="220" w:lineRule="auto"/>
              <w:rPr/>
            </w:pPr>
            <w:r>
              <w:rPr>
                <w:spacing w:val="-2"/>
              </w:rPr>
              <w:t>置审批</w:t>
            </w:r>
          </w:p>
        </w:tc>
        <w:tc>
          <w:tcPr>
            <w:tcW w:w="669"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59"/>
              <w:spacing w:before="59" w:line="219" w:lineRule="auto"/>
              <w:rPr/>
            </w:pPr>
            <w:r>
              <w:rPr>
                <w:spacing w:val="-5"/>
              </w:rPr>
              <w:t>省级</w:t>
            </w:r>
          </w:p>
        </w:tc>
        <w:tc>
          <w:tcPr>
            <w:tcW w:w="640"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227"/>
              <w:spacing w:before="59" w:line="183" w:lineRule="auto"/>
              <w:rPr/>
            </w:pPr>
            <w:r>
              <w:rPr>
                <w:spacing w:val="-4"/>
              </w:rPr>
              <w:t>20</w:t>
            </w:r>
          </w:p>
        </w:tc>
        <w:tc>
          <w:tcPr>
            <w:tcW w:w="355" w:type="dxa"/>
            <w:vAlign w:val="top"/>
            <w:textDirection w:val="tbRlV"/>
          </w:tcPr>
          <w:p>
            <w:pPr>
              <w:pStyle w:val="TableText"/>
              <w:ind w:left="801"/>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84" w:lineRule="auto"/>
              <w:rPr>
                <w:rFonts w:ascii="Arial"/>
                <w:sz w:val="21"/>
              </w:rPr>
            </w:pPr>
            <w:r/>
          </w:p>
          <w:p>
            <w:pPr>
              <w:spacing w:line="285" w:lineRule="auto"/>
              <w:rPr>
                <w:rFonts w:ascii="Arial"/>
                <w:sz w:val="21"/>
              </w:rPr>
            </w:pPr>
            <w:r/>
          </w:p>
          <w:p>
            <w:pPr>
              <w:pStyle w:val="TableText"/>
              <w:ind w:left="113" w:right="185" w:firstLine="3"/>
              <w:spacing w:before="58" w:line="241" w:lineRule="auto"/>
              <w:jc w:val="both"/>
              <w:rPr/>
            </w:pPr>
            <w:r>
              <w:rPr>
                <w:spacing w:val="-1"/>
              </w:rPr>
              <w:t>《中华人民共和国固体废物污染环境防治法》第二十二条转移固体废物</w:t>
            </w:r>
            <w:r>
              <w:rPr>
                <w:spacing w:val="-2"/>
              </w:rPr>
              <w:t>出省、</w:t>
            </w:r>
            <w:r>
              <w:rPr>
                <w:spacing w:val="-53"/>
              </w:rPr>
              <w:t xml:space="preserve"> </w:t>
            </w:r>
            <w:r>
              <w:rPr>
                <w:spacing w:val="-2"/>
              </w:rPr>
              <w:t>自治区、直辖市</w:t>
            </w:r>
            <w:r>
              <w:rPr/>
              <w:t xml:space="preserve"> </w:t>
            </w:r>
            <w:r>
              <w:rPr>
                <w:spacing w:val="-1"/>
              </w:rPr>
              <w:t>行政区域贮存、处置的，应当向固体废物移出地的省、</w:t>
            </w:r>
            <w:r>
              <w:rPr>
                <w:spacing w:val="-54"/>
              </w:rPr>
              <w:t xml:space="preserve"> </w:t>
            </w:r>
            <w:r>
              <w:rPr>
                <w:spacing w:val="-1"/>
              </w:rPr>
              <w:t>自治区、直辖市人民政府</w:t>
            </w:r>
            <w:r>
              <w:rPr>
                <w:spacing w:val="-2"/>
              </w:rPr>
              <w:t>生态环境主管</w:t>
            </w:r>
            <w:r>
              <w:rPr/>
              <w:t xml:space="preserve"> </w:t>
            </w:r>
            <w:r>
              <w:rPr>
                <w:spacing w:val="-1"/>
              </w:rPr>
              <w:t>部门提出申请。移出地的省、</w:t>
            </w:r>
            <w:r>
              <w:rPr>
                <w:spacing w:val="-54"/>
              </w:rPr>
              <w:t xml:space="preserve"> </w:t>
            </w:r>
            <w:r>
              <w:rPr>
                <w:spacing w:val="-1"/>
              </w:rPr>
              <w:t>自治区、直辖市人民政府生态环境主管部门应当及</w:t>
            </w:r>
            <w:r>
              <w:rPr>
                <w:spacing w:val="-2"/>
              </w:rPr>
              <w:t>时商经接受地</w:t>
            </w:r>
            <w:r>
              <w:rPr/>
              <w:t xml:space="preserve"> </w:t>
            </w:r>
            <w:r>
              <w:rPr>
                <w:spacing w:val="-1"/>
              </w:rPr>
              <w:t>的省、</w:t>
            </w:r>
            <w:r>
              <w:rPr>
                <w:spacing w:val="-54"/>
              </w:rPr>
              <w:t xml:space="preserve"> </w:t>
            </w:r>
            <w:r>
              <w:rPr>
                <w:spacing w:val="-1"/>
              </w:rPr>
              <w:t>自治区、直辖市人民政府生态环境主管部门同意后，在规定期限内批准转</w:t>
            </w:r>
            <w:r>
              <w:rPr>
                <w:spacing w:val="-2"/>
              </w:rPr>
              <w:t>移该固体废物</w:t>
            </w:r>
            <w:r>
              <w:rPr/>
              <w:t xml:space="preserve"> </w:t>
            </w:r>
            <w:r>
              <w:rPr>
                <w:spacing w:val="-2"/>
              </w:rPr>
              <w:t>出省、</w:t>
            </w:r>
            <w:r>
              <w:rPr>
                <w:spacing w:val="-49"/>
              </w:rPr>
              <w:t xml:space="preserve"> </w:t>
            </w:r>
            <w:r>
              <w:rPr>
                <w:spacing w:val="-2"/>
              </w:rPr>
              <w:t>自治区、直辖市行政区域。未经批准的，不得转移。</w:t>
            </w:r>
          </w:p>
        </w:tc>
        <w:tc>
          <w:tcPr>
            <w:tcW w:w="368" w:type="dxa"/>
            <w:vAlign w:val="top"/>
            <w:textDirection w:val="tbRlV"/>
          </w:tcPr>
          <w:p>
            <w:pPr>
              <w:pStyle w:val="TableText"/>
              <w:ind w:left="801"/>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291" w:lineRule="auto"/>
              <w:rPr>
                <w:rFonts w:ascii="Arial"/>
                <w:sz w:val="21"/>
              </w:rPr>
            </w:pPr>
            <w:r/>
          </w:p>
          <w:p>
            <w:pPr>
              <w:spacing w:line="292" w:lineRule="auto"/>
              <w:rPr>
                <w:rFonts w:ascii="Arial"/>
                <w:sz w:val="21"/>
              </w:rPr>
            </w:pPr>
            <w:r/>
          </w:p>
          <w:p>
            <w:pPr>
              <w:pStyle w:val="TableText"/>
              <w:ind w:left="142"/>
              <w:spacing w:before="58" w:line="220" w:lineRule="auto"/>
              <w:rPr/>
            </w:pPr>
            <w:r>
              <w:rPr>
                <w:spacing w:val="-2"/>
              </w:rPr>
              <w:t>关于一般固</w:t>
            </w:r>
          </w:p>
          <w:p>
            <w:pPr>
              <w:pStyle w:val="TableText"/>
              <w:ind w:left="139"/>
              <w:spacing w:before="97" w:line="219" w:lineRule="auto"/>
              <w:rPr/>
            </w:pPr>
            <w:r>
              <w:rPr>
                <w:spacing w:val="-2"/>
              </w:rPr>
              <w:t>体废物跨省</w:t>
            </w:r>
          </w:p>
          <w:p>
            <w:pPr>
              <w:pStyle w:val="TableText"/>
              <w:ind w:left="140"/>
              <w:spacing w:before="98" w:line="219" w:lineRule="auto"/>
              <w:rPr/>
            </w:pPr>
            <w:r>
              <w:rPr>
                <w:spacing w:val="-2"/>
              </w:rPr>
              <w:t>贮存、处置</w:t>
            </w:r>
          </w:p>
          <w:p>
            <w:pPr>
              <w:pStyle w:val="TableText"/>
              <w:ind w:left="235"/>
              <w:spacing w:before="98" w:line="219" w:lineRule="auto"/>
              <w:rPr/>
            </w:pPr>
            <w:r>
              <w:rPr>
                <w:spacing w:val="-3"/>
              </w:rPr>
              <w:t>意见的函</w:t>
            </w:r>
          </w:p>
        </w:tc>
        <w:tc>
          <w:tcPr>
            <w:tcW w:w="4568" w:type="dxa"/>
            <w:vAlign w:val="top"/>
          </w:tcPr>
          <w:p>
            <w:pPr>
              <w:spacing w:line="291" w:lineRule="auto"/>
              <w:rPr>
                <w:rFonts w:ascii="Arial"/>
                <w:sz w:val="21"/>
              </w:rPr>
            </w:pPr>
            <w:r/>
          </w:p>
          <w:p>
            <w:pPr>
              <w:spacing w:line="292" w:lineRule="auto"/>
              <w:rPr>
                <w:rFonts w:ascii="Arial"/>
                <w:sz w:val="21"/>
              </w:rPr>
            </w:pPr>
            <w:r/>
          </w:p>
          <w:p>
            <w:pPr>
              <w:pStyle w:val="TableText"/>
              <w:ind w:left="115" w:right="543" w:firstLine="11"/>
              <w:spacing w:before="58" w:line="305" w:lineRule="auto"/>
              <w:rPr/>
            </w:pPr>
            <w:r>
              <w:rPr>
                <w:spacing w:val="-3"/>
              </w:rPr>
              <w:t>1.河北省一般固体废物跨省移入（移出）申请表；</w:t>
            </w:r>
            <w:r>
              <w:rPr/>
              <w:t xml:space="preserve"> </w:t>
            </w:r>
            <w:r>
              <w:rPr>
                <w:spacing w:val="-1"/>
              </w:rPr>
              <w:t>2.河北省一般固体废物跨省转移实施计划；</w:t>
            </w:r>
          </w:p>
          <w:p>
            <w:pPr>
              <w:pStyle w:val="TableText"/>
              <w:ind w:left="113" w:right="136" w:firstLine="3"/>
              <w:spacing w:before="29" w:line="307" w:lineRule="auto"/>
              <w:rPr/>
            </w:pPr>
            <w:r>
              <w:rPr>
                <w:spacing w:val="-1"/>
              </w:rPr>
              <w:t>3.一般固体废物委托利用处置合同，应清晰并与原件一</w:t>
            </w:r>
            <w:r>
              <w:rPr>
                <w:spacing w:val="13"/>
              </w:rPr>
              <w:t xml:space="preserve"> </w:t>
            </w:r>
            <w:r>
              <w:rPr>
                <w:spacing w:val="-4"/>
              </w:rPr>
              <w:t>致。</w:t>
            </w:r>
          </w:p>
        </w:tc>
        <w:tc>
          <w:tcPr>
            <w:tcW w:w="2753" w:type="dxa"/>
            <w:vAlign w:val="top"/>
          </w:tcPr>
          <w:p>
            <w:pPr>
              <w:spacing w:line="273"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19" w:lineRule="auto"/>
              <w:rPr/>
            </w:pPr>
            <w:r>
              <w:rPr>
                <w:spacing w:val="-1"/>
              </w:rPr>
              <w:t>4.审批机构同意/不同意；</w:t>
            </w:r>
          </w:p>
          <w:p>
            <w:pPr>
              <w:pStyle w:val="TableText"/>
              <w:ind w:left="116" w:right="122"/>
              <w:spacing w:before="98" w:line="307" w:lineRule="auto"/>
              <w:rPr/>
            </w:pPr>
            <w:r>
              <w:rPr>
                <w:spacing w:val="-1"/>
              </w:rPr>
              <w:t>5.特殊环节：寄送征询函，等待</w:t>
            </w:r>
            <w:r>
              <w:rPr>
                <w:spacing w:val="3"/>
              </w:rPr>
              <w:t xml:space="preserve"> </w:t>
            </w:r>
            <w:r>
              <w:rPr>
                <w:spacing w:val="-1"/>
              </w:rPr>
              <w:t>外省复函(不计入审批时限）。</w:t>
            </w:r>
          </w:p>
        </w:tc>
        <w:tc>
          <w:tcPr>
            <w:tcW w:w="768" w:type="dxa"/>
            <w:vAlign w:val="top"/>
          </w:tcPr>
          <w:p>
            <w:pPr>
              <w:rPr>
                <w:rFonts w:ascii="Arial"/>
                <w:sz w:val="21"/>
              </w:rPr>
            </w:pPr>
            <w:r/>
          </w:p>
        </w:tc>
      </w:tr>
      <w:tr>
        <w:trPr>
          <w:trHeight w:val="9364" w:hRule="atLeast"/>
        </w:trPr>
        <w:tc>
          <w:tcPr>
            <w:tcW w:w="400"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28"/>
              <w:spacing w:before="59" w:line="184" w:lineRule="auto"/>
              <w:rPr/>
            </w:pPr>
            <w:r>
              <w:rPr>
                <w:spacing w:val="-10"/>
              </w:rPr>
              <w:t>12</w:t>
            </w:r>
          </w:p>
        </w:tc>
        <w:tc>
          <w:tcPr>
            <w:tcW w:w="886"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75" w:right="171" w:hanging="1"/>
              <w:spacing w:before="59" w:line="307" w:lineRule="auto"/>
              <w:rPr/>
            </w:pPr>
            <w:r>
              <w:rPr>
                <w:spacing w:val="-2"/>
              </w:rPr>
              <w:t>辐射安</w:t>
            </w:r>
            <w:r>
              <w:rPr/>
              <w:t xml:space="preserve"> </w:t>
            </w:r>
            <w:r>
              <w:rPr>
                <w:spacing w:val="-3"/>
              </w:rPr>
              <w:t>全许可</w:t>
            </w:r>
          </w:p>
        </w:tc>
        <w:tc>
          <w:tcPr>
            <w:tcW w:w="763"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2"/>
              <w:spacing w:before="59" w:line="219" w:lineRule="auto"/>
              <w:rPr/>
            </w:pPr>
            <w:r>
              <w:rPr>
                <w:spacing w:val="-2"/>
              </w:rPr>
              <w:t>辐射安</w:t>
            </w:r>
          </w:p>
          <w:p>
            <w:pPr>
              <w:pStyle w:val="TableText"/>
              <w:ind w:left="113"/>
              <w:spacing w:before="98" w:line="220" w:lineRule="auto"/>
              <w:rPr/>
            </w:pPr>
            <w:r>
              <w:rPr>
                <w:spacing w:val="-3"/>
              </w:rPr>
              <w:t>全许可</w:t>
            </w:r>
          </w:p>
          <w:p>
            <w:pPr>
              <w:pStyle w:val="TableText"/>
              <w:ind w:left="207"/>
              <w:spacing w:before="97" w:line="220" w:lineRule="auto"/>
              <w:rPr/>
            </w:pPr>
            <w:r>
              <w:rPr>
                <w:spacing w:val="-5"/>
              </w:rPr>
              <w:t>发放</w:t>
            </w:r>
          </w:p>
        </w:tc>
        <w:tc>
          <w:tcPr>
            <w:tcW w:w="66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27"/>
              <w:spacing w:before="59" w:line="183" w:lineRule="auto"/>
              <w:rPr/>
            </w:pPr>
            <w:r>
              <w:rPr>
                <w:spacing w:val="-4"/>
              </w:rPr>
              <w:t>20</w:t>
            </w:r>
          </w:p>
        </w:tc>
        <w:tc>
          <w:tcPr>
            <w:tcW w:w="355" w:type="dxa"/>
            <w:vAlign w:val="top"/>
            <w:textDirection w:val="tbRlV"/>
          </w:tcPr>
          <w:p>
            <w:pPr>
              <w:pStyle w:val="TableText"/>
              <w:ind w:left="4281"/>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pStyle w:val="TableText"/>
              <w:ind w:left="111" w:right="185" w:firstLine="13"/>
              <w:spacing w:before="32" w:line="233" w:lineRule="auto"/>
              <w:rPr/>
            </w:pPr>
            <w:r>
              <w:rPr/>
              <w:t>1.是否依法取得建设项目环境影响报告书（</w:t>
            </w:r>
            <w:r>
              <w:rPr>
                <w:spacing w:val="-1"/>
              </w:rPr>
              <w:t>表）批准文件，或者已经办理环境影响登记表备案</w:t>
            </w:r>
            <w:r>
              <w:rPr/>
              <w:t xml:space="preserve"> </w:t>
            </w:r>
            <w:r>
              <w:rPr>
                <w:spacing w:val="-3"/>
              </w:rPr>
              <w:t>手续；</w:t>
            </w:r>
          </w:p>
          <w:p>
            <w:pPr>
              <w:pStyle w:val="TableText"/>
              <w:ind w:left="113"/>
              <w:spacing w:before="26" w:line="217" w:lineRule="auto"/>
              <w:rPr/>
            </w:pPr>
            <w:r>
              <w:rPr>
                <w:spacing w:val="1"/>
              </w:rPr>
              <w:t>2.生产放射性同位素的单位，是否具备下列条件:</w:t>
            </w:r>
          </w:p>
          <w:p>
            <w:pPr>
              <w:pStyle w:val="TableText"/>
              <w:ind w:left="143"/>
              <w:spacing w:before="28" w:line="218" w:lineRule="auto"/>
              <w:rPr/>
            </w:pPr>
            <w:r>
              <w:rPr>
                <w:spacing w:val="-2"/>
              </w:rPr>
              <w:t>(1)设有专门的辐射安全与环境保护管理机构。</w:t>
            </w:r>
          </w:p>
          <w:p>
            <w:pPr>
              <w:pStyle w:val="TableText"/>
              <w:ind w:left="112" w:right="106" w:firstLine="30"/>
              <w:spacing w:before="27" w:line="234" w:lineRule="auto"/>
              <w:rPr/>
            </w:pPr>
            <w:r>
              <w:rPr>
                <w:spacing w:val="-2"/>
              </w:rPr>
              <w:t>(2)有不少于</w:t>
            </w:r>
            <w:r>
              <w:rPr>
                <w:spacing w:val="-19"/>
              </w:rPr>
              <w:t xml:space="preserve"> </w:t>
            </w:r>
            <w:r>
              <w:rPr>
                <w:spacing w:val="-2"/>
              </w:rPr>
              <w:t>5</w:t>
            </w:r>
            <w:r>
              <w:rPr>
                <w:spacing w:val="-36"/>
              </w:rPr>
              <w:t xml:space="preserve"> </w:t>
            </w:r>
            <w:r>
              <w:rPr>
                <w:spacing w:val="-2"/>
              </w:rPr>
              <w:t>名核物理、放射化学、核医学和辐射防护等相关专业的技术人员，其中具有高级</w:t>
            </w:r>
            <w:r>
              <w:rPr/>
              <w:t xml:space="preserve"> </w:t>
            </w:r>
            <w:r>
              <w:rPr>
                <w:spacing w:val="-5"/>
              </w:rPr>
              <w:t>职称的不少于</w:t>
            </w:r>
            <w:r>
              <w:rPr>
                <w:spacing w:val="-20"/>
              </w:rPr>
              <w:t xml:space="preserve"> </w:t>
            </w:r>
            <w:r>
              <w:rPr>
                <w:spacing w:val="-5"/>
              </w:rPr>
              <w:t>1</w:t>
            </w:r>
            <w:r>
              <w:rPr>
                <w:spacing w:val="-34"/>
              </w:rPr>
              <w:t xml:space="preserve"> </w:t>
            </w:r>
            <w:r>
              <w:rPr>
                <w:spacing w:val="-5"/>
              </w:rPr>
              <w:t>名。</w:t>
            </w:r>
          </w:p>
          <w:p>
            <w:pPr>
              <w:pStyle w:val="TableText"/>
              <w:ind w:left="127" w:right="185" w:hanging="15"/>
              <w:spacing w:before="23" w:line="232" w:lineRule="auto"/>
              <w:rPr/>
            </w:pPr>
            <w:r>
              <w:rPr>
                <w:spacing w:val="-1"/>
              </w:rPr>
              <w:t>生产半衰期大于</w:t>
            </w:r>
            <w:r>
              <w:rPr>
                <w:spacing w:val="-39"/>
              </w:rPr>
              <w:t xml:space="preserve"> </w:t>
            </w:r>
            <w:r>
              <w:rPr>
                <w:spacing w:val="-1"/>
              </w:rPr>
              <w:t>60</w:t>
            </w:r>
            <w:r>
              <w:rPr>
                <w:spacing w:val="-35"/>
              </w:rPr>
              <w:t xml:space="preserve"> </w:t>
            </w:r>
            <w:r>
              <w:rPr>
                <w:spacing w:val="-1"/>
              </w:rPr>
              <w:t>天的放射性同位素的单位，前项所指的专业技术人员应当不少于</w:t>
            </w:r>
            <w:r>
              <w:rPr>
                <w:spacing w:val="-34"/>
              </w:rPr>
              <w:t xml:space="preserve"> </w:t>
            </w:r>
            <w:r>
              <w:rPr>
                <w:spacing w:val="-1"/>
              </w:rPr>
              <w:t>3</w:t>
            </w:r>
            <w:r>
              <w:rPr>
                <w:spacing w:val="-2"/>
              </w:rPr>
              <w:t>0</w:t>
            </w:r>
            <w:r>
              <w:rPr>
                <w:spacing w:val="-36"/>
              </w:rPr>
              <w:t xml:space="preserve"> </w:t>
            </w:r>
            <w:r>
              <w:rPr>
                <w:spacing w:val="-2"/>
              </w:rPr>
              <w:t>名，其</w:t>
            </w:r>
            <w:r>
              <w:rPr/>
              <w:t xml:space="preserve"> </w:t>
            </w:r>
            <w:r>
              <w:rPr>
                <w:spacing w:val="-3"/>
              </w:rPr>
              <w:t>中具有高级职称的不少于</w:t>
            </w:r>
            <w:r>
              <w:rPr>
                <w:spacing w:val="-39"/>
              </w:rPr>
              <w:t xml:space="preserve"> </w:t>
            </w:r>
            <w:r>
              <w:rPr>
                <w:spacing w:val="-3"/>
              </w:rPr>
              <w:t>6</w:t>
            </w:r>
            <w:r>
              <w:rPr>
                <w:spacing w:val="-34"/>
              </w:rPr>
              <w:t xml:space="preserve"> </w:t>
            </w:r>
            <w:r>
              <w:rPr>
                <w:spacing w:val="-3"/>
              </w:rPr>
              <w:t>名。</w:t>
            </w:r>
          </w:p>
          <w:p>
            <w:pPr>
              <w:pStyle w:val="TableText"/>
              <w:ind w:left="109" w:right="106" w:firstLine="33"/>
              <w:spacing w:before="29" w:line="232" w:lineRule="auto"/>
              <w:rPr/>
            </w:pPr>
            <w:r>
              <w:rPr>
                <w:spacing w:val="-1"/>
              </w:rPr>
              <w:t>(3)从事辐射工作的人员必须通过辐射安全和防护专业知识及相关法律法规的</w:t>
            </w:r>
            <w:r>
              <w:rPr>
                <w:spacing w:val="-2"/>
              </w:rPr>
              <w:t>培训和考核，其中</w:t>
            </w:r>
            <w:r>
              <w:rPr/>
              <w:t xml:space="preserve"> </w:t>
            </w:r>
            <w:r>
              <w:rPr>
                <w:spacing w:val="-1"/>
              </w:rPr>
              <w:t>辐射安全关键岗位应当由注册核安全工程师担任。</w:t>
            </w:r>
          </w:p>
          <w:p>
            <w:pPr>
              <w:pStyle w:val="TableText"/>
              <w:ind w:left="112" w:right="127" w:firstLine="30"/>
              <w:spacing w:before="26" w:line="233" w:lineRule="auto"/>
              <w:rPr/>
            </w:pPr>
            <w:r>
              <w:rPr>
                <w:spacing w:val="-2"/>
              </w:rPr>
              <w:t>(4)有与设计生产规模相适应，满足辐射安全和防护、实体保卫要求的放射性同位素生产场所、</w:t>
            </w:r>
            <w:r>
              <w:rPr>
                <w:spacing w:val="13"/>
              </w:rPr>
              <w:t xml:space="preserve"> </w:t>
            </w:r>
            <w:r>
              <w:rPr/>
              <w:t>生产设施、暂存库或暂存设备，并拥有生产场所</w:t>
            </w:r>
            <w:r>
              <w:rPr>
                <w:spacing w:val="-1"/>
              </w:rPr>
              <w:t>和生产设施的所有权。</w:t>
            </w:r>
          </w:p>
          <w:p>
            <w:pPr>
              <w:pStyle w:val="TableText"/>
              <w:ind w:left="143"/>
              <w:spacing w:before="27" w:line="217" w:lineRule="auto"/>
              <w:rPr/>
            </w:pPr>
            <w:r>
              <w:rPr>
                <w:spacing w:val="-1"/>
              </w:rPr>
              <w:t>(5)具有符合国家相关规定要求的运输、贮存放射性同</w:t>
            </w:r>
            <w:r>
              <w:rPr>
                <w:spacing w:val="-2"/>
              </w:rPr>
              <w:t>位素的包装容器。</w:t>
            </w:r>
          </w:p>
          <w:p>
            <w:pPr>
              <w:pStyle w:val="TableText"/>
              <w:ind w:left="143"/>
              <w:spacing w:before="28" w:line="217" w:lineRule="auto"/>
              <w:rPr/>
            </w:pPr>
            <w:r>
              <w:rPr>
                <w:spacing w:val="-1"/>
              </w:rPr>
              <w:t>(6)具有符合国家放射性同位素运输要求的运输</w:t>
            </w:r>
            <w:r>
              <w:rPr>
                <w:spacing w:val="-2"/>
              </w:rPr>
              <w:t>工具，并配备有</w:t>
            </w:r>
            <w:r>
              <w:rPr>
                <w:spacing w:val="-34"/>
              </w:rPr>
              <w:t xml:space="preserve"> </w:t>
            </w:r>
            <w:r>
              <w:rPr>
                <w:spacing w:val="-2"/>
              </w:rPr>
              <w:t>5</w:t>
            </w:r>
            <w:r>
              <w:rPr>
                <w:spacing w:val="-37"/>
              </w:rPr>
              <w:t xml:space="preserve"> </w:t>
            </w:r>
            <w:r>
              <w:rPr>
                <w:spacing w:val="-2"/>
              </w:rPr>
              <w:t>年以上驾龄的专职司机。</w:t>
            </w:r>
          </w:p>
          <w:p>
            <w:pPr>
              <w:pStyle w:val="TableText"/>
              <w:ind w:left="112" w:right="106" w:firstLine="30"/>
              <w:spacing w:before="29" w:line="232" w:lineRule="auto"/>
              <w:rPr/>
            </w:pPr>
            <w:r>
              <w:rPr>
                <w:spacing w:val="-1"/>
              </w:rPr>
              <w:t>(7)配备与辐射类型和辐射水平相适应的防护用品和监测仪器，包括个人剂量</w:t>
            </w:r>
            <w:r>
              <w:rPr>
                <w:spacing w:val="-2"/>
              </w:rPr>
              <w:t>测量报警、固定式</w:t>
            </w:r>
            <w:r>
              <w:rPr/>
              <w:t xml:space="preserve"> </w:t>
            </w:r>
            <w:r>
              <w:rPr>
                <w:spacing w:val="-1"/>
              </w:rPr>
              <w:t>和便携式辐射监测、表面污染监测、流出物监测等设备。</w:t>
            </w:r>
          </w:p>
          <w:p>
            <w:pPr>
              <w:pStyle w:val="TableText"/>
              <w:ind w:left="112" w:right="106" w:firstLine="30"/>
              <w:spacing w:before="26" w:line="233" w:lineRule="auto"/>
              <w:rPr/>
            </w:pPr>
            <w:r>
              <w:rPr>
                <w:spacing w:val="-1"/>
              </w:rPr>
              <w:t>(8)建立健全的操作规程、岗位职责、辐射防护制度、安全保卫制度、设备检</w:t>
            </w:r>
            <w:r>
              <w:rPr>
                <w:spacing w:val="-2"/>
              </w:rPr>
              <w:t>修维护制度、人员</w:t>
            </w:r>
            <w:r>
              <w:rPr/>
              <w:t xml:space="preserve"> </w:t>
            </w:r>
            <w:r>
              <w:rPr>
                <w:spacing w:val="-1"/>
              </w:rPr>
              <w:t>培训制度、台账管理制度和监测方案。</w:t>
            </w:r>
          </w:p>
          <w:p>
            <w:pPr>
              <w:pStyle w:val="TableText"/>
              <w:ind w:left="112" w:right="106" w:firstLine="30"/>
              <w:spacing w:before="26" w:line="232" w:lineRule="auto"/>
              <w:rPr/>
            </w:pPr>
            <w:r>
              <w:rPr>
                <w:spacing w:val="-1"/>
              </w:rPr>
              <w:t>(9)建立事故应急响应机构，制定应急响应预案和应急人员的培训演习制度，</w:t>
            </w:r>
            <w:r>
              <w:rPr>
                <w:spacing w:val="-2"/>
              </w:rPr>
              <w:t>有必要的应急装备</w:t>
            </w:r>
            <w:r>
              <w:rPr/>
              <w:t xml:space="preserve"> </w:t>
            </w:r>
            <w:r>
              <w:rPr>
                <w:spacing w:val="-1"/>
              </w:rPr>
              <w:t>和物资准备，有与设计生产规模相适应的事故应急处理能力。</w:t>
            </w:r>
          </w:p>
          <w:p>
            <w:pPr>
              <w:pStyle w:val="TableText"/>
              <w:ind w:left="115" w:right="756" w:firstLine="28"/>
              <w:spacing w:before="27" w:line="232" w:lineRule="auto"/>
              <w:rPr/>
            </w:pPr>
            <w:r>
              <w:rPr>
                <w:spacing w:val="-2"/>
              </w:rPr>
              <w:t>(10)具有确保放射性废气、废液、固体废物达标排放的处理能力或者可行的处理方案。</w:t>
            </w:r>
            <w:r>
              <w:rPr>
                <w:spacing w:val="9"/>
              </w:rPr>
              <w:t xml:space="preserve"> </w:t>
            </w:r>
            <w:r>
              <w:rPr>
                <w:spacing w:val="1"/>
              </w:rPr>
              <w:t>3.销售放射性同位素的单位，是否具备下列条件:</w:t>
            </w:r>
          </w:p>
          <w:p>
            <w:pPr>
              <w:pStyle w:val="TableText"/>
              <w:ind w:left="112" w:right="106" w:firstLine="30"/>
              <w:spacing w:before="29" w:line="231" w:lineRule="auto"/>
              <w:rPr/>
            </w:pPr>
            <w:r>
              <w:rPr>
                <w:spacing w:val="-2"/>
              </w:rPr>
              <w:t>(1)设有专门的辐射安全与环境保护管理机构，或者至少有</w:t>
            </w:r>
            <w:r>
              <w:rPr>
                <w:spacing w:val="-19"/>
              </w:rPr>
              <w:t xml:space="preserve"> </w:t>
            </w:r>
            <w:r>
              <w:rPr>
                <w:spacing w:val="-2"/>
              </w:rPr>
              <w:t>1</w:t>
            </w:r>
            <w:r>
              <w:rPr>
                <w:spacing w:val="-36"/>
              </w:rPr>
              <w:t xml:space="preserve"> </w:t>
            </w:r>
            <w:r>
              <w:rPr>
                <w:spacing w:val="-2"/>
              </w:rPr>
              <w:t>名具有本科以上学历的技术人员专</w:t>
            </w:r>
            <w:r>
              <w:rPr/>
              <w:t xml:space="preserve"> </w:t>
            </w:r>
            <w:r>
              <w:rPr>
                <w:spacing w:val="-1"/>
              </w:rPr>
              <w:t>职负责辐射安全与环境保护管理工作。</w:t>
            </w:r>
          </w:p>
          <w:p>
            <w:pPr>
              <w:pStyle w:val="TableText"/>
              <w:ind w:left="143"/>
              <w:spacing w:before="29" w:line="218" w:lineRule="auto"/>
              <w:rPr/>
            </w:pPr>
            <w:r>
              <w:rPr>
                <w:spacing w:val="-1"/>
              </w:rPr>
              <w:t>(2)从事辐射工作的人员必须通过辐射安全和防护专业知识及相关法律法规的培训和考核。</w:t>
            </w:r>
          </w:p>
          <w:p>
            <w:pPr>
              <w:pStyle w:val="TableText"/>
              <w:ind w:left="143"/>
              <w:spacing w:before="27" w:line="216" w:lineRule="auto"/>
              <w:rPr/>
            </w:pPr>
            <w:r>
              <w:rPr>
                <w:spacing w:val="-1"/>
              </w:rPr>
              <w:t>(3)需要暂存放射性同位素的，有满足辐射安全和防护、实体保卫要求的暂存库或设备。</w:t>
            </w:r>
          </w:p>
          <w:p>
            <w:pPr>
              <w:pStyle w:val="TableText"/>
              <w:ind w:left="126" w:right="106" w:firstLine="16"/>
              <w:spacing w:before="30" w:line="231" w:lineRule="auto"/>
              <w:rPr/>
            </w:pPr>
            <w:r>
              <w:rPr>
                <w:spacing w:val="-1"/>
              </w:rPr>
              <w:t>(4)需要安装调试放射性同位素的，有满足防止误操作、防止工作人员和公众</w:t>
            </w:r>
            <w:r>
              <w:rPr>
                <w:spacing w:val="-2"/>
              </w:rPr>
              <w:t>受到意外照射要求</w:t>
            </w:r>
            <w:r>
              <w:rPr/>
              <w:t xml:space="preserve"> </w:t>
            </w:r>
            <w:r>
              <w:rPr>
                <w:spacing w:val="-3"/>
              </w:rPr>
              <w:t>的安装调试场所。</w:t>
            </w:r>
          </w:p>
          <w:p>
            <w:pPr>
              <w:pStyle w:val="TableText"/>
              <w:ind w:left="143"/>
              <w:spacing w:before="30" w:line="217" w:lineRule="auto"/>
              <w:rPr/>
            </w:pPr>
            <w:r>
              <w:rPr>
                <w:spacing w:val="-1"/>
              </w:rPr>
              <w:t>(5)具有符合国家相关规定要求的贮存、运输放射性同</w:t>
            </w:r>
            <w:r>
              <w:rPr>
                <w:spacing w:val="-2"/>
              </w:rPr>
              <w:t>位素的包装容器。</w:t>
            </w:r>
          </w:p>
          <w:p>
            <w:pPr>
              <w:pStyle w:val="TableText"/>
              <w:ind w:left="143"/>
              <w:spacing w:before="28" w:line="217" w:lineRule="auto"/>
              <w:rPr/>
            </w:pPr>
            <w:r>
              <w:rPr>
                <w:spacing w:val="-1"/>
              </w:rPr>
              <w:t>(6)运输放射性同位素能使用符合国家放射性同位素运输要</w:t>
            </w:r>
            <w:r>
              <w:rPr>
                <w:spacing w:val="-2"/>
              </w:rPr>
              <w:t>求的运输工具。</w:t>
            </w:r>
          </w:p>
          <w:p>
            <w:pPr>
              <w:pStyle w:val="TableText"/>
              <w:ind w:left="109" w:right="106" w:firstLine="33"/>
              <w:spacing w:before="28" w:line="233" w:lineRule="auto"/>
              <w:rPr/>
            </w:pPr>
            <w:r>
              <w:rPr>
                <w:spacing w:val="-1"/>
              </w:rPr>
              <w:t>(7)配备与辐射类型和辐射水平相适应的防护用品和监测仪器，包括个人剂量</w:t>
            </w:r>
            <w:r>
              <w:rPr>
                <w:spacing w:val="-2"/>
              </w:rPr>
              <w:t>测量报警、便携式</w:t>
            </w:r>
            <w:r>
              <w:rPr/>
              <w:t xml:space="preserve"> </w:t>
            </w:r>
            <w:r>
              <w:rPr>
                <w:spacing w:val="-1"/>
              </w:rPr>
              <w:t>辐射监测、表面污染监测等仪器。</w:t>
            </w:r>
          </w:p>
          <w:p>
            <w:pPr>
              <w:pStyle w:val="TableText"/>
              <w:ind w:left="110" w:right="106" w:firstLine="32"/>
              <w:spacing w:before="26" w:line="233" w:lineRule="auto"/>
              <w:rPr/>
            </w:pPr>
            <w:r>
              <w:rPr>
                <w:spacing w:val="-1"/>
              </w:rPr>
              <w:t>(8)有健全的操作规程、岗位职责、安全保卫制度、辐射防护措施、台账管理</w:t>
            </w:r>
            <w:r>
              <w:rPr>
                <w:spacing w:val="-2"/>
              </w:rPr>
              <w:t>制度、人员培训计</w:t>
            </w:r>
            <w:r>
              <w:rPr/>
              <w:t xml:space="preserve"> </w:t>
            </w:r>
            <w:r>
              <w:rPr>
                <w:spacing w:val="-1"/>
              </w:rPr>
              <w:t>划和监测方案。</w:t>
            </w:r>
          </w:p>
          <w:p>
            <w:pPr>
              <w:pStyle w:val="TableText"/>
              <w:ind w:left="143"/>
              <w:spacing w:before="26" w:line="219" w:lineRule="auto"/>
              <w:rPr/>
            </w:pPr>
            <w:r>
              <w:rPr>
                <w:spacing w:val="-3"/>
              </w:rPr>
              <w:t>(9)有完善的辐射事故应急措施。</w:t>
            </w:r>
          </w:p>
          <w:p>
            <w:pPr>
              <w:pStyle w:val="TableText"/>
              <w:ind w:left="110"/>
              <w:spacing w:before="26" w:line="217" w:lineRule="auto"/>
              <w:rPr/>
            </w:pPr>
            <w:r>
              <w:rPr>
                <w:spacing w:val="1"/>
              </w:rPr>
              <w:t>4.生产、销售射线装置的单位，是否具备下列条件:</w:t>
            </w:r>
          </w:p>
          <w:p>
            <w:pPr>
              <w:pStyle w:val="TableText"/>
              <w:ind w:left="112" w:right="106" w:firstLine="30"/>
              <w:spacing w:before="29" w:line="231" w:lineRule="auto"/>
              <w:rPr/>
            </w:pPr>
            <w:r>
              <w:rPr>
                <w:spacing w:val="-2"/>
              </w:rPr>
              <w:t>(1)设有专门的辐射安全与环境保护管理机构，或者至少有</w:t>
            </w:r>
            <w:r>
              <w:rPr>
                <w:spacing w:val="-19"/>
              </w:rPr>
              <w:t xml:space="preserve"> </w:t>
            </w:r>
            <w:r>
              <w:rPr>
                <w:spacing w:val="-2"/>
              </w:rPr>
              <w:t>1</w:t>
            </w:r>
            <w:r>
              <w:rPr>
                <w:spacing w:val="-36"/>
              </w:rPr>
              <w:t xml:space="preserve"> </w:t>
            </w:r>
            <w:r>
              <w:rPr>
                <w:spacing w:val="-2"/>
              </w:rPr>
              <w:t>名具有本科以上学历的技术人员专</w:t>
            </w:r>
            <w:r>
              <w:rPr/>
              <w:t xml:space="preserve"> </w:t>
            </w:r>
            <w:r>
              <w:rPr>
                <w:spacing w:val="-1"/>
              </w:rPr>
              <w:t>职负责辐射安全与环境保护管理工作。</w:t>
            </w:r>
          </w:p>
          <w:p>
            <w:pPr>
              <w:pStyle w:val="TableText"/>
              <w:ind w:left="143"/>
              <w:spacing w:before="30" w:line="205" w:lineRule="auto"/>
              <w:rPr/>
            </w:pPr>
            <w:r>
              <w:rPr>
                <w:spacing w:val="-1"/>
              </w:rPr>
              <w:t>(2)从事辐射工作的人员必须通过辐射安全和防护专业知识及相关法律法规的培训和考核。</w:t>
            </w:r>
          </w:p>
        </w:tc>
        <w:tc>
          <w:tcPr>
            <w:tcW w:w="368" w:type="dxa"/>
            <w:vAlign w:val="top"/>
            <w:textDirection w:val="tbRlV"/>
          </w:tcPr>
          <w:p>
            <w:pPr>
              <w:pStyle w:val="TableText"/>
              <w:ind w:left="4281"/>
              <w:spacing w:before="77" w:line="209" w:lineRule="auto"/>
              <w:rPr/>
            </w:pPr>
            <w:r>
              <w:rPr>
                <w:spacing w:val="-1"/>
              </w:rPr>
              <w:t>条</w:t>
            </w:r>
            <w:r>
              <w:rPr>
                <w:spacing w:val="43"/>
              </w:rPr>
              <w:t xml:space="preserve"> </w:t>
            </w:r>
            <w:r>
              <w:rPr>
                <w:spacing w:val="-1"/>
              </w:rPr>
              <w:t>件</w:t>
            </w:r>
            <w:r>
              <w:rPr>
                <w:spacing w:val="42"/>
                <w:w w:val="101"/>
              </w:rPr>
              <w:t xml:space="preserve"> </w:t>
            </w:r>
            <w:r>
              <w:rPr>
                <w:spacing w:val="-1"/>
              </w:rPr>
              <w:t>型</w:t>
            </w:r>
          </w:p>
        </w:tc>
        <w:tc>
          <w:tcPr>
            <w:tcW w:w="117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12" w:right="135" w:hanging="274"/>
              <w:spacing w:before="58" w:line="309" w:lineRule="auto"/>
              <w:rPr/>
            </w:pPr>
            <w:r>
              <w:rPr>
                <w:spacing w:val="-2"/>
              </w:rPr>
              <w:t>辐射安全许</w:t>
            </w:r>
            <w:r>
              <w:rPr>
                <w:spacing w:val="3"/>
              </w:rPr>
              <w:t xml:space="preserve"> </w:t>
            </w:r>
            <w:r>
              <w:rPr>
                <w:spacing w:val="-5"/>
              </w:rPr>
              <w:t>可证</w:t>
            </w:r>
          </w:p>
        </w:tc>
        <w:tc>
          <w:tcPr>
            <w:tcW w:w="4568"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27"/>
              <w:spacing w:before="59" w:line="219" w:lineRule="auto"/>
              <w:rPr/>
            </w:pPr>
            <w:r>
              <w:rPr>
                <w:spacing w:val="-2"/>
              </w:rPr>
              <w:t>1.辐射安全许可证申请表；</w:t>
            </w:r>
          </w:p>
          <w:p>
            <w:pPr>
              <w:pStyle w:val="TableText"/>
              <w:ind w:left="113" w:right="148" w:firstLine="2"/>
              <w:spacing w:before="98" w:line="306" w:lineRule="auto"/>
              <w:rPr/>
            </w:pPr>
            <w:r>
              <w:rPr>
                <w:spacing w:val="-1"/>
              </w:rPr>
              <w:t>2.满足《放射性同位素与射线装置安全许可管理办法》</w:t>
            </w:r>
            <w:r>
              <w:rPr>
                <w:spacing w:val="2"/>
              </w:rPr>
              <w:t xml:space="preserve"> </w:t>
            </w:r>
            <w:r>
              <w:rPr>
                <w:spacing w:val="-1"/>
              </w:rPr>
              <w:t>第十三条至第十六条相应规定的证明材料；</w:t>
            </w:r>
          </w:p>
          <w:p>
            <w:pPr>
              <w:pStyle w:val="TableText"/>
              <w:ind w:left="117"/>
              <w:spacing w:before="26" w:line="219" w:lineRule="auto"/>
              <w:rPr/>
            </w:pPr>
            <w:r>
              <w:rPr>
                <w:spacing w:val="-1"/>
              </w:rPr>
              <w:t>3.单位现存的和拟新增加的放射源和射线装置明细表。</w:t>
            </w:r>
          </w:p>
        </w:tc>
        <w:tc>
          <w:tcPr>
            <w:tcW w:w="275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26"/>
              <w:spacing w:before="5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77" w:hanging="4"/>
              <w:spacing w:before="26" w:line="307" w:lineRule="auto"/>
              <w:rPr/>
            </w:pPr>
            <w:r>
              <w:rPr>
                <w:spacing w:val="-4"/>
              </w:rPr>
              <w:t>4.审批机构决定核发/不予核发；</w:t>
            </w:r>
            <w:r>
              <w:rPr>
                <w:spacing w:val="10"/>
              </w:rPr>
              <w:t xml:space="preserve"> </w:t>
            </w:r>
            <w:r>
              <w:rPr>
                <w:spacing w:val="-2"/>
              </w:rPr>
              <w:t>5.制作颁发许可证；</w:t>
            </w:r>
          </w:p>
          <w:p>
            <w:pPr>
              <w:pStyle w:val="TableText"/>
              <w:ind w:left="113" w:right="60"/>
              <w:spacing w:before="25" w:line="311" w:lineRule="auto"/>
              <w:jc w:val="both"/>
              <w:rPr/>
            </w:pPr>
            <w:r>
              <w:rPr>
                <w:spacing w:val="-4"/>
              </w:rPr>
              <w:t>6.特殊环节（部分情况下开展</w:t>
            </w:r>
            <w:r>
              <w:rPr>
                <w:spacing w:val="-36"/>
              </w:rPr>
              <w:t>）：</w:t>
            </w:r>
            <w:r>
              <w:rPr/>
              <w:t xml:space="preserve"> </w:t>
            </w:r>
            <w:r>
              <w:rPr>
                <w:spacing w:val="-1"/>
              </w:rPr>
              <w:t>技术审评、现场核查、专家评审</w:t>
            </w:r>
            <w:r>
              <w:rPr>
                <w:spacing w:val="5"/>
              </w:rPr>
              <w:t xml:space="preserve"> </w:t>
            </w:r>
            <w:r>
              <w:rPr>
                <w:spacing w:val="-1"/>
              </w:rPr>
              <w:t>等所需时间不计入审批时限。</w:t>
            </w:r>
          </w:p>
        </w:tc>
        <w:tc>
          <w:tcPr>
            <w:tcW w:w="768" w:type="dxa"/>
            <w:vAlign w:val="top"/>
          </w:tcPr>
          <w:p>
            <w:pPr>
              <w:rPr>
                <w:rFonts w:ascii="Arial"/>
                <w:sz w:val="21"/>
              </w:rPr>
            </w:pPr>
            <w:r/>
          </w:p>
        </w:tc>
      </w:tr>
    </w:tbl>
    <w:p>
      <w:pPr>
        <w:pStyle w:val="BodyText"/>
        <w:spacing w:line="310" w:lineRule="auto"/>
        <w:rPr/>
      </w:pPr>
      <w:r/>
    </w:p>
    <w:p>
      <w:pPr>
        <w:pStyle w:val="BodyText"/>
        <w:spacing w:line="310"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15</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pgSz w:w="23812" w:h="16839"/>
          <w:pgMar w:top="1431" w:right="1080" w:bottom="400" w:left="1079" w:header="0" w:footer="0" w:gutter="0"/>
        </w:sectPr>
        <w:rPr>
          <w:rFonts w:ascii="SimSun" w:hAnsi="SimSun" w:eastAsia="SimSun" w:cs="SimSun"/>
          <w:sz w:val="28"/>
          <w:szCs w:val="28"/>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6962" w:hRule="atLeast"/>
        </w:trPr>
        <w:tc>
          <w:tcPr>
            <w:tcW w:w="400" w:type="dxa"/>
            <w:vAlign w:val="top"/>
          </w:tcPr>
          <w:p>
            <w:pPr>
              <w:rPr>
                <w:rFonts w:ascii="Arial"/>
                <w:sz w:val="21"/>
              </w:rPr>
            </w:pPr>
            <w:r/>
          </w:p>
        </w:tc>
        <w:tc>
          <w:tcPr>
            <w:tcW w:w="886" w:type="dxa"/>
            <w:vAlign w:val="top"/>
          </w:tcPr>
          <w:p>
            <w:pPr>
              <w:rPr>
                <w:rFonts w:ascii="Arial"/>
                <w:sz w:val="21"/>
              </w:rPr>
            </w:pPr>
            <w:r/>
          </w:p>
        </w:tc>
        <w:tc>
          <w:tcPr>
            <w:tcW w:w="763" w:type="dxa"/>
            <w:vAlign w:val="top"/>
          </w:tcPr>
          <w:p>
            <w:pPr>
              <w:rPr>
                <w:rFonts w:ascii="Arial"/>
                <w:sz w:val="21"/>
              </w:rPr>
            </w:pPr>
            <w:r/>
          </w:p>
        </w:tc>
        <w:tc>
          <w:tcPr>
            <w:tcW w:w="669" w:type="dxa"/>
            <w:vAlign w:val="top"/>
          </w:tcPr>
          <w:p>
            <w:pPr>
              <w:rPr>
                <w:rFonts w:ascii="Arial"/>
                <w:sz w:val="21"/>
              </w:rPr>
            </w:pPr>
            <w:r/>
          </w:p>
        </w:tc>
        <w:tc>
          <w:tcPr>
            <w:tcW w:w="640" w:type="dxa"/>
            <w:vAlign w:val="top"/>
          </w:tcPr>
          <w:p>
            <w:pPr>
              <w:rPr>
                <w:rFonts w:ascii="Arial"/>
                <w:sz w:val="21"/>
              </w:rPr>
            </w:pPr>
            <w:r/>
          </w:p>
        </w:tc>
        <w:tc>
          <w:tcPr>
            <w:tcW w:w="628" w:type="dxa"/>
            <w:vAlign w:val="top"/>
          </w:tcPr>
          <w:p>
            <w:pPr>
              <w:rPr>
                <w:rFonts w:ascii="Arial"/>
                <w:sz w:val="21"/>
              </w:rPr>
            </w:pPr>
            <w:r/>
          </w:p>
        </w:tc>
        <w:tc>
          <w:tcPr>
            <w:tcW w:w="355" w:type="dxa"/>
            <w:vAlign w:val="top"/>
          </w:tcPr>
          <w:p>
            <w:pPr>
              <w:rPr>
                <w:rFonts w:ascii="Arial"/>
                <w:sz w:val="21"/>
              </w:rPr>
            </w:pPr>
            <w:r/>
          </w:p>
        </w:tc>
        <w:tc>
          <w:tcPr>
            <w:tcW w:w="7675" w:type="dxa"/>
            <w:vAlign w:val="top"/>
          </w:tcPr>
          <w:p>
            <w:pPr>
              <w:pStyle w:val="TableText"/>
              <w:ind w:left="143"/>
              <w:spacing w:before="33" w:line="216" w:lineRule="auto"/>
              <w:rPr/>
            </w:pPr>
            <w:r>
              <w:rPr>
                <w:spacing w:val="-1"/>
              </w:rPr>
              <w:t>(3)射线装置生产、调试场所满足防止误操作、防止工作人员和公众受到意外照射的安全要求。</w:t>
            </w:r>
          </w:p>
          <w:p>
            <w:pPr>
              <w:pStyle w:val="TableText"/>
              <w:ind w:left="143"/>
              <w:spacing w:before="29" w:line="219" w:lineRule="auto"/>
              <w:rPr/>
            </w:pPr>
            <w:r>
              <w:rPr>
                <w:spacing w:val="-3"/>
              </w:rPr>
              <w:t>(4)配备必要的防护用品和监测仪器。</w:t>
            </w:r>
          </w:p>
          <w:p>
            <w:pPr>
              <w:pStyle w:val="TableText"/>
              <w:ind w:left="143"/>
              <w:spacing w:before="26" w:line="216" w:lineRule="auto"/>
              <w:rPr/>
            </w:pPr>
            <w:r>
              <w:rPr>
                <w:spacing w:val="-1"/>
              </w:rPr>
              <w:t>(5)有健全的操作规程、岗位职责、辐射防护措施、台账管理制度、培训计划和监测方案。</w:t>
            </w:r>
          </w:p>
          <w:p>
            <w:pPr>
              <w:pStyle w:val="TableText"/>
              <w:ind w:left="143"/>
              <w:spacing w:before="29" w:line="219" w:lineRule="auto"/>
              <w:rPr/>
            </w:pPr>
            <w:r>
              <w:rPr>
                <w:spacing w:val="-4"/>
              </w:rPr>
              <w:t>(6)有辐射事故应急措施。</w:t>
            </w:r>
          </w:p>
          <w:p>
            <w:pPr>
              <w:pStyle w:val="TableText"/>
              <w:ind w:left="115"/>
              <w:spacing w:before="26" w:line="217" w:lineRule="auto"/>
              <w:rPr/>
            </w:pPr>
            <w:r>
              <w:rPr>
                <w:spacing w:val="1"/>
              </w:rPr>
              <w:t>5.使用放射性同位素、射线装置的单位，是否具</w:t>
            </w:r>
            <w:r>
              <w:rPr/>
              <w:t>备下列条件:</w:t>
            </w:r>
          </w:p>
          <w:p>
            <w:pPr>
              <w:pStyle w:val="TableText"/>
              <w:ind w:left="111" w:right="106" w:firstLine="31"/>
              <w:spacing w:before="27" w:line="241" w:lineRule="auto"/>
              <w:rPr/>
            </w:pPr>
            <w:r>
              <w:rPr>
                <w:spacing w:val="-6"/>
              </w:rPr>
              <w:t>(1)使用</w:t>
            </w:r>
            <w:r>
              <w:rPr>
                <w:spacing w:val="-20"/>
              </w:rPr>
              <w:t xml:space="preserve"> </w:t>
            </w:r>
            <w:r>
              <w:rPr>
                <w:spacing w:val="-6"/>
              </w:rPr>
              <w:t>Ⅰ类、</w:t>
            </w:r>
            <w:r>
              <w:rPr>
                <w:spacing w:val="-54"/>
              </w:rPr>
              <w:t xml:space="preserve"> </w:t>
            </w:r>
            <w:r>
              <w:rPr>
                <w:spacing w:val="-6"/>
              </w:rPr>
              <w:t>Ⅱ类、Ⅲ类放射源，使用</w:t>
            </w:r>
            <w:r>
              <w:rPr>
                <w:spacing w:val="-25"/>
              </w:rPr>
              <w:t xml:space="preserve"> </w:t>
            </w:r>
            <w:r>
              <w:rPr>
                <w:spacing w:val="-6"/>
              </w:rPr>
              <w:t>Ⅰ类、</w:t>
            </w:r>
            <w:r>
              <w:rPr>
                <w:spacing w:val="-54"/>
              </w:rPr>
              <w:t xml:space="preserve"> </w:t>
            </w:r>
            <w:r>
              <w:rPr>
                <w:spacing w:val="-6"/>
              </w:rPr>
              <w:t>Ⅱ类射线装置的，应当设有专门的辐射安全与环</w:t>
            </w:r>
            <w:r>
              <w:rPr/>
              <w:t xml:space="preserve"> </w:t>
            </w:r>
            <w:r>
              <w:rPr>
                <w:spacing w:val="-1"/>
              </w:rPr>
              <w:t>境保护管理机构，或者至少有</w:t>
            </w:r>
            <w:r>
              <w:rPr>
                <w:spacing w:val="-24"/>
              </w:rPr>
              <w:t xml:space="preserve"> </w:t>
            </w:r>
            <w:r>
              <w:rPr>
                <w:spacing w:val="-1"/>
              </w:rPr>
              <w:t>1</w:t>
            </w:r>
            <w:r>
              <w:rPr>
                <w:spacing w:val="-34"/>
              </w:rPr>
              <w:t xml:space="preserve"> </w:t>
            </w:r>
            <w:r>
              <w:rPr>
                <w:spacing w:val="-1"/>
              </w:rPr>
              <w:t>名具有本科以上学历的技术人员专职负责辐射安全与环境保护</w:t>
            </w:r>
            <w:r>
              <w:rPr/>
              <w:t xml:space="preserve">  </w:t>
            </w:r>
            <w:r>
              <w:rPr>
                <w:spacing w:val="-1"/>
              </w:rPr>
              <w:t>管理工作；其他辐射工作单位应当有</w:t>
            </w:r>
            <w:r>
              <w:rPr>
                <w:spacing w:val="-24"/>
              </w:rPr>
              <w:t xml:space="preserve"> </w:t>
            </w:r>
            <w:r>
              <w:rPr>
                <w:spacing w:val="-1"/>
              </w:rPr>
              <w:t>1</w:t>
            </w:r>
            <w:r>
              <w:rPr>
                <w:spacing w:val="-34"/>
              </w:rPr>
              <w:t xml:space="preserve"> </w:t>
            </w:r>
            <w:r>
              <w:rPr>
                <w:spacing w:val="-1"/>
              </w:rPr>
              <w:t>名具有大专以上学历的技术人员专职或者兼职负责辐射</w:t>
            </w:r>
            <w:r>
              <w:rPr/>
              <w:t xml:space="preserve">  </w:t>
            </w:r>
            <w:r>
              <w:rPr/>
              <w:t>安全与环境保护管理工作；依据辐射安全关键岗位名录，应当设立辐射安</w:t>
            </w:r>
            <w:r>
              <w:rPr>
                <w:spacing w:val="-1"/>
              </w:rPr>
              <w:t>全关键岗位的，该岗</w:t>
            </w:r>
            <w:r>
              <w:rPr/>
              <w:t xml:space="preserve">  </w:t>
            </w:r>
            <w:r>
              <w:rPr>
                <w:spacing w:val="-1"/>
              </w:rPr>
              <w:t>位应当由注册核安全工程师担任。</w:t>
            </w:r>
          </w:p>
          <w:p>
            <w:pPr>
              <w:pStyle w:val="TableText"/>
              <w:ind w:left="143"/>
              <w:spacing w:before="26" w:line="218" w:lineRule="auto"/>
              <w:rPr/>
            </w:pPr>
            <w:r>
              <w:rPr>
                <w:spacing w:val="-1"/>
              </w:rPr>
              <w:t>(2)从事辐射工作的人员必须通过辐射安全和防护专业知识及相关法律法规的培训和考核。</w:t>
            </w:r>
          </w:p>
          <w:p>
            <w:pPr>
              <w:pStyle w:val="TableText"/>
              <w:ind w:left="143"/>
              <w:spacing w:before="27" w:line="216" w:lineRule="auto"/>
              <w:rPr/>
            </w:pPr>
            <w:r>
              <w:rPr>
                <w:spacing w:val="-1"/>
              </w:rPr>
              <w:t>(3)使用放射性同位素的单位应当有满足辐射防护和实体保卫要求的放射源暂存库或设备。</w:t>
            </w:r>
          </w:p>
          <w:p>
            <w:pPr>
              <w:pStyle w:val="TableText"/>
              <w:ind w:left="111" w:right="106" w:firstLine="31"/>
              <w:spacing w:before="30" w:line="233" w:lineRule="auto"/>
              <w:rPr/>
            </w:pPr>
            <w:r>
              <w:rPr>
                <w:spacing w:val="-1"/>
              </w:rPr>
              <w:t>(4)放射性同位素与射线装置使用场所有防止误操作、防止工作人员和公众受</w:t>
            </w:r>
            <w:r>
              <w:rPr>
                <w:spacing w:val="-2"/>
              </w:rPr>
              <w:t>到意外照射的安全</w:t>
            </w:r>
            <w:r>
              <w:rPr/>
              <w:t xml:space="preserve"> </w:t>
            </w:r>
            <w:r>
              <w:rPr>
                <w:spacing w:val="-3"/>
              </w:rPr>
              <w:t>措施。</w:t>
            </w:r>
          </w:p>
          <w:p>
            <w:pPr>
              <w:pStyle w:val="TableText"/>
              <w:ind w:left="112" w:right="106" w:firstLine="30"/>
              <w:spacing w:before="25" w:line="233" w:lineRule="auto"/>
              <w:rPr/>
            </w:pPr>
            <w:r>
              <w:rPr>
                <w:spacing w:val="-1"/>
              </w:rPr>
              <w:t>(5)配备与辐射类型和辐射水平相适应的防护用品和监测仪器，包括个人剂量</w:t>
            </w:r>
            <w:r>
              <w:rPr>
                <w:spacing w:val="-2"/>
              </w:rPr>
              <w:t>测量报警、辐射监</w:t>
            </w:r>
            <w:r>
              <w:rPr/>
              <w:t xml:space="preserve"> </w:t>
            </w:r>
            <w:r>
              <w:rPr/>
              <w:t>测等仪器。使用非密封放射性物质的单位还应当</w:t>
            </w:r>
            <w:r>
              <w:rPr>
                <w:spacing w:val="-1"/>
              </w:rPr>
              <w:t>有表面污染监测仪。</w:t>
            </w:r>
          </w:p>
          <w:p>
            <w:pPr>
              <w:pStyle w:val="TableText"/>
              <w:ind w:left="113" w:right="106" w:firstLine="29"/>
              <w:spacing w:before="26" w:line="233" w:lineRule="auto"/>
              <w:rPr/>
            </w:pPr>
            <w:r>
              <w:rPr>
                <w:spacing w:val="-1"/>
              </w:rPr>
              <w:t>(6)有健全的操作规程、岗位职责、辐射防护和安全保卫制度、设备检修维护</w:t>
            </w:r>
            <w:r>
              <w:rPr>
                <w:spacing w:val="-2"/>
              </w:rPr>
              <w:t>制度、放射性同位</w:t>
            </w:r>
            <w:r>
              <w:rPr/>
              <w:t xml:space="preserve"> </w:t>
            </w:r>
            <w:r>
              <w:rPr>
                <w:spacing w:val="-1"/>
              </w:rPr>
              <w:t>素使用登记制度、人员培训计划、监测方案等。</w:t>
            </w:r>
          </w:p>
          <w:p>
            <w:pPr>
              <w:pStyle w:val="TableText"/>
              <w:ind w:left="143"/>
              <w:spacing w:before="26" w:line="219" w:lineRule="auto"/>
              <w:rPr/>
            </w:pPr>
            <w:r>
              <w:rPr>
                <w:spacing w:val="-3"/>
              </w:rPr>
              <w:t>(7)有完善的辐射事故应急措施。</w:t>
            </w:r>
          </w:p>
          <w:p>
            <w:pPr>
              <w:pStyle w:val="TableText"/>
              <w:ind w:left="126" w:right="106" w:firstLine="16"/>
              <w:spacing w:before="26" w:line="233" w:lineRule="auto"/>
              <w:rPr/>
            </w:pPr>
            <w:r>
              <w:rPr>
                <w:spacing w:val="-1"/>
              </w:rPr>
              <w:t>(8)产生放射性废气、废液、固体废物的，还应具有确保放射性废气、废液、</w:t>
            </w:r>
            <w:r>
              <w:rPr>
                <w:spacing w:val="-2"/>
              </w:rPr>
              <w:t>固体废物达标排放</w:t>
            </w:r>
            <w:r>
              <w:rPr/>
              <w:t xml:space="preserve"> </w:t>
            </w:r>
            <w:r>
              <w:rPr>
                <w:spacing w:val="-2"/>
              </w:rPr>
              <w:t>的处理能力或者可行的处理方案。</w:t>
            </w:r>
          </w:p>
          <w:p>
            <w:pPr>
              <w:pStyle w:val="TableText"/>
              <w:ind w:left="111" w:right="185"/>
              <w:spacing w:before="25" w:line="238" w:lineRule="auto"/>
              <w:jc w:val="both"/>
              <w:rPr/>
            </w:pPr>
            <w:r>
              <w:rPr/>
              <w:t>使用放射性同位素和射线装置开展诊断和治疗的单位，还应当配备质量控</w:t>
            </w:r>
            <w:r>
              <w:rPr>
                <w:spacing w:val="-1"/>
              </w:rPr>
              <w:t>制检测设备，制定相</w:t>
            </w:r>
            <w:r>
              <w:rPr/>
              <w:t xml:space="preserve"> </w:t>
            </w:r>
            <w:r>
              <w:rPr/>
              <w:t>应的质量保证大纲和质量控制检测计划，至少有一名医用物理人员负责质</w:t>
            </w:r>
            <w:r>
              <w:rPr>
                <w:spacing w:val="-1"/>
              </w:rPr>
              <w:t>量保证与质量控制检</w:t>
            </w:r>
            <w:r>
              <w:rPr/>
              <w:t xml:space="preserve"> </w:t>
            </w:r>
            <w:r>
              <w:rPr>
                <w:spacing w:val="-2"/>
              </w:rPr>
              <w:t>测工作。</w:t>
            </w:r>
          </w:p>
          <w:p>
            <w:pPr>
              <w:pStyle w:val="TableText"/>
              <w:ind w:left="113" w:right="185" w:hanging="1"/>
              <w:spacing w:before="25" w:line="233" w:lineRule="auto"/>
              <w:rPr/>
            </w:pPr>
            <w:r>
              <w:rPr/>
              <w:t>6.生产、销售、使用放射性同位素和射线装置的单位被责令限期整改，</w:t>
            </w:r>
            <w:r>
              <w:rPr>
                <w:spacing w:val="-1"/>
              </w:rPr>
              <w:t>是否按期整改，经整改</w:t>
            </w:r>
            <w:r>
              <w:rPr/>
              <w:t xml:space="preserve"> </w:t>
            </w:r>
            <w:r>
              <w:rPr>
                <w:spacing w:val="-1"/>
              </w:rPr>
              <w:t>是否符合原发证条件。</w:t>
            </w:r>
          </w:p>
          <w:p>
            <w:pPr>
              <w:pStyle w:val="TableText"/>
              <w:ind w:left="114" w:right="185" w:firstLine="1"/>
              <w:spacing w:before="26" w:line="231" w:lineRule="auto"/>
              <w:rPr/>
            </w:pPr>
            <w:r>
              <w:rPr/>
              <w:t>7.生产放射性同位素的场所、产生放射性污染的放射性同位素销</w:t>
            </w:r>
            <w:r>
              <w:rPr>
                <w:spacing w:val="-1"/>
              </w:rPr>
              <w:t>售和使用场所、产生放射性污</w:t>
            </w:r>
            <w:r>
              <w:rPr/>
              <w:t xml:space="preserve"> </w:t>
            </w:r>
            <w:r>
              <w:rPr>
                <w:spacing w:val="-1"/>
              </w:rPr>
              <w:t>染的射线装置及其场所，终结运行后是否依法实施退役。</w:t>
            </w:r>
          </w:p>
          <w:p>
            <w:pPr>
              <w:pStyle w:val="TableText"/>
              <w:ind w:left="112"/>
              <w:spacing w:before="29" w:line="204" w:lineRule="auto"/>
              <w:rPr/>
            </w:pPr>
            <w:r>
              <w:rPr>
                <w:spacing w:val="-1"/>
              </w:rPr>
              <w:t>8.法律规定其他应核验的内容。</w:t>
            </w:r>
          </w:p>
        </w:tc>
        <w:tc>
          <w:tcPr>
            <w:tcW w:w="368" w:type="dxa"/>
            <w:vAlign w:val="top"/>
          </w:tcPr>
          <w:p>
            <w:pPr>
              <w:rPr>
                <w:rFonts w:ascii="Arial"/>
                <w:sz w:val="21"/>
              </w:rPr>
            </w:pPr>
            <w:r/>
          </w:p>
        </w:tc>
        <w:tc>
          <w:tcPr>
            <w:tcW w:w="1173" w:type="dxa"/>
            <w:vAlign w:val="top"/>
          </w:tcPr>
          <w:p>
            <w:pPr>
              <w:rPr>
                <w:rFonts w:ascii="Arial"/>
                <w:sz w:val="21"/>
              </w:rPr>
            </w:pPr>
            <w:r/>
          </w:p>
        </w:tc>
        <w:tc>
          <w:tcPr>
            <w:tcW w:w="4568" w:type="dxa"/>
            <w:vAlign w:val="top"/>
          </w:tcPr>
          <w:p>
            <w:pPr>
              <w:rPr>
                <w:rFonts w:ascii="Arial"/>
                <w:sz w:val="21"/>
              </w:rPr>
            </w:pPr>
            <w:r/>
          </w:p>
        </w:tc>
        <w:tc>
          <w:tcPr>
            <w:tcW w:w="2753" w:type="dxa"/>
            <w:vAlign w:val="top"/>
          </w:tcPr>
          <w:p>
            <w:pPr>
              <w:rPr>
                <w:rFonts w:ascii="Arial"/>
                <w:sz w:val="21"/>
              </w:rPr>
            </w:pPr>
            <w:r/>
          </w:p>
        </w:tc>
        <w:tc>
          <w:tcPr>
            <w:tcW w:w="768" w:type="dxa"/>
            <w:vAlign w:val="top"/>
          </w:tcPr>
          <w:p>
            <w:pPr>
              <w:rPr>
                <w:rFonts w:ascii="Arial"/>
                <w:sz w:val="21"/>
              </w:rPr>
            </w:pPr>
            <w:r/>
          </w:p>
        </w:tc>
      </w:tr>
      <w:tr>
        <w:trPr>
          <w:trHeight w:val="2500" w:hRule="atLeast"/>
        </w:trPr>
        <w:tc>
          <w:tcPr>
            <w:tcW w:w="400" w:type="dxa"/>
            <w:vAlign w:val="top"/>
            <w:vMerge w:val="restart"/>
            <w:tcBorders>
              <w:bottom w:val="nil"/>
            </w:tcBorders>
          </w:tcPr>
          <w:p>
            <w:pPr>
              <w:rPr>
                <w:rFonts w:ascii="Arial"/>
                <w:sz w:val="21"/>
              </w:rPr>
            </w:pPr>
            <w:r/>
          </w:p>
        </w:tc>
        <w:tc>
          <w:tcPr>
            <w:tcW w:w="886" w:type="dxa"/>
            <w:vAlign w:val="top"/>
            <w:vMerge w:val="restart"/>
            <w:tcBorders>
              <w:bottom w:val="nil"/>
            </w:tcBorders>
          </w:tcPr>
          <w:p>
            <w:pPr>
              <w:rPr>
                <w:rFonts w:ascii="Arial"/>
                <w:sz w:val="21"/>
              </w:rPr>
            </w:pPr>
            <w:r/>
          </w:p>
        </w:tc>
        <w:tc>
          <w:tcPr>
            <w:tcW w:w="763"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3" w:right="111" w:hanging="1"/>
              <w:spacing w:before="58" w:line="311" w:lineRule="auto"/>
              <w:jc w:val="both"/>
              <w:rPr/>
            </w:pPr>
            <w:r>
              <w:rPr>
                <w:spacing w:val="-2"/>
              </w:rPr>
              <w:t>辐射安</w:t>
            </w:r>
            <w:r>
              <w:rPr/>
              <w:t xml:space="preserve"> </w:t>
            </w:r>
            <w:r>
              <w:rPr>
                <w:spacing w:val="-3"/>
              </w:rPr>
              <w:t>全许可</w:t>
            </w:r>
            <w:r>
              <w:rPr/>
              <w:t xml:space="preserve"> </w:t>
            </w:r>
            <w:r>
              <w:rPr>
                <w:spacing w:val="-3"/>
              </w:rPr>
              <w:t>证延续</w:t>
            </w:r>
          </w:p>
        </w:tc>
        <w:tc>
          <w:tcPr>
            <w:tcW w:w="669" w:type="dxa"/>
            <w:vAlign w:val="top"/>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pStyle w:val="TableText"/>
              <w:ind w:left="160" w:right="154" w:hanging="1"/>
              <w:spacing w:before="58" w:line="307" w:lineRule="auto"/>
              <w:rPr/>
            </w:pPr>
            <w:r>
              <w:rPr>
                <w:spacing w:val="-5"/>
              </w:rPr>
              <w:t>省级</w:t>
            </w:r>
            <w:r>
              <w:rPr/>
              <w:t xml:space="preserve"> </w:t>
            </w:r>
            <w:r>
              <w:rPr>
                <w:spacing w:val="-6"/>
              </w:rPr>
              <w:t>市级</w:t>
            </w:r>
          </w:p>
        </w:tc>
        <w:tc>
          <w:tcPr>
            <w:tcW w:w="640"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851"/>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spacing w:line="251" w:lineRule="auto"/>
              <w:rPr>
                <w:rFonts w:ascii="Arial"/>
                <w:sz w:val="21"/>
              </w:rPr>
            </w:pPr>
            <w:r/>
          </w:p>
          <w:p>
            <w:pPr>
              <w:spacing w:line="251" w:lineRule="auto"/>
              <w:rPr>
                <w:rFonts w:ascii="Arial"/>
                <w:sz w:val="21"/>
              </w:rPr>
            </w:pPr>
            <w:r/>
          </w:p>
          <w:p>
            <w:pPr>
              <w:pStyle w:val="TableText"/>
              <w:ind w:left="112" w:right="60" w:firstLine="12"/>
              <w:spacing w:before="58" w:line="233" w:lineRule="auto"/>
              <w:rPr/>
            </w:pPr>
            <w:r>
              <w:rPr>
                <w:spacing w:val="-2"/>
              </w:rPr>
              <w:t>1.个人剂量监测、工作场所和环境监测以及其他与项目有关的监测报告是否符合相关技术规范，</w:t>
            </w:r>
            <w:r>
              <w:rPr>
                <w:spacing w:val="9"/>
              </w:rPr>
              <w:t xml:space="preserve"> </w:t>
            </w:r>
            <w:r>
              <w:rPr>
                <w:spacing w:val="-1"/>
              </w:rPr>
              <w:t>监测数值是否超出国家规定限值；</w:t>
            </w:r>
          </w:p>
          <w:p>
            <w:pPr>
              <w:pStyle w:val="TableText"/>
              <w:ind w:left="113"/>
              <w:spacing w:before="26" w:line="219" w:lineRule="auto"/>
              <w:rPr/>
            </w:pPr>
            <w:r>
              <w:rPr>
                <w:spacing w:val="-1"/>
              </w:rPr>
              <w:t>2.许可证有效期内的辐射安全防护工作总结是否全面、准确；</w:t>
            </w:r>
          </w:p>
          <w:p>
            <w:pPr>
              <w:pStyle w:val="TableText"/>
              <w:ind w:left="114" w:right="185"/>
              <w:spacing w:before="25" w:line="233" w:lineRule="auto"/>
              <w:rPr/>
            </w:pPr>
            <w:r>
              <w:rPr/>
              <w:t>3.生产、销售、使用放射性同位素和射线装置的单位被责令限期整</w:t>
            </w:r>
            <w:r>
              <w:rPr>
                <w:spacing w:val="-1"/>
              </w:rPr>
              <w:t>改，是否按期整改，经整改</w:t>
            </w:r>
            <w:r>
              <w:rPr/>
              <w:t xml:space="preserve"> </w:t>
            </w:r>
            <w:r>
              <w:rPr>
                <w:spacing w:val="-1"/>
              </w:rPr>
              <w:t>是否符合原发证条件；</w:t>
            </w:r>
          </w:p>
          <w:p>
            <w:pPr>
              <w:pStyle w:val="TableText"/>
              <w:ind w:left="110"/>
              <w:spacing w:before="26" w:line="217" w:lineRule="auto"/>
              <w:rPr/>
            </w:pPr>
            <w:r>
              <w:rPr>
                <w:spacing w:val="-1"/>
              </w:rPr>
              <w:t>4.法律规定其他应核验的内容。</w:t>
            </w:r>
          </w:p>
        </w:tc>
        <w:tc>
          <w:tcPr>
            <w:tcW w:w="368" w:type="dxa"/>
            <w:vAlign w:val="top"/>
            <w:textDirection w:val="tbRlV"/>
          </w:tcPr>
          <w:p>
            <w:pPr>
              <w:pStyle w:val="TableText"/>
              <w:ind w:left="851"/>
              <w:spacing w:before="77" w:line="209" w:lineRule="auto"/>
              <w:rPr/>
            </w:pPr>
            <w:r>
              <w:rPr>
                <w:spacing w:val="-1"/>
              </w:rPr>
              <w:t>条</w:t>
            </w:r>
            <w:r>
              <w:rPr>
                <w:spacing w:val="43"/>
              </w:rPr>
              <w:t xml:space="preserve"> </w:t>
            </w:r>
            <w:r>
              <w:rPr>
                <w:spacing w:val="-1"/>
              </w:rPr>
              <w:t>件</w:t>
            </w:r>
            <w:r>
              <w:rPr>
                <w:spacing w:val="42"/>
                <w:w w:val="101"/>
              </w:rPr>
              <w:t xml:space="preserve"> </w:t>
            </w:r>
            <w:r>
              <w:rPr>
                <w:spacing w:val="-1"/>
              </w:rPr>
              <w:t>型</w:t>
            </w:r>
          </w:p>
        </w:tc>
        <w:tc>
          <w:tcPr>
            <w:tcW w:w="1173" w:type="dxa"/>
            <w:vAlign w:val="top"/>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412" w:right="135" w:hanging="274"/>
              <w:spacing w:before="59" w:line="309" w:lineRule="auto"/>
              <w:rPr/>
            </w:pPr>
            <w:r>
              <w:rPr>
                <w:spacing w:val="-2"/>
              </w:rPr>
              <w:t>辐射安全许</w:t>
            </w:r>
            <w:r>
              <w:rPr>
                <w:spacing w:val="3"/>
              </w:rPr>
              <w:t xml:space="preserve"> </w:t>
            </w:r>
            <w:r>
              <w:rPr>
                <w:spacing w:val="-5"/>
              </w:rPr>
              <w:t>可证</w:t>
            </w:r>
          </w:p>
        </w:tc>
        <w:tc>
          <w:tcPr>
            <w:tcW w:w="4568" w:type="dxa"/>
            <w:vAlign w:val="top"/>
          </w:tcPr>
          <w:p>
            <w:pPr>
              <w:spacing w:line="317" w:lineRule="auto"/>
              <w:rPr>
                <w:rFonts w:ascii="Arial"/>
                <w:sz w:val="21"/>
              </w:rPr>
            </w:pPr>
            <w:r/>
          </w:p>
          <w:p>
            <w:pPr>
              <w:spacing w:line="317" w:lineRule="auto"/>
              <w:rPr>
                <w:rFonts w:ascii="Arial"/>
                <w:sz w:val="21"/>
              </w:rPr>
            </w:pPr>
            <w:r/>
          </w:p>
          <w:p>
            <w:pPr>
              <w:pStyle w:val="TableText"/>
              <w:ind w:left="115" w:right="2523" w:firstLine="11"/>
              <w:spacing w:before="58" w:line="306" w:lineRule="auto"/>
              <w:rPr/>
            </w:pPr>
            <w:r>
              <w:rPr>
                <w:spacing w:val="-6"/>
              </w:rPr>
              <w:t>1.许可证延续申请报告；</w:t>
            </w:r>
            <w:r>
              <w:rPr>
                <w:spacing w:val="3"/>
              </w:rPr>
              <w:t xml:space="preserve"> </w:t>
            </w:r>
            <w:r>
              <w:rPr>
                <w:spacing w:val="-1"/>
              </w:rPr>
              <w:t>2.许可证延续申请表；</w:t>
            </w:r>
          </w:p>
          <w:p>
            <w:pPr>
              <w:pStyle w:val="TableText"/>
              <w:ind w:left="117"/>
              <w:spacing w:before="26" w:line="218" w:lineRule="auto"/>
              <w:rPr/>
            </w:pPr>
            <w:r>
              <w:rPr>
                <w:spacing w:val="-2"/>
              </w:rPr>
              <w:t>3.监测报告；</w:t>
            </w:r>
          </w:p>
          <w:p>
            <w:pPr>
              <w:pStyle w:val="TableText"/>
              <w:ind w:left="113"/>
              <w:spacing w:before="99" w:line="219" w:lineRule="auto"/>
              <w:rPr/>
            </w:pPr>
            <w:r>
              <w:rPr>
                <w:spacing w:val="-1"/>
              </w:rPr>
              <w:t>4.许可证有效期内的辐射安全防护工作总结。</w:t>
            </w:r>
          </w:p>
        </w:tc>
        <w:tc>
          <w:tcPr>
            <w:tcW w:w="2753" w:type="dxa"/>
            <w:vAlign w:val="top"/>
          </w:tcPr>
          <w:p>
            <w:pPr>
              <w:pStyle w:val="TableText"/>
              <w:ind w:left="126"/>
              <w:spacing w:before="72"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77" w:hanging="4"/>
              <w:spacing w:before="26" w:line="307" w:lineRule="auto"/>
              <w:rPr/>
            </w:pPr>
            <w:r>
              <w:rPr>
                <w:spacing w:val="-4"/>
              </w:rPr>
              <w:t>4.审批机构决定核发/不予核发；</w:t>
            </w:r>
            <w:r>
              <w:rPr>
                <w:spacing w:val="10"/>
              </w:rPr>
              <w:t xml:space="preserve"> </w:t>
            </w:r>
            <w:r>
              <w:rPr>
                <w:spacing w:val="-2"/>
              </w:rPr>
              <w:t>5.制作颁发许可证；</w:t>
            </w:r>
          </w:p>
          <w:p>
            <w:pPr>
              <w:pStyle w:val="TableText"/>
              <w:ind w:left="113" w:right="60"/>
              <w:spacing w:before="26" w:line="293" w:lineRule="auto"/>
              <w:jc w:val="both"/>
              <w:rPr/>
            </w:pPr>
            <w:r>
              <w:rPr>
                <w:spacing w:val="-4"/>
              </w:rPr>
              <w:t>6.特殊环节（部分情况下开展</w:t>
            </w:r>
            <w:r>
              <w:rPr>
                <w:spacing w:val="-36"/>
              </w:rPr>
              <w:t>）：</w:t>
            </w:r>
            <w:r>
              <w:rPr/>
              <w:t xml:space="preserve"> </w:t>
            </w:r>
            <w:r>
              <w:rPr>
                <w:spacing w:val="-1"/>
              </w:rPr>
              <w:t>技术审评、现场核查、专家评审</w:t>
            </w:r>
            <w:r>
              <w:rPr>
                <w:spacing w:val="5"/>
              </w:rPr>
              <w:t xml:space="preserve"> </w:t>
            </w:r>
            <w:r>
              <w:rPr>
                <w:spacing w:val="-1"/>
              </w:rPr>
              <w:t>等所需时间不计入审批时限。</w:t>
            </w:r>
          </w:p>
        </w:tc>
        <w:tc>
          <w:tcPr>
            <w:tcW w:w="768" w:type="dxa"/>
            <w:vAlign w:val="top"/>
          </w:tcPr>
          <w:p>
            <w:pPr>
              <w:rPr>
                <w:rFonts w:ascii="Arial"/>
                <w:sz w:val="21"/>
              </w:rPr>
            </w:pPr>
            <w:r/>
          </w:p>
        </w:tc>
      </w:tr>
      <w:tr>
        <w:trPr>
          <w:trHeight w:val="1567" w:hRule="atLeast"/>
        </w:trPr>
        <w:tc>
          <w:tcPr>
            <w:tcW w:w="400" w:type="dxa"/>
            <w:vAlign w:val="top"/>
            <w:vMerge w:val="continue"/>
            <w:tcBorders>
              <w:top w:val="nil"/>
            </w:tcBorders>
          </w:tcPr>
          <w:p>
            <w:pPr>
              <w:rPr>
                <w:rFonts w:ascii="Arial"/>
                <w:sz w:val="21"/>
              </w:rPr>
            </w:pPr>
            <w:r/>
          </w:p>
        </w:tc>
        <w:tc>
          <w:tcPr>
            <w:tcW w:w="886" w:type="dxa"/>
            <w:vAlign w:val="top"/>
            <w:vMerge w:val="continue"/>
            <w:tcBorders>
              <w:top w:val="nil"/>
            </w:tcBorders>
          </w:tcPr>
          <w:p>
            <w:pPr>
              <w:rPr>
                <w:rFonts w:ascii="Arial"/>
                <w:sz w:val="21"/>
              </w:rPr>
            </w:pPr>
            <w:r/>
          </w:p>
        </w:tc>
        <w:tc>
          <w:tcPr>
            <w:tcW w:w="763" w:type="dxa"/>
            <w:vAlign w:val="top"/>
          </w:tcPr>
          <w:p>
            <w:pPr>
              <w:spacing w:line="322" w:lineRule="auto"/>
              <w:rPr>
                <w:rFonts w:ascii="Arial"/>
                <w:sz w:val="21"/>
              </w:rPr>
            </w:pPr>
            <w:r/>
          </w:p>
          <w:p>
            <w:pPr>
              <w:pStyle w:val="TableText"/>
              <w:ind w:left="113" w:right="111" w:hanging="1"/>
              <w:spacing w:before="59" w:line="312" w:lineRule="auto"/>
              <w:jc w:val="both"/>
              <w:rPr/>
            </w:pPr>
            <w:r>
              <w:rPr>
                <w:spacing w:val="-2"/>
              </w:rPr>
              <w:t>辐射安</w:t>
            </w:r>
            <w:r>
              <w:rPr/>
              <w:t xml:space="preserve"> </w:t>
            </w:r>
            <w:r>
              <w:rPr>
                <w:spacing w:val="-3"/>
              </w:rPr>
              <w:t>全许可</w:t>
            </w:r>
            <w:r>
              <w:rPr/>
              <w:t xml:space="preserve"> </w:t>
            </w:r>
            <w:r>
              <w:rPr>
                <w:spacing w:val="-3"/>
              </w:rPr>
              <w:t>证变更</w:t>
            </w:r>
          </w:p>
        </w:tc>
        <w:tc>
          <w:tcPr>
            <w:tcW w:w="669" w:type="dxa"/>
            <w:vAlign w:val="top"/>
          </w:tcPr>
          <w:p>
            <w:pPr>
              <w:spacing w:line="478" w:lineRule="auto"/>
              <w:rPr>
                <w:rFonts w:ascii="Arial"/>
                <w:sz w:val="21"/>
              </w:rPr>
            </w:pPr>
            <w:r/>
          </w:p>
          <w:p>
            <w:pPr>
              <w:pStyle w:val="TableText"/>
              <w:ind w:left="160" w:right="154" w:hanging="1"/>
              <w:spacing w:before="59" w:line="307" w:lineRule="auto"/>
              <w:rPr/>
            </w:pPr>
            <w:r>
              <w:rPr>
                <w:spacing w:val="-5"/>
              </w:rPr>
              <w:t>省级</w:t>
            </w:r>
            <w:r>
              <w:rPr/>
              <w:t xml:space="preserve"> </w:t>
            </w:r>
            <w:r>
              <w:rPr>
                <w:spacing w:val="-6"/>
              </w:rPr>
              <w:t>市级</w:t>
            </w:r>
          </w:p>
        </w:tc>
        <w:tc>
          <w:tcPr>
            <w:tcW w:w="640" w:type="dxa"/>
            <w:vAlign w:val="top"/>
          </w:tcPr>
          <w:p>
            <w:pPr>
              <w:spacing w:line="325"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331" w:lineRule="auto"/>
              <w:rPr>
                <w:rFonts w:ascii="Arial"/>
                <w:sz w:val="21"/>
              </w:rPr>
            </w:pPr>
            <w:r/>
          </w:p>
          <w:p>
            <w:pPr>
              <w:spacing w:line="331"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384"/>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76" w:lineRule="auto"/>
              <w:rPr>
                <w:rFonts w:ascii="Arial"/>
                <w:sz w:val="21"/>
              </w:rPr>
            </w:pPr>
            <w:r/>
          </w:p>
          <w:p>
            <w:pPr>
              <w:pStyle w:val="TableText"/>
              <w:ind w:left="124"/>
              <w:spacing w:before="58" w:line="216" w:lineRule="auto"/>
              <w:rPr/>
            </w:pPr>
            <w:r>
              <w:rPr>
                <w:spacing w:val="-1"/>
              </w:rPr>
              <w:t>1.申请单位变更后社会统一信用代码是否相同；</w:t>
            </w:r>
          </w:p>
          <w:p>
            <w:pPr>
              <w:pStyle w:val="TableText"/>
              <w:ind w:left="113" w:right="185"/>
              <w:spacing w:before="29" w:line="233" w:lineRule="auto"/>
              <w:rPr/>
            </w:pPr>
            <w:r>
              <w:rPr/>
              <w:t>2.生产、销售、使用放射性同位素和射线装置的单位被责令限期整改</w:t>
            </w:r>
            <w:r>
              <w:rPr>
                <w:spacing w:val="-1"/>
              </w:rPr>
              <w:t>，是否按期整改，经整改</w:t>
            </w:r>
            <w:r>
              <w:rPr/>
              <w:t xml:space="preserve"> </w:t>
            </w:r>
            <w:r>
              <w:rPr>
                <w:spacing w:val="-1"/>
              </w:rPr>
              <w:t>是否符合原发证条件；</w:t>
            </w:r>
          </w:p>
          <w:p>
            <w:pPr>
              <w:pStyle w:val="TableText"/>
              <w:ind w:left="115"/>
              <w:spacing w:before="26" w:line="217" w:lineRule="auto"/>
              <w:rPr/>
            </w:pPr>
            <w:r>
              <w:rPr>
                <w:spacing w:val="-1"/>
              </w:rPr>
              <w:t>3.法律规定其他应核验的内容。</w:t>
            </w:r>
          </w:p>
        </w:tc>
        <w:tc>
          <w:tcPr>
            <w:tcW w:w="368" w:type="dxa"/>
            <w:vAlign w:val="top"/>
            <w:textDirection w:val="tbRlV"/>
          </w:tcPr>
          <w:p>
            <w:pPr>
              <w:pStyle w:val="TableText"/>
              <w:ind w:left="384"/>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478" w:lineRule="auto"/>
              <w:rPr>
                <w:rFonts w:ascii="Arial"/>
                <w:sz w:val="21"/>
              </w:rPr>
            </w:pPr>
            <w:r/>
          </w:p>
          <w:p>
            <w:pPr>
              <w:pStyle w:val="TableText"/>
              <w:ind w:left="412" w:right="135" w:hanging="274"/>
              <w:spacing w:before="58" w:line="309" w:lineRule="auto"/>
              <w:rPr/>
            </w:pPr>
            <w:r>
              <w:rPr>
                <w:spacing w:val="-2"/>
              </w:rPr>
              <w:t>辐射安全许</w:t>
            </w:r>
            <w:r>
              <w:rPr>
                <w:spacing w:val="3"/>
              </w:rPr>
              <w:t xml:space="preserve"> </w:t>
            </w:r>
            <w:r>
              <w:rPr>
                <w:spacing w:val="-5"/>
              </w:rPr>
              <w:t>可证</w:t>
            </w:r>
          </w:p>
        </w:tc>
        <w:tc>
          <w:tcPr>
            <w:tcW w:w="4568" w:type="dxa"/>
            <w:vAlign w:val="top"/>
          </w:tcPr>
          <w:p>
            <w:pPr>
              <w:spacing w:line="478" w:lineRule="auto"/>
              <w:rPr>
                <w:rFonts w:ascii="Arial"/>
                <w:sz w:val="21"/>
              </w:rPr>
            </w:pPr>
            <w:r/>
          </w:p>
          <w:p>
            <w:pPr>
              <w:pStyle w:val="TableText"/>
              <w:ind w:left="115" w:right="2523" w:firstLine="11"/>
              <w:spacing w:before="59" w:line="307" w:lineRule="auto"/>
              <w:rPr/>
            </w:pPr>
            <w:r>
              <w:rPr>
                <w:spacing w:val="-6"/>
              </w:rPr>
              <w:t>1.许可证变更申请报告；</w:t>
            </w:r>
            <w:r>
              <w:rPr>
                <w:spacing w:val="3"/>
              </w:rPr>
              <w:t xml:space="preserve"> </w:t>
            </w:r>
            <w:r>
              <w:rPr>
                <w:spacing w:val="-1"/>
              </w:rPr>
              <w:t>2.许可证变更申请表。</w:t>
            </w:r>
          </w:p>
        </w:tc>
        <w:tc>
          <w:tcPr>
            <w:tcW w:w="2753" w:type="dxa"/>
            <w:vAlign w:val="top"/>
          </w:tcPr>
          <w:p>
            <w:pPr>
              <w:pStyle w:val="TableText"/>
              <w:ind w:left="126"/>
              <w:spacing w:before="72"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77" w:hanging="4"/>
              <w:spacing w:before="27" w:line="281" w:lineRule="auto"/>
              <w:rPr/>
            </w:pPr>
            <w:r>
              <w:rPr>
                <w:spacing w:val="-4"/>
              </w:rPr>
              <w:t>4.审批机构决定核发/不予核发；</w:t>
            </w:r>
            <w:r>
              <w:rPr>
                <w:spacing w:val="10"/>
              </w:rPr>
              <w:t xml:space="preserve"> </w:t>
            </w:r>
            <w:r>
              <w:rPr>
                <w:spacing w:val="-2"/>
              </w:rPr>
              <w:t>5.制作颁发许可证。</w:t>
            </w:r>
          </w:p>
        </w:tc>
        <w:tc>
          <w:tcPr>
            <w:tcW w:w="768" w:type="dxa"/>
            <w:vAlign w:val="top"/>
          </w:tcPr>
          <w:p>
            <w:pPr>
              <w:rPr>
                <w:rFonts w:ascii="Arial"/>
                <w:sz w:val="21"/>
              </w:rPr>
            </w:pPr>
            <w:r/>
          </w:p>
        </w:tc>
      </w:tr>
    </w:tbl>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16</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pgSz w:w="23812" w:h="16839"/>
          <w:pgMar w:top="1431" w:right="1080" w:bottom="400" w:left="1079" w:header="0" w:footer="0" w:gutter="0"/>
        </w:sectPr>
        <w:rPr>
          <w:rFonts w:ascii="SimSun" w:hAnsi="SimSun" w:eastAsia="SimSun" w:cs="SimSun"/>
          <w:sz w:val="28"/>
          <w:szCs w:val="28"/>
        </w:rPr>
      </w:pPr>
    </w:p>
    <w:p>
      <w:pPr>
        <w:spacing w:before="92"/>
        <w:rPr/>
      </w:pPr>
      <w:r/>
    </w:p>
    <w:p>
      <w:pPr>
        <w:spacing w:before="91"/>
        <w:rPr/>
      </w:pPr>
      <w:r/>
    </w:p>
    <w:tbl>
      <w:tblPr>
        <w:tblStyle w:val="TableNormal"/>
        <w:tblW w:w="216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886"/>
        <w:gridCol w:w="763"/>
        <w:gridCol w:w="669"/>
        <w:gridCol w:w="640"/>
        <w:gridCol w:w="628"/>
        <w:gridCol w:w="355"/>
        <w:gridCol w:w="7675"/>
        <w:gridCol w:w="368"/>
        <w:gridCol w:w="1173"/>
        <w:gridCol w:w="4568"/>
        <w:gridCol w:w="2753"/>
        <w:gridCol w:w="768"/>
      </w:tblGrid>
      <w:tr>
        <w:trPr>
          <w:trHeight w:val="1257" w:hRule="atLeast"/>
        </w:trPr>
        <w:tc>
          <w:tcPr>
            <w:tcW w:w="400" w:type="dxa"/>
            <w:vAlign w:val="top"/>
            <w:textDirection w:val="tbRlV"/>
          </w:tcPr>
          <w:p>
            <w:pPr>
              <w:ind w:left="383"/>
              <w:spacing w:before="105" w:line="209" w:lineRule="auto"/>
              <w:rPr>
                <w:rFonts w:ascii="SimHei" w:hAnsi="SimHei" w:eastAsia="SimHei" w:cs="SimHei"/>
                <w:sz w:val="18"/>
                <w:szCs w:val="18"/>
              </w:rPr>
            </w:pPr>
            <w:r>
              <w:rPr>
                <w:rFonts w:ascii="SimHei" w:hAnsi="SimHei" w:eastAsia="SimHei" w:cs="SimHei"/>
                <w:sz w:val="18"/>
                <w:szCs w:val="18"/>
                <w:spacing w:val="2"/>
              </w:rPr>
              <w:t>序</w:t>
            </w:r>
            <w:r>
              <w:rPr>
                <w:rFonts w:ascii="SimHei" w:hAnsi="SimHei" w:eastAsia="SimHei" w:cs="SimHei"/>
                <w:sz w:val="18"/>
                <w:szCs w:val="18"/>
                <w:spacing w:val="39"/>
              </w:rPr>
              <w:t xml:space="preserve"> </w:t>
            </w:r>
            <w:r>
              <w:rPr>
                <w:rFonts w:ascii="SimHei" w:hAnsi="SimHei" w:eastAsia="SimHei" w:cs="SimHei"/>
                <w:sz w:val="18"/>
                <w:szCs w:val="18"/>
                <w:spacing w:val="2"/>
              </w:rPr>
              <w:t>号</w:t>
            </w:r>
          </w:p>
        </w:tc>
        <w:tc>
          <w:tcPr>
            <w:tcW w:w="886" w:type="dxa"/>
            <w:vAlign w:val="top"/>
          </w:tcPr>
          <w:p>
            <w:pPr>
              <w:spacing w:line="322" w:lineRule="auto"/>
              <w:rPr>
                <w:rFonts w:ascii="Arial"/>
                <w:sz w:val="21"/>
              </w:rPr>
            </w:pPr>
            <w:r/>
          </w:p>
          <w:p>
            <w:pPr>
              <w:ind w:left="269" w:right="262" w:hanging="4"/>
              <w:spacing w:before="59" w:line="306" w:lineRule="auto"/>
              <w:rPr>
                <w:rFonts w:ascii="SimHei" w:hAnsi="SimHei" w:eastAsia="SimHei" w:cs="SimHei"/>
                <w:sz w:val="18"/>
                <w:szCs w:val="18"/>
              </w:rPr>
            </w:pPr>
            <w:r>
              <w:rPr>
                <w:rFonts w:ascii="SimHei" w:hAnsi="SimHei" w:eastAsia="SimHei" w:cs="SimHei"/>
                <w:sz w:val="18"/>
                <w:szCs w:val="18"/>
                <w:spacing w:val="-4"/>
              </w:rPr>
              <w:t>许可</w:t>
            </w:r>
            <w:r>
              <w:rPr>
                <w:rFonts w:ascii="SimHei" w:hAnsi="SimHei" w:eastAsia="SimHei" w:cs="SimHei"/>
                <w:sz w:val="18"/>
                <w:szCs w:val="18"/>
              </w:rPr>
              <w:t xml:space="preserve"> </w:t>
            </w:r>
            <w:r>
              <w:rPr>
                <w:rFonts w:ascii="SimHei" w:hAnsi="SimHei" w:eastAsia="SimHei" w:cs="SimHei"/>
                <w:sz w:val="18"/>
                <w:szCs w:val="18"/>
                <w:spacing w:val="-6"/>
              </w:rPr>
              <w:t>事项</w:t>
            </w:r>
          </w:p>
        </w:tc>
        <w:tc>
          <w:tcPr>
            <w:tcW w:w="763" w:type="dxa"/>
            <w:vAlign w:val="top"/>
          </w:tcPr>
          <w:p>
            <w:pPr>
              <w:spacing w:line="322" w:lineRule="auto"/>
              <w:rPr>
                <w:rFonts w:ascii="Arial"/>
                <w:sz w:val="21"/>
              </w:rPr>
            </w:pPr>
            <w:r/>
          </w:p>
          <w:p>
            <w:pPr>
              <w:ind w:left="204" w:right="200" w:firstLine="4"/>
              <w:spacing w:before="58" w:line="307" w:lineRule="auto"/>
              <w:rPr>
                <w:rFonts w:ascii="SimHei" w:hAnsi="SimHei" w:eastAsia="SimHei" w:cs="SimHei"/>
                <w:sz w:val="18"/>
                <w:szCs w:val="18"/>
              </w:rPr>
            </w:pPr>
            <w:r>
              <w:rPr>
                <w:rFonts w:ascii="SimHei" w:hAnsi="SimHei" w:eastAsia="SimHei" w:cs="SimHei"/>
                <w:sz w:val="18"/>
                <w:szCs w:val="18"/>
                <w:spacing w:val="-6"/>
              </w:rPr>
              <w:t>具体</w:t>
            </w:r>
            <w:r>
              <w:rPr>
                <w:rFonts w:ascii="SimHei" w:hAnsi="SimHei" w:eastAsia="SimHei" w:cs="SimHei"/>
                <w:sz w:val="18"/>
                <w:szCs w:val="18"/>
              </w:rPr>
              <w:t xml:space="preserve"> </w:t>
            </w:r>
            <w:r>
              <w:rPr>
                <w:rFonts w:ascii="SimHei" w:hAnsi="SimHei" w:eastAsia="SimHei" w:cs="SimHei"/>
                <w:sz w:val="18"/>
                <w:szCs w:val="18"/>
                <w:spacing w:val="-4"/>
              </w:rPr>
              <w:t>情形</w:t>
            </w:r>
          </w:p>
        </w:tc>
        <w:tc>
          <w:tcPr>
            <w:tcW w:w="669" w:type="dxa"/>
            <w:vAlign w:val="top"/>
          </w:tcPr>
          <w:p>
            <w:pPr>
              <w:spacing w:line="321" w:lineRule="auto"/>
              <w:rPr>
                <w:rFonts w:ascii="Arial"/>
                <w:sz w:val="21"/>
              </w:rPr>
            </w:pPr>
            <w:r/>
          </w:p>
          <w:p>
            <w:pPr>
              <w:ind w:left="157" w:right="154"/>
              <w:spacing w:before="59" w:line="306" w:lineRule="auto"/>
              <w:rPr>
                <w:rFonts w:ascii="SimHei" w:hAnsi="SimHei" w:eastAsia="SimHei" w:cs="SimHei"/>
                <w:sz w:val="18"/>
                <w:szCs w:val="18"/>
              </w:rPr>
            </w:pPr>
            <w:r>
              <w:rPr>
                <w:rFonts w:ascii="SimHei" w:hAnsi="SimHei" w:eastAsia="SimHei" w:cs="SimHei"/>
                <w:sz w:val="18"/>
                <w:szCs w:val="18"/>
                <w:spacing w:val="-4"/>
              </w:rPr>
              <w:t>行使</w:t>
            </w:r>
            <w:r>
              <w:rPr>
                <w:rFonts w:ascii="SimHei" w:hAnsi="SimHei" w:eastAsia="SimHei" w:cs="SimHei"/>
                <w:sz w:val="18"/>
                <w:szCs w:val="18"/>
              </w:rPr>
              <w:t xml:space="preserve"> </w:t>
            </w:r>
            <w:r>
              <w:rPr>
                <w:rFonts w:ascii="SimHei" w:hAnsi="SimHei" w:eastAsia="SimHei" w:cs="SimHei"/>
                <w:sz w:val="18"/>
                <w:szCs w:val="18"/>
                <w:spacing w:val="-4"/>
              </w:rPr>
              <w:t>层级</w:t>
            </w:r>
          </w:p>
        </w:tc>
        <w:tc>
          <w:tcPr>
            <w:tcW w:w="640" w:type="dxa"/>
            <w:vAlign w:val="top"/>
          </w:tcPr>
          <w:p>
            <w:pPr>
              <w:ind w:left="142" w:right="138" w:firstLine="2"/>
              <w:spacing w:before="73" w:line="301" w:lineRule="auto"/>
              <w:jc w:val="both"/>
              <w:rPr>
                <w:rFonts w:ascii="SimHei" w:hAnsi="SimHei" w:eastAsia="SimHei" w:cs="SimHei"/>
                <w:sz w:val="18"/>
                <w:szCs w:val="18"/>
              </w:rPr>
            </w:pPr>
            <w:r>
              <w:rPr>
                <w:rFonts w:ascii="SimHei" w:hAnsi="SimHei" w:eastAsia="SimHei" w:cs="SimHei"/>
                <w:sz w:val="18"/>
                <w:szCs w:val="18"/>
                <w:spacing w:val="-5"/>
              </w:rPr>
              <w:t>省级</w:t>
            </w:r>
            <w:r>
              <w:rPr>
                <w:rFonts w:ascii="SimHei" w:hAnsi="SimHei" w:eastAsia="SimHei" w:cs="SimHei"/>
                <w:sz w:val="18"/>
                <w:szCs w:val="18"/>
              </w:rPr>
              <w:t xml:space="preserve"> </w:t>
            </w:r>
            <w:r>
              <w:rPr>
                <w:rFonts w:ascii="SimHei" w:hAnsi="SimHei" w:eastAsia="SimHei" w:cs="SimHei"/>
                <w:sz w:val="18"/>
                <w:szCs w:val="18"/>
                <w:spacing w:val="-4"/>
              </w:rPr>
              <w:t>业务</w:t>
            </w:r>
            <w:r>
              <w:rPr>
                <w:rFonts w:ascii="SimHei" w:hAnsi="SimHei" w:eastAsia="SimHei" w:cs="SimHei"/>
                <w:sz w:val="18"/>
                <w:szCs w:val="18"/>
              </w:rPr>
              <w:t xml:space="preserve"> </w:t>
            </w:r>
            <w:r>
              <w:rPr>
                <w:rFonts w:ascii="SimHei" w:hAnsi="SimHei" w:eastAsia="SimHei" w:cs="SimHei"/>
                <w:sz w:val="18"/>
                <w:szCs w:val="18"/>
                <w:spacing w:val="-4"/>
              </w:rPr>
              <w:t>指导</w:t>
            </w:r>
            <w:r>
              <w:rPr>
                <w:rFonts w:ascii="SimHei" w:hAnsi="SimHei" w:eastAsia="SimHei" w:cs="SimHei"/>
                <w:sz w:val="18"/>
                <w:szCs w:val="18"/>
              </w:rPr>
              <w:t xml:space="preserve"> </w:t>
            </w:r>
            <w:r>
              <w:rPr>
                <w:rFonts w:ascii="SimHei" w:hAnsi="SimHei" w:eastAsia="SimHei" w:cs="SimHei"/>
                <w:sz w:val="18"/>
                <w:szCs w:val="18"/>
                <w:spacing w:val="-4"/>
              </w:rPr>
              <w:t>部门</w:t>
            </w:r>
          </w:p>
        </w:tc>
        <w:tc>
          <w:tcPr>
            <w:tcW w:w="628" w:type="dxa"/>
            <w:vAlign w:val="top"/>
          </w:tcPr>
          <w:p>
            <w:pPr>
              <w:ind w:left="141" w:right="133" w:hanging="3"/>
              <w:spacing w:before="226" w:line="312" w:lineRule="auto"/>
              <w:jc w:val="both"/>
              <w:rPr>
                <w:rFonts w:ascii="SimHei" w:hAnsi="SimHei" w:eastAsia="SimHei" w:cs="SimHei"/>
                <w:sz w:val="18"/>
                <w:szCs w:val="18"/>
              </w:rPr>
            </w:pPr>
            <w:r>
              <w:rPr>
                <w:rFonts w:ascii="SimHei" w:hAnsi="SimHei" w:eastAsia="SimHei" w:cs="SimHei"/>
                <w:sz w:val="18"/>
                <w:szCs w:val="18"/>
                <w:spacing w:val="-5"/>
              </w:rPr>
              <w:t>法定</w:t>
            </w:r>
            <w:r>
              <w:rPr>
                <w:rFonts w:ascii="SimHei" w:hAnsi="SimHei" w:eastAsia="SimHei" w:cs="SimHei"/>
                <w:sz w:val="18"/>
                <w:szCs w:val="18"/>
              </w:rPr>
              <w:t xml:space="preserve"> </w:t>
            </w:r>
            <w:r>
              <w:rPr>
                <w:rFonts w:ascii="SimHei" w:hAnsi="SimHei" w:eastAsia="SimHei" w:cs="SimHei"/>
                <w:sz w:val="18"/>
                <w:szCs w:val="18"/>
                <w:spacing w:val="-6"/>
              </w:rPr>
              <w:t>审批</w:t>
            </w:r>
            <w:r>
              <w:rPr>
                <w:rFonts w:ascii="SimHei" w:hAnsi="SimHei" w:eastAsia="SimHei" w:cs="SimHei"/>
                <w:sz w:val="18"/>
                <w:szCs w:val="18"/>
              </w:rPr>
              <w:t xml:space="preserve"> </w:t>
            </w:r>
            <w:r>
              <w:rPr>
                <w:rFonts w:ascii="SimHei" w:hAnsi="SimHei" w:eastAsia="SimHei" w:cs="SimHei"/>
                <w:sz w:val="18"/>
                <w:szCs w:val="18"/>
                <w:spacing w:val="-6"/>
              </w:rPr>
              <w:t>时限</w:t>
            </w:r>
          </w:p>
        </w:tc>
        <w:tc>
          <w:tcPr>
            <w:tcW w:w="355" w:type="dxa"/>
            <w:vAlign w:val="top"/>
            <w:textDirection w:val="tbRlV"/>
          </w:tcPr>
          <w:p>
            <w:pPr>
              <w:ind w:left="71"/>
              <w:spacing w:before="65" w:line="208" w:lineRule="auto"/>
              <w:rPr>
                <w:rFonts w:ascii="SimHei" w:hAnsi="SimHei" w:eastAsia="SimHei" w:cs="SimHei"/>
                <w:sz w:val="18"/>
                <w:szCs w:val="18"/>
              </w:rPr>
            </w:pPr>
            <w:r>
              <w:rPr>
                <w:rFonts w:ascii="SimHei" w:hAnsi="SimHei" w:eastAsia="SimHei" w:cs="SimHei"/>
                <w:sz w:val="18"/>
                <w:szCs w:val="18"/>
                <w:spacing w:val="2"/>
              </w:rPr>
              <w:t>办</w:t>
            </w:r>
            <w:r>
              <w:rPr>
                <w:rFonts w:ascii="SimHei" w:hAnsi="SimHei" w:eastAsia="SimHei" w:cs="SimHei"/>
                <w:sz w:val="18"/>
                <w:szCs w:val="18"/>
                <w:spacing w:val="41"/>
              </w:rPr>
              <w:t xml:space="preserve"> </w:t>
            </w:r>
            <w:r>
              <w:rPr>
                <w:rFonts w:ascii="SimHei" w:hAnsi="SimHei" w:eastAsia="SimHei" w:cs="SimHei"/>
                <w:sz w:val="18"/>
                <w:szCs w:val="18"/>
                <w:spacing w:val="2"/>
              </w:rPr>
              <w:t>件</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7675" w:type="dxa"/>
            <w:vAlign w:val="top"/>
          </w:tcPr>
          <w:p>
            <w:pPr>
              <w:spacing w:line="477" w:lineRule="auto"/>
              <w:rPr>
                <w:rFonts w:ascii="Arial"/>
                <w:sz w:val="21"/>
              </w:rPr>
            </w:pPr>
            <w:r/>
          </w:p>
          <w:p>
            <w:pPr>
              <w:ind w:left="3479"/>
              <w:spacing w:before="59" w:line="222" w:lineRule="auto"/>
              <w:rPr>
                <w:rFonts w:ascii="SimHei" w:hAnsi="SimHei" w:eastAsia="SimHei" w:cs="SimHei"/>
                <w:sz w:val="18"/>
                <w:szCs w:val="18"/>
              </w:rPr>
            </w:pPr>
            <w:r>
              <w:rPr>
                <w:rFonts w:ascii="SimHei" w:hAnsi="SimHei" w:eastAsia="SimHei" w:cs="SimHei"/>
                <w:sz w:val="18"/>
                <w:szCs w:val="18"/>
                <w:spacing w:val="-2"/>
              </w:rPr>
              <w:t>核验内容</w:t>
            </w:r>
          </w:p>
        </w:tc>
        <w:tc>
          <w:tcPr>
            <w:tcW w:w="368" w:type="dxa"/>
            <w:vAlign w:val="top"/>
            <w:textDirection w:val="tbRlV"/>
          </w:tcPr>
          <w:p>
            <w:pPr>
              <w:ind w:left="71"/>
              <w:spacing w:before="78" w:line="206" w:lineRule="auto"/>
              <w:rPr>
                <w:rFonts w:ascii="SimHei" w:hAnsi="SimHei" w:eastAsia="SimHei" w:cs="SimHei"/>
                <w:sz w:val="18"/>
                <w:szCs w:val="18"/>
              </w:rPr>
            </w:pPr>
            <w:r>
              <w:rPr>
                <w:rFonts w:ascii="SimHei" w:hAnsi="SimHei" w:eastAsia="SimHei" w:cs="SimHei"/>
                <w:sz w:val="18"/>
                <w:szCs w:val="18"/>
                <w:spacing w:val="2"/>
              </w:rPr>
              <w:t>许</w:t>
            </w:r>
            <w:r>
              <w:rPr>
                <w:rFonts w:ascii="SimHei" w:hAnsi="SimHei" w:eastAsia="SimHei" w:cs="SimHei"/>
                <w:sz w:val="18"/>
                <w:szCs w:val="18"/>
                <w:spacing w:val="41"/>
              </w:rPr>
              <w:t xml:space="preserve"> </w:t>
            </w:r>
            <w:r>
              <w:rPr>
                <w:rFonts w:ascii="SimHei" w:hAnsi="SimHei" w:eastAsia="SimHei" w:cs="SimHei"/>
                <w:sz w:val="18"/>
                <w:szCs w:val="18"/>
                <w:spacing w:val="2"/>
              </w:rPr>
              <w:t>可</w:t>
            </w:r>
            <w:r>
              <w:rPr>
                <w:rFonts w:ascii="SimHei" w:hAnsi="SimHei" w:eastAsia="SimHei" w:cs="SimHei"/>
                <w:sz w:val="18"/>
                <w:szCs w:val="18"/>
                <w:spacing w:val="39"/>
              </w:rPr>
              <w:t xml:space="preserve"> </w:t>
            </w:r>
            <w:r>
              <w:rPr>
                <w:rFonts w:ascii="SimHei" w:hAnsi="SimHei" w:eastAsia="SimHei" w:cs="SimHei"/>
                <w:sz w:val="18"/>
                <w:szCs w:val="18"/>
                <w:spacing w:val="2"/>
              </w:rPr>
              <w:t>类</w:t>
            </w:r>
            <w:r>
              <w:rPr>
                <w:rFonts w:ascii="SimHei" w:hAnsi="SimHei" w:eastAsia="SimHei" w:cs="SimHei"/>
                <w:sz w:val="18"/>
                <w:szCs w:val="18"/>
                <w:spacing w:val="39"/>
              </w:rPr>
              <w:t xml:space="preserve"> </w:t>
            </w:r>
            <w:r>
              <w:rPr>
                <w:rFonts w:ascii="SimHei" w:hAnsi="SimHei" w:eastAsia="SimHei" w:cs="SimHei"/>
                <w:sz w:val="18"/>
                <w:szCs w:val="18"/>
                <w:spacing w:val="2"/>
              </w:rPr>
              <w:t>型</w:t>
            </w:r>
          </w:p>
        </w:tc>
        <w:tc>
          <w:tcPr>
            <w:tcW w:w="1173" w:type="dxa"/>
            <w:vAlign w:val="top"/>
          </w:tcPr>
          <w:p>
            <w:pPr>
              <w:spacing w:line="322" w:lineRule="auto"/>
              <w:rPr>
                <w:rFonts w:ascii="Arial"/>
                <w:sz w:val="21"/>
              </w:rPr>
            </w:pPr>
            <w:r/>
          </w:p>
          <w:p>
            <w:pPr>
              <w:ind w:left="499" w:right="135" w:hanging="360"/>
              <w:spacing w:before="59" w:line="306" w:lineRule="auto"/>
              <w:rPr>
                <w:rFonts w:ascii="SimHei" w:hAnsi="SimHei" w:eastAsia="SimHei" w:cs="SimHei"/>
                <w:sz w:val="18"/>
                <w:szCs w:val="18"/>
              </w:rPr>
            </w:pPr>
            <w:r>
              <w:rPr>
                <w:rFonts w:ascii="SimHei" w:hAnsi="SimHei" w:eastAsia="SimHei" w:cs="SimHei"/>
                <w:sz w:val="18"/>
                <w:szCs w:val="18"/>
                <w:spacing w:val="-2"/>
              </w:rPr>
              <w:t>许可证件名</w:t>
            </w:r>
            <w:r>
              <w:rPr>
                <w:rFonts w:ascii="SimHei" w:hAnsi="SimHei" w:eastAsia="SimHei" w:cs="SimHei"/>
                <w:sz w:val="18"/>
                <w:szCs w:val="18"/>
                <w:spacing w:val="1"/>
              </w:rPr>
              <w:t xml:space="preserve"> </w:t>
            </w:r>
            <w:r>
              <w:rPr>
                <w:rFonts w:ascii="SimHei" w:hAnsi="SimHei" w:eastAsia="SimHei" w:cs="SimHei"/>
                <w:sz w:val="18"/>
                <w:szCs w:val="18"/>
              </w:rPr>
              <w:t>称</w:t>
            </w:r>
          </w:p>
        </w:tc>
        <w:tc>
          <w:tcPr>
            <w:tcW w:w="4568" w:type="dxa"/>
            <w:vAlign w:val="top"/>
          </w:tcPr>
          <w:p>
            <w:pPr>
              <w:spacing w:line="478" w:lineRule="auto"/>
              <w:rPr>
                <w:rFonts w:ascii="Arial"/>
                <w:sz w:val="21"/>
              </w:rPr>
            </w:pPr>
            <w:r/>
          </w:p>
          <w:p>
            <w:pPr>
              <w:ind w:left="1942"/>
              <w:spacing w:before="58" w:line="222" w:lineRule="auto"/>
              <w:rPr>
                <w:rFonts w:ascii="SimHei" w:hAnsi="SimHei" w:eastAsia="SimHei" w:cs="SimHei"/>
                <w:sz w:val="18"/>
                <w:szCs w:val="18"/>
              </w:rPr>
            </w:pPr>
            <w:r>
              <w:rPr>
                <w:rFonts w:ascii="SimHei" w:hAnsi="SimHei" w:eastAsia="SimHei" w:cs="SimHei"/>
                <w:sz w:val="18"/>
                <w:szCs w:val="18"/>
                <w:spacing w:val="-6"/>
              </w:rPr>
              <w:t>申请材料</w:t>
            </w:r>
          </w:p>
        </w:tc>
        <w:tc>
          <w:tcPr>
            <w:tcW w:w="2753" w:type="dxa"/>
            <w:vAlign w:val="top"/>
          </w:tcPr>
          <w:p>
            <w:pPr>
              <w:spacing w:line="477" w:lineRule="auto"/>
              <w:rPr>
                <w:rFonts w:ascii="Arial"/>
                <w:sz w:val="21"/>
              </w:rPr>
            </w:pPr>
            <w:r/>
          </w:p>
          <w:p>
            <w:pPr>
              <w:ind w:left="1024"/>
              <w:spacing w:before="59" w:line="221" w:lineRule="auto"/>
              <w:rPr>
                <w:rFonts w:ascii="SimHei" w:hAnsi="SimHei" w:eastAsia="SimHei" w:cs="SimHei"/>
                <w:sz w:val="18"/>
                <w:szCs w:val="18"/>
              </w:rPr>
            </w:pPr>
            <w:r>
              <w:rPr>
                <w:rFonts w:ascii="SimHei" w:hAnsi="SimHei" w:eastAsia="SimHei" w:cs="SimHei"/>
                <w:sz w:val="18"/>
                <w:szCs w:val="18"/>
                <w:spacing w:val="-3"/>
              </w:rPr>
              <w:t>办理流程</w:t>
            </w:r>
          </w:p>
        </w:tc>
        <w:tc>
          <w:tcPr>
            <w:tcW w:w="768" w:type="dxa"/>
            <w:vAlign w:val="top"/>
          </w:tcPr>
          <w:p>
            <w:pPr>
              <w:spacing w:line="456" w:lineRule="auto"/>
              <w:rPr>
                <w:rFonts w:ascii="Arial"/>
                <w:sz w:val="21"/>
              </w:rPr>
            </w:pPr>
            <w:r/>
          </w:p>
          <w:p>
            <w:pPr>
              <w:pStyle w:val="TableText"/>
              <w:ind w:left="181"/>
              <w:spacing w:before="65" w:line="229" w:lineRule="auto"/>
              <w:rPr>
                <w:sz w:val="20"/>
                <w:szCs w:val="20"/>
              </w:rPr>
            </w:pPr>
            <w:r>
              <w:rPr>
                <w:sz w:val="20"/>
                <w:szCs w:val="20"/>
                <w:spacing w:val="3"/>
              </w:rPr>
              <w:t>备注</w:t>
            </w:r>
          </w:p>
        </w:tc>
      </w:tr>
      <w:tr>
        <w:trPr>
          <w:trHeight w:val="2188" w:hRule="atLeast"/>
        </w:trPr>
        <w:tc>
          <w:tcPr>
            <w:tcW w:w="400" w:type="dxa"/>
            <w:vAlign w:val="top"/>
          </w:tcPr>
          <w:p>
            <w:pPr>
              <w:rPr>
                <w:rFonts w:ascii="Arial"/>
                <w:sz w:val="21"/>
              </w:rPr>
            </w:pPr>
            <w:r/>
          </w:p>
        </w:tc>
        <w:tc>
          <w:tcPr>
            <w:tcW w:w="886" w:type="dxa"/>
            <w:vAlign w:val="top"/>
          </w:tcPr>
          <w:p>
            <w:pPr>
              <w:rPr>
                <w:rFonts w:ascii="Arial"/>
                <w:sz w:val="21"/>
              </w:rPr>
            </w:pPr>
            <w:r/>
          </w:p>
        </w:tc>
        <w:tc>
          <w:tcPr>
            <w:tcW w:w="763" w:type="dxa"/>
            <w:vAlign w:val="top"/>
          </w:tcPr>
          <w:p>
            <w:pPr>
              <w:spacing w:line="314" w:lineRule="auto"/>
              <w:rPr>
                <w:rFonts w:ascii="Arial"/>
                <w:sz w:val="21"/>
              </w:rPr>
            </w:pPr>
            <w:r/>
          </w:p>
          <w:p>
            <w:pPr>
              <w:spacing w:line="315" w:lineRule="auto"/>
              <w:rPr>
                <w:rFonts w:ascii="Arial"/>
                <w:sz w:val="21"/>
              </w:rPr>
            </w:pPr>
            <w:r/>
          </w:p>
          <w:p>
            <w:pPr>
              <w:pStyle w:val="TableText"/>
              <w:ind w:left="113" w:right="111" w:hanging="1"/>
              <w:spacing w:before="59" w:line="312" w:lineRule="auto"/>
              <w:jc w:val="both"/>
              <w:rPr/>
            </w:pPr>
            <w:r>
              <w:rPr>
                <w:spacing w:val="-2"/>
              </w:rPr>
              <w:t>辐射安</w:t>
            </w:r>
            <w:r>
              <w:rPr/>
              <w:t xml:space="preserve"> </w:t>
            </w:r>
            <w:r>
              <w:rPr>
                <w:spacing w:val="-3"/>
              </w:rPr>
              <w:t>全许可</w:t>
            </w:r>
            <w:r>
              <w:rPr/>
              <w:t xml:space="preserve"> </w:t>
            </w:r>
            <w:r>
              <w:rPr>
                <w:spacing w:val="-3"/>
              </w:rPr>
              <w:t>证注销</w:t>
            </w:r>
          </w:p>
        </w:tc>
        <w:tc>
          <w:tcPr>
            <w:tcW w:w="669"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60" w:right="154" w:hanging="1"/>
              <w:spacing w:before="58" w:line="307" w:lineRule="auto"/>
              <w:rPr/>
            </w:pPr>
            <w:r>
              <w:rPr>
                <w:spacing w:val="-5"/>
              </w:rPr>
              <w:t>省级</w:t>
            </w:r>
            <w:r>
              <w:rPr/>
              <w:t xml:space="preserve"> </w:t>
            </w:r>
            <w:r>
              <w:rPr>
                <w:spacing w:val="-6"/>
              </w:rPr>
              <w:t>市级</w:t>
            </w:r>
          </w:p>
        </w:tc>
        <w:tc>
          <w:tcPr>
            <w:tcW w:w="640" w:type="dxa"/>
            <w:vAlign w:val="top"/>
          </w:tcPr>
          <w:p>
            <w:pPr>
              <w:spacing w:line="316" w:lineRule="auto"/>
              <w:rPr>
                <w:rFonts w:ascii="Arial"/>
                <w:sz w:val="21"/>
              </w:rPr>
            </w:pPr>
            <w:r/>
          </w:p>
          <w:p>
            <w:pPr>
              <w:spacing w:line="316"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27"/>
              <w:spacing w:before="58" w:line="183" w:lineRule="auto"/>
              <w:rPr/>
            </w:pPr>
            <w:r>
              <w:rPr>
                <w:spacing w:val="-4"/>
              </w:rPr>
              <w:t>20</w:t>
            </w:r>
          </w:p>
        </w:tc>
        <w:tc>
          <w:tcPr>
            <w:tcW w:w="355" w:type="dxa"/>
            <w:vAlign w:val="top"/>
            <w:textDirection w:val="tbRlV"/>
          </w:tcPr>
          <w:p>
            <w:pPr>
              <w:pStyle w:val="TableText"/>
              <w:ind w:left="693"/>
              <w:spacing w:before="65" w:line="209" w:lineRule="auto"/>
              <w:rPr/>
            </w:pPr>
            <w:r>
              <w:rPr>
                <w:spacing w:val="-1"/>
              </w:rPr>
              <w:t>承</w:t>
            </w:r>
            <w:r>
              <w:rPr>
                <w:spacing w:val="43"/>
              </w:rPr>
              <w:t xml:space="preserve"> </w:t>
            </w:r>
            <w:r>
              <w:rPr>
                <w:spacing w:val="-1"/>
              </w:rPr>
              <w:t>诺</w:t>
            </w:r>
            <w:r>
              <w:rPr>
                <w:spacing w:val="42"/>
                <w:w w:val="101"/>
              </w:rPr>
              <w:t xml:space="preserve"> </w:t>
            </w:r>
            <w:r>
              <w:rPr>
                <w:spacing w:val="-1"/>
              </w:rPr>
              <w:t>件</w:t>
            </w:r>
          </w:p>
        </w:tc>
        <w:tc>
          <w:tcPr>
            <w:tcW w:w="7675" w:type="dxa"/>
            <w:vAlign w:val="top"/>
          </w:tcPr>
          <w:p>
            <w:pPr>
              <w:spacing w:line="463" w:lineRule="auto"/>
              <w:rPr>
                <w:rFonts w:ascii="Arial"/>
                <w:sz w:val="21"/>
              </w:rPr>
            </w:pPr>
            <w:r/>
          </w:p>
          <w:p>
            <w:pPr>
              <w:pStyle w:val="TableText"/>
              <w:ind w:left="114" w:right="185" w:firstLine="10"/>
              <w:spacing w:before="59" w:line="233" w:lineRule="auto"/>
              <w:rPr/>
            </w:pPr>
            <w:r>
              <w:rPr/>
              <w:t>1.生产、销售、使用放射性同位素和射线装</w:t>
            </w:r>
            <w:r>
              <w:rPr>
                <w:spacing w:val="-1"/>
              </w:rPr>
              <w:t>置的单位被责令限期整改，是否按期整改，经整改</w:t>
            </w:r>
            <w:r>
              <w:rPr/>
              <w:t xml:space="preserve"> </w:t>
            </w:r>
            <w:r>
              <w:rPr>
                <w:spacing w:val="-1"/>
              </w:rPr>
              <w:t>是否符合原发证条件；</w:t>
            </w:r>
          </w:p>
          <w:p>
            <w:pPr>
              <w:pStyle w:val="TableText"/>
              <w:ind w:left="113" w:right="185"/>
              <w:spacing w:before="26" w:line="231" w:lineRule="auto"/>
              <w:rPr/>
            </w:pPr>
            <w:r>
              <w:rPr/>
              <w:t>2.生产放射性同位素的场所、产生放射性污染的放射性同位素销售和</w:t>
            </w:r>
            <w:r>
              <w:rPr>
                <w:spacing w:val="-1"/>
              </w:rPr>
              <w:t>使用场所、产生放射性污</w:t>
            </w:r>
            <w:r>
              <w:rPr/>
              <w:t xml:space="preserve"> </w:t>
            </w:r>
            <w:r>
              <w:rPr>
                <w:spacing w:val="-1"/>
              </w:rPr>
              <w:t>染的射线装置及其场所，终结运行后是否依法实施退役；</w:t>
            </w:r>
          </w:p>
          <w:p>
            <w:pPr>
              <w:pStyle w:val="TableText"/>
              <w:ind w:left="115"/>
              <w:spacing w:before="29" w:line="217" w:lineRule="auto"/>
              <w:rPr/>
            </w:pPr>
            <w:r>
              <w:rPr>
                <w:spacing w:val="-1"/>
              </w:rPr>
              <w:t>3.法律规定其他应核验的内容。</w:t>
            </w:r>
          </w:p>
        </w:tc>
        <w:tc>
          <w:tcPr>
            <w:tcW w:w="368" w:type="dxa"/>
            <w:vAlign w:val="top"/>
            <w:textDirection w:val="tbRlV"/>
          </w:tcPr>
          <w:p>
            <w:pPr>
              <w:pStyle w:val="TableText"/>
              <w:ind w:left="693"/>
              <w:spacing w:before="77" w:line="209" w:lineRule="auto"/>
              <w:rPr/>
            </w:pPr>
            <w:r>
              <w:rPr>
                <w:spacing w:val="-1"/>
              </w:rPr>
              <w:t>条</w:t>
            </w:r>
            <w:r>
              <w:rPr>
                <w:spacing w:val="43"/>
              </w:rPr>
              <w:t xml:space="preserve"> </w:t>
            </w:r>
            <w:r>
              <w:rPr>
                <w:spacing w:val="-1"/>
              </w:rPr>
              <w:t>件</w:t>
            </w:r>
            <w:r>
              <w:rPr>
                <w:spacing w:val="42"/>
                <w:w w:val="101"/>
              </w:rPr>
              <w:t xml:space="preserve"> </w:t>
            </w:r>
            <w:r>
              <w:rPr>
                <w:spacing w:val="-1"/>
              </w:rPr>
              <w:t>型</w:t>
            </w:r>
          </w:p>
        </w:tc>
        <w:tc>
          <w:tcPr>
            <w:tcW w:w="1173" w:type="dxa"/>
            <w:vAlign w:val="top"/>
          </w:tcPr>
          <w:p>
            <w:pPr>
              <w:spacing w:line="475" w:lineRule="auto"/>
              <w:rPr>
                <w:rFonts w:ascii="Arial"/>
                <w:sz w:val="21"/>
              </w:rPr>
            </w:pPr>
            <w:r/>
          </w:p>
          <w:p>
            <w:pPr>
              <w:pStyle w:val="TableText"/>
              <w:ind w:left="142"/>
              <w:spacing w:before="59" w:line="220" w:lineRule="auto"/>
              <w:rPr/>
            </w:pPr>
            <w:r>
              <w:rPr>
                <w:spacing w:val="-2"/>
              </w:rPr>
              <w:t>关于同意注</w:t>
            </w:r>
          </w:p>
          <w:p>
            <w:pPr>
              <w:pStyle w:val="TableText"/>
              <w:ind w:left="140"/>
              <w:spacing w:before="97" w:line="219" w:lineRule="auto"/>
              <w:rPr/>
            </w:pPr>
            <w:r>
              <w:rPr>
                <w:spacing w:val="-2"/>
              </w:rPr>
              <w:t>销辐射安全</w:t>
            </w:r>
          </w:p>
          <w:p>
            <w:pPr>
              <w:pStyle w:val="TableText"/>
              <w:ind w:left="140"/>
              <w:spacing w:before="98" w:line="220" w:lineRule="auto"/>
              <w:rPr/>
            </w:pPr>
            <w:r>
              <w:rPr>
                <w:spacing w:val="-2"/>
              </w:rPr>
              <w:t>许可证的批</w:t>
            </w:r>
          </w:p>
          <w:p>
            <w:pPr>
              <w:pStyle w:val="TableText"/>
              <w:ind w:left="504"/>
              <w:spacing w:before="97" w:line="220" w:lineRule="auto"/>
              <w:rPr/>
            </w:pPr>
            <w:r>
              <w:rPr/>
              <w:t>复</w:t>
            </w:r>
          </w:p>
        </w:tc>
        <w:tc>
          <w:tcPr>
            <w:tcW w:w="4568"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5" w:right="2523" w:firstLine="11"/>
              <w:spacing w:before="58" w:line="307" w:lineRule="auto"/>
              <w:rPr/>
            </w:pPr>
            <w:r>
              <w:rPr>
                <w:spacing w:val="-6"/>
              </w:rPr>
              <w:t>1.许可证注销申请报告；</w:t>
            </w:r>
            <w:r>
              <w:rPr>
                <w:spacing w:val="3"/>
              </w:rPr>
              <w:t xml:space="preserve"> </w:t>
            </w:r>
            <w:r>
              <w:rPr>
                <w:spacing w:val="-1"/>
              </w:rPr>
              <w:t>2.许可证注销申请表。</w:t>
            </w:r>
          </w:p>
        </w:tc>
        <w:tc>
          <w:tcPr>
            <w:tcW w:w="2753" w:type="dxa"/>
            <w:vAlign w:val="top"/>
          </w:tcPr>
          <w:p>
            <w:pPr>
              <w:pStyle w:val="TableText"/>
              <w:ind w:left="126"/>
              <w:spacing w:before="69"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3" w:right="60" w:hanging="1"/>
              <w:spacing w:before="25" w:line="301" w:lineRule="auto"/>
              <w:jc w:val="both"/>
              <w:rPr/>
            </w:pPr>
            <w:r>
              <w:rPr>
                <w:spacing w:val="-3"/>
              </w:rPr>
              <w:t>4.审批机构决定注销/不予注销；</w:t>
            </w:r>
            <w:r>
              <w:rPr>
                <w:spacing w:val="12"/>
              </w:rPr>
              <w:t xml:space="preserve"> </w:t>
            </w:r>
            <w:r>
              <w:rPr>
                <w:spacing w:val="-4"/>
              </w:rPr>
              <w:t>5.特殊环节（部分情况下开展</w:t>
            </w:r>
            <w:r>
              <w:rPr>
                <w:spacing w:val="-36"/>
              </w:rPr>
              <w:t>）：</w:t>
            </w:r>
            <w:r>
              <w:rPr/>
              <w:t xml:space="preserve"> </w:t>
            </w:r>
            <w:r>
              <w:rPr>
                <w:spacing w:val="-1"/>
              </w:rPr>
              <w:t>技术审评、现场核查、专家评审</w:t>
            </w:r>
            <w:r>
              <w:rPr>
                <w:spacing w:val="5"/>
              </w:rPr>
              <w:t xml:space="preserve"> </w:t>
            </w:r>
            <w:r>
              <w:rPr>
                <w:spacing w:val="-1"/>
              </w:rPr>
              <w:t>等所需时间不计入审批时限。</w:t>
            </w:r>
          </w:p>
        </w:tc>
        <w:tc>
          <w:tcPr>
            <w:tcW w:w="768" w:type="dxa"/>
            <w:vAlign w:val="top"/>
          </w:tcPr>
          <w:p>
            <w:pPr>
              <w:rPr>
                <w:rFonts w:ascii="Arial"/>
                <w:sz w:val="21"/>
              </w:rPr>
            </w:pPr>
            <w:r/>
          </w:p>
        </w:tc>
      </w:tr>
      <w:tr>
        <w:trPr>
          <w:trHeight w:val="1252" w:hRule="atLeast"/>
        </w:trPr>
        <w:tc>
          <w:tcPr>
            <w:tcW w:w="400" w:type="dxa"/>
            <w:vAlign w:val="top"/>
          </w:tcPr>
          <w:p>
            <w:pPr>
              <w:spacing w:line="251" w:lineRule="auto"/>
              <w:rPr>
                <w:rFonts w:ascii="Arial"/>
                <w:sz w:val="21"/>
              </w:rPr>
            </w:pPr>
            <w:r/>
          </w:p>
          <w:p>
            <w:pPr>
              <w:spacing w:line="252" w:lineRule="auto"/>
              <w:rPr>
                <w:rFonts w:ascii="Arial"/>
                <w:sz w:val="21"/>
              </w:rPr>
            </w:pPr>
            <w:r/>
          </w:p>
          <w:p>
            <w:pPr>
              <w:pStyle w:val="TableText"/>
              <w:ind w:left="128"/>
              <w:spacing w:before="59" w:line="184" w:lineRule="auto"/>
              <w:rPr/>
            </w:pPr>
            <w:r>
              <w:rPr>
                <w:spacing w:val="-10"/>
              </w:rPr>
              <w:t>13</w:t>
            </w:r>
          </w:p>
        </w:tc>
        <w:tc>
          <w:tcPr>
            <w:tcW w:w="886" w:type="dxa"/>
            <w:vAlign w:val="top"/>
          </w:tcPr>
          <w:p>
            <w:pPr>
              <w:pStyle w:val="TableText"/>
              <w:ind w:left="176"/>
              <w:spacing w:before="70" w:line="220" w:lineRule="auto"/>
              <w:rPr/>
            </w:pPr>
            <w:r>
              <w:rPr>
                <w:spacing w:val="-3"/>
              </w:rPr>
              <w:t>放射性</w:t>
            </w:r>
          </w:p>
          <w:p>
            <w:pPr>
              <w:pStyle w:val="TableText"/>
              <w:ind w:left="194"/>
              <w:spacing w:before="97" w:line="219" w:lineRule="auto"/>
              <w:rPr/>
            </w:pPr>
            <w:r>
              <w:rPr>
                <w:spacing w:val="-9"/>
              </w:rPr>
              <w:t>同位素</w:t>
            </w:r>
          </w:p>
          <w:p>
            <w:pPr>
              <w:pStyle w:val="TableText"/>
              <w:ind w:left="177"/>
              <w:spacing w:before="98" w:line="218" w:lineRule="auto"/>
              <w:rPr/>
            </w:pPr>
            <w:r>
              <w:rPr>
                <w:spacing w:val="-3"/>
              </w:rPr>
              <w:t>转让审</w:t>
            </w:r>
          </w:p>
          <w:p>
            <w:pPr>
              <w:pStyle w:val="TableText"/>
              <w:ind w:left="355"/>
              <w:spacing w:before="100" w:line="221" w:lineRule="auto"/>
              <w:rPr/>
            </w:pPr>
            <w:r>
              <w:rPr/>
              <w:t>批</w:t>
            </w:r>
          </w:p>
        </w:tc>
        <w:tc>
          <w:tcPr>
            <w:tcW w:w="763" w:type="dxa"/>
            <w:vAlign w:val="top"/>
          </w:tcPr>
          <w:p>
            <w:pPr>
              <w:pStyle w:val="TableText"/>
              <w:ind w:left="113"/>
              <w:spacing w:before="70" w:line="220" w:lineRule="auto"/>
              <w:rPr/>
            </w:pPr>
            <w:r>
              <w:rPr>
                <w:spacing w:val="-3"/>
              </w:rPr>
              <w:t>放射性</w:t>
            </w:r>
          </w:p>
          <w:p>
            <w:pPr>
              <w:pStyle w:val="TableText"/>
              <w:ind w:left="131"/>
              <w:spacing w:before="97" w:line="219" w:lineRule="auto"/>
              <w:rPr/>
            </w:pPr>
            <w:r>
              <w:rPr>
                <w:spacing w:val="-9"/>
              </w:rPr>
              <w:t>同位素</w:t>
            </w:r>
          </w:p>
          <w:p>
            <w:pPr>
              <w:pStyle w:val="TableText"/>
              <w:ind w:left="114"/>
              <w:spacing w:before="98" w:line="218" w:lineRule="auto"/>
              <w:rPr/>
            </w:pPr>
            <w:r>
              <w:rPr>
                <w:spacing w:val="-3"/>
              </w:rPr>
              <w:t>转让审</w:t>
            </w:r>
          </w:p>
          <w:p>
            <w:pPr>
              <w:pStyle w:val="TableText"/>
              <w:ind w:left="292"/>
              <w:spacing w:before="100" w:line="221" w:lineRule="auto"/>
              <w:rPr/>
            </w:pPr>
            <w:r>
              <w:rPr/>
              <w:t>批</w:t>
            </w:r>
          </w:p>
        </w:tc>
        <w:tc>
          <w:tcPr>
            <w:tcW w:w="669" w:type="dxa"/>
            <w:vAlign w:val="top"/>
          </w:tcPr>
          <w:p>
            <w:pPr>
              <w:spacing w:line="476" w:lineRule="auto"/>
              <w:rPr>
                <w:rFonts w:ascii="Arial"/>
                <w:sz w:val="21"/>
              </w:rPr>
            </w:pPr>
            <w:r/>
          </w:p>
          <w:p>
            <w:pPr>
              <w:pStyle w:val="TableText"/>
              <w:ind w:left="159"/>
              <w:spacing w:before="59" w:line="219" w:lineRule="auto"/>
              <w:rPr/>
            </w:pPr>
            <w:r>
              <w:rPr>
                <w:spacing w:val="-5"/>
              </w:rPr>
              <w:t>省级</w:t>
            </w:r>
          </w:p>
        </w:tc>
        <w:tc>
          <w:tcPr>
            <w:tcW w:w="640" w:type="dxa"/>
            <w:vAlign w:val="top"/>
          </w:tcPr>
          <w:p>
            <w:pPr>
              <w:pStyle w:val="TableText"/>
              <w:ind w:left="143" w:right="138" w:firstLine="2"/>
              <w:spacing w:before="227"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51" w:lineRule="auto"/>
              <w:rPr>
                <w:rFonts w:ascii="Arial"/>
                <w:sz w:val="21"/>
              </w:rPr>
            </w:pPr>
            <w:r/>
          </w:p>
          <w:p>
            <w:pPr>
              <w:spacing w:line="252" w:lineRule="auto"/>
              <w:rPr>
                <w:rFonts w:ascii="Arial"/>
                <w:sz w:val="21"/>
              </w:rPr>
            </w:pPr>
            <w:r/>
          </w:p>
          <w:p>
            <w:pPr>
              <w:pStyle w:val="TableText"/>
              <w:ind w:left="238"/>
              <w:spacing w:before="59" w:line="184" w:lineRule="auto"/>
              <w:rPr/>
            </w:pPr>
            <w:r>
              <w:rPr>
                <w:spacing w:val="-10"/>
              </w:rPr>
              <w:t>15</w:t>
            </w:r>
          </w:p>
        </w:tc>
        <w:tc>
          <w:tcPr>
            <w:tcW w:w="355" w:type="dxa"/>
            <w:vAlign w:val="top"/>
            <w:textDirection w:val="tbRlV"/>
          </w:tcPr>
          <w:p>
            <w:pPr>
              <w:pStyle w:val="TableText"/>
              <w:ind w:left="225"/>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pStyle w:val="TableText"/>
              <w:ind w:left="124"/>
              <w:spacing w:before="297" w:line="218" w:lineRule="auto"/>
              <w:rPr/>
            </w:pPr>
            <w:r>
              <w:rPr>
                <w:spacing w:val="-1"/>
              </w:rPr>
              <w:t>1、转出、转入单位是否持有与所从事活动相符的许可证；</w:t>
            </w:r>
          </w:p>
          <w:p>
            <w:pPr>
              <w:pStyle w:val="TableText"/>
              <w:ind w:left="113"/>
              <w:spacing w:before="27" w:line="217" w:lineRule="auto"/>
              <w:rPr/>
            </w:pPr>
            <w:r>
              <w:rPr>
                <w:spacing w:val="-1"/>
              </w:rPr>
              <w:t>2、转入单位是否具有放射性同位素使用期满后的处理方案；</w:t>
            </w:r>
          </w:p>
          <w:p>
            <w:pPr>
              <w:pStyle w:val="TableText"/>
              <w:ind w:left="115"/>
              <w:spacing w:before="28" w:line="218" w:lineRule="auto"/>
              <w:rPr/>
            </w:pPr>
            <w:r>
              <w:rPr>
                <w:spacing w:val="-1"/>
              </w:rPr>
              <w:t>3、转让双方是否已经签订书面转让协议。</w:t>
            </w:r>
          </w:p>
        </w:tc>
        <w:tc>
          <w:tcPr>
            <w:tcW w:w="368" w:type="dxa"/>
            <w:vAlign w:val="top"/>
            <w:textDirection w:val="tbRlV"/>
          </w:tcPr>
          <w:p>
            <w:pPr>
              <w:pStyle w:val="TableText"/>
              <w:ind w:left="225"/>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pStyle w:val="TableText"/>
              <w:ind w:left="139"/>
              <w:spacing w:before="70" w:line="220" w:lineRule="auto"/>
              <w:rPr/>
            </w:pPr>
            <w:r>
              <w:rPr>
                <w:spacing w:val="-2"/>
              </w:rPr>
              <w:t>放射性同位</w:t>
            </w:r>
          </w:p>
          <w:p>
            <w:pPr>
              <w:pStyle w:val="TableText"/>
              <w:ind w:left="141"/>
              <w:spacing w:before="97" w:line="218" w:lineRule="auto"/>
              <w:rPr/>
            </w:pPr>
            <w:r>
              <w:rPr>
                <w:spacing w:val="-2"/>
              </w:rPr>
              <w:t>素转让审批</w:t>
            </w:r>
          </w:p>
          <w:p>
            <w:pPr>
              <w:pStyle w:val="TableText"/>
              <w:ind w:left="142"/>
              <w:spacing w:before="99" w:line="219" w:lineRule="auto"/>
              <w:rPr/>
            </w:pPr>
            <w:r>
              <w:rPr>
                <w:spacing w:val="-2"/>
              </w:rPr>
              <w:t>行政许可决</w:t>
            </w:r>
          </w:p>
          <w:p>
            <w:pPr>
              <w:pStyle w:val="TableText"/>
              <w:ind w:left="415"/>
              <w:spacing w:before="97" w:line="219" w:lineRule="auto"/>
              <w:rPr/>
            </w:pPr>
            <w:r>
              <w:rPr>
                <w:spacing w:val="-6"/>
              </w:rPr>
              <w:t>定书</w:t>
            </w:r>
          </w:p>
        </w:tc>
        <w:tc>
          <w:tcPr>
            <w:tcW w:w="4568" w:type="dxa"/>
            <w:vAlign w:val="top"/>
          </w:tcPr>
          <w:p>
            <w:pPr>
              <w:pStyle w:val="TableText"/>
              <w:ind w:left="127"/>
              <w:spacing w:before="225" w:line="218" w:lineRule="auto"/>
              <w:rPr/>
            </w:pPr>
            <w:r>
              <w:rPr>
                <w:spacing w:val="-2"/>
              </w:rPr>
              <w:t>1.放射性同位素转让审批表；</w:t>
            </w:r>
          </w:p>
          <w:p>
            <w:pPr>
              <w:pStyle w:val="TableText"/>
              <w:ind w:left="115"/>
              <w:spacing w:before="99" w:line="218" w:lineRule="auto"/>
              <w:rPr/>
            </w:pPr>
            <w:r>
              <w:rPr>
                <w:spacing w:val="-1"/>
              </w:rPr>
              <w:t>2.转让双方签订书面转让协议；</w:t>
            </w:r>
          </w:p>
          <w:p>
            <w:pPr>
              <w:pStyle w:val="TableText"/>
              <w:ind w:left="117"/>
              <w:spacing w:before="99" w:line="219" w:lineRule="auto"/>
              <w:rPr/>
            </w:pPr>
            <w:r>
              <w:rPr>
                <w:spacing w:val="-1"/>
              </w:rPr>
              <w:t>3.对放射性同位素使用期满后的处理方案。</w:t>
            </w:r>
          </w:p>
        </w:tc>
        <w:tc>
          <w:tcPr>
            <w:tcW w:w="2753" w:type="dxa"/>
            <w:vAlign w:val="top"/>
          </w:tcPr>
          <w:p>
            <w:pPr>
              <w:pStyle w:val="TableText"/>
              <w:ind w:left="126"/>
              <w:spacing w:before="70"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2"/>
              <w:spacing w:before="26" w:line="219" w:lineRule="auto"/>
              <w:rPr/>
            </w:pPr>
            <w:r>
              <w:rPr>
                <w:spacing w:val="-1"/>
              </w:rPr>
              <w:t>4.审批机构批准/不予批准。</w:t>
            </w:r>
          </w:p>
        </w:tc>
        <w:tc>
          <w:tcPr>
            <w:tcW w:w="768" w:type="dxa"/>
            <w:vAlign w:val="top"/>
          </w:tcPr>
          <w:p>
            <w:pPr>
              <w:rPr>
                <w:rFonts w:ascii="Arial"/>
                <w:sz w:val="21"/>
              </w:rPr>
            </w:pPr>
            <w:r/>
          </w:p>
        </w:tc>
      </w:tr>
      <w:tr>
        <w:trPr>
          <w:trHeight w:val="2500" w:hRule="atLeast"/>
        </w:trPr>
        <w:tc>
          <w:tcPr>
            <w:tcW w:w="400"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128"/>
              <w:spacing w:before="59" w:line="184" w:lineRule="auto"/>
              <w:rPr/>
            </w:pPr>
            <w:r>
              <w:rPr>
                <w:spacing w:val="-10"/>
              </w:rPr>
              <w:t>14</w:t>
            </w:r>
          </w:p>
        </w:tc>
        <w:tc>
          <w:tcPr>
            <w:tcW w:w="886" w:type="dxa"/>
            <w:vAlign w:val="top"/>
          </w:tcPr>
          <w:p>
            <w:pPr>
              <w:spacing w:line="322" w:lineRule="auto"/>
              <w:rPr>
                <w:rFonts w:ascii="Arial"/>
                <w:sz w:val="21"/>
              </w:rPr>
            </w:pPr>
            <w:r/>
          </w:p>
          <w:p>
            <w:pPr>
              <w:pStyle w:val="TableText"/>
              <w:ind w:left="175"/>
              <w:spacing w:before="58" w:line="220" w:lineRule="auto"/>
              <w:rPr/>
            </w:pPr>
            <w:r>
              <w:rPr>
                <w:spacing w:val="-3"/>
              </w:rPr>
              <w:t>在野外</w:t>
            </w:r>
          </w:p>
          <w:p>
            <w:pPr>
              <w:pStyle w:val="TableText"/>
              <w:ind w:left="174"/>
              <w:spacing w:before="97" w:line="220" w:lineRule="auto"/>
              <w:rPr/>
            </w:pPr>
            <w:r>
              <w:rPr>
                <w:spacing w:val="-2"/>
              </w:rPr>
              <w:t>进行放</w:t>
            </w:r>
          </w:p>
          <w:p>
            <w:pPr>
              <w:pStyle w:val="TableText"/>
              <w:ind w:left="176"/>
              <w:spacing w:before="97" w:line="220" w:lineRule="auto"/>
              <w:rPr/>
            </w:pPr>
            <w:r>
              <w:rPr>
                <w:spacing w:val="-3"/>
              </w:rPr>
              <w:t>射性同</w:t>
            </w:r>
          </w:p>
          <w:p>
            <w:pPr>
              <w:pStyle w:val="TableText"/>
              <w:ind w:left="176"/>
              <w:spacing w:before="97" w:line="219" w:lineRule="auto"/>
              <w:rPr/>
            </w:pPr>
            <w:r>
              <w:rPr>
                <w:spacing w:val="-3"/>
              </w:rPr>
              <w:t>位素示</w:t>
            </w:r>
          </w:p>
          <w:p>
            <w:pPr>
              <w:pStyle w:val="TableText"/>
              <w:ind w:left="177"/>
              <w:spacing w:before="98" w:line="216" w:lineRule="auto"/>
              <w:rPr/>
            </w:pPr>
            <w:r>
              <w:rPr>
                <w:spacing w:val="-3"/>
              </w:rPr>
              <w:t>踪试验</w:t>
            </w:r>
          </w:p>
          <w:p>
            <w:pPr>
              <w:pStyle w:val="TableText"/>
              <w:ind w:left="274"/>
              <w:spacing w:before="102" w:line="220" w:lineRule="auto"/>
              <w:rPr/>
            </w:pPr>
            <w:r>
              <w:rPr>
                <w:spacing w:val="-9"/>
              </w:rPr>
              <w:t>审批</w:t>
            </w:r>
          </w:p>
        </w:tc>
        <w:tc>
          <w:tcPr>
            <w:tcW w:w="763" w:type="dxa"/>
            <w:vAlign w:val="top"/>
          </w:tcPr>
          <w:p>
            <w:pPr>
              <w:spacing w:line="322" w:lineRule="auto"/>
              <w:rPr>
                <w:rFonts w:ascii="Arial"/>
                <w:sz w:val="21"/>
              </w:rPr>
            </w:pPr>
            <w:r/>
          </w:p>
          <w:p>
            <w:pPr>
              <w:pStyle w:val="TableText"/>
              <w:ind w:left="112"/>
              <w:spacing w:before="58" w:line="220" w:lineRule="auto"/>
              <w:rPr/>
            </w:pPr>
            <w:r>
              <w:rPr>
                <w:spacing w:val="-3"/>
              </w:rPr>
              <w:t>在野外</w:t>
            </w:r>
          </w:p>
          <w:p>
            <w:pPr>
              <w:pStyle w:val="TableText"/>
              <w:ind w:left="112"/>
              <w:spacing w:before="97" w:line="220" w:lineRule="auto"/>
              <w:rPr/>
            </w:pPr>
            <w:r>
              <w:rPr>
                <w:spacing w:val="-2"/>
              </w:rPr>
              <w:t>进行放</w:t>
            </w:r>
          </w:p>
          <w:p>
            <w:pPr>
              <w:pStyle w:val="TableText"/>
              <w:ind w:left="113"/>
              <w:spacing w:before="97" w:line="220" w:lineRule="auto"/>
              <w:rPr/>
            </w:pPr>
            <w:r>
              <w:rPr>
                <w:spacing w:val="-3"/>
              </w:rPr>
              <w:t>射性同</w:t>
            </w:r>
          </w:p>
          <w:p>
            <w:pPr>
              <w:pStyle w:val="TableText"/>
              <w:ind w:left="113"/>
              <w:spacing w:before="97" w:line="219" w:lineRule="auto"/>
              <w:rPr/>
            </w:pPr>
            <w:r>
              <w:rPr>
                <w:spacing w:val="-3"/>
              </w:rPr>
              <w:t>位素示</w:t>
            </w:r>
          </w:p>
          <w:p>
            <w:pPr>
              <w:pStyle w:val="TableText"/>
              <w:ind w:left="114"/>
              <w:spacing w:before="98" w:line="216" w:lineRule="auto"/>
              <w:rPr/>
            </w:pPr>
            <w:r>
              <w:rPr>
                <w:spacing w:val="-3"/>
              </w:rPr>
              <w:t>踪试验</w:t>
            </w:r>
          </w:p>
          <w:p>
            <w:pPr>
              <w:pStyle w:val="TableText"/>
              <w:ind w:left="213"/>
              <w:spacing w:before="102" w:line="220" w:lineRule="auto"/>
              <w:rPr/>
            </w:pPr>
            <w:r>
              <w:rPr>
                <w:spacing w:val="-9"/>
              </w:rPr>
              <w:t>审批</w:t>
            </w:r>
          </w:p>
        </w:tc>
        <w:tc>
          <w:tcPr>
            <w:tcW w:w="66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59"/>
              <w:spacing w:before="59" w:line="219" w:lineRule="auto"/>
              <w:rPr/>
            </w:pPr>
            <w:r>
              <w:rPr>
                <w:spacing w:val="-5"/>
              </w:rPr>
              <w:t>省级</w:t>
            </w:r>
          </w:p>
        </w:tc>
        <w:tc>
          <w:tcPr>
            <w:tcW w:w="640"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43" w:right="138" w:firstLine="2"/>
              <w:spacing w:before="58"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pStyle w:val="TableText"/>
              <w:ind w:left="227"/>
              <w:spacing w:before="59" w:line="183" w:lineRule="auto"/>
              <w:rPr/>
            </w:pPr>
            <w:r>
              <w:rPr>
                <w:spacing w:val="-4"/>
              </w:rPr>
              <w:t>20</w:t>
            </w:r>
          </w:p>
        </w:tc>
        <w:tc>
          <w:tcPr>
            <w:tcW w:w="355" w:type="dxa"/>
            <w:vAlign w:val="top"/>
            <w:textDirection w:val="tbRlV"/>
          </w:tcPr>
          <w:p>
            <w:pPr>
              <w:pStyle w:val="TableText"/>
              <w:ind w:left="850"/>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14"/>
              <w:spacing w:before="58" w:line="216" w:lineRule="auto"/>
              <w:rPr/>
            </w:pPr>
            <w:r>
              <w:rPr>
                <w:spacing w:val="-1"/>
              </w:rPr>
              <w:t>是否编制在野外进行放射性同位素示踪试验环境影响评价文件。</w:t>
            </w:r>
          </w:p>
        </w:tc>
        <w:tc>
          <w:tcPr>
            <w:tcW w:w="368" w:type="dxa"/>
            <w:vAlign w:val="top"/>
            <w:textDirection w:val="tbRlV"/>
          </w:tcPr>
          <w:p>
            <w:pPr>
              <w:pStyle w:val="TableText"/>
              <w:ind w:left="850"/>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315" w:lineRule="auto"/>
              <w:rPr>
                <w:rFonts w:ascii="Arial"/>
                <w:sz w:val="21"/>
              </w:rPr>
            </w:pPr>
            <w:r/>
          </w:p>
          <w:p>
            <w:pPr>
              <w:spacing w:line="316" w:lineRule="auto"/>
              <w:rPr>
                <w:rFonts w:ascii="Arial"/>
                <w:sz w:val="21"/>
              </w:rPr>
            </w:pPr>
            <w:r/>
          </w:p>
          <w:p>
            <w:pPr>
              <w:pStyle w:val="TableText"/>
              <w:ind w:left="142"/>
              <w:spacing w:before="59" w:line="216" w:lineRule="auto"/>
              <w:rPr/>
            </w:pPr>
            <w:r>
              <w:rPr>
                <w:spacing w:val="-2"/>
              </w:rPr>
              <w:t>关于示踪试</w:t>
            </w:r>
          </w:p>
          <w:p>
            <w:pPr>
              <w:pStyle w:val="TableText"/>
              <w:ind w:left="138"/>
              <w:spacing w:before="101" w:line="219" w:lineRule="auto"/>
              <w:rPr/>
            </w:pPr>
            <w:r>
              <w:rPr>
                <w:spacing w:val="-2"/>
              </w:rPr>
              <w:t>验项目环境</w:t>
            </w:r>
          </w:p>
          <w:p>
            <w:pPr>
              <w:pStyle w:val="TableText"/>
              <w:ind w:left="139"/>
              <w:spacing w:before="98" w:line="218" w:lineRule="auto"/>
              <w:rPr/>
            </w:pPr>
            <w:r>
              <w:rPr>
                <w:spacing w:val="-2"/>
              </w:rPr>
              <w:t>影响报告表</w:t>
            </w:r>
          </w:p>
          <w:p>
            <w:pPr>
              <w:pStyle w:val="TableText"/>
              <w:ind w:left="334"/>
              <w:spacing w:before="99" w:line="220" w:lineRule="auto"/>
              <w:rPr/>
            </w:pPr>
            <w:r>
              <w:rPr>
                <w:spacing w:val="-8"/>
              </w:rPr>
              <w:t>的批复</w:t>
            </w:r>
          </w:p>
        </w:tc>
        <w:tc>
          <w:tcPr>
            <w:tcW w:w="4568"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13"/>
              <w:spacing w:before="58" w:line="216" w:lineRule="auto"/>
              <w:rPr/>
            </w:pPr>
            <w:r>
              <w:rPr>
                <w:spacing w:val="-1"/>
              </w:rPr>
              <w:t>放射性同位素野外示踪试验环境影响报告表</w:t>
            </w:r>
          </w:p>
        </w:tc>
        <w:tc>
          <w:tcPr>
            <w:tcW w:w="2753" w:type="dxa"/>
            <w:vAlign w:val="top"/>
          </w:tcPr>
          <w:p>
            <w:pPr>
              <w:pStyle w:val="TableText"/>
              <w:ind w:left="126"/>
              <w:spacing w:before="70"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7" w:line="294" w:lineRule="auto"/>
              <w:jc w:val="both"/>
              <w:rPr/>
            </w:pPr>
            <w:r>
              <w:rPr>
                <w:spacing w:val="-4"/>
              </w:rPr>
              <w:t>6.特殊环节（部分情况下开展</w:t>
            </w:r>
            <w:r>
              <w:rPr>
                <w:spacing w:val="-36"/>
              </w:rPr>
              <w:t>）：</w:t>
            </w:r>
            <w:r>
              <w:rPr/>
              <w:t xml:space="preserve"> </w:t>
            </w:r>
            <w:r>
              <w:rPr>
                <w:spacing w:val="-1"/>
              </w:rPr>
              <w:t>技术评估、现场勘验、听证等所</w:t>
            </w:r>
            <w:r>
              <w:rPr>
                <w:spacing w:val="5"/>
              </w:rPr>
              <w:t xml:space="preserve"> </w:t>
            </w:r>
            <w:r>
              <w:rPr>
                <w:spacing w:val="-1"/>
              </w:rPr>
              <w:t>需时间不计入审批时限。</w:t>
            </w:r>
          </w:p>
        </w:tc>
        <w:tc>
          <w:tcPr>
            <w:tcW w:w="768" w:type="dxa"/>
            <w:vAlign w:val="top"/>
          </w:tcPr>
          <w:p>
            <w:pPr>
              <w:rPr>
                <w:rFonts w:ascii="Arial"/>
                <w:sz w:val="21"/>
              </w:rPr>
            </w:pPr>
            <w:r/>
          </w:p>
        </w:tc>
      </w:tr>
      <w:tr>
        <w:trPr>
          <w:trHeight w:val="2504" w:hRule="atLeast"/>
        </w:trPr>
        <w:tc>
          <w:tcPr>
            <w:tcW w:w="400"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pStyle w:val="TableText"/>
              <w:ind w:left="128"/>
              <w:spacing w:before="58" w:line="184" w:lineRule="auto"/>
              <w:rPr/>
            </w:pPr>
            <w:r>
              <w:rPr>
                <w:spacing w:val="-10"/>
              </w:rPr>
              <w:t>15</w:t>
            </w:r>
          </w:p>
        </w:tc>
        <w:tc>
          <w:tcPr>
            <w:tcW w:w="886"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76" w:right="171"/>
              <w:spacing w:before="59" w:line="311" w:lineRule="auto"/>
              <w:jc w:val="both"/>
              <w:rPr/>
            </w:pPr>
            <w:r>
              <w:rPr>
                <w:spacing w:val="-3"/>
              </w:rPr>
              <w:t>放射性</w:t>
            </w:r>
            <w:r>
              <w:rPr/>
              <w:t xml:space="preserve"> </w:t>
            </w:r>
            <w:r>
              <w:rPr>
                <w:spacing w:val="-3"/>
              </w:rPr>
              <w:t>核素排</w:t>
            </w:r>
            <w:r>
              <w:rPr/>
              <w:t xml:space="preserve"> </w:t>
            </w:r>
            <w:r>
              <w:rPr>
                <w:spacing w:val="-3"/>
              </w:rPr>
              <w:t>放许可</w:t>
            </w:r>
          </w:p>
        </w:tc>
        <w:tc>
          <w:tcPr>
            <w:tcW w:w="763"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3" w:right="111"/>
              <w:spacing w:before="59" w:line="311" w:lineRule="auto"/>
              <w:jc w:val="both"/>
              <w:rPr/>
            </w:pPr>
            <w:r>
              <w:rPr>
                <w:spacing w:val="-3"/>
              </w:rPr>
              <w:t>放射性</w:t>
            </w:r>
            <w:r>
              <w:rPr/>
              <w:t xml:space="preserve"> </w:t>
            </w:r>
            <w:r>
              <w:rPr>
                <w:spacing w:val="-3"/>
              </w:rPr>
              <w:t>核素排</w:t>
            </w:r>
            <w:r>
              <w:rPr/>
              <w:t xml:space="preserve"> </w:t>
            </w:r>
            <w:r>
              <w:rPr>
                <w:spacing w:val="-3"/>
              </w:rPr>
              <w:t>放许可</w:t>
            </w:r>
          </w:p>
        </w:tc>
        <w:tc>
          <w:tcPr>
            <w:tcW w:w="669" w:type="dxa"/>
            <w:vAlign w:val="top"/>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60" w:right="154" w:hanging="1"/>
              <w:spacing w:before="58" w:line="307" w:lineRule="auto"/>
              <w:rPr/>
            </w:pPr>
            <w:r>
              <w:rPr>
                <w:spacing w:val="-5"/>
              </w:rPr>
              <w:t>省级</w:t>
            </w:r>
            <w:r>
              <w:rPr/>
              <w:t xml:space="preserve"> </w:t>
            </w:r>
            <w:r>
              <w:rPr>
                <w:spacing w:val="-6"/>
              </w:rPr>
              <w:t>市级</w:t>
            </w:r>
          </w:p>
        </w:tc>
        <w:tc>
          <w:tcPr>
            <w:tcW w:w="640"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43" w:right="138" w:firstLine="2"/>
              <w:spacing w:before="59" w:line="311" w:lineRule="auto"/>
              <w:jc w:val="both"/>
              <w:rPr/>
            </w:pPr>
            <w:r>
              <w:rPr>
                <w:spacing w:val="-5"/>
              </w:rPr>
              <w:t>省生</w:t>
            </w:r>
            <w:r>
              <w:rPr/>
              <w:t xml:space="preserve"> </w:t>
            </w:r>
            <w:r>
              <w:rPr>
                <w:spacing w:val="-4"/>
              </w:rPr>
              <w:t>态环</w:t>
            </w:r>
            <w:r>
              <w:rPr/>
              <w:t xml:space="preserve"> </w:t>
            </w:r>
            <w:r>
              <w:rPr>
                <w:spacing w:val="-4"/>
              </w:rPr>
              <w:t>境厅</w:t>
            </w:r>
          </w:p>
        </w:tc>
        <w:tc>
          <w:tcPr>
            <w:tcW w:w="628" w:type="dxa"/>
            <w:vAlign w:val="top"/>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227"/>
              <w:spacing w:before="58" w:line="183" w:lineRule="auto"/>
              <w:rPr/>
            </w:pPr>
            <w:r>
              <w:rPr>
                <w:spacing w:val="-4"/>
              </w:rPr>
              <w:t>60</w:t>
            </w:r>
          </w:p>
        </w:tc>
        <w:tc>
          <w:tcPr>
            <w:tcW w:w="355" w:type="dxa"/>
            <w:vAlign w:val="top"/>
            <w:textDirection w:val="tbRlV"/>
          </w:tcPr>
          <w:p>
            <w:pPr>
              <w:pStyle w:val="TableText"/>
              <w:ind w:left="851"/>
              <w:spacing w:before="65" w:line="209" w:lineRule="auto"/>
              <w:rPr/>
            </w:pPr>
            <w:r>
              <w:rPr>
                <w:spacing w:val="-1"/>
              </w:rPr>
              <w:t>承</w:t>
            </w:r>
            <w:r>
              <w:rPr>
                <w:spacing w:val="43"/>
              </w:rPr>
              <w:t xml:space="preserve"> </w:t>
            </w:r>
            <w:r>
              <w:rPr>
                <w:spacing w:val="-1"/>
              </w:rPr>
              <w:t>诺</w:t>
            </w:r>
            <w:r>
              <w:rPr>
                <w:spacing w:val="43"/>
              </w:rPr>
              <w:t xml:space="preserve"> </w:t>
            </w:r>
            <w:r>
              <w:rPr>
                <w:spacing w:val="-1"/>
              </w:rPr>
              <w:t>件</w:t>
            </w:r>
          </w:p>
        </w:tc>
        <w:tc>
          <w:tcPr>
            <w:tcW w:w="7675" w:type="dxa"/>
            <w:vAlign w:val="top"/>
          </w:tcPr>
          <w:p>
            <w:pPr>
              <w:spacing w:line="250" w:lineRule="auto"/>
              <w:rPr>
                <w:rFonts w:ascii="Arial"/>
                <w:sz w:val="21"/>
              </w:rPr>
            </w:pPr>
            <w:r/>
          </w:p>
          <w:p>
            <w:pPr>
              <w:spacing w:line="251" w:lineRule="auto"/>
              <w:rPr>
                <w:rFonts w:ascii="Arial"/>
                <w:sz w:val="21"/>
              </w:rPr>
            </w:pPr>
            <w:r/>
          </w:p>
          <w:p>
            <w:pPr>
              <w:pStyle w:val="TableText"/>
              <w:ind w:left="110" w:right="185" w:firstLine="14"/>
              <w:spacing w:before="59" w:line="232" w:lineRule="auto"/>
              <w:rPr/>
            </w:pPr>
            <w:r>
              <w:rPr/>
              <w:t>1.核与辐射建设项目放射性核素排放是环境</w:t>
            </w:r>
            <w:r>
              <w:rPr>
                <w:spacing w:val="-1"/>
              </w:rPr>
              <w:t>影响评价的必要内容，包含在环境影响评价文件审</w:t>
            </w:r>
            <w:r>
              <w:rPr/>
              <w:t xml:space="preserve"> </w:t>
            </w:r>
            <w:r>
              <w:rPr>
                <w:spacing w:val="-1"/>
              </w:rPr>
              <w:t>批中，本事项与“核与辐射类建设项目环境影响评价审批</w:t>
            </w:r>
            <w:r>
              <w:rPr>
                <w:spacing w:val="-57"/>
              </w:rPr>
              <w:t xml:space="preserve"> </w:t>
            </w:r>
            <w:r>
              <w:rPr>
                <w:spacing w:val="-1"/>
              </w:rPr>
              <w:t>”许可事项合并办理，不单独审批；</w:t>
            </w:r>
          </w:p>
          <w:p>
            <w:pPr>
              <w:pStyle w:val="TableText"/>
              <w:ind w:left="112" w:right="60"/>
              <w:spacing w:before="27" w:line="233" w:lineRule="auto"/>
              <w:rPr/>
            </w:pPr>
            <w:r>
              <w:rPr>
                <w:spacing w:val="-1"/>
              </w:rPr>
              <w:t>2.申请单位根据《建设项目环境影响评价分类</w:t>
            </w:r>
            <w:r>
              <w:rPr>
                <w:spacing w:val="-2"/>
              </w:rPr>
              <w:t>管理目录》规定，组织编制的环境影响评价文件，</w:t>
            </w:r>
            <w:r>
              <w:rPr/>
              <w:t xml:space="preserve"> </w:t>
            </w:r>
            <w:r>
              <w:rPr>
                <w:spacing w:val="-1"/>
              </w:rPr>
              <w:t>属于省级生态环境部门审批的项目；</w:t>
            </w:r>
          </w:p>
          <w:p>
            <w:pPr>
              <w:pStyle w:val="TableText"/>
              <w:ind w:left="115"/>
              <w:spacing w:before="25" w:line="218" w:lineRule="auto"/>
              <w:rPr/>
            </w:pPr>
            <w:r>
              <w:rPr/>
              <w:t>3.环境影响评价文件中已评估与核与辐射建设</w:t>
            </w:r>
            <w:r>
              <w:rPr>
                <w:spacing w:val="-1"/>
              </w:rPr>
              <w:t>项目放射性核素排放情况；</w:t>
            </w:r>
          </w:p>
          <w:p>
            <w:pPr>
              <w:pStyle w:val="TableText"/>
              <w:ind w:left="110"/>
              <w:spacing w:before="27" w:line="219" w:lineRule="auto"/>
              <w:rPr/>
            </w:pPr>
            <w:r>
              <w:rPr/>
              <w:t>4.申请单位申请的项目的现场条件与申请材料相符，且满足国家</w:t>
            </w:r>
            <w:r>
              <w:rPr>
                <w:spacing w:val="-1"/>
              </w:rPr>
              <w:t>相关法规的要求。</w:t>
            </w:r>
          </w:p>
        </w:tc>
        <w:tc>
          <w:tcPr>
            <w:tcW w:w="368" w:type="dxa"/>
            <w:vAlign w:val="top"/>
            <w:textDirection w:val="tbRlV"/>
          </w:tcPr>
          <w:p>
            <w:pPr>
              <w:pStyle w:val="TableText"/>
              <w:ind w:left="851"/>
              <w:spacing w:before="77" w:line="209" w:lineRule="auto"/>
              <w:rPr/>
            </w:pPr>
            <w:r>
              <w:rPr>
                <w:spacing w:val="-1"/>
              </w:rPr>
              <w:t>条</w:t>
            </w:r>
            <w:r>
              <w:rPr>
                <w:spacing w:val="43"/>
              </w:rPr>
              <w:t xml:space="preserve"> </w:t>
            </w:r>
            <w:r>
              <w:rPr>
                <w:spacing w:val="-1"/>
              </w:rPr>
              <w:t>件</w:t>
            </w:r>
            <w:r>
              <w:rPr>
                <w:spacing w:val="43"/>
              </w:rPr>
              <w:t xml:space="preserve"> </w:t>
            </w:r>
            <w:r>
              <w:rPr>
                <w:spacing w:val="-1"/>
              </w:rPr>
              <w:t>型</w:t>
            </w:r>
          </w:p>
        </w:tc>
        <w:tc>
          <w:tcPr>
            <w:tcW w:w="1173" w:type="dxa"/>
            <w:vAlign w:val="top"/>
          </w:tcPr>
          <w:p>
            <w:pPr>
              <w:spacing w:line="477" w:lineRule="auto"/>
              <w:rPr>
                <w:rFonts w:ascii="Arial"/>
                <w:sz w:val="21"/>
              </w:rPr>
            </w:pPr>
            <w:r/>
          </w:p>
          <w:p>
            <w:pPr>
              <w:pStyle w:val="TableText"/>
              <w:ind w:left="142"/>
              <w:spacing w:before="58" w:line="219" w:lineRule="auto"/>
              <w:rPr/>
            </w:pPr>
            <w:r>
              <w:rPr>
                <w:spacing w:val="-2"/>
              </w:rPr>
              <w:t>关于核与辐</w:t>
            </w:r>
          </w:p>
          <w:p>
            <w:pPr>
              <w:pStyle w:val="TableText"/>
              <w:ind w:left="139"/>
              <w:spacing w:before="99" w:line="219" w:lineRule="auto"/>
              <w:rPr/>
            </w:pPr>
            <w:r>
              <w:rPr>
                <w:spacing w:val="-2"/>
              </w:rPr>
              <w:t>射类建设项</w:t>
            </w:r>
          </w:p>
          <w:p>
            <w:pPr>
              <w:pStyle w:val="TableText"/>
              <w:ind w:left="173"/>
              <w:spacing w:before="98" w:line="220" w:lineRule="auto"/>
              <w:rPr/>
            </w:pPr>
            <w:r>
              <w:rPr>
                <w:spacing w:val="-9"/>
              </w:rPr>
              <w:t>目环境影响</w:t>
            </w:r>
          </w:p>
          <w:p>
            <w:pPr>
              <w:pStyle w:val="TableText"/>
              <w:ind w:right="15"/>
              <w:spacing w:before="97" w:line="218" w:lineRule="auto"/>
              <w:jc w:val="right"/>
              <w:rPr/>
            </w:pPr>
            <w:r>
              <w:rPr>
                <w:spacing w:val="-7"/>
              </w:rPr>
              <w:t>报告书（表）</w:t>
            </w:r>
          </w:p>
          <w:p>
            <w:pPr>
              <w:pStyle w:val="TableText"/>
              <w:ind w:left="334"/>
              <w:spacing w:before="99" w:line="220" w:lineRule="auto"/>
              <w:rPr/>
            </w:pPr>
            <w:r>
              <w:rPr>
                <w:spacing w:val="-8"/>
              </w:rPr>
              <w:t>的批复</w:t>
            </w:r>
          </w:p>
        </w:tc>
        <w:tc>
          <w:tcPr>
            <w:tcW w:w="4568" w:type="dxa"/>
            <w:vAlign w:val="top"/>
          </w:tcPr>
          <w:p>
            <w:pPr>
              <w:spacing w:line="477" w:lineRule="auto"/>
              <w:rPr>
                <w:rFonts w:ascii="Arial"/>
                <w:sz w:val="21"/>
              </w:rPr>
            </w:pPr>
            <w:r/>
          </w:p>
          <w:p>
            <w:pPr>
              <w:pStyle w:val="TableText"/>
              <w:ind w:left="127"/>
              <w:spacing w:before="59" w:line="218" w:lineRule="auto"/>
              <w:rPr/>
            </w:pPr>
            <w:r>
              <w:rPr>
                <w:spacing w:val="-2"/>
              </w:rPr>
              <w:t>1.建设项目环境影响评价文件报批申请；</w:t>
            </w:r>
          </w:p>
          <w:p>
            <w:pPr>
              <w:pStyle w:val="TableText"/>
              <w:ind w:left="117" w:right="136" w:hanging="2"/>
              <w:spacing w:before="99" w:line="306" w:lineRule="auto"/>
              <w:rPr/>
            </w:pPr>
            <w:r>
              <w:rPr>
                <w:spacing w:val="-1"/>
              </w:rPr>
              <w:t>2.建设项目环境影响报告书（表）。其中，环境影响报</w:t>
            </w:r>
            <w:r>
              <w:rPr>
                <w:spacing w:val="14"/>
              </w:rPr>
              <w:t xml:space="preserve"> </w:t>
            </w:r>
            <w:r>
              <w:rPr>
                <w:spacing w:val="-1"/>
              </w:rPr>
              <w:t>告书（表）涉及国家秘密、商业秘密和个人隐私的，建</w:t>
            </w:r>
          </w:p>
          <w:p>
            <w:pPr>
              <w:pStyle w:val="TableText"/>
              <w:ind w:left="116" w:right="903"/>
              <w:spacing w:before="26" w:line="307" w:lineRule="auto"/>
              <w:rPr/>
            </w:pPr>
            <w:r>
              <w:rPr>
                <w:spacing w:val="-3"/>
              </w:rPr>
              <w:t>设单位应当自行作出删除、遮盖等区分处理；</w:t>
            </w:r>
            <w:r>
              <w:rPr>
                <w:spacing w:val="1"/>
              </w:rPr>
              <w:t xml:space="preserve"> </w:t>
            </w:r>
            <w:r>
              <w:rPr>
                <w:spacing w:val="-1"/>
              </w:rPr>
              <w:t>3.建设项目公众参与说明。</w:t>
            </w:r>
          </w:p>
        </w:tc>
        <w:tc>
          <w:tcPr>
            <w:tcW w:w="2753" w:type="dxa"/>
            <w:vAlign w:val="top"/>
          </w:tcPr>
          <w:p>
            <w:pPr>
              <w:pStyle w:val="TableText"/>
              <w:ind w:left="126"/>
              <w:spacing w:before="71" w:line="219" w:lineRule="auto"/>
              <w:rPr/>
            </w:pPr>
            <w:r>
              <w:rPr>
                <w:spacing w:val="-3"/>
              </w:rPr>
              <w:t>1.申请人申请；</w:t>
            </w:r>
          </w:p>
          <w:p>
            <w:pPr>
              <w:pStyle w:val="TableText"/>
              <w:ind w:left="116" w:right="437" w:hanging="1"/>
              <w:spacing w:before="98" w:line="306" w:lineRule="auto"/>
              <w:rPr/>
            </w:pPr>
            <w:r>
              <w:rPr>
                <w:spacing w:val="-4"/>
              </w:rPr>
              <w:t>2.审批机构受理/不予受理；</w:t>
            </w:r>
            <w:r>
              <w:rPr/>
              <w:t xml:space="preserve"> </w:t>
            </w:r>
            <w:r>
              <w:rPr>
                <w:spacing w:val="-2"/>
              </w:rPr>
              <w:t>3.审批机构审查；</w:t>
            </w:r>
          </w:p>
          <w:p>
            <w:pPr>
              <w:pStyle w:val="TableText"/>
              <w:ind w:left="116" w:right="437" w:hanging="4"/>
              <w:spacing w:before="26" w:line="306" w:lineRule="auto"/>
              <w:rPr/>
            </w:pPr>
            <w:r>
              <w:rPr>
                <w:spacing w:val="-4"/>
              </w:rPr>
              <w:t>4.审批机构批准/不予批准；</w:t>
            </w:r>
            <w:r>
              <w:rPr>
                <w:spacing w:val="2"/>
              </w:rPr>
              <w:t xml:space="preserve"> </w:t>
            </w:r>
            <w:r>
              <w:rPr>
                <w:spacing w:val="-2"/>
              </w:rPr>
              <w:t>5.审批决定公告；</w:t>
            </w:r>
          </w:p>
          <w:p>
            <w:pPr>
              <w:pStyle w:val="TableText"/>
              <w:ind w:left="113" w:right="60"/>
              <w:spacing w:before="27" w:line="295" w:lineRule="auto"/>
              <w:jc w:val="both"/>
              <w:rPr/>
            </w:pPr>
            <w:r>
              <w:rPr>
                <w:spacing w:val="-4"/>
              </w:rPr>
              <w:t>6.特殊环节（部分情况下开展</w:t>
            </w:r>
            <w:r>
              <w:rPr>
                <w:spacing w:val="-36"/>
              </w:rPr>
              <w:t>）：</w:t>
            </w:r>
            <w:r>
              <w:rPr/>
              <w:t xml:space="preserve"> </w:t>
            </w:r>
            <w:r>
              <w:rPr>
                <w:spacing w:val="-1"/>
              </w:rPr>
              <w:t>技术审评、专家评审、现场检查</w:t>
            </w:r>
            <w:r>
              <w:rPr>
                <w:spacing w:val="5"/>
              </w:rPr>
              <w:t xml:space="preserve"> </w:t>
            </w:r>
            <w:r>
              <w:rPr>
                <w:spacing w:val="-1"/>
              </w:rPr>
              <w:t>等所需时间不计入审批时限。</w:t>
            </w:r>
          </w:p>
        </w:tc>
        <w:tc>
          <w:tcPr>
            <w:tcW w:w="768" w:type="dxa"/>
            <w:vAlign w:val="top"/>
          </w:tcPr>
          <w:p>
            <w:pPr>
              <w:rPr>
                <w:rFonts w:ascii="Arial"/>
                <w:sz w:val="21"/>
              </w:rPr>
            </w:pPr>
            <w:r/>
          </w:p>
        </w:tc>
      </w:tr>
    </w:tbl>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0413"/>
        <w:spacing w:before="91" w:line="184"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17</w:t>
      </w:r>
      <w:r>
        <w:rPr>
          <w:rFonts w:ascii="SimSun" w:hAnsi="SimSun" w:eastAsia="SimSun" w:cs="SimSun"/>
          <w:sz w:val="28"/>
          <w:szCs w:val="28"/>
          <w:spacing w:val="6"/>
        </w:rPr>
        <w:t xml:space="preserve"> </w:t>
      </w:r>
      <w:r>
        <w:rPr>
          <w:rFonts w:ascii="SimSun" w:hAnsi="SimSun" w:eastAsia="SimSun" w:cs="SimSun"/>
          <w:sz w:val="28"/>
          <w:szCs w:val="28"/>
          <w:spacing w:val="-10"/>
        </w:rPr>
        <w:t>-</w:t>
      </w:r>
    </w:p>
    <w:p>
      <w:pPr>
        <w:spacing w:line="184" w:lineRule="auto"/>
        <w:sectPr>
          <w:pgSz w:w="23812" w:h="16839"/>
          <w:pgMar w:top="1431" w:right="1080" w:bottom="400" w:left="1079" w:header="0" w:footer="0" w:gutter="0"/>
        </w:sectPr>
        <w:rPr>
          <w:rFonts w:ascii="SimSun" w:hAnsi="SimSun" w:eastAsia="SimSun" w:cs="SimSun"/>
          <w:sz w:val="28"/>
          <w:szCs w:val="28"/>
        </w:rPr>
      </w:pPr>
    </w:p>
    <w:p>
      <w:pPr>
        <w:pStyle w:val="BodyText"/>
        <w:spacing w:line="273" w:lineRule="auto"/>
        <w:rPr/>
      </w:pPr>
      <w:r/>
    </w:p>
    <w:p>
      <w:pPr>
        <w:pStyle w:val="BodyText"/>
        <w:spacing w:line="274" w:lineRule="auto"/>
        <w:rPr/>
      </w:pPr>
      <w:r/>
    </w:p>
    <w:p>
      <w:pPr>
        <w:ind w:left="1012"/>
        <w:spacing w:before="167"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spacing w:val="9"/>
        </w:rPr>
        <w:t>河北省生态环境行政处罚裁量权基准</w:t>
      </w:r>
    </w:p>
    <w:p>
      <w:pPr>
        <w:pStyle w:val="BodyText"/>
        <w:spacing w:line="459" w:lineRule="auto"/>
        <w:rPr/>
      </w:pPr>
      <w:r/>
    </w:p>
    <w:p>
      <w:pPr>
        <w:ind w:left="11" w:right="81" w:firstLine="636"/>
        <w:spacing w:before="101" w:line="308" w:lineRule="auto"/>
        <w:rPr>
          <w:rFonts w:ascii="FangSong_GB2312" w:hAnsi="FangSong_GB2312" w:eastAsia="FangSong_GB2312" w:cs="FangSong_GB2312"/>
          <w:sz w:val="31"/>
          <w:szCs w:val="31"/>
        </w:rPr>
      </w:pPr>
      <w:r>
        <w:rPr>
          <w:rFonts w:ascii="SimHei" w:hAnsi="SimHei" w:eastAsia="SimHei" w:cs="SimHei"/>
          <w:sz w:val="31"/>
          <w:szCs w:val="31"/>
          <w:spacing w:val="13"/>
        </w:rPr>
        <w:t>第一条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为推进依法行政，规范行政处罚裁量权的行使，根</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2"/>
        </w:rPr>
        <w:t>据《中华人民共和国行政处罚法》《生态环境行政处罚办法》《河</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10"/>
        </w:rPr>
        <w:t>北省行政裁量权基准制定和管理办法》</w:t>
      </w:r>
      <w:r>
        <w:rPr>
          <w:rFonts w:ascii="FangSong_GB2312" w:hAnsi="FangSong_GB2312" w:eastAsia="FangSong_GB2312" w:cs="FangSong_GB2312"/>
          <w:sz w:val="31"/>
          <w:szCs w:val="31"/>
          <w:spacing w:val="-63"/>
        </w:rPr>
        <w:t xml:space="preserve"> </w:t>
      </w:r>
      <w:r>
        <w:rPr>
          <w:rFonts w:ascii="FangSong_GB2312" w:hAnsi="FangSong_GB2312" w:eastAsia="FangSong_GB2312" w:cs="FangSong_GB2312"/>
          <w:sz w:val="31"/>
          <w:szCs w:val="31"/>
          <w:spacing w:val="10"/>
        </w:rPr>
        <w:t>以及有关法律、法规和规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章的规定，结合实际情况，制定本基准。</w:t>
      </w:r>
    </w:p>
    <w:p>
      <w:pPr>
        <w:ind w:right="81" w:firstLine="648"/>
        <w:spacing w:before="60" w:line="308" w:lineRule="auto"/>
        <w:rPr>
          <w:rFonts w:ascii="FangSong_GB2312" w:hAnsi="FangSong_GB2312" w:eastAsia="FangSong_GB2312" w:cs="FangSong_GB2312"/>
          <w:sz w:val="31"/>
          <w:szCs w:val="31"/>
        </w:rPr>
      </w:pPr>
      <w:r>
        <w:rPr>
          <w:rFonts w:ascii="SimHei" w:hAnsi="SimHei" w:eastAsia="SimHei" w:cs="SimHei"/>
          <w:sz w:val="31"/>
          <w:szCs w:val="31"/>
          <w:spacing w:val="5"/>
        </w:rPr>
        <w:t>第二条</w:t>
      </w:r>
      <w:r>
        <w:rPr>
          <w:rFonts w:ascii="SimHei" w:hAnsi="SimHei" w:eastAsia="SimHei" w:cs="SimHei"/>
          <w:sz w:val="31"/>
          <w:szCs w:val="31"/>
          <w:spacing w:val="162"/>
        </w:rPr>
        <w:t xml:space="preserve"> </w:t>
      </w:r>
      <w:r>
        <w:rPr>
          <w:rFonts w:ascii="FangSong_GB2312" w:hAnsi="FangSong_GB2312" w:eastAsia="FangSong_GB2312" w:cs="FangSong_GB2312"/>
          <w:sz w:val="31"/>
          <w:szCs w:val="31"/>
          <w:spacing w:val="5"/>
        </w:rPr>
        <w:t>《河北省生态环境行政处罚裁量权基准》</w:t>
      </w:r>
      <w:r>
        <w:rPr>
          <w:rFonts w:ascii="FangSong_GB2312" w:hAnsi="FangSong_GB2312" w:eastAsia="FangSong_GB2312" w:cs="FangSong_GB2312"/>
          <w:sz w:val="31"/>
          <w:szCs w:val="31"/>
          <w:spacing w:val="-90"/>
        </w:rPr>
        <w:t xml:space="preserve"> </w:t>
      </w:r>
      <w:r>
        <w:rPr>
          <w:rFonts w:ascii="FangSong_GB2312" w:hAnsi="FangSong_GB2312" w:eastAsia="FangSong_GB2312" w:cs="FangSong_GB2312"/>
          <w:sz w:val="31"/>
          <w:szCs w:val="31"/>
          <w:spacing w:val="5"/>
        </w:rPr>
        <w:t>(以下简称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《裁量基准》)适用于河北省生态环境系统实施行政处罚的案件。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各地生态环境部门遵照执行，也可以根据本地的实际情况,在裁量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基准划定的阶次、幅度内细化操作性的规定。</w:t>
      </w:r>
    </w:p>
    <w:p>
      <w:pPr>
        <w:ind w:left="2" w:right="81" w:firstLine="645"/>
        <w:spacing w:before="55" w:line="30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设区的市的地方性法规、政府规章设定的行</w:t>
      </w:r>
      <w:r>
        <w:rPr>
          <w:rFonts w:ascii="FangSong_GB2312" w:hAnsi="FangSong_GB2312" w:eastAsia="FangSong_GB2312" w:cs="FangSong_GB2312"/>
          <w:sz w:val="31"/>
          <w:szCs w:val="31"/>
          <w:spacing w:val="13"/>
        </w:rPr>
        <w:t>政处罚事项存在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1"/>
        </w:rPr>
        <w:t>裁量空间的，</w:t>
      </w:r>
      <w:r>
        <w:rPr>
          <w:rFonts w:ascii="FangSong_GB2312" w:hAnsi="FangSong_GB2312" w:eastAsia="FangSong_GB2312" w:cs="FangSong_GB2312"/>
          <w:sz w:val="31"/>
          <w:szCs w:val="31"/>
          <w:spacing w:val="-82"/>
        </w:rPr>
        <w:t xml:space="preserve"> </w:t>
      </w:r>
      <w:r>
        <w:rPr>
          <w:rFonts w:ascii="FangSong_GB2312" w:hAnsi="FangSong_GB2312" w:eastAsia="FangSong_GB2312" w:cs="FangSong_GB2312"/>
          <w:sz w:val="31"/>
          <w:szCs w:val="31"/>
          <w:spacing w:val="11"/>
        </w:rPr>
        <w:t>由各地生态环境部门根据本地的实际情况制定裁量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基准。</w:t>
      </w:r>
    </w:p>
    <w:p>
      <w:pPr>
        <w:ind w:left="648"/>
        <w:spacing w:before="49" w:line="223" w:lineRule="auto"/>
        <w:rPr>
          <w:rFonts w:ascii="FangSong_GB2312" w:hAnsi="FangSong_GB2312" w:eastAsia="FangSong_GB2312" w:cs="FangSong_GB2312"/>
          <w:sz w:val="31"/>
          <w:szCs w:val="31"/>
        </w:rPr>
      </w:pPr>
      <w:r>
        <w:rPr>
          <w:rFonts w:ascii="SimHei" w:hAnsi="SimHei" w:eastAsia="SimHei" w:cs="SimHei"/>
          <w:sz w:val="31"/>
          <w:szCs w:val="31"/>
          <w:spacing w:val="8"/>
        </w:rPr>
        <w:t>第三条</w:t>
      </w:r>
      <w:r>
        <w:rPr>
          <w:rFonts w:ascii="SimHei" w:hAnsi="SimHei" w:eastAsia="SimHei" w:cs="SimHei"/>
          <w:sz w:val="31"/>
          <w:szCs w:val="31"/>
          <w:spacing w:val="8"/>
        </w:rPr>
        <w:t xml:space="preserve">  </w:t>
      </w:r>
      <w:r>
        <w:rPr>
          <w:rFonts w:ascii="FangSong_GB2312" w:hAnsi="FangSong_GB2312" w:eastAsia="FangSong_GB2312" w:cs="FangSong_GB2312"/>
          <w:sz w:val="31"/>
          <w:szCs w:val="31"/>
          <w:spacing w:val="8"/>
        </w:rPr>
        <w:t>实施行政处罚裁量应遵循以下原则：</w:t>
      </w:r>
    </w:p>
    <w:p>
      <w:pPr>
        <w:ind w:left="9" w:right="81" w:firstLine="631"/>
        <w:spacing w:before="161" w:line="30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（一）合法原则。行政处罚裁量权应当在法律、法规、规章</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8"/>
        </w:rPr>
        <w:t>确定的裁量条件、种类、范围、幅度内行使。</w:t>
      </w:r>
    </w:p>
    <w:p>
      <w:pPr>
        <w:ind w:left="15" w:firstLine="625"/>
        <w:spacing w:before="55"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（二）合理原则。行使行政处罚裁量权，应当符合立法目的，</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充分考虑、全面衡量地区经济社会发展状况、执法对象情况、危</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8"/>
        </w:rPr>
        <w:t>害后果等相关因素，所采取的措施和手段应当必要适当。</w:t>
      </w:r>
    </w:p>
    <w:p>
      <w:pPr>
        <w:ind w:right="83" w:firstLine="640"/>
        <w:spacing w:before="53"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（三）过罚相当原则。行使行政处罚裁量权，必须以事实为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4"/>
        </w:rPr>
        <w:t>依据，处罚种类和幅度应当与当事人违法过</w:t>
      </w:r>
      <w:r>
        <w:rPr>
          <w:rFonts w:ascii="FangSong_GB2312" w:hAnsi="FangSong_GB2312" w:eastAsia="FangSong_GB2312" w:cs="FangSong_GB2312"/>
          <w:sz w:val="31"/>
          <w:szCs w:val="31"/>
          <w:spacing w:val="13"/>
        </w:rPr>
        <w:t>错程度相适应，与环</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境违法行为的性质、情节以及社会危害程度相当。</w:t>
      </w:r>
    </w:p>
    <w:p>
      <w:pPr>
        <w:ind w:left="13" w:right="83" w:firstLine="627"/>
        <w:spacing w:before="53" w:line="30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（四）公开公平公正原则。行使行政处罚裁量权，应当向社</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1"/>
        </w:rPr>
        <w:t>会公开裁量标准，</w:t>
      </w:r>
      <w:r>
        <w:rPr>
          <w:rFonts w:ascii="FangSong_GB2312" w:hAnsi="FangSong_GB2312" w:eastAsia="FangSong_GB2312" w:cs="FangSong_GB2312"/>
          <w:sz w:val="31"/>
          <w:szCs w:val="31"/>
          <w:spacing w:val="-93"/>
        </w:rPr>
        <w:t xml:space="preserve"> </w:t>
      </w:r>
      <w:r>
        <w:rPr>
          <w:rFonts w:ascii="FangSong_GB2312" w:hAnsi="FangSong_GB2312" w:eastAsia="FangSong_GB2312" w:cs="FangSong_GB2312"/>
          <w:sz w:val="31"/>
          <w:szCs w:val="31"/>
          <w:spacing w:val="11"/>
        </w:rPr>
        <w:t>向当事人告知裁量所基于的事实、理由、依据</w:t>
      </w:r>
    </w:p>
    <w:p>
      <w:pPr>
        <w:spacing w:line="301" w:lineRule="auto"/>
        <w:sectPr>
          <w:footerReference w:type="default" r:id="rId14"/>
          <w:pgSz w:w="11905" w:h="16839"/>
          <w:pgMar w:top="1431" w:right="1335" w:bottom="1156" w:left="1420" w:header="0" w:footer="994" w:gutter="0"/>
        </w:sectPr>
        <w:rPr>
          <w:rFonts w:ascii="FangSong_GB2312" w:hAnsi="FangSong_GB2312" w:eastAsia="FangSong_GB2312" w:cs="FangSong_GB2312"/>
          <w:sz w:val="31"/>
          <w:szCs w:val="31"/>
        </w:rPr>
      </w:pPr>
    </w:p>
    <w:p>
      <w:pPr>
        <w:pStyle w:val="BodyText"/>
        <w:spacing w:line="356" w:lineRule="auto"/>
        <w:rPr/>
      </w:pPr>
      <w:r/>
    </w:p>
    <w:p>
      <w:pPr>
        <w:pStyle w:val="BodyText"/>
        <w:spacing w:line="357" w:lineRule="auto"/>
        <w:rPr/>
      </w:pPr>
      <w:r/>
    </w:p>
    <w:p>
      <w:pPr>
        <w:ind w:left="11" w:firstLine="5"/>
        <w:spacing w:before="101" w:line="30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等内容;应当平等对待行政管理相对人，公平、公正实施处罚，对</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8"/>
        </w:rPr>
        <w:t>事实、性质、情节、后果相同的情况应当给予相同的处理。</w:t>
      </w:r>
    </w:p>
    <w:p>
      <w:pPr>
        <w:ind w:left="1" w:right="2" w:firstLine="640"/>
        <w:spacing w:before="72" w:line="326" w:lineRule="auto"/>
        <w:jc w:val="both"/>
        <w:rPr>
          <w:rFonts w:ascii="FangSong_GB2312" w:hAnsi="FangSong_GB2312" w:eastAsia="FangSong_GB2312" w:cs="FangSong_GB2312"/>
          <w:sz w:val="31"/>
          <w:szCs w:val="31"/>
        </w:rPr>
      </w:pPr>
      <w:r>
        <w:rPr>
          <w:rFonts w:ascii="SimHei" w:hAnsi="SimHei" w:eastAsia="SimHei" w:cs="SimHei"/>
          <w:sz w:val="31"/>
          <w:szCs w:val="31"/>
          <w:spacing w:val="13"/>
        </w:rPr>
        <w:t>第四条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行政处罚裁量基准采用百分比模式，根据违法行为</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设定的裁量因素，按照不同的情节和危害程度确定各项裁量因素</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的百分值。行使环境行政处罚裁量权，应当综合、全面考虑以下</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
        </w:rPr>
        <w:t>情节：</w:t>
      </w:r>
    </w:p>
    <w:p>
      <w:pPr>
        <w:ind w:left="634"/>
        <w:spacing w:before="54"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（一）违法行为造成的环境污染、生态破坏以及社会影响；</w:t>
      </w:r>
    </w:p>
    <w:p>
      <w:pPr>
        <w:ind w:left="634"/>
        <w:spacing w:before="195"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（二）违法行为当事人的主观过错程度；</w:t>
      </w:r>
    </w:p>
    <w:p>
      <w:pPr>
        <w:ind w:left="634"/>
        <w:spacing w:before="191"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（三）违法行为的具体方式或者手段；</w:t>
      </w:r>
    </w:p>
    <w:p>
      <w:pPr>
        <w:ind w:left="634"/>
        <w:spacing w:before="189"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（四）违法行为持续的时间；</w:t>
      </w:r>
    </w:p>
    <w:p>
      <w:pPr>
        <w:ind w:left="634"/>
        <w:spacing w:before="193"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（五）违法行为危害的具体对象；</w:t>
      </w:r>
    </w:p>
    <w:p>
      <w:pPr>
        <w:ind w:left="634"/>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（六）当事人是初次违法还是再次违法；</w:t>
      </w:r>
    </w:p>
    <w:p>
      <w:pPr>
        <w:ind w:left="1" w:right="2" w:firstLine="632"/>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（七）违法行为当事人改正违法行为的态度和所采取的改正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措施及效果。</w:t>
      </w:r>
    </w:p>
    <w:p>
      <w:pPr>
        <w:ind w:firstLine="642"/>
        <w:spacing w:before="187" w:line="326" w:lineRule="auto"/>
        <w:jc w:val="both"/>
        <w:rPr>
          <w:rFonts w:ascii="FangSong_GB2312" w:hAnsi="FangSong_GB2312" w:eastAsia="FangSong_GB2312" w:cs="FangSong_GB2312"/>
          <w:sz w:val="31"/>
          <w:szCs w:val="31"/>
        </w:rPr>
      </w:pPr>
      <w:r>
        <w:rPr>
          <w:rFonts w:ascii="SimHei" w:hAnsi="SimHei" w:eastAsia="SimHei" w:cs="SimHei"/>
          <w:sz w:val="31"/>
          <w:szCs w:val="31"/>
          <w:spacing w:val="7"/>
        </w:rPr>
        <w:t>第五条</w:t>
      </w:r>
      <w:r>
        <w:rPr>
          <w:rFonts w:ascii="SimHei" w:hAnsi="SimHei" w:eastAsia="SimHei" w:cs="SimHei"/>
          <w:sz w:val="31"/>
          <w:szCs w:val="31"/>
          <w:spacing w:val="7"/>
        </w:rPr>
        <w:t xml:space="preserve"> </w:t>
      </w:r>
      <w:r>
        <w:rPr>
          <w:rFonts w:ascii="FangSong_GB2312" w:hAnsi="FangSong_GB2312" w:eastAsia="FangSong_GB2312" w:cs="FangSong_GB2312"/>
          <w:sz w:val="31"/>
          <w:szCs w:val="31"/>
          <w:spacing w:val="7"/>
        </w:rPr>
        <w:t>生态环境部门裁定处罚金额时，首先确定裁量方式中</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3"/>
        </w:rPr>
        <w:t>各项要素的百分值，再进行累加，然后乘以违法行为最高法定罚</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4"/>
        </w:rPr>
        <w:t>款上限，最后得出具体的罚款金额（罚款金额=百分值之和</w:t>
      </w:r>
      <w:r>
        <w:rPr>
          <w:rFonts w:ascii="FangSong_GB2312" w:hAnsi="FangSong_GB2312" w:eastAsia="FangSong_GB2312" w:cs="FangSong_GB2312"/>
          <w:sz w:val="31"/>
          <w:szCs w:val="31"/>
          <w:spacing w:val="-49"/>
        </w:rPr>
        <w:t xml:space="preserve"> </w:t>
      </w:r>
      <w:r>
        <w:rPr>
          <w:rFonts w:ascii="FangSong_GB2312" w:hAnsi="FangSong_GB2312" w:eastAsia="FangSong_GB2312" w:cs="FangSong_GB2312"/>
          <w:sz w:val="31"/>
          <w:szCs w:val="31"/>
          <w:spacing w:val="4"/>
        </w:rPr>
        <w:t>×最高</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法定罚款上限）。</w:t>
      </w:r>
    </w:p>
    <w:p>
      <w:pPr>
        <w:ind w:left="3" w:firstLine="645"/>
        <w:spacing w:before="55" w:line="3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有法定最低罚款金额的情况下，按照裁量方式得出具体的罚</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6"/>
        </w:rPr>
        <w:t>款金额低于法定罚款金额的，</w:t>
      </w:r>
      <w:r>
        <w:rPr>
          <w:rFonts w:ascii="FangSong_GB2312" w:hAnsi="FangSong_GB2312" w:eastAsia="FangSong_GB2312" w:cs="FangSong_GB2312"/>
          <w:sz w:val="31"/>
          <w:szCs w:val="31"/>
          <w:spacing w:val="-82"/>
        </w:rPr>
        <w:t xml:space="preserve"> </w:t>
      </w:r>
      <w:r>
        <w:rPr>
          <w:rFonts w:ascii="FangSong_GB2312" w:hAnsi="FangSong_GB2312" w:eastAsia="FangSong_GB2312" w:cs="FangSong_GB2312"/>
          <w:sz w:val="31"/>
          <w:szCs w:val="31"/>
          <w:spacing w:val="6"/>
        </w:rPr>
        <w:t>以法定最低罚款金额为限。</w:t>
      </w:r>
    </w:p>
    <w:p>
      <w:pPr>
        <w:ind w:left="642"/>
        <w:spacing w:before="51" w:line="223" w:lineRule="auto"/>
        <w:rPr>
          <w:rFonts w:ascii="FangSong_GB2312" w:hAnsi="FangSong_GB2312" w:eastAsia="FangSong_GB2312" w:cs="FangSong_GB2312"/>
          <w:sz w:val="31"/>
          <w:szCs w:val="31"/>
        </w:rPr>
      </w:pPr>
      <w:r>
        <w:rPr>
          <w:rFonts w:ascii="SimHei" w:hAnsi="SimHei" w:eastAsia="SimHei" w:cs="SimHei"/>
          <w:sz w:val="31"/>
          <w:szCs w:val="31"/>
          <w:spacing w:val="8"/>
        </w:rPr>
        <w:t>第六条</w:t>
      </w:r>
      <w:r>
        <w:rPr>
          <w:rFonts w:ascii="SimHei" w:hAnsi="SimHei" w:eastAsia="SimHei" w:cs="SimHei"/>
          <w:sz w:val="31"/>
          <w:szCs w:val="31"/>
          <w:spacing w:val="8"/>
        </w:rPr>
        <w:t xml:space="preserve"> </w:t>
      </w:r>
      <w:r>
        <w:rPr>
          <w:rFonts w:ascii="FangSong_GB2312" w:hAnsi="FangSong_GB2312" w:eastAsia="FangSong_GB2312" w:cs="FangSong_GB2312"/>
          <w:sz w:val="31"/>
          <w:szCs w:val="31"/>
          <w:spacing w:val="8"/>
        </w:rPr>
        <w:t>有下列情形之一的，可以从重处罚：</w:t>
      </w:r>
    </w:p>
    <w:p>
      <w:pPr>
        <w:ind w:left="28" w:right="2" w:firstLine="605"/>
        <w:spacing w:before="186" w:line="3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（一）两年内因同类环境违法行为被处罚</w:t>
      </w:r>
      <w:r>
        <w:rPr>
          <w:rFonts w:ascii="FangSong_GB2312" w:hAnsi="FangSong_GB2312" w:eastAsia="FangSong_GB2312" w:cs="FangSong_GB2312"/>
          <w:sz w:val="31"/>
          <w:szCs w:val="31"/>
          <w:spacing w:val="-34"/>
        </w:rPr>
        <w:t xml:space="preserve"> </w:t>
      </w:r>
      <w:r>
        <w:rPr>
          <w:rFonts w:ascii="FangSong_GB2312" w:hAnsi="FangSong_GB2312" w:eastAsia="FangSong_GB2312" w:cs="FangSong_GB2312"/>
          <w:sz w:val="31"/>
          <w:szCs w:val="31"/>
          <w:spacing w:val="8"/>
        </w:rPr>
        <w:t>3</w:t>
      </w:r>
      <w:r>
        <w:rPr>
          <w:rFonts w:ascii="FangSong_GB2312" w:hAnsi="FangSong_GB2312" w:eastAsia="FangSong_GB2312" w:cs="FangSong_GB2312"/>
          <w:sz w:val="31"/>
          <w:szCs w:val="31"/>
          <w:spacing w:val="-47"/>
        </w:rPr>
        <w:t xml:space="preserve"> </w:t>
      </w:r>
      <w:r>
        <w:rPr>
          <w:rFonts w:ascii="FangSong_GB2312" w:hAnsi="FangSong_GB2312" w:eastAsia="FangSong_GB2312" w:cs="FangSong_GB2312"/>
          <w:sz w:val="31"/>
          <w:szCs w:val="31"/>
          <w:spacing w:val="8"/>
        </w:rPr>
        <w:t>次(含</w:t>
      </w:r>
      <w:r>
        <w:rPr>
          <w:rFonts w:ascii="FangSong_GB2312" w:hAnsi="FangSong_GB2312" w:eastAsia="FangSong_GB2312" w:cs="FangSong_GB2312"/>
          <w:sz w:val="31"/>
          <w:szCs w:val="31"/>
          <w:spacing w:val="-31"/>
        </w:rPr>
        <w:t xml:space="preserve"> </w:t>
      </w:r>
      <w:r>
        <w:rPr>
          <w:rFonts w:ascii="FangSong_GB2312" w:hAnsi="FangSong_GB2312" w:eastAsia="FangSong_GB2312" w:cs="FangSong_GB2312"/>
          <w:sz w:val="31"/>
          <w:szCs w:val="31"/>
          <w:spacing w:val="8"/>
        </w:rPr>
        <w:t>3</w:t>
      </w:r>
      <w:r>
        <w:rPr>
          <w:rFonts w:ascii="FangSong_GB2312" w:hAnsi="FangSong_GB2312" w:eastAsia="FangSong_GB2312" w:cs="FangSong_GB2312"/>
          <w:sz w:val="31"/>
          <w:szCs w:val="31"/>
          <w:spacing w:val="-47"/>
        </w:rPr>
        <w:t xml:space="preserve"> </w:t>
      </w:r>
      <w:r>
        <w:rPr>
          <w:rFonts w:ascii="FangSong_GB2312" w:hAnsi="FangSong_GB2312" w:eastAsia="FangSong_GB2312" w:cs="FangSong_GB2312"/>
          <w:sz w:val="31"/>
          <w:szCs w:val="31"/>
          <w:spacing w:val="7"/>
        </w:rPr>
        <w:t>次)以上</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的;</w:t>
      </w:r>
    </w:p>
    <w:p>
      <w:pPr>
        <w:spacing w:line="318" w:lineRule="auto"/>
        <w:sectPr>
          <w:footerReference w:type="default" r:id="rId15"/>
          <w:pgSz w:w="11905" w:h="16839"/>
          <w:pgMar w:top="1431" w:right="1417" w:bottom="1156" w:left="1427" w:header="0" w:footer="994" w:gutter="0"/>
        </w:sectPr>
        <w:rPr>
          <w:rFonts w:ascii="FangSong_GB2312" w:hAnsi="FangSong_GB2312" w:eastAsia="FangSong_GB2312" w:cs="FangSong_GB2312"/>
          <w:sz w:val="31"/>
          <w:szCs w:val="31"/>
        </w:rPr>
      </w:pPr>
    </w:p>
    <w:p>
      <w:pPr>
        <w:pStyle w:val="BodyText"/>
        <w:spacing w:line="244" w:lineRule="auto"/>
        <w:rPr/>
      </w:pPr>
      <w:r/>
    </w:p>
    <w:p>
      <w:pPr>
        <w:pStyle w:val="BodyText"/>
        <w:spacing w:line="245" w:lineRule="auto"/>
        <w:rPr/>
      </w:pPr>
      <w:r/>
    </w:p>
    <w:p>
      <w:pPr>
        <w:pStyle w:val="BodyText"/>
        <w:spacing w:line="245" w:lineRule="auto"/>
        <w:rPr/>
      </w:pPr>
      <w:r/>
    </w:p>
    <w:p>
      <w:pPr>
        <w:ind w:left="635"/>
        <w:spacing w:before="101"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（二）重污染天气预警期间违法排放大气污染物的;</w:t>
      </w:r>
    </w:p>
    <w:p>
      <w:pPr>
        <w:ind w:left="22" w:right="2" w:firstLine="612"/>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（三）在案件查处中对执法人员进行威胁、辱骂、殴打、恐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吓或者打击报复的;</w:t>
      </w:r>
    </w:p>
    <w:p>
      <w:pPr>
        <w:ind w:left="635"/>
        <w:spacing w:before="194"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（四）环境违法行为造成跨行政区域环境污染的:</w:t>
      </w:r>
    </w:p>
    <w:p>
      <w:pPr>
        <w:ind w:left="635"/>
        <w:spacing w:before="193"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（五）环境违法行为引起不良社会反响的;</w:t>
      </w:r>
    </w:p>
    <w:p>
      <w:pPr>
        <w:ind w:left="635"/>
        <w:spacing w:before="193"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（六）其他具有从重情节的。</w:t>
      </w:r>
    </w:p>
    <w:p>
      <w:pPr>
        <w:ind w:left="2" w:firstLine="647"/>
        <w:spacing w:before="193" w:line="325"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对符合从重处罚条件的案件，经有行政处罚权的行政执法机</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3"/>
        </w:rPr>
        <w:t>构集体研究讨论后，可以在裁量表裁定的基础上增加一定的百分</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值，但增加的罚款金额一般不超过违法行为最高法定罚款上限的</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8"/>
        </w:rPr>
        <w:t>30%。从重处罚后处罚的金额应以最高的法定罚款金额为限。</w:t>
      </w:r>
    </w:p>
    <w:p>
      <w:pPr>
        <w:ind w:left="643"/>
        <w:spacing w:before="53" w:line="223" w:lineRule="auto"/>
        <w:rPr>
          <w:rFonts w:ascii="FangSong_GB2312" w:hAnsi="FangSong_GB2312" w:eastAsia="FangSong_GB2312" w:cs="FangSong_GB2312"/>
          <w:sz w:val="31"/>
          <w:szCs w:val="31"/>
        </w:rPr>
      </w:pPr>
      <w:r>
        <w:rPr>
          <w:rFonts w:ascii="SimHei" w:hAnsi="SimHei" w:eastAsia="SimHei" w:cs="SimHei"/>
          <w:sz w:val="31"/>
          <w:szCs w:val="31"/>
          <w:spacing w:val="9"/>
        </w:rPr>
        <w:t>第七条</w:t>
      </w:r>
      <w:r>
        <w:rPr>
          <w:rFonts w:ascii="SimHei" w:hAnsi="SimHei" w:eastAsia="SimHei" w:cs="SimHei"/>
          <w:sz w:val="31"/>
          <w:szCs w:val="31"/>
          <w:spacing w:val="9"/>
        </w:rPr>
        <w:t xml:space="preserve">  </w:t>
      </w:r>
      <w:r>
        <w:rPr>
          <w:rFonts w:ascii="FangSong_GB2312" w:hAnsi="FangSong_GB2312" w:eastAsia="FangSong_GB2312" w:cs="FangSong_GB2312"/>
          <w:sz w:val="31"/>
          <w:szCs w:val="31"/>
          <w:spacing w:val="9"/>
        </w:rPr>
        <w:t>有下列情形之一的，应当依法从</w:t>
      </w:r>
      <w:r>
        <w:rPr>
          <w:rFonts w:ascii="FangSong_GB2312" w:hAnsi="FangSong_GB2312" w:eastAsia="FangSong_GB2312" w:cs="FangSong_GB2312"/>
          <w:sz w:val="31"/>
          <w:szCs w:val="31"/>
          <w:spacing w:val="8"/>
        </w:rPr>
        <w:t>轻或者减轻处罚：</w:t>
      </w:r>
    </w:p>
    <w:p>
      <w:pPr>
        <w:ind w:left="635"/>
        <w:spacing w:before="186"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（一）主动消除或者减轻生态环境违法行为危害后果的；</w:t>
      </w:r>
    </w:p>
    <w:p>
      <w:pPr>
        <w:ind w:left="635"/>
        <w:spacing w:before="196"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（二）受他人胁迫或者诱骗实施生态环境违法行为的；</w:t>
      </w:r>
    </w:p>
    <w:p>
      <w:pPr>
        <w:ind w:left="2" w:firstLine="632"/>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（三）主动供述生态环境主管部门尚未掌握的生态环境违法</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4"/>
        </w:rPr>
        <w:t>行为的；</w:t>
      </w:r>
    </w:p>
    <w:p>
      <w:pPr>
        <w:ind w:firstLine="635"/>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（四）配合生态环境主管部门查处生态环境违法行为有立功</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4"/>
        </w:rPr>
        <w:t>表现的；</w:t>
      </w:r>
    </w:p>
    <w:p>
      <w:pPr>
        <w:ind w:left="635"/>
        <w:spacing w:before="19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（五）法律、法规、规章规定其他应当从轻行政处罚的。</w:t>
      </w:r>
    </w:p>
    <w:p>
      <w:pPr>
        <w:ind w:left="5" w:firstLine="644"/>
        <w:spacing w:before="196" w:line="325"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对符合从轻或者减轻处罚条件的案件，经有行政处罚权的行</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3"/>
        </w:rPr>
        <w:t>政执法机构集体研究讨论后，在裁量表裁定的基础上减少一定百</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分值，减少的罚款金额一般不超过违法行为最高法定罚款上限的</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8"/>
        </w:rPr>
        <w:t>20%，且从轻处罚后的罚款金额以最低的法定罚款金额为限。</w:t>
      </w:r>
    </w:p>
    <w:p>
      <w:pPr>
        <w:ind w:right="16"/>
        <w:spacing w:before="54" w:line="223" w:lineRule="auto"/>
        <w:jc w:val="right"/>
        <w:rPr>
          <w:rFonts w:ascii="FangSong_GB2312" w:hAnsi="FangSong_GB2312" w:eastAsia="FangSong_GB2312" w:cs="FangSong_GB2312"/>
          <w:sz w:val="31"/>
          <w:szCs w:val="31"/>
        </w:rPr>
      </w:pPr>
      <w:r>
        <w:rPr>
          <w:rFonts w:ascii="SimHei" w:hAnsi="SimHei" w:eastAsia="SimHei" w:cs="SimHei"/>
          <w:sz w:val="31"/>
          <w:szCs w:val="31"/>
          <w:spacing w:val="12"/>
        </w:rPr>
        <w:t>第八条</w:t>
      </w:r>
      <w:r>
        <w:rPr>
          <w:rFonts w:ascii="SimHei" w:hAnsi="SimHei" w:eastAsia="SimHei" w:cs="SimHei"/>
          <w:sz w:val="31"/>
          <w:szCs w:val="31"/>
          <w:spacing w:val="12"/>
        </w:rPr>
        <w:t xml:space="preserve">  </w:t>
      </w:r>
      <w:r>
        <w:rPr>
          <w:rFonts w:ascii="FangSong_GB2312" w:hAnsi="FangSong_GB2312" w:eastAsia="FangSong_GB2312" w:cs="FangSong_GB2312"/>
          <w:sz w:val="31"/>
          <w:szCs w:val="31"/>
          <w:spacing w:val="12"/>
        </w:rPr>
        <w:t>违法行为轻微并及时改正，没有造成危害后果的，</w:t>
      </w:r>
    </w:p>
    <w:p>
      <w:pPr>
        <w:spacing w:line="223" w:lineRule="auto"/>
        <w:sectPr>
          <w:footerReference w:type="default" r:id="rId16"/>
          <w:pgSz w:w="11905" w:h="16839"/>
          <w:pgMar w:top="1431" w:right="1417" w:bottom="1156" w:left="1425" w:header="0" w:footer="994" w:gutter="0"/>
        </w:sectPr>
        <w:rPr>
          <w:rFonts w:ascii="FangSong_GB2312" w:hAnsi="FangSong_GB2312" w:eastAsia="FangSong_GB2312" w:cs="FangSong_GB2312"/>
          <w:sz w:val="31"/>
          <w:szCs w:val="31"/>
        </w:rPr>
      </w:pPr>
    </w:p>
    <w:p>
      <w:pPr>
        <w:pStyle w:val="BodyText"/>
        <w:spacing w:line="246" w:lineRule="auto"/>
        <w:rPr/>
      </w:pPr>
      <w:r/>
    </w:p>
    <w:p>
      <w:pPr>
        <w:pStyle w:val="BodyText"/>
        <w:spacing w:line="246" w:lineRule="auto"/>
        <w:rPr/>
      </w:pPr>
      <w:r/>
    </w:p>
    <w:p>
      <w:pPr>
        <w:pStyle w:val="BodyText"/>
        <w:spacing w:line="247" w:lineRule="auto"/>
        <w:rPr/>
      </w:pPr>
      <w:r/>
    </w:p>
    <w:p>
      <w:pPr>
        <w:ind w:left="23" w:right="83" w:hanging="7"/>
        <w:spacing w:before="101"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不予行政处罚。初次违法且危害后果轻微并及时改正的，可以不</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3"/>
        </w:rPr>
        <w:t>予行政处罚。</w:t>
      </w:r>
    </w:p>
    <w:p>
      <w:pPr>
        <w:ind w:left="6" w:right="81" w:firstLine="684"/>
        <w:spacing w:before="55" w:line="3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当事人有证据足以证明没有主观过错的，不予行政处罚。法</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8"/>
        </w:rPr>
        <w:t>律、行政法规另有规定的，从其规定。</w:t>
      </w:r>
    </w:p>
    <w:p>
      <w:pPr>
        <w:ind w:left="49" w:right="81" w:firstLine="607"/>
        <w:spacing w:before="53"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对当事人的违法行为依法不予行政处罚的，生态环境部门应</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3"/>
        </w:rPr>
        <w:t>当对当事人进行教育。</w:t>
      </w:r>
    </w:p>
    <w:p>
      <w:pPr>
        <w:ind w:left="23" w:right="83" w:firstLine="633"/>
        <w:spacing w:before="60"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不予行政处罚的情形参照《河北省生态环境轻微违法行为不</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5"/>
        </w:rPr>
        <w:t>予行政处罚事项清单》。</w:t>
      </w:r>
    </w:p>
    <w:p>
      <w:pPr>
        <w:ind w:left="650"/>
        <w:spacing w:before="53" w:line="223" w:lineRule="auto"/>
        <w:rPr>
          <w:rFonts w:ascii="FangSong_GB2312" w:hAnsi="FangSong_GB2312" w:eastAsia="FangSong_GB2312" w:cs="FangSong_GB2312"/>
          <w:sz w:val="31"/>
          <w:szCs w:val="31"/>
        </w:rPr>
      </w:pPr>
      <w:r>
        <w:rPr>
          <w:rFonts w:ascii="SimHei" w:hAnsi="SimHei" w:eastAsia="SimHei" w:cs="SimHei"/>
          <w:sz w:val="31"/>
          <w:szCs w:val="31"/>
          <w:spacing w:val="8"/>
        </w:rPr>
        <w:t>第九条</w:t>
      </w:r>
      <w:r>
        <w:rPr>
          <w:rFonts w:ascii="SimHei" w:hAnsi="SimHei" w:eastAsia="SimHei" w:cs="SimHei"/>
          <w:sz w:val="31"/>
          <w:szCs w:val="31"/>
          <w:spacing w:val="8"/>
        </w:rPr>
        <w:t xml:space="preserve">  </w:t>
      </w:r>
      <w:r>
        <w:rPr>
          <w:rFonts w:ascii="FangSong_GB2312" w:hAnsi="FangSong_GB2312" w:eastAsia="FangSong_GB2312" w:cs="FangSong_GB2312"/>
          <w:sz w:val="31"/>
          <w:szCs w:val="31"/>
          <w:spacing w:val="8"/>
        </w:rPr>
        <w:t>不予行政处罚案件按照以下程序实施：</w:t>
      </w:r>
    </w:p>
    <w:p>
      <w:pPr>
        <w:ind w:left="13" w:right="81" w:firstLine="629"/>
        <w:spacing w:before="188"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（一）对生态环境违法行为应当依法全面、客观、公正调查</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取证。生态环境部门调查发现符合立案条件的环境违法行为，应</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当立案并依法开展调查取证。对于符合不予行政处罚条件的，应</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9"/>
        </w:rPr>
        <w:t>当在调查终结后提出不予行政处罚的理由、证据和</w:t>
      </w:r>
      <w:r>
        <w:rPr>
          <w:rFonts w:ascii="FangSong_GB2312" w:hAnsi="FangSong_GB2312" w:eastAsia="FangSong_GB2312" w:cs="FangSong_GB2312"/>
          <w:sz w:val="31"/>
          <w:szCs w:val="31"/>
          <w:spacing w:val="8"/>
        </w:rPr>
        <w:t>建议。</w:t>
      </w:r>
    </w:p>
    <w:p>
      <w:pPr>
        <w:ind w:left="6" w:right="83" w:firstLine="636"/>
        <w:spacing w:before="193"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（二）对符合不予行政处罚条件的环境违法行为，生态环境</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1"/>
        </w:rPr>
        <w:t>部门应当下达《责令改正违法行为决定书》</w:t>
      </w:r>
      <w:r>
        <w:rPr>
          <w:rFonts w:ascii="FangSong_GB2312" w:hAnsi="FangSong_GB2312" w:eastAsia="FangSong_GB2312" w:cs="FangSong_GB2312"/>
          <w:sz w:val="31"/>
          <w:szCs w:val="31"/>
          <w:spacing w:val="-84"/>
        </w:rPr>
        <w:t xml:space="preserve"> </w:t>
      </w:r>
      <w:r>
        <w:rPr>
          <w:rFonts w:ascii="FangSong_GB2312" w:hAnsi="FangSong_GB2312" w:eastAsia="FangSong_GB2312" w:cs="FangSong_GB2312"/>
          <w:sz w:val="31"/>
          <w:szCs w:val="31"/>
          <w:spacing w:val="11"/>
        </w:rPr>
        <w:t>，加强督促指导，确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保环境违法行为整改到位。</w:t>
      </w:r>
    </w:p>
    <w:p>
      <w:pPr>
        <w:ind w:firstLine="642"/>
        <w:spacing w:before="197"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（三）对符合不予行政处罚条件的环境违法行为，要严格履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4"/>
        </w:rPr>
        <w:t>行立案调查程序，并督促当事人现场签署《河北</w:t>
      </w:r>
      <w:r>
        <w:rPr>
          <w:rFonts w:ascii="FangSong_GB2312" w:hAnsi="FangSong_GB2312" w:eastAsia="FangSong_GB2312" w:cs="FangSong_GB2312"/>
          <w:sz w:val="31"/>
          <w:szCs w:val="31"/>
          <w:spacing w:val="13"/>
        </w:rPr>
        <w:t>省生态环境领域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1"/>
        </w:rPr>
        <w:t>包容免罚告知承诺书》</w:t>
      </w:r>
      <w:r>
        <w:rPr>
          <w:rFonts w:ascii="FangSong_GB2312" w:hAnsi="FangSong_GB2312" w:eastAsia="FangSong_GB2312" w:cs="FangSong_GB2312"/>
          <w:sz w:val="31"/>
          <w:szCs w:val="31"/>
          <w:spacing w:val="-75"/>
        </w:rPr>
        <w:t xml:space="preserve"> </w:t>
      </w:r>
      <w:r>
        <w:rPr>
          <w:rFonts w:ascii="FangSong_GB2312" w:hAnsi="FangSong_GB2312" w:eastAsia="FangSong_GB2312" w:cs="FangSong_GB2312"/>
          <w:sz w:val="31"/>
          <w:szCs w:val="31"/>
          <w:spacing w:val="11"/>
        </w:rPr>
        <w:t>，依照法定权限和程序执法，规范行使行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政处罚裁量权，经集体研究讨论后下达《不予行政处罚决定书》，</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9"/>
        </w:rPr>
        <w:t>阐明不予行政处罚的事实、证据、依据和理由。</w:t>
      </w:r>
    </w:p>
    <w:p>
      <w:pPr>
        <w:ind w:left="7" w:right="83" w:firstLine="635"/>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（四）生态环境部门应当按照行政执法全过程记录的要求，</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做好调查取证、集体审议过程的记录，做好违法行为证据和案件</w:t>
      </w:r>
    </w:p>
    <w:p>
      <w:pPr>
        <w:spacing w:line="276" w:lineRule="auto"/>
        <w:sectPr>
          <w:footerReference w:type="default" r:id="rId17"/>
          <w:pgSz w:w="11905" w:h="16839"/>
          <w:pgMar w:top="1431" w:right="1335" w:bottom="1156" w:left="1418" w:header="0" w:footer="994" w:gutter="0"/>
        </w:sectPr>
        <w:rPr>
          <w:rFonts w:ascii="FangSong_GB2312" w:hAnsi="FangSong_GB2312" w:eastAsia="FangSong_GB2312" w:cs="FangSong_GB2312"/>
          <w:sz w:val="31"/>
          <w:szCs w:val="31"/>
        </w:rPr>
      </w:pPr>
    </w:p>
    <w:p>
      <w:pPr>
        <w:pStyle w:val="BodyText"/>
        <w:spacing w:line="245" w:lineRule="auto"/>
        <w:rPr/>
      </w:pPr>
      <w:r/>
    </w:p>
    <w:p>
      <w:pPr>
        <w:pStyle w:val="BodyText"/>
        <w:spacing w:line="246" w:lineRule="auto"/>
        <w:rPr/>
      </w:pPr>
      <w:r/>
    </w:p>
    <w:p>
      <w:pPr>
        <w:pStyle w:val="BodyText"/>
        <w:spacing w:line="246" w:lineRule="auto"/>
        <w:rPr/>
      </w:pPr>
      <w:r/>
    </w:p>
    <w:p>
      <w:pPr>
        <w:ind w:left="27"/>
        <w:spacing w:before="101"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审批过程记录等案卷材料的整理归档工作，确保有据可查。</w:t>
      </w:r>
    </w:p>
    <w:p>
      <w:pPr>
        <w:ind w:left="49" w:right="2" w:firstLine="597"/>
        <w:spacing w:before="191" w:line="314" w:lineRule="auto"/>
        <w:rPr>
          <w:rFonts w:ascii="FangSong_GB2312" w:hAnsi="FangSong_GB2312" w:eastAsia="FangSong_GB2312" w:cs="FangSong_GB2312"/>
          <w:sz w:val="31"/>
          <w:szCs w:val="31"/>
        </w:rPr>
      </w:pPr>
      <w:r>
        <w:rPr>
          <w:rFonts w:ascii="SimHei" w:hAnsi="SimHei" w:eastAsia="SimHei" w:cs="SimHei"/>
          <w:sz w:val="31"/>
          <w:szCs w:val="31"/>
          <w:spacing w:val="13"/>
        </w:rPr>
        <w:t>第十条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环境违法行为对社会影响或生态破坏的程度主要从</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2"/>
        </w:rPr>
        <w:t>以下几个方面判定：</w:t>
      </w:r>
    </w:p>
    <w:p>
      <w:pPr>
        <w:ind w:left="638"/>
        <w:spacing w:before="67"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（一）环境违法行为是否造成跨行政区域环境污染；</w:t>
      </w:r>
    </w:p>
    <w:p>
      <w:pPr>
        <w:ind w:left="6" w:firstLine="632"/>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（二）环境违法行为是否引起不良社会反响造成群众举报投</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2"/>
        </w:rPr>
        <w:t>诉；</w:t>
      </w:r>
    </w:p>
    <w:p>
      <w:pPr>
        <w:ind w:left="638"/>
        <w:spacing w:before="193"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（三）环境违法行为是否造成舆论影响；</w:t>
      </w:r>
    </w:p>
    <w:p>
      <w:pPr>
        <w:ind w:left="2" w:firstLine="636"/>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（四）污染物排放去向是否为一、二类功能区或饮用水水源</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7"/>
        </w:rPr>
        <w:t>保护区或</w:t>
      </w:r>
      <w:r>
        <w:rPr>
          <w:rFonts w:ascii="FangSong_GB2312" w:hAnsi="FangSong_GB2312" w:eastAsia="FangSong_GB2312" w:cs="FangSong_GB2312"/>
          <w:sz w:val="31"/>
          <w:szCs w:val="31"/>
          <w:spacing w:val="-34"/>
        </w:rPr>
        <w:t xml:space="preserve"> </w:t>
      </w:r>
      <w:r>
        <w:rPr>
          <w:rFonts w:ascii="FangSong_GB2312" w:hAnsi="FangSong_GB2312" w:eastAsia="FangSong_GB2312" w:cs="FangSong_GB2312"/>
          <w:sz w:val="31"/>
          <w:szCs w:val="31"/>
          <w:spacing w:val="-17"/>
        </w:rPr>
        <w:t>Ⅰ</w:t>
      </w:r>
      <w:r>
        <w:rPr>
          <w:rFonts w:ascii="FangSong_GB2312" w:hAnsi="FangSong_GB2312" w:eastAsia="FangSong_GB2312" w:cs="FangSong_GB2312"/>
          <w:sz w:val="31"/>
          <w:szCs w:val="31"/>
          <w:spacing w:val="-117"/>
        </w:rPr>
        <w:t xml:space="preserve"> </w:t>
      </w:r>
      <w:r>
        <w:rPr>
          <w:rFonts w:ascii="FangSong_GB2312" w:hAnsi="FangSong_GB2312" w:eastAsia="FangSong_GB2312" w:cs="FangSong_GB2312"/>
          <w:sz w:val="31"/>
          <w:szCs w:val="31"/>
          <w:spacing w:val="-17"/>
        </w:rPr>
        <w:t>、</w:t>
      </w:r>
      <w:r>
        <w:rPr>
          <w:rFonts w:ascii="FangSong_GB2312" w:hAnsi="FangSong_GB2312" w:eastAsia="FangSong_GB2312" w:cs="FangSong_GB2312"/>
          <w:sz w:val="31"/>
          <w:szCs w:val="31"/>
          <w:spacing w:val="-71"/>
        </w:rPr>
        <w:t xml:space="preserve"> </w:t>
      </w:r>
      <w:r>
        <w:rPr>
          <w:rFonts w:ascii="FangSong_GB2312" w:hAnsi="FangSong_GB2312" w:eastAsia="FangSong_GB2312" w:cs="FangSong_GB2312"/>
          <w:sz w:val="31"/>
          <w:szCs w:val="31"/>
          <w:spacing w:val="-17"/>
        </w:rPr>
        <w:t>Ⅱ</w:t>
      </w:r>
      <w:r>
        <w:rPr>
          <w:rFonts w:ascii="FangSong_GB2312" w:hAnsi="FangSong_GB2312" w:eastAsia="FangSong_GB2312" w:cs="FangSong_GB2312"/>
          <w:sz w:val="31"/>
          <w:szCs w:val="31"/>
          <w:spacing w:val="-114"/>
        </w:rPr>
        <w:t xml:space="preserve"> </w:t>
      </w:r>
      <w:r>
        <w:rPr>
          <w:rFonts w:ascii="FangSong_GB2312" w:hAnsi="FangSong_GB2312" w:eastAsia="FangSong_GB2312" w:cs="FangSong_GB2312"/>
          <w:sz w:val="31"/>
          <w:szCs w:val="31"/>
          <w:spacing w:val="-17"/>
        </w:rPr>
        <w:t>、</w:t>
      </w:r>
      <w:r>
        <w:rPr>
          <w:rFonts w:ascii="FangSong_GB2312" w:hAnsi="FangSong_GB2312" w:eastAsia="FangSong_GB2312" w:cs="FangSong_GB2312"/>
          <w:sz w:val="31"/>
          <w:szCs w:val="31"/>
          <w:spacing w:val="-108"/>
        </w:rPr>
        <w:t xml:space="preserve"> </w:t>
      </w:r>
      <w:r>
        <w:rPr>
          <w:rFonts w:ascii="FangSong_GB2312" w:hAnsi="FangSong_GB2312" w:eastAsia="FangSong_GB2312" w:cs="FangSong_GB2312"/>
          <w:sz w:val="31"/>
          <w:szCs w:val="31"/>
          <w:spacing w:val="-17"/>
        </w:rPr>
        <w:t>Ⅲ类水体；</w:t>
      </w:r>
    </w:p>
    <w:p>
      <w:pPr>
        <w:ind w:left="638"/>
        <w:spacing w:before="195"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（五）企业的规模大小、经济承受度；</w:t>
      </w:r>
    </w:p>
    <w:p>
      <w:pPr>
        <w:ind w:firstLine="638"/>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（六）是否造成土壤、植被、水体、景观等生态环境污染或</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3"/>
        </w:rPr>
        <w:t>破坏；</w:t>
      </w:r>
    </w:p>
    <w:p>
      <w:pPr>
        <w:ind w:left="638"/>
        <w:spacing w:before="193"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（七）其他造成社会影响或生态破坏的情形。</w:t>
      </w:r>
    </w:p>
    <w:p>
      <w:pPr>
        <w:ind w:left="13" w:right="2" w:firstLine="633"/>
        <w:spacing w:before="189" w:line="322" w:lineRule="auto"/>
        <w:jc w:val="both"/>
        <w:rPr>
          <w:rFonts w:ascii="FangSong_GB2312" w:hAnsi="FangSong_GB2312" w:eastAsia="FangSong_GB2312" w:cs="FangSong_GB2312"/>
          <w:sz w:val="31"/>
          <w:szCs w:val="31"/>
        </w:rPr>
      </w:pPr>
      <w:r>
        <w:rPr>
          <w:rFonts w:ascii="SimHei" w:hAnsi="SimHei" w:eastAsia="SimHei" w:cs="SimHei"/>
          <w:sz w:val="31"/>
          <w:szCs w:val="31"/>
          <w:spacing w:val="13"/>
        </w:rPr>
        <w:t>第十一条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同一时期内，对违法事实的性质、情节及社会危</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害程度相类似的同一类型案件，行使行政处罚裁量权时，适用的</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8"/>
        </w:rPr>
        <w:t>法律依据、处罚种类及幅度应当基本相同。</w:t>
      </w:r>
    </w:p>
    <w:p>
      <w:pPr>
        <w:ind w:left="6" w:firstLine="673"/>
        <w:spacing w:before="59" w:line="32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同时具有从重、从轻情节的，应综合考虑，根据主要情节适</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用处罚。对不予行政处罚、从轻或者减轻行政处罚、从重行政处</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8"/>
        </w:rPr>
        <w:t>罚的，应当在案卷中附具理由。</w:t>
      </w:r>
    </w:p>
    <w:p>
      <w:pPr>
        <w:ind w:left="17" w:firstLine="662"/>
        <w:spacing w:before="56" w:line="32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同一违法行为，不得给予两次以上罚款的行政处罚。同一违</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法行为违反多个法律规范应当给予罚款处罚的，按照罚款数额高</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的规定执行。</w:t>
      </w:r>
    </w:p>
    <w:p>
      <w:pPr>
        <w:spacing w:before="51" w:line="218"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实施两个以上环境违法行为，且违法行为之间存在必然牵连</w:t>
      </w:r>
    </w:p>
    <w:p>
      <w:pPr>
        <w:spacing w:line="218" w:lineRule="auto"/>
        <w:sectPr>
          <w:footerReference w:type="default" r:id="rId18"/>
          <w:pgSz w:w="11905" w:h="16839"/>
          <w:pgMar w:top="1431" w:right="1417" w:bottom="1156" w:left="1422" w:header="0" w:footer="994" w:gutter="0"/>
        </w:sectPr>
        <w:rPr>
          <w:rFonts w:ascii="FangSong_GB2312" w:hAnsi="FangSong_GB2312" w:eastAsia="FangSong_GB2312" w:cs="FangSong_GB2312"/>
          <w:sz w:val="31"/>
          <w:szCs w:val="31"/>
        </w:rPr>
      </w:pPr>
    </w:p>
    <w:p>
      <w:pPr>
        <w:pStyle w:val="BodyText"/>
        <w:spacing w:line="245" w:lineRule="auto"/>
        <w:rPr/>
      </w:pPr>
      <w:r/>
    </w:p>
    <w:p>
      <w:pPr>
        <w:pStyle w:val="BodyText"/>
        <w:spacing w:line="246" w:lineRule="auto"/>
        <w:rPr/>
      </w:pPr>
      <w:r/>
    </w:p>
    <w:p>
      <w:pPr>
        <w:pStyle w:val="BodyText"/>
        <w:spacing w:line="246" w:lineRule="auto"/>
        <w:rPr/>
      </w:pPr>
      <w:r/>
    </w:p>
    <w:p>
      <w:pPr>
        <w:ind w:left="13"/>
        <w:spacing w:before="101"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关系的，应当选择处罚较重的违法行为予以认定，并给予处罚。</w:t>
      </w:r>
    </w:p>
    <w:p>
      <w:pPr>
        <w:ind w:right="95" w:firstLine="657"/>
        <w:spacing w:before="191"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实施两个以上环境违法行为，且违法行为之间不存在必然牵</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9"/>
        </w:rPr>
        <w:t>连关系的，应当对每个违法行为分别依法给予相应处罚。</w:t>
      </w:r>
    </w:p>
    <w:p>
      <w:pPr>
        <w:ind w:left="3" w:right="95" w:firstLine="644"/>
        <w:spacing w:before="60" w:line="32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执法人员在案件调查取证时，应当全面调取有关环境违法行</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为和情节的证据，在提交环境行政处罚案件调查材料前，应当在</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作出行政处罚决定前对违法整改情况及时开展复查，根据裁量方</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9"/>
        </w:rPr>
        <w:t>式提出行政处罚的具体建议，经集体讨论确定最终罚款金额。</w:t>
      </w:r>
    </w:p>
    <w:p>
      <w:pPr>
        <w:ind w:left="3" w:right="95" w:firstLine="640"/>
        <w:spacing w:before="53" w:line="32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违法频次=本次违法行为（计为</w:t>
      </w:r>
      <w:r>
        <w:rPr>
          <w:rFonts w:ascii="FangSong_GB2312" w:hAnsi="FangSong_GB2312" w:eastAsia="FangSong_GB2312" w:cs="FangSong_GB2312"/>
          <w:sz w:val="31"/>
          <w:szCs w:val="31"/>
          <w:spacing w:val="-41"/>
        </w:rPr>
        <w:t xml:space="preserve"> </w:t>
      </w:r>
      <w:r>
        <w:rPr>
          <w:rFonts w:ascii="FangSong_GB2312" w:hAnsi="FangSong_GB2312" w:eastAsia="FangSong_GB2312" w:cs="FangSong_GB2312"/>
          <w:sz w:val="31"/>
          <w:szCs w:val="31"/>
          <w:spacing w:val="3"/>
        </w:rPr>
        <w:t>1）+违法次数。违法次数是指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自发现本次违法行为之日（包含本日）起向前追溯一年内因环境</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9"/>
        </w:rPr>
        <w:t>违法行为被下达行政处罚与不予行政处罚决定书的</w:t>
      </w:r>
      <w:r>
        <w:rPr>
          <w:rFonts w:ascii="FangSong_GB2312" w:hAnsi="FangSong_GB2312" w:eastAsia="FangSong_GB2312" w:cs="FangSong_GB2312"/>
          <w:sz w:val="31"/>
          <w:szCs w:val="31"/>
          <w:spacing w:val="8"/>
        </w:rPr>
        <w:t>次数。</w:t>
      </w:r>
    </w:p>
    <w:p>
      <w:pPr>
        <w:ind w:left="7" w:firstLine="633"/>
        <w:spacing w:before="50" w:line="327" w:lineRule="auto"/>
        <w:rPr>
          <w:rFonts w:ascii="FangSong_GB2312" w:hAnsi="FangSong_GB2312" w:eastAsia="FangSong_GB2312" w:cs="FangSong_GB2312"/>
          <w:sz w:val="31"/>
          <w:szCs w:val="31"/>
        </w:rPr>
      </w:pPr>
      <w:r>
        <w:rPr>
          <w:rFonts w:ascii="SimHei" w:hAnsi="SimHei" w:eastAsia="SimHei" w:cs="SimHei"/>
          <w:sz w:val="31"/>
          <w:szCs w:val="31"/>
          <w:spacing w:val="5"/>
        </w:rPr>
        <w:t>第十二条</w:t>
      </w:r>
      <w:r>
        <w:rPr>
          <w:rFonts w:ascii="SimHei" w:hAnsi="SimHei" w:eastAsia="SimHei" w:cs="SimHei"/>
          <w:sz w:val="31"/>
          <w:szCs w:val="31"/>
          <w:spacing w:val="5"/>
        </w:rPr>
        <w:t xml:space="preserve">  </w:t>
      </w:r>
      <w:r>
        <w:rPr>
          <w:rFonts w:ascii="FangSong_GB2312" w:hAnsi="FangSong_GB2312" w:eastAsia="FangSong_GB2312" w:cs="FangSong_GB2312"/>
          <w:sz w:val="31"/>
          <w:szCs w:val="31"/>
          <w:spacing w:val="5"/>
        </w:rPr>
        <w:t>在告知当事人环境行政处罚有关违法事实、证据、</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处罚依据时，应一并告知行政处罚裁量权的适用依据及其陈述申</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1"/>
        </w:rPr>
        <w:t>辩权利。</w:t>
      </w:r>
      <w:r>
        <w:rPr>
          <w:rFonts w:ascii="FangSong_GB2312" w:hAnsi="FangSong_GB2312" w:eastAsia="FangSong_GB2312" w:cs="FangSong_GB2312"/>
          <w:sz w:val="31"/>
          <w:szCs w:val="31"/>
          <w:spacing w:val="-91"/>
        </w:rPr>
        <w:t xml:space="preserve"> </w:t>
      </w:r>
      <w:r>
        <w:rPr>
          <w:rFonts w:ascii="FangSong_GB2312" w:hAnsi="FangSong_GB2312" w:eastAsia="FangSong_GB2312" w:cs="FangSong_GB2312"/>
          <w:sz w:val="31"/>
          <w:szCs w:val="31"/>
          <w:spacing w:val="11"/>
        </w:rPr>
        <w:t>当事人陈述申辩时对处罚裁量适用提出异议的</w:t>
      </w:r>
      <w:r>
        <w:rPr>
          <w:rFonts w:ascii="FangSong_GB2312" w:hAnsi="FangSong_GB2312" w:eastAsia="FangSong_GB2312" w:cs="FangSong_GB2312"/>
          <w:sz w:val="31"/>
          <w:szCs w:val="31"/>
          <w:spacing w:val="10"/>
        </w:rPr>
        <w:t>，应当对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异议情况进行核查并对合理意见予以采纳，不得因当事人的陈述</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6"/>
        </w:rPr>
        <w:t>申辩而加重处罚。</w:t>
      </w:r>
    </w:p>
    <w:p>
      <w:pPr>
        <w:ind w:right="97" w:firstLine="640"/>
        <w:spacing w:before="60" w:line="321" w:lineRule="auto"/>
        <w:jc w:val="both"/>
        <w:rPr>
          <w:rFonts w:ascii="FangSong_GB2312" w:hAnsi="FangSong_GB2312" w:eastAsia="FangSong_GB2312" w:cs="FangSong_GB2312"/>
          <w:sz w:val="31"/>
          <w:szCs w:val="31"/>
        </w:rPr>
      </w:pPr>
      <w:r>
        <w:rPr>
          <w:rFonts w:ascii="SimHei" w:hAnsi="SimHei" w:eastAsia="SimHei" w:cs="SimHei"/>
          <w:sz w:val="31"/>
          <w:szCs w:val="31"/>
          <w:spacing w:val="13"/>
        </w:rPr>
        <w:t>第十三条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作出行政处罚决定时，应当在处罚决定书中载明</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1"/>
        </w:rPr>
        <w:t>行政处罚裁量的适用依据和理由，</w:t>
      </w:r>
      <w:r>
        <w:rPr>
          <w:rFonts w:ascii="FangSong_GB2312" w:hAnsi="FangSong_GB2312" w:eastAsia="FangSong_GB2312" w:cs="FangSong_GB2312"/>
          <w:sz w:val="31"/>
          <w:szCs w:val="31"/>
          <w:spacing w:val="-88"/>
        </w:rPr>
        <w:t xml:space="preserve"> </w:t>
      </w:r>
      <w:r>
        <w:rPr>
          <w:rFonts w:ascii="FangSong_GB2312" w:hAnsi="FangSong_GB2312" w:eastAsia="FangSong_GB2312" w:cs="FangSong_GB2312"/>
          <w:sz w:val="31"/>
          <w:szCs w:val="31"/>
          <w:spacing w:val="11"/>
        </w:rPr>
        <w:t>以及对当事人关于裁量的陈述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申辩意见的采纳情况和理由。</w:t>
      </w:r>
    </w:p>
    <w:p>
      <w:pPr>
        <w:ind w:left="1" w:right="95" w:firstLine="639"/>
        <w:spacing w:before="61" w:line="325" w:lineRule="auto"/>
        <w:rPr>
          <w:rFonts w:ascii="FangSong_GB2312" w:hAnsi="FangSong_GB2312" w:eastAsia="FangSong_GB2312" w:cs="FangSong_GB2312"/>
          <w:sz w:val="31"/>
          <w:szCs w:val="31"/>
        </w:rPr>
      </w:pPr>
      <w:r>
        <w:rPr>
          <w:rFonts w:ascii="SimHei" w:hAnsi="SimHei" w:eastAsia="SimHei" w:cs="SimHei"/>
          <w:sz w:val="31"/>
          <w:szCs w:val="31"/>
          <w:spacing w:val="13"/>
        </w:rPr>
        <w:t>第十四条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生态环境部门要严格落实“双随机、一公开”监</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13"/>
        </w:rPr>
        <w:t>管工作规定，对照问题线索，一次性检查到位，切实减少对企业</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正常生产经营活动的干扰。严禁随意开展未经批准的执法活动，</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9"/>
        </w:rPr>
        <w:t>杜绝随意执法、多头执法、重复执法等行为，提高执法规范性。</w:t>
      </w:r>
    </w:p>
    <w:p>
      <w:pPr>
        <w:ind w:left="640"/>
        <w:spacing w:before="56" w:line="223" w:lineRule="auto"/>
        <w:rPr>
          <w:rFonts w:ascii="FangSong_GB2312" w:hAnsi="FangSong_GB2312" w:eastAsia="FangSong_GB2312" w:cs="FangSong_GB2312"/>
          <w:sz w:val="31"/>
          <w:szCs w:val="31"/>
        </w:rPr>
      </w:pPr>
      <w:r>
        <w:rPr>
          <w:rFonts w:ascii="SimHei" w:hAnsi="SimHei" w:eastAsia="SimHei" w:cs="SimHei"/>
          <w:sz w:val="31"/>
          <w:szCs w:val="31"/>
          <w:spacing w:val="13"/>
        </w:rPr>
        <w:t>第十五条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行政强制应当由行政机关取得行政执法资格的行</w:t>
      </w:r>
    </w:p>
    <w:p>
      <w:pPr>
        <w:spacing w:line="223" w:lineRule="auto"/>
        <w:sectPr>
          <w:footerReference w:type="default" r:id="rId19"/>
          <w:pgSz w:w="11905" w:h="16839"/>
          <w:pgMar w:top="1431" w:right="1322" w:bottom="1156" w:left="1428" w:header="0" w:footer="994" w:gutter="0"/>
        </w:sectPr>
        <w:rPr>
          <w:rFonts w:ascii="FangSong_GB2312" w:hAnsi="FangSong_GB2312" w:eastAsia="FangSong_GB2312" w:cs="FangSong_GB2312"/>
          <w:sz w:val="31"/>
          <w:szCs w:val="31"/>
        </w:rPr>
      </w:pPr>
    </w:p>
    <w:p>
      <w:pPr>
        <w:pStyle w:val="BodyText"/>
        <w:spacing w:line="246" w:lineRule="auto"/>
        <w:rPr/>
      </w:pPr>
      <w:r/>
    </w:p>
    <w:p>
      <w:pPr>
        <w:pStyle w:val="BodyText"/>
        <w:spacing w:line="246" w:lineRule="auto"/>
        <w:rPr/>
      </w:pPr>
      <w:r/>
    </w:p>
    <w:p>
      <w:pPr>
        <w:pStyle w:val="BodyText"/>
        <w:spacing w:line="247" w:lineRule="auto"/>
        <w:rPr/>
      </w:pPr>
      <w:r/>
    </w:p>
    <w:p>
      <w:pPr>
        <w:ind w:left="5" w:right="2" w:hanging="3"/>
        <w:spacing w:before="101"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政执法人员在法定职权范围内实施，其他人员不得实施。行政强</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6"/>
        </w:rPr>
        <w:t>制措施权不得委托。</w:t>
      </w:r>
    </w:p>
    <w:p>
      <w:pPr>
        <w:ind w:firstLine="640"/>
        <w:spacing w:before="88" w:line="34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违法行为情节显著轻微或者没有明显社会危害的，可以不采</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6"/>
        </w:rPr>
        <w:t>取行政强制措施。</w:t>
      </w:r>
    </w:p>
    <w:p>
      <w:pPr>
        <w:ind w:right="2" w:firstLine="636"/>
        <w:spacing w:before="19" w:line="317" w:lineRule="auto"/>
        <w:rPr>
          <w:rFonts w:ascii="FangSong_GB2312" w:hAnsi="FangSong_GB2312" w:eastAsia="FangSong_GB2312" w:cs="FangSong_GB2312"/>
          <w:sz w:val="31"/>
          <w:szCs w:val="31"/>
        </w:rPr>
      </w:pPr>
      <w:r>
        <w:rPr>
          <w:rFonts w:ascii="SimHei" w:hAnsi="SimHei" w:eastAsia="SimHei" w:cs="SimHei"/>
          <w:sz w:val="31"/>
          <w:szCs w:val="31"/>
          <w:spacing w:val="13"/>
        </w:rPr>
        <w:t>第十六条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法律、法规和规章对环境行政处罚裁量权另有规</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6"/>
        </w:rPr>
        <w:t>定的，从其规定。</w:t>
      </w:r>
    </w:p>
    <w:p>
      <w:pPr>
        <w:ind w:left="13" w:right="2" w:firstLine="623"/>
        <w:spacing w:before="58" w:line="31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未列入本裁量标准的环境违法行为，参照本裁量标准制定的</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8"/>
        </w:rPr>
        <w:t>河北省生态环境行政处罚通用裁量规则综合裁量。</w:t>
      </w:r>
    </w:p>
    <w:p>
      <w:pPr>
        <w:ind w:left="1" w:right="2" w:firstLine="635"/>
        <w:spacing w:before="57" w:line="314" w:lineRule="auto"/>
        <w:rPr>
          <w:rFonts w:ascii="FangSong_GB2312" w:hAnsi="FangSong_GB2312" w:eastAsia="FangSong_GB2312" w:cs="FangSong_GB2312"/>
          <w:sz w:val="31"/>
          <w:szCs w:val="31"/>
        </w:rPr>
      </w:pPr>
      <w:r>
        <w:rPr>
          <w:rFonts w:ascii="SimHei" w:hAnsi="SimHei" w:eastAsia="SimHei" w:cs="SimHei"/>
          <w:sz w:val="31"/>
          <w:szCs w:val="31"/>
          <w:spacing w:val="13"/>
        </w:rPr>
        <w:t>第十七条</w:t>
      </w:r>
      <w:r>
        <w:rPr>
          <w:rFonts w:ascii="SimHei" w:hAnsi="SimHei" w:eastAsia="SimHei" w:cs="SimHei"/>
          <w:sz w:val="31"/>
          <w:szCs w:val="31"/>
          <w:spacing w:val="13"/>
        </w:rPr>
        <w:t xml:space="preserve">  </w:t>
      </w:r>
      <w:r>
        <w:rPr>
          <w:rFonts w:ascii="FangSong_GB2312" w:hAnsi="FangSong_GB2312" w:eastAsia="FangSong_GB2312" w:cs="FangSong_GB2312"/>
          <w:sz w:val="31"/>
          <w:szCs w:val="31"/>
          <w:spacing w:val="13"/>
        </w:rPr>
        <w:t>本行政处罚裁量权基准自印发之日起施行。有效</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6"/>
        </w:rPr>
        <w:t>期五年，原冀环规范〔2023〕1</w:t>
      </w:r>
      <w:r>
        <w:rPr>
          <w:rFonts w:ascii="FangSong_GB2312" w:hAnsi="FangSong_GB2312" w:eastAsia="FangSong_GB2312" w:cs="FangSong_GB2312"/>
          <w:sz w:val="31"/>
          <w:szCs w:val="31"/>
          <w:spacing w:val="-36"/>
        </w:rPr>
        <w:t xml:space="preserve"> </w:t>
      </w:r>
      <w:r>
        <w:rPr>
          <w:rFonts w:ascii="FangSong_GB2312" w:hAnsi="FangSong_GB2312" w:eastAsia="FangSong_GB2312" w:cs="FangSong_GB2312"/>
          <w:sz w:val="31"/>
          <w:szCs w:val="31"/>
          <w:spacing w:val="6"/>
        </w:rPr>
        <w:t>号文同时废止。</w:t>
      </w:r>
    </w:p>
    <w:p>
      <w:pPr>
        <w:spacing w:line="314" w:lineRule="auto"/>
        <w:sectPr>
          <w:footerReference w:type="default" r:id="rId20"/>
          <w:pgSz w:w="11905" w:h="16839"/>
          <w:pgMar w:top="1431" w:right="1417" w:bottom="1156" w:left="1432" w:header="0" w:footer="994" w:gutter="0"/>
        </w:sectPr>
        <w:rPr>
          <w:rFonts w:ascii="FangSong_GB2312" w:hAnsi="FangSong_GB2312" w:eastAsia="FangSong_GB2312" w:cs="FangSong_GB2312"/>
          <w:sz w:val="31"/>
          <w:szCs w:val="31"/>
        </w:rPr>
      </w:pPr>
    </w:p>
    <w:p>
      <w:pPr>
        <w:pStyle w:val="BodyText"/>
        <w:spacing w:line="298" w:lineRule="auto"/>
        <w:rPr/>
      </w:pPr>
      <w:r/>
    </w:p>
    <w:p>
      <w:pPr>
        <w:pStyle w:val="BodyText"/>
        <w:spacing w:line="298" w:lineRule="auto"/>
        <w:rPr/>
      </w:pPr>
      <w:r/>
    </w:p>
    <w:p>
      <w:pPr>
        <w:pStyle w:val="BodyText"/>
        <w:spacing w:line="298" w:lineRule="auto"/>
        <w:rPr/>
      </w:pPr>
      <w:r/>
    </w:p>
    <w:p>
      <w:pPr>
        <w:pStyle w:val="BodyText"/>
        <w:spacing w:line="298" w:lineRule="auto"/>
        <w:rPr/>
      </w:pPr>
      <w:r/>
    </w:p>
    <w:sdt>
      <w:sdtPr>
        <w:rPr>
          <w:rFonts w:ascii="FangSong_GB2312" w:hAnsi="FangSong_GB2312" w:eastAsia="FangSong_GB2312" w:cs="FangSong_GB2312"/>
          <w:sz w:val="31"/>
          <w:szCs w:val="31"/>
        </w:rPr>
        <w:docPartObj>
          <w:docPartGallery w:val="Table of Contents"/>
          <w:docPartUnique/>
        </w:docPartObj>
      </w:sdtPr>
      <w:sdtEndPr>
        <w:rPr>
          <w:rFonts w:ascii="FangSong_GB2312" w:hAnsi="FangSong_GB2312" w:eastAsia="FangSong_GB2312" w:cs="FangSong_GB2312"/>
          <w:sz w:val="31"/>
          <w:szCs w:val="31"/>
        </w:rPr>
      </w:sdtEndPr>
      <w:sdtContent>
        <w:p>
          <w:pPr>
            <w:ind w:left="4200"/>
            <w:spacing w:before="100" w:line="22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1"/>
            </w:rPr>
            <w:t>目</w:t>
          </w:r>
          <w:r>
            <w:rPr>
              <w:rFonts w:ascii="FangSong_GB2312" w:hAnsi="FangSong_GB2312" w:eastAsia="FangSong_GB2312" w:cs="FangSong_GB2312"/>
              <w:sz w:val="31"/>
              <w:szCs w:val="31"/>
              <w:spacing w:val="32"/>
            </w:rPr>
            <w:t xml:space="preserve"> </w:t>
          </w:r>
          <w:r>
            <w:rPr>
              <w:rFonts w:ascii="FangSong_GB2312" w:hAnsi="FangSong_GB2312" w:eastAsia="FangSong_GB2312" w:cs="FangSong_GB2312"/>
              <w:sz w:val="31"/>
              <w:szCs w:val="31"/>
              <w:spacing w:val="-31"/>
            </w:rPr>
            <w:t>录</w:t>
          </w:r>
        </w:p>
        <w:p>
          <w:pPr>
            <w:spacing w:before="257" w:line="218" w:lineRule="auto"/>
            <w:tabs>
              <w:tab w:val="right" w:leader="dot" w:pos="7515"/>
            </w:tabs>
            <w:rPr>
              <w:rFonts w:ascii="FangSong_GB2312" w:hAnsi="FangSong_GB2312" w:eastAsia="FangSong_GB2312" w:cs="FangSong_GB2312"/>
              <w:sz w:val="31"/>
              <w:szCs w:val="31"/>
            </w:rPr>
          </w:pPr>
          <w:bookmarkStart w:name="bookmark1" w:id="1"/>
          <w:bookmarkEnd w:id="1"/>
          <w:hyperlink w:history="true" w:anchor="bookmark1">
            <w:r>
              <w:rPr>
                <w:rFonts w:ascii="FangSong_GB2312" w:hAnsi="FangSong_GB2312" w:eastAsia="FangSong_GB2312" w:cs="FangSong_GB2312"/>
                <w:sz w:val="31"/>
                <w:szCs w:val="31"/>
                <w:spacing w:val="9"/>
              </w:rPr>
              <w:t>（一）环评类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1"/>
              </w:rPr>
              <w:t xml:space="preserve"> </w:t>
            </w:r>
            <w:r>
              <w:rPr>
                <w:rFonts w:ascii="FangSong_GB2312" w:hAnsi="FangSong_GB2312" w:eastAsia="FangSong_GB2312" w:cs="FangSong_GB2312"/>
                <w:sz w:val="31"/>
                <w:szCs w:val="31"/>
                <w:spacing w:val="-8"/>
              </w:rPr>
              <w:t>26</w:t>
            </w:r>
          </w:hyperlink>
        </w:p>
        <w:p>
          <w:pPr>
            <w:spacing w:before="262" w:line="218" w:lineRule="auto"/>
            <w:tabs>
              <w:tab w:val="right" w:leader="dot" w:pos="7515"/>
            </w:tabs>
            <w:rPr>
              <w:rFonts w:ascii="FangSong_GB2312" w:hAnsi="FangSong_GB2312" w:eastAsia="FangSong_GB2312" w:cs="FangSong_GB2312"/>
              <w:sz w:val="31"/>
              <w:szCs w:val="31"/>
            </w:rPr>
          </w:pPr>
          <w:bookmarkStart w:name="bookmark2" w:id="2"/>
          <w:bookmarkEnd w:id="2"/>
          <w:hyperlink w:history="true" w:anchor="bookmark2">
            <w:r>
              <w:rPr>
                <w:rFonts w:ascii="FangSong_GB2312" w:hAnsi="FangSong_GB2312" w:eastAsia="FangSong_GB2312" w:cs="FangSong_GB2312"/>
                <w:sz w:val="31"/>
                <w:szCs w:val="31"/>
                <w:spacing w:val="9"/>
              </w:rPr>
              <w:t>（二）排污许可管理类</w:t>
            </w:r>
            <w:r>
              <w:rPr>
                <w:rFonts w:ascii="FangSong_GB2312" w:hAnsi="FangSong_GB2312" w:eastAsia="FangSong_GB2312" w:cs="FangSong_GB2312"/>
                <w:sz w:val="31"/>
                <w:szCs w:val="31"/>
                <w:spacing w:val="-132"/>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2"/>
              </w:rPr>
              <w:t xml:space="preserve"> </w:t>
            </w:r>
            <w:r>
              <w:rPr>
                <w:rFonts w:ascii="FangSong_GB2312" w:hAnsi="FangSong_GB2312" w:eastAsia="FangSong_GB2312" w:cs="FangSong_GB2312"/>
                <w:sz w:val="31"/>
                <w:szCs w:val="31"/>
                <w:spacing w:val="-7"/>
              </w:rPr>
              <w:t>40</w:t>
            </w:r>
          </w:hyperlink>
        </w:p>
        <w:p>
          <w:pPr>
            <w:spacing w:before="265" w:line="218" w:lineRule="auto"/>
            <w:tabs>
              <w:tab w:val="right" w:leader="dot" w:pos="7515"/>
            </w:tabs>
            <w:rPr>
              <w:rFonts w:ascii="FangSong_GB2312" w:hAnsi="FangSong_GB2312" w:eastAsia="FangSong_GB2312" w:cs="FangSong_GB2312"/>
              <w:sz w:val="31"/>
              <w:szCs w:val="31"/>
            </w:rPr>
          </w:pPr>
          <w:bookmarkStart w:name="bookmark3" w:id="3"/>
          <w:bookmarkEnd w:id="3"/>
          <w:hyperlink w:history="true" w:anchor="bookmark3">
            <w:r>
              <w:rPr>
                <w:rFonts w:ascii="FangSong_GB2312" w:hAnsi="FangSong_GB2312" w:eastAsia="FangSong_GB2312" w:cs="FangSong_GB2312"/>
                <w:sz w:val="31"/>
                <w:szCs w:val="31"/>
                <w:spacing w:val="9"/>
              </w:rPr>
              <w:t>（三）大气类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29"/>
              </w:rPr>
              <w:t xml:space="preserve"> </w:t>
            </w:r>
            <w:r>
              <w:rPr>
                <w:rFonts w:ascii="FangSong_GB2312" w:hAnsi="FangSong_GB2312" w:eastAsia="FangSong_GB2312" w:cs="FangSong_GB2312"/>
                <w:sz w:val="31"/>
                <w:szCs w:val="31"/>
                <w:spacing w:val="-9"/>
              </w:rPr>
              <w:t>79</w:t>
            </w:r>
          </w:hyperlink>
        </w:p>
        <w:p>
          <w:pPr>
            <w:spacing w:before="263" w:line="218" w:lineRule="auto"/>
            <w:tabs>
              <w:tab w:val="right" w:leader="dot" w:pos="7675"/>
            </w:tabs>
            <w:rPr>
              <w:rFonts w:ascii="FangSong_GB2312" w:hAnsi="FangSong_GB2312" w:eastAsia="FangSong_GB2312" w:cs="FangSong_GB2312"/>
              <w:sz w:val="31"/>
              <w:szCs w:val="31"/>
            </w:rPr>
          </w:pPr>
          <w:bookmarkStart w:name="bookmark4" w:id="4"/>
          <w:bookmarkEnd w:id="4"/>
          <w:hyperlink w:history="true" w:anchor="bookmark4">
            <w:r>
              <w:rPr>
                <w:rFonts w:ascii="FangSong_GB2312" w:hAnsi="FangSong_GB2312" w:eastAsia="FangSong_GB2312" w:cs="FangSong_GB2312"/>
                <w:sz w:val="31"/>
                <w:szCs w:val="31"/>
                <w:spacing w:val="2"/>
              </w:rPr>
              <w:t>（四）水</w:t>
            </w:r>
            <w:r>
              <w:rPr>
                <w:rFonts w:ascii="FangSong_GB2312" w:hAnsi="FangSong_GB2312" w:eastAsia="FangSong_GB2312" w:cs="FangSong_GB2312"/>
                <w:sz w:val="31"/>
                <w:szCs w:val="31"/>
                <w:spacing w:val="22"/>
              </w:rPr>
              <w:t xml:space="preserve">  </w:t>
            </w:r>
            <w:r>
              <w:rPr>
                <w:rFonts w:ascii="FangSong_GB2312" w:hAnsi="FangSong_GB2312" w:eastAsia="FangSong_GB2312" w:cs="FangSong_GB2312"/>
                <w:sz w:val="31"/>
                <w:szCs w:val="31"/>
                <w:spacing w:val="2"/>
              </w:rPr>
              <w:t>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23"/>
              </w:rPr>
              <w:t xml:space="preserve"> </w:t>
            </w:r>
            <w:r>
              <w:rPr>
                <w:rFonts w:ascii="FangSong_GB2312" w:hAnsi="FangSong_GB2312" w:eastAsia="FangSong_GB2312" w:cs="FangSong_GB2312"/>
                <w:sz w:val="31"/>
                <w:szCs w:val="31"/>
                <w:spacing w:val="-6"/>
              </w:rPr>
              <w:t>192</w:t>
            </w:r>
          </w:hyperlink>
        </w:p>
        <w:p>
          <w:pPr>
            <w:spacing w:before="265" w:line="218" w:lineRule="auto"/>
            <w:tabs>
              <w:tab w:val="right" w:leader="dot" w:pos="7675"/>
            </w:tabs>
            <w:rPr>
              <w:rFonts w:ascii="FangSong_GB2312" w:hAnsi="FangSong_GB2312" w:eastAsia="FangSong_GB2312" w:cs="FangSong_GB2312"/>
              <w:sz w:val="31"/>
              <w:szCs w:val="31"/>
            </w:rPr>
          </w:pPr>
          <w:bookmarkStart w:name="bookmark5" w:id="5"/>
          <w:bookmarkEnd w:id="5"/>
          <w:hyperlink w:history="true" w:anchor="bookmark5">
            <w:r>
              <w:rPr>
                <w:rFonts w:ascii="FangSong_GB2312" w:hAnsi="FangSong_GB2312" w:eastAsia="FangSong_GB2312" w:cs="FangSong_GB2312"/>
                <w:sz w:val="31"/>
                <w:szCs w:val="31"/>
                <w:spacing w:val="9"/>
              </w:rPr>
              <w:t>（五）土壤类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1"/>
              </w:rPr>
              <w:t xml:space="preserve"> </w:t>
            </w:r>
            <w:r>
              <w:rPr>
                <w:rFonts w:ascii="FangSong_GB2312" w:hAnsi="FangSong_GB2312" w:eastAsia="FangSong_GB2312" w:cs="FangSong_GB2312"/>
                <w:sz w:val="31"/>
                <w:szCs w:val="31"/>
                <w:spacing w:val="-3"/>
              </w:rPr>
              <w:t>236</w:t>
            </w:r>
          </w:hyperlink>
        </w:p>
        <w:p>
          <w:pPr>
            <w:spacing w:before="263" w:line="218" w:lineRule="auto"/>
            <w:tabs>
              <w:tab w:val="right" w:leader="dot" w:pos="7675"/>
            </w:tabs>
            <w:rPr>
              <w:rFonts w:ascii="FangSong_GB2312" w:hAnsi="FangSong_GB2312" w:eastAsia="FangSong_GB2312" w:cs="FangSong_GB2312"/>
              <w:sz w:val="31"/>
              <w:szCs w:val="31"/>
            </w:rPr>
          </w:pPr>
          <w:bookmarkStart w:name="bookmark6" w:id="6"/>
          <w:bookmarkEnd w:id="6"/>
          <w:hyperlink w:history="true" w:anchor="bookmark6">
            <w:r>
              <w:rPr>
                <w:rFonts w:ascii="FangSong_GB2312" w:hAnsi="FangSong_GB2312" w:eastAsia="FangSong_GB2312" w:cs="FangSong_GB2312"/>
                <w:sz w:val="31"/>
                <w:szCs w:val="31"/>
                <w:spacing w:val="9"/>
              </w:rPr>
              <w:t>（六）固废类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1"/>
              </w:rPr>
              <w:t xml:space="preserve"> </w:t>
            </w:r>
            <w:r>
              <w:rPr>
                <w:rFonts w:ascii="FangSong_GB2312" w:hAnsi="FangSong_GB2312" w:eastAsia="FangSong_GB2312" w:cs="FangSong_GB2312"/>
                <w:sz w:val="31"/>
                <w:szCs w:val="31"/>
                <w:spacing w:val="-3"/>
              </w:rPr>
              <w:t>274</w:t>
            </w:r>
          </w:hyperlink>
        </w:p>
        <w:p>
          <w:pPr>
            <w:spacing w:before="265" w:line="218" w:lineRule="auto"/>
            <w:tabs>
              <w:tab w:val="right" w:leader="dot" w:pos="7675"/>
            </w:tabs>
            <w:rPr>
              <w:rFonts w:ascii="FangSong_GB2312" w:hAnsi="FangSong_GB2312" w:eastAsia="FangSong_GB2312" w:cs="FangSong_GB2312"/>
              <w:sz w:val="31"/>
              <w:szCs w:val="31"/>
            </w:rPr>
          </w:pPr>
          <w:bookmarkStart w:name="bookmark7" w:id="7"/>
          <w:bookmarkEnd w:id="7"/>
          <w:hyperlink w:history="true" w:anchor="bookmark7">
            <w:r>
              <w:rPr>
                <w:rFonts w:ascii="FangSong_GB2312" w:hAnsi="FangSong_GB2312" w:eastAsia="FangSong_GB2312" w:cs="FangSong_GB2312"/>
                <w:sz w:val="31"/>
                <w:szCs w:val="31"/>
                <w:spacing w:val="9"/>
              </w:rPr>
              <w:t>（七）噪声类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17"/>
              </w:rPr>
              <w:t xml:space="preserve"> </w:t>
            </w:r>
            <w:r>
              <w:rPr>
                <w:rFonts w:ascii="FangSong_GB2312" w:hAnsi="FangSong_GB2312" w:eastAsia="FangSong_GB2312" w:cs="FangSong_GB2312"/>
                <w:sz w:val="31"/>
                <w:szCs w:val="31"/>
                <w:spacing w:val="-8"/>
              </w:rPr>
              <w:t>346</w:t>
            </w:r>
          </w:hyperlink>
        </w:p>
        <w:p>
          <w:pPr>
            <w:spacing w:before="263" w:line="218" w:lineRule="auto"/>
            <w:tabs>
              <w:tab w:val="right" w:leader="dot" w:pos="7675"/>
            </w:tabs>
            <w:rPr>
              <w:rFonts w:ascii="FangSong_GB2312" w:hAnsi="FangSong_GB2312" w:eastAsia="FangSong_GB2312" w:cs="FangSong_GB2312"/>
              <w:sz w:val="31"/>
              <w:szCs w:val="31"/>
            </w:rPr>
          </w:pPr>
          <w:bookmarkStart w:name="bookmark8" w:id="8"/>
          <w:bookmarkEnd w:id="8"/>
          <w:hyperlink w:history="true" w:anchor="bookmark8">
            <w:r>
              <w:rPr>
                <w:rFonts w:ascii="FangSong_GB2312" w:hAnsi="FangSong_GB2312" w:eastAsia="FangSong_GB2312" w:cs="FangSong_GB2312"/>
                <w:sz w:val="31"/>
                <w:szCs w:val="31"/>
                <w:spacing w:val="9"/>
              </w:rPr>
              <w:t>（八）海洋类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17"/>
              </w:rPr>
              <w:t xml:space="preserve"> </w:t>
            </w:r>
            <w:r>
              <w:rPr>
                <w:rFonts w:ascii="FangSong_GB2312" w:hAnsi="FangSong_GB2312" w:eastAsia="FangSong_GB2312" w:cs="FangSong_GB2312"/>
                <w:sz w:val="31"/>
                <w:szCs w:val="31"/>
                <w:spacing w:val="-8"/>
              </w:rPr>
              <w:t>355</w:t>
            </w:r>
          </w:hyperlink>
        </w:p>
        <w:p>
          <w:pPr>
            <w:spacing w:before="265" w:line="218" w:lineRule="auto"/>
            <w:tabs>
              <w:tab w:val="right" w:leader="dot" w:pos="7675"/>
            </w:tabs>
            <w:rPr>
              <w:rFonts w:ascii="FangSong_GB2312" w:hAnsi="FangSong_GB2312" w:eastAsia="FangSong_GB2312" w:cs="FangSong_GB2312"/>
              <w:sz w:val="31"/>
              <w:szCs w:val="31"/>
            </w:rPr>
          </w:pPr>
          <w:bookmarkStart w:name="bookmark9" w:id="9"/>
          <w:bookmarkEnd w:id="9"/>
          <w:hyperlink w:history="true" w:anchor="bookmark9">
            <w:r>
              <w:rPr>
                <w:rFonts w:ascii="FangSong_GB2312" w:hAnsi="FangSong_GB2312" w:eastAsia="FangSong_GB2312" w:cs="FangSong_GB2312"/>
                <w:sz w:val="31"/>
                <w:szCs w:val="31"/>
                <w:spacing w:val="9"/>
              </w:rPr>
              <w:t>（九）辐射类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17"/>
              </w:rPr>
              <w:t xml:space="preserve"> </w:t>
            </w:r>
            <w:r>
              <w:rPr>
                <w:rFonts w:ascii="FangSong_GB2312" w:hAnsi="FangSong_GB2312" w:eastAsia="FangSong_GB2312" w:cs="FangSong_GB2312"/>
                <w:sz w:val="31"/>
                <w:szCs w:val="31"/>
                <w:spacing w:val="-8"/>
              </w:rPr>
              <w:t>361</w:t>
            </w:r>
          </w:hyperlink>
        </w:p>
        <w:p>
          <w:pPr>
            <w:spacing w:before="263" w:line="218" w:lineRule="auto"/>
            <w:tabs>
              <w:tab w:val="right" w:leader="dot" w:pos="7675"/>
            </w:tabs>
            <w:rPr>
              <w:rFonts w:ascii="FangSong_GB2312" w:hAnsi="FangSong_GB2312" w:eastAsia="FangSong_GB2312" w:cs="FangSong_GB2312"/>
              <w:sz w:val="31"/>
              <w:szCs w:val="31"/>
            </w:rPr>
          </w:pPr>
          <w:bookmarkStart w:name="bookmark10" w:id="10"/>
          <w:bookmarkEnd w:id="10"/>
          <w:hyperlink w:history="true" w:anchor="bookmark10">
            <w:r>
              <w:rPr>
                <w:rFonts w:ascii="FangSong_GB2312" w:hAnsi="FangSong_GB2312" w:eastAsia="FangSong_GB2312" w:cs="FangSong_GB2312"/>
                <w:sz w:val="31"/>
                <w:szCs w:val="31"/>
                <w:spacing w:val="9"/>
              </w:rPr>
              <w:t>（十）其他类</w:t>
            </w:r>
            <w:r>
              <w:rPr>
                <w:rFonts w:ascii="FangSong_GB2312" w:hAnsi="FangSong_GB2312" w:eastAsia="FangSong_GB2312" w:cs="FangSong_GB2312"/>
                <w:sz w:val="31"/>
                <w:szCs w:val="31"/>
                <w:spacing w:val="-137"/>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2"/>
              </w:rPr>
              <w:t xml:space="preserve"> </w:t>
            </w:r>
            <w:r>
              <w:rPr>
                <w:rFonts w:ascii="FangSong_GB2312" w:hAnsi="FangSong_GB2312" w:eastAsia="FangSong_GB2312" w:cs="FangSong_GB2312"/>
                <w:sz w:val="31"/>
                <w:szCs w:val="31"/>
                <w:spacing w:val="-3"/>
              </w:rPr>
              <w:t>405</w:t>
            </w:r>
          </w:hyperlink>
        </w:p>
        <w:p>
          <w:pPr>
            <w:spacing w:before="265" w:line="218" w:lineRule="auto"/>
            <w:tabs>
              <w:tab w:val="right" w:leader="dot" w:pos="7675"/>
            </w:tabs>
            <w:rPr>
              <w:rFonts w:ascii="FangSong_GB2312" w:hAnsi="FangSong_GB2312" w:eastAsia="FangSong_GB2312" w:cs="FangSong_GB2312"/>
              <w:sz w:val="31"/>
              <w:szCs w:val="31"/>
            </w:rPr>
          </w:pPr>
          <w:bookmarkStart w:name="bookmark11" w:id="11"/>
          <w:bookmarkEnd w:id="11"/>
          <w:hyperlink w:history="true" w:anchor="bookmark11">
            <w:r>
              <w:rPr>
                <w:rFonts w:ascii="FangSong_GB2312" w:hAnsi="FangSong_GB2312" w:eastAsia="FangSong_GB2312" w:cs="FangSong_GB2312"/>
                <w:sz w:val="31"/>
                <w:szCs w:val="31"/>
                <w:spacing w:val="9"/>
              </w:rPr>
              <w:t>（十一）河北省生态环境行政处罚通用裁量表</w:t>
            </w:r>
            <w:r>
              <w:rPr>
                <w:rFonts w:ascii="FangSong_GB2312" w:hAnsi="FangSong_GB2312" w:eastAsia="FangSong_GB2312" w:cs="FangSong_GB2312"/>
                <w:sz w:val="31"/>
                <w:szCs w:val="31"/>
                <w:spacing w:val="-123"/>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2"/>
              </w:rPr>
              <w:t xml:space="preserve"> </w:t>
            </w:r>
            <w:r>
              <w:rPr>
                <w:rFonts w:ascii="FangSong_GB2312" w:hAnsi="FangSong_GB2312" w:eastAsia="FangSong_GB2312" w:cs="FangSong_GB2312"/>
                <w:sz w:val="31"/>
                <w:szCs w:val="31"/>
                <w:spacing w:val="-3"/>
              </w:rPr>
              <w:t>431</w:t>
            </w:r>
          </w:hyperlink>
        </w:p>
        <w:p>
          <w:pPr>
            <w:spacing w:before="262" w:line="218" w:lineRule="auto"/>
            <w:rPr>
              <w:rFonts w:ascii="FangSong_GB2312" w:hAnsi="FangSong_GB2312" w:eastAsia="FangSong_GB2312" w:cs="FangSong_GB2312"/>
              <w:sz w:val="31"/>
              <w:szCs w:val="31"/>
            </w:rPr>
          </w:pPr>
          <w:bookmarkStart w:name="bookmark12" w:id="12"/>
          <w:bookmarkEnd w:id="12"/>
          <w:hyperlink w:history="true" w:anchor="bookmark12">
            <w:r>
              <w:rPr>
                <w:rFonts w:ascii="FangSong_GB2312" w:hAnsi="FangSong_GB2312" w:eastAsia="FangSong_GB2312" w:cs="FangSong_GB2312"/>
                <w:sz w:val="31"/>
                <w:szCs w:val="31"/>
                <w:spacing w:val="9"/>
              </w:rPr>
              <w:t>（十二）河北省生态环境轻微违法行为不予行政处</w:t>
            </w:r>
          </w:hyperlink>
        </w:p>
        <w:p>
          <w:pPr>
            <w:ind w:left="1307"/>
            <w:spacing w:before="265" w:line="219" w:lineRule="auto"/>
            <w:tabs>
              <w:tab w:val="right" w:leader="dot" w:pos="7675"/>
            </w:tabs>
            <w:rPr>
              <w:rFonts w:ascii="FangSong_GB2312" w:hAnsi="FangSong_GB2312" w:eastAsia="FangSong_GB2312" w:cs="FangSong_GB2312"/>
              <w:sz w:val="31"/>
              <w:szCs w:val="31"/>
            </w:rPr>
          </w:pPr>
          <w:bookmarkStart w:name="bookmark12" w:id="13"/>
          <w:bookmarkEnd w:id="13"/>
          <w:hyperlink w:history="true" w:anchor="bookmark12">
            <w:r>
              <w:rPr>
                <w:rFonts w:ascii="FangSong_GB2312" w:hAnsi="FangSong_GB2312" w:eastAsia="FangSong_GB2312" w:cs="FangSong_GB2312"/>
                <w:sz w:val="31"/>
                <w:szCs w:val="31"/>
                <w:spacing w:val="3"/>
              </w:rPr>
              <w:t>罚事项清单</w:t>
            </w:r>
            <w:r>
              <w:rPr>
                <w:rFonts w:ascii="FangSong_GB2312" w:hAnsi="FangSong_GB2312" w:eastAsia="FangSong_GB2312" w:cs="FangSong_GB2312"/>
                <w:sz w:val="31"/>
                <w:szCs w:val="31"/>
                <w:spacing w:val="-136"/>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2"/>
              </w:rPr>
              <w:t xml:space="preserve"> </w:t>
            </w:r>
            <w:r>
              <w:rPr>
                <w:rFonts w:ascii="FangSong_GB2312" w:hAnsi="FangSong_GB2312" w:eastAsia="FangSong_GB2312" w:cs="FangSong_GB2312"/>
                <w:sz w:val="31"/>
                <w:szCs w:val="31"/>
                <w:spacing w:val="-3"/>
              </w:rPr>
              <w:t>432</w:t>
            </w:r>
          </w:hyperlink>
        </w:p>
        <w:p>
          <w:pPr>
            <w:spacing w:before="262" w:line="218" w:lineRule="auto"/>
            <w:rPr>
              <w:rFonts w:ascii="FangSong_GB2312" w:hAnsi="FangSong_GB2312" w:eastAsia="FangSong_GB2312" w:cs="FangSong_GB2312"/>
              <w:sz w:val="31"/>
              <w:szCs w:val="31"/>
            </w:rPr>
          </w:pPr>
          <w:bookmarkStart w:name="bookmark13" w:id="14"/>
          <w:bookmarkEnd w:id="14"/>
          <w:hyperlink w:history="true" w:anchor="bookmark13">
            <w:r>
              <w:rPr>
                <w:rFonts w:ascii="FangSong_GB2312" w:hAnsi="FangSong_GB2312" w:eastAsia="FangSong_GB2312" w:cs="FangSong_GB2312"/>
                <w:sz w:val="31"/>
                <w:szCs w:val="31"/>
                <w:spacing w:val="9"/>
              </w:rPr>
              <w:t>（十三）河北省生态环境领域包容免罚告知承诺书.446</w:t>
            </w:r>
          </w:hyperlink>
        </w:p>
        <w:p>
          <w:pPr>
            <w:spacing w:before="265" w:line="218" w:lineRule="auto"/>
            <w:tabs>
              <w:tab w:val="right" w:leader="dot" w:pos="7675"/>
            </w:tabs>
            <w:rPr>
              <w:rFonts w:ascii="FangSong_GB2312" w:hAnsi="FangSong_GB2312" w:eastAsia="FangSong_GB2312" w:cs="FangSong_GB2312"/>
              <w:sz w:val="31"/>
              <w:szCs w:val="31"/>
            </w:rPr>
          </w:pPr>
          <w:bookmarkStart w:name="bookmark13" w:id="15"/>
          <w:bookmarkEnd w:id="15"/>
          <w:hyperlink w:history="true" w:anchor="bookmark13">
            <w:r>
              <w:rPr>
                <w:rFonts w:ascii="FangSong_GB2312" w:hAnsi="FangSong_GB2312" w:eastAsia="FangSong_GB2312" w:cs="FangSong_GB2312"/>
                <w:sz w:val="31"/>
                <w:szCs w:val="31"/>
                <w:spacing w:val="9"/>
              </w:rPr>
              <w:t>（十四）河北省生态环境不予行政强制事项清单</w:t>
            </w:r>
            <w:r>
              <w:rPr>
                <w:rFonts w:ascii="FangSong_GB2312" w:hAnsi="FangSong_GB2312" w:eastAsia="FangSong_GB2312" w:cs="FangSong_GB2312"/>
                <w:sz w:val="31"/>
                <w:szCs w:val="31"/>
                <w:spacing w:val="-122"/>
              </w:rPr>
              <w:t xml:space="preserve"> </w:t>
            </w:r>
            <w:r>
              <w:rPr>
                <w:rFonts w:ascii="FangSong_GB2312" w:hAnsi="FangSong_GB2312" w:eastAsia="FangSong_GB2312" w:cs="FangSong_GB2312"/>
                <w:sz w:val="31"/>
                <w:szCs w:val="31"/>
              </w:rPr>
              <w:tab/>
            </w:r>
            <w:r>
              <w:rPr>
                <w:rFonts w:ascii="FangSong_GB2312" w:hAnsi="FangSong_GB2312" w:eastAsia="FangSong_GB2312" w:cs="FangSong_GB2312"/>
                <w:sz w:val="31"/>
                <w:szCs w:val="31"/>
                <w:spacing w:val="-132"/>
              </w:rPr>
              <w:t xml:space="preserve"> </w:t>
            </w:r>
            <w:r>
              <w:rPr>
                <w:rFonts w:ascii="FangSong_GB2312" w:hAnsi="FangSong_GB2312" w:eastAsia="FangSong_GB2312" w:cs="FangSong_GB2312"/>
                <w:sz w:val="31"/>
                <w:szCs w:val="31"/>
                <w:spacing w:val="-3"/>
              </w:rPr>
              <w:t>447</w:t>
            </w:r>
          </w:hyperlink>
        </w:p>
      </w:sdtContent>
    </w:sdt>
    <w:p>
      <w:pPr>
        <w:spacing w:line="218" w:lineRule="auto"/>
        <w:sectPr>
          <w:footerReference w:type="default" r:id="rId21"/>
          <w:pgSz w:w="11905" w:h="16839"/>
          <w:pgMar w:top="1431" w:right="1785" w:bottom="1156" w:left="1420" w:header="0" w:footer="994" w:gutter="0"/>
        </w:sectPr>
        <w:rPr>
          <w:rFonts w:ascii="FangSong_GB2312" w:hAnsi="FangSong_GB2312" w:eastAsia="FangSong_GB2312" w:cs="FangSong_GB2312"/>
          <w:sz w:val="31"/>
          <w:szCs w:val="31"/>
        </w:rPr>
      </w:pPr>
    </w:p>
    <w:p>
      <w:pPr>
        <w:spacing w:before="18"/>
        <w:rPr/>
      </w:pPr>
      <w:r/>
    </w:p>
    <w:p>
      <w:pPr>
        <w:spacing w:before="18"/>
        <w:rPr/>
      </w:pPr>
      <w:r/>
    </w:p>
    <w:p>
      <w:pPr>
        <w:spacing w:before="18"/>
        <w:rPr/>
      </w:pPr>
      <w:r/>
    </w:p>
    <w:p>
      <w:pPr>
        <w:spacing w:before="18"/>
        <w:rPr/>
      </w:pPr>
      <w:r/>
    </w:p>
    <w:p>
      <w:pPr>
        <w:spacing w:before="17"/>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7004"/>
      </w:tblGrid>
      <w:tr>
        <w:trPr>
          <w:trHeight w:val="678" w:hRule="atLeast"/>
        </w:trPr>
        <w:tc>
          <w:tcPr>
            <w:tcW w:w="8424" w:type="dxa"/>
            <w:vAlign w:val="top"/>
            <w:gridSpan w:val="2"/>
          </w:tcPr>
          <w:p>
            <w:pPr>
              <w:ind w:left="109"/>
              <w:spacing w:before="97" w:line="221" w:lineRule="auto"/>
              <w:rPr>
                <w:rFonts w:ascii="FZXiaoBiaoSong-B05S" w:hAnsi="FZXiaoBiaoSong-B05S" w:eastAsia="FZXiaoBiaoSong-B05S" w:cs="FZXiaoBiaoSong-B05S"/>
                <w:sz w:val="40"/>
                <w:szCs w:val="40"/>
              </w:rPr>
            </w:pPr>
            <w:bookmarkStart w:name="bookmark14" w:id="16"/>
            <w:bookmarkEnd w:id="16"/>
            <w:r>
              <w:rPr>
                <w:rFonts w:ascii="FZXiaoBiaoSong-B05S" w:hAnsi="FZXiaoBiaoSong-B05S" w:eastAsia="FZXiaoBiaoSong-B05S" w:cs="FZXiaoBiaoSong-B05S"/>
                <w:sz w:val="40"/>
                <w:szCs w:val="40"/>
              </w:rPr>
              <w:t>河北省生态环境行政处罚裁量规则（环评类）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46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1</w:t>
            </w:r>
          </w:p>
        </w:tc>
      </w:tr>
      <w:tr>
        <w:trPr>
          <w:trHeight w:val="1264" w:hRule="atLeast"/>
        </w:trPr>
        <w:tc>
          <w:tcPr>
            <w:tcW w:w="1420" w:type="dxa"/>
            <w:vAlign w:val="top"/>
          </w:tcPr>
          <w:p>
            <w:pPr>
              <w:spacing w:line="399" w:lineRule="auto"/>
              <w:rPr>
                <w:rFonts w:ascii="Arial"/>
                <w:sz w:val="21"/>
              </w:rPr>
            </w:pPr>
            <w:r/>
          </w:p>
          <w:p>
            <w:pPr>
              <w:ind w:left="122"/>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09" w:right="174" w:firstLine="1"/>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建设单位未依法报批建设项目环境影响报告</w:t>
            </w:r>
            <w:r>
              <w:rPr>
                <w:rFonts w:ascii="FangSong_GB2312" w:hAnsi="FangSong_GB2312" w:eastAsia="FangSong_GB2312" w:cs="FangSong_GB2312"/>
                <w:sz w:val="24"/>
                <w:szCs w:val="24"/>
                <w:spacing w:val="-1"/>
              </w:rPr>
              <w:t>书、报告表，或者未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依照规定重新报批或者报请重新审核环境影响报</w:t>
            </w:r>
            <w:r>
              <w:rPr>
                <w:rFonts w:ascii="FangSong_GB2312" w:hAnsi="FangSong_GB2312" w:eastAsia="FangSong_GB2312" w:cs="FangSong_GB2312"/>
                <w:sz w:val="24"/>
                <w:szCs w:val="24"/>
                <w:spacing w:val="-1"/>
              </w:rPr>
              <w:t>告书、报告表，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擅自开工建设的；建设项目环境影响报告书、报</w:t>
            </w:r>
            <w:r>
              <w:rPr>
                <w:rFonts w:ascii="FangSong_GB2312" w:hAnsi="FangSong_GB2312" w:eastAsia="FangSong_GB2312" w:cs="FangSong_GB2312"/>
                <w:sz w:val="24"/>
                <w:szCs w:val="24"/>
                <w:spacing w:val="-1"/>
              </w:rPr>
              <w:t>告表未经批准或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者未经原审批部门重新审核同意，建设单位</w:t>
            </w:r>
            <w:r>
              <w:rPr>
                <w:rFonts w:ascii="FangSong_GB2312" w:hAnsi="FangSong_GB2312" w:eastAsia="FangSong_GB2312" w:cs="FangSong_GB2312"/>
                <w:sz w:val="24"/>
                <w:szCs w:val="24"/>
                <w:spacing w:val="-1"/>
              </w:rPr>
              <w:t>擅自开工建设的</w:t>
            </w:r>
          </w:p>
        </w:tc>
      </w:tr>
      <w:tr>
        <w:trPr>
          <w:trHeight w:val="9769" w:hRule="atLeast"/>
        </w:trPr>
        <w:tc>
          <w:tcPr>
            <w:tcW w:w="1420"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《中华人民共和国环境影响评价法》</w:t>
            </w:r>
          </w:p>
          <w:p>
            <w:pPr>
              <w:ind w:left="113" w:right="107" w:firstLine="12"/>
              <w:spacing w:before="3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建设项目的环境影响报告书、</w:t>
            </w:r>
            <w:r>
              <w:rPr>
                <w:rFonts w:ascii="FangSong_GB2312" w:hAnsi="FangSong_GB2312" w:eastAsia="FangSong_GB2312" w:cs="FangSong_GB2312"/>
                <w:sz w:val="24"/>
                <w:szCs w:val="24"/>
                <w:spacing w:val="-4"/>
              </w:rPr>
              <w:t>报告表，由建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设单位按照国务院的规定报有审批权的生态环境主管部门审批。</w:t>
            </w:r>
          </w:p>
          <w:p>
            <w:pPr>
              <w:spacing w:line="275" w:lineRule="auto"/>
              <w:rPr>
                <w:rFonts w:ascii="Arial"/>
                <w:sz w:val="21"/>
              </w:rPr>
            </w:pPr>
            <w:r/>
          </w:p>
          <w:p>
            <w:pPr>
              <w:ind w:left="109" w:right="172" w:firstLine="16"/>
              <w:spacing w:before="7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建设项目的环境影响评价文件经批准后，</w:t>
            </w:r>
            <w:r>
              <w:rPr>
                <w:rFonts w:ascii="FangSong_GB2312" w:hAnsi="FangSong_GB2312" w:eastAsia="FangSong_GB2312" w:cs="FangSong_GB2312"/>
                <w:sz w:val="24"/>
                <w:szCs w:val="24"/>
                <w:spacing w:val="-2"/>
              </w:rPr>
              <w:t>建设项目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的性质、规模、地点、采用的生产工艺或者防治污</w:t>
            </w:r>
            <w:r>
              <w:rPr>
                <w:rFonts w:ascii="FangSong_GB2312" w:hAnsi="FangSong_GB2312" w:eastAsia="FangSong_GB2312" w:cs="FangSong_GB2312"/>
                <w:sz w:val="24"/>
                <w:szCs w:val="24"/>
                <w:spacing w:val="-1"/>
              </w:rPr>
              <w:t>染、防止生态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破坏的措施发生重大变动的，建设单位应当重新报</w:t>
            </w:r>
            <w:r>
              <w:rPr>
                <w:rFonts w:ascii="FangSong_GB2312" w:hAnsi="FangSong_GB2312" w:eastAsia="FangSong_GB2312" w:cs="FangSong_GB2312"/>
                <w:sz w:val="24"/>
                <w:szCs w:val="24"/>
                <w:spacing w:val="-1"/>
              </w:rPr>
              <w:t>批建设项目的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环境影响评价文件。</w:t>
            </w:r>
          </w:p>
          <w:p>
            <w:pPr>
              <w:ind w:left="111" w:right="174"/>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建设项目的环境影响评价文件自批准之日起</w:t>
            </w:r>
            <w:r>
              <w:rPr>
                <w:rFonts w:ascii="FangSong_GB2312" w:hAnsi="FangSong_GB2312" w:eastAsia="FangSong_GB2312" w:cs="FangSong_GB2312"/>
                <w:sz w:val="24"/>
                <w:szCs w:val="24"/>
                <w:spacing w:val="-1"/>
              </w:rPr>
              <w:t>超过五年，方决定该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项目开工建设的，其环境影响评价文件应当报原审批部门重新审</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核；原审批部门应当自收到建设项目环境影响评价文件之日起十</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日内，将审核意见书面通知建设单位。</w:t>
            </w:r>
          </w:p>
          <w:p>
            <w:pPr>
              <w:spacing w:line="270" w:lineRule="auto"/>
              <w:rPr>
                <w:rFonts w:ascii="Arial"/>
                <w:sz w:val="21"/>
              </w:rPr>
            </w:pPr>
            <w:r/>
          </w:p>
          <w:p>
            <w:pPr>
              <w:ind w:left="113" w:right="172" w:firstLine="12"/>
              <w:spacing w:before="7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建设项目的环境影响评价文件未依法经审</w:t>
            </w:r>
            <w:r>
              <w:rPr>
                <w:rFonts w:ascii="FangSong_GB2312" w:hAnsi="FangSong_GB2312" w:eastAsia="FangSong_GB2312" w:cs="FangSong_GB2312"/>
                <w:sz w:val="24"/>
                <w:szCs w:val="24"/>
                <w:spacing w:val="-2"/>
              </w:rPr>
              <w:t>批部门审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查或者审查后未予批准的，建设单位不得开工建设。</w:t>
            </w:r>
          </w:p>
          <w:p>
            <w:pPr>
              <w:spacing w:line="273" w:lineRule="auto"/>
              <w:rPr>
                <w:rFonts w:ascii="Arial"/>
                <w:sz w:val="21"/>
              </w:rPr>
            </w:pPr>
            <w:r/>
          </w:p>
          <w:p>
            <w:pPr>
              <w:ind w:left="122"/>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《中华人民共和国环境影响评价法》</w:t>
            </w:r>
          </w:p>
          <w:p>
            <w:pPr>
              <w:ind w:left="111" w:right="174" w:firstLine="14"/>
              <w:spacing w:before="40"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建设单位未依法报批建设</w:t>
            </w:r>
            <w:r>
              <w:rPr>
                <w:rFonts w:ascii="FangSong_GB2312" w:hAnsi="FangSong_GB2312" w:eastAsia="FangSong_GB2312" w:cs="FangSong_GB2312"/>
                <w:sz w:val="24"/>
                <w:szCs w:val="24"/>
                <w:spacing w:val="-2"/>
              </w:rPr>
              <w:t>项目环境影响报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告书、报告表，或者未依照本法第二十四条</w:t>
            </w:r>
            <w:r>
              <w:rPr>
                <w:rFonts w:ascii="FangSong_GB2312" w:hAnsi="FangSong_GB2312" w:eastAsia="FangSong_GB2312" w:cs="FangSong_GB2312"/>
                <w:sz w:val="24"/>
                <w:szCs w:val="24"/>
                <w:spacing w:val="-1"/>
              </w:rPr>
              <w:t>的规定重新报批或者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报请重新审核环境影响报告书、报告表，擅</w:t>
            </w:r>
            <w:r>
              <w:rPr>
                <w:rFonts w:ascii="FangSong_GB2312" w:hAnsi="FangSong_GB2312" w:eastAsia="FangSong_GB2312" w:cs="FangSong_GB2312"/>
                <w:sz w:val="24"/>
                <w:szCs w:val="24"/>
                <w:spacing w:val="-1"/>
              </w:rPr>
              <w:t>自开工建设的，由县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级以上生态环境主管部门责令停止建设，根</w:t>
            </w:r>
            <w:r>
              <w:rPr>
                <w:rFonts w:ascii="FangSong_GB2312" w:hAnsi="FangSong_GB2312" w:eastAsia="FangSong_GB2312" w:cs="FangSong_GB2312"/>
                <w:sz w:val="24"/>
                <w:szCs w:val="24"/>
                <w:spacing w:val="-1"/>
              </w:rPr>
              <w:t>据违法情节和危害后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果，处建设项目总投资额百分之一以上百分</w:t>
            </w:r>
            <w:r>
              <w:rPr>
                <w:rFonts w:ascii="FangSong_GB2312" w:hAnsi="FangSong_GB2312" w:eastAsia="FangSong_GB2312" w:cs="FangSong_GB2312"/>
                <w:sz w:val="24"/>
                <w:szCs w:val="24"/>
                <w:spacing w:val="-1"/>
              </w:rPr>
              <w:t>之五以下的罚款，并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可以责令恢复原状；对建设单位直接负责的</w:t>
            </w:r>
            <w:r>
              <w:rPr>
                <w:rFonts w:ascii="FangSong_GB2312" w:hAnsi="FangSong_GB2312" w:eastAsia="FangSong_GB2312" w:cs="FangSong_GB2312"/>
                <w:sz w:val="24"/>
                <w:szCs w:val="24"/>
                <w:spacing w:val="-1"/>
              </w:rPr>
              <w:t>主管人员和其他直接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责任人员，依法给予行政处分。</w:t>
            </w:r>
          </w:p>
          <w:p>
            <w:pPr>
              <w:spacing w:line="272" w:lineRule="auto"/>
              <w:rPr>
                <w:rFonts w:ascii="Arial"/>
                <w:sz w:val="21"/>
              </w:rPr>
            </w:pPr>
            <w:r/>
          </w:p>
          <w:p>
            <w:pPr>
              <w:ind w:left="121" w:right="172" w:firstLine="4"/>
              <w:spacing w:before="7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建设项目环境影响报告书、报告表未经批准或者未经原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审批部门重新审核同意，建设单位擅自开工建设的，依照前款的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3"/>
              </w:rPr>
              <w:t>规定处罚、处分。</w:t>
            </w:r>
          </w:p>
          <w:p>
            <w:pPr>
              <w:spacing w:line="270" w:lineRule="auto"/>
              <w:rPr>
                <w:rFonts w:ascii="Arial"/>
                <w:sz w:val="21"/>
              </w:rPr>
            </w:pPr>
            <w:r/>
          </w:p>
          <w:p>
            <w:pPr>
              <w:ind w:left="1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《河北省生态环境保护条例》</w:t>
            </w:r>
          </w:p>
          <w:p>
            <w:pPr>
              <w:ind w:left="125"/>
              <w:spacing w:before="38"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违反本条例规定，建设单位未</w:t>
            </w:r>
            <w:r>
              <w:rPr>
                <w:rFonts w:ascii="FangSong_GB2312" w:hAnsi="FangSong_GB2312" w:eastAsia="FangSong_GB2312" w:cs="FangSong_GB2312"/>
                <w:sz w:val="24"/>
                <w:szCs w:val="24"/>
                <w:spacing w:val="-4"/>
              </w:rPr>
              <w:t>依法报批建设</w:t>
            </w:r>
          </w:p>
        </w:tc>
      </w:tr>
    </w:tbl>
    <w:p>
      <w:pPr>
        <w:pStyle w:val="BodyText"/>
        <w:rPr/>
      </w:pPr>
      <w:r/>
    </w:p>
    <w:p>
      <w:pPr>
        <w:sectPr>
          <w:footerReference w:type="default" r:id="rId22"/>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1949"/>
        <w:gridCol w:w="792"/>
        <w:gridCol w:w="3201"/>
        <w:gridCol w:w="1062"/>
      </w:tblGrid>
      <w:tr>
        <w:trPr>
          <w:trHeight w:val="2843" w:hRule="atLeast"/>
        </w:trPr>
        <w:tc>
          <w:tcPr>
            <w:tcW w:w="1420" w:type="dxa"/>
            <w:vAlign w:val="top"/>
          </w:tcPr>
          <w:p>
            <w:pPr>
              <w:rPr>
                <w:rFonts w:ascii="Arial"/>
                <w:sz w:val="21"/>
              </w:rPr>
            </w:pPr>
            <w:r/>
          </w:p>
        </w:tc>
        <w:tc>
          <w:tcPr>
            <w:tcW w:w="7004" w:type="dxa"/>
            <w:vAlign w:val="top"/>
            <w:gridSpan w:val="4"/>
          </w:tcPr>
          <w:p>
            <w:pPr>
              <w:ind w:left="109" w:right="174" w:firstLine="6"/>
              <w:spacing w:before="41"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项目环境影响评价报告书、报告表，或者未依法重新报批或者报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rPr>
              <w:t>请重新审核环境影响报告书、报告表，擅自开工</w:t>
            </w:r>
            <w:r>
              <w:rPr>
                <w:rFonts w:ascii="FangSong_GB2312" w:hAnsi="FangSong_GB2312" w:eastAsia="FangSong_GB2312" w:cs="FangSong_GB2312"/>
                <w:sz w:val="24"/>
                <w:szCs w:val="24"/>
                <w:spacing w:val="-1"/>
              </w:rPr>
              <w:t>建设的，由生态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环境主管部门责令停止建设，根据违法情节和危</w:t>
            </w:r>
            <w:r>
              <w:rPr>
                <w:rFonts w:ascii="FangSong_GB2312" w:hAnsi="FangSong_GB2312" w:eastAsia="FangSong_GB2312" w:cs="FangSong_GB2312"/>
                <w:sz w:val="24"/>
                <w:szCs w:val="24"/>
                <w:spacing w:val="-1"/>
              </w:rPr>
              <w:t>害后果，处建设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项目总投资额百分之一以上百分之五以下的罚款</w:t>
            </w:r>
            <w:r>
              <w:rPr>
                <w:rFonts w:ascii="FangSong_GB2312" w:hAnsi="FangSong_GB2312" w:eastAsia="FangSong_GB2312" w:cs="FangSong_GB2312"/>
                <w:sz w:val="24"/>
                <w:szCs w:val="24"/>
                <w:spacing w:val="-1"/>
              </w:rPr>
              <w:t>，并可以责令恢</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复原状；对建设单位直接负责的主管人员和其他</w:t>
            </w:r>
            <w:r>
              <w:rPr>
                <w:rFonts w:ascii="FangSong_GB2312" w:hAnsi="FangSong_GB2312" w:eastAsia="FangSong_GB2312" w:cs="FangSong_GB2312"/>
                <w:sz w:val="24"/>
                <w:szCs w:val="24"/>
                <w:spacing w:val="-1"/>
              </w:rPr>
              <w:t>直接责任人员，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依法给予处分。</w:t>
            </w:r>
          </w:p>
          <w:p>
            <w:pPr>
              <w:ind w:left="116" w:right="107" w:firstLine="9"/>
              <w:spacing w:before="34"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建设项目环境影响报告书、报告表未经批准或者未经原审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批部门重新审核同意，建设单位擅自开工建设的，依照前款的规</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2"/>
              </w:rPr>
              <w:t>定处罚、处分。</w:t>
            </w:r>
          </w:p>
        </w:tc>
      </w:tr>
      <w:tr>
        <w:trPr>
          <w:trHeight w:val="634" w:hRule="atLeast"/>
        </w:trPr>
        <w:tc>
          <w:tcPr>
            <w:tcW w:w="4161" w:type="dxa"/>
            <w:vAlign w:val="top"/>
            <w:gridSpan w:val="3"/>
          </w:tcPr>
          <w:p>
            <w:pPr>
              <w:ind w:left="1527"/>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20" w:type="dxa"/>
            <w:vAlign w:val="top"/>
          </w:tcPr>
          <w:p>
            <w:pPr>
              <w:ind w:left="482"/>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49" w:type="dxa"/>
            <w:vAlign w:val="top"/>
          </w:tcPr>
          <w:p>
            <w:pPr>
              <w:ind w:left="544"/>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2"/>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420"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361" w:right="226"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949"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6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2" w:right="209" w:hanging="7"/>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未依法报批填报环境影响报</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告表的建设项目</w:t>
            </w:r>
          </w:p>
        </w:tc>
        <w:tc>
          <w:tcPr>
            <w:tcW w:w="1062" w:type="dxa"/>
            <w:vAlign w:val="top"/>
          </w:tcPr>
          <w:p>
            <w:pPr>
              <w:ind w:left="19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420"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209" w:hanging="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未依法报批编制环境影响报</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告书的建设项目</w:t>
            </w:r>
          </w:p>
        </w:tc>
        <w:tc>
          <w:tcPr>
            <w:tcW w:w="1062" w:type="dxa"/>
            <w:vAlign w:val="top"/>
          </w:tcPr>
          <w:p>
            <w:pPr>
              <w:ind w:left="13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635" w:hRule="atLeast"/>
        </w:trPr>
        <w:tc>
          <w:tcPr>
            <w:tcW w:w="1420"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报审后未批复的违法行为持</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9"/>
              </w:rPr>
              <w:t>续</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9"/>
              </w:rPr>
              <w:t>3</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9"/>
              </w:rPr>
              <w:t>个月以下的</w:t>
            </w:r>
          </w:p>
        </w:tc>
        <w:tc>
          <w:tcPr>
            <w:tcW w:w="1062" w:type="dxa"/>
            <w:vAlign w:val="top"/>
          </w:tcPr>
          <w:p>
            <w:pPr>
              <w:ind w:left="19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420" w:type="dxa"/>
            <w:vAlign w:val="top"/>
            <w:vMerge w:val="continue"/>
            <w:tcBorders>
              <w:top w:val="nil"/>
              <w:bottom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3"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报审后未批复的违法行为持</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9"/>
              </w:rPr>
              <w:t>续</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9"/>
              </w:rPr>
              <w:t>3</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9"/>
              </w:rPr>
              <w:t>个月以上的</w:t>
            </w:r>
          </w:p>
        </w:tc>
        <w:tc>
          <w:tcPr>
            <w:tcW w:w="1062" w:type="dxa"/>
            <w:vAlign w:val="top"/>
          </w:tcPr>
          <w:p>
            <w:pPr>
              <w:ind w:left="13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635" w:hRule="atLeast"/>
        </w:trPr>
        <w:tc>
          <w:tcPr>
            <w:tcW w:w="1420" w:type="dxa"/>
            <w:vAlign w:val="top"/>
            <w:vMerge w:val="continue"/>
            <w:tcBorders>
              <w:top w:val="nil"/>
              <w:bottom w:val="nil"/>
            </w:tcBorders>
          </w:tcPr>
          <w:p>
            <w:pPr>
              <w:rPr>
                <w:rFonts w:ascii="Arial"/>
                <w:sz w:val="21"/>
              </w:rPr>
            </w:pPr>
            <w:r/>
          </w:p>
        </w:tc>
        <w:tc>
          <w:tcPr>
            <w:tcW w:w="1949"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5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建设生产情况</w:t>
            </w:r>
          </w:p>
        </w:tc>
        <w:tc>
          <w:tcPr>
            <w:tcW w:w="79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1" w:right="209" w:firstLine="3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已开工建设但主体工程未建</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8"/>
              </w:rPr>
              <w:t>成的</w:t>
            </w:r>
          </w:p>
        </w:tc>
        <w:tc>
          <w:tcPr>
            <w:tcW w:w="1062" w:type="dxa"/>
            <w:vAlign w:val="top"/>
          </w:tcPr>
          <w:p>
            <w:pPr>
              <w:ind w:left="1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20"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0" w:right="209" w:hanging="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主体工程已建成但尚未投入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生产或者使用的</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right="209"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主体工程已投入生产或者使</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用的</w:t>
            </w:r>
          </w:p>
        </w:tc>
        <w:tc>
          <w:tcPr>
            <w:tcW w:w="1062" w:type="dxa"/>
            <w:vAlign w:val="top"/>
          </w:tcPr>
          <w:p>
            <w:pPr>
              <w:ind w:left="128"/>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20" w:type="dxa"/>
            <w:vAlign w:val="top"/>
            <w:vMerge w:val="restart"/>
            <w:tcBorders>
              <w:bottom w:val="nil"/>
            </w:tcBorders>
          </w:tcPr>
          <w:p>
            <w:pPr>
              <w:ind w:left="238" w:right="226"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49" w:type="dxa"/>
            <w:vAlign w:val="top"/>
            <w:vMerge w:val="restart"/>
            <w:tcBorders>
              <w:bottom w:val="nil"/>
            </w:tcBorders>
          </w:tcPr>
          <w:p>
            <w:pPr>
              <w:ind w:left="736" w:right="25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20" w:type="dxa"/>
            <w:vAlign w:val="top"/>
            <w:vMerge w:val="restart"/>
            <w:tcBorders>
              <w:bottom w:val="nil"/>
            </w:tcBorders>
          </w:tcPr>
          <w:p>
            <w:pPr>
              <w:ind w:left="239"/>
              <w:spacing w:before="20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49" w:type="dxa"/>
            <w:vAlign w:val="top"/>
            <w:vMerge w:val="restart"/>
            <w:tcBorders>
              <w:bottom w:val="nil"/>
            </w:tcBorders>
          </w:tcPr>
          <w:p>
            <w:pPr>
              <w:ind w:left="229"/>
              <w:spacing w:before="20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是否及时整改</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及时停止建设的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拒不停止建设的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46" w:hRule="atLeast"/>
        </w:trPr>
        <w:tc>
          <w:tcPr>
            <w:tcW w:w="1420" w:type="dxa"/>
            <w:vAlign w:val="top"/>
            <w:vMerge w:val="restart"/>
            <w:tcBorders>
              <w:bottom w:val="nil"/>
            </w:tcBorders>
          </w:tcPr>
          <w:p>
            <w:pPr>
              <w:ind w:left="230" w:right="226" w:firstLine="9"/>
              <w:spacing w:before="11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949" w:type="dxa"/>
            <w:vAlign w:val="top"/>
            <w:vMerge w:val="restart"/>
            <w:tcBorders>
              <w:bottom w:val="nil"/>
            </w:tcBorders>
          </w:tcPr>
          <w:p>
            <w:pPr>
              <w:ind w:left="267" w:right="133" w:hanging="131"/>
              <w:spacing w:before="26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34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0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3"/>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700" w:hRule="atLeast"/>
        </w:trPr>
        <w:tc>
          <w:tcPr>
            <w:tcW w:w="8424" w:type="dxa"/>
            <w:vAlign w:val="top"/>
            <w:gridSpan w:val="6"/>
          </w:tcPr>
          <w:p>
            <w:pPr>
              <w:ind w:left="311"/>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河北省生态环境行政处罚裁量规则（环评类）</w:t>
            </w:r>
          </w:p>
        </w:tc>
      </w:tr>
      <w:tr>
        <w:trPr>
          <w:trHeight w:val="634" w:hRule="atLeast"/>
        </w:trPr>
        <w:tc>
          <w:tcPr>
            <w:tcW w:w="1420" w:type="dxa"/>
            <w:vAlign w:val="top"/>
          </w:tcPr>
          <w:p>
            <w:pPr>
              <w:ind w:left="43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56"/>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2</w:t>
            </w:r>
          </w:p>
        </w:tc>
      </w:tr>
      <w:tr>
        <w:trPr>
          <w:trHeight w:val="635" w:hRule="atLeast"/>
        </w:trPr>
        <w:tc>
          <w:tcPr>
            <w:tcW w:w="1420" w:type="dxa"/>
            <w:vAlign w:val="top"/>
          </w:tcPr>
          <w:p>
            <w:pPr>
              <w:ind w:left="122"/>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1"/>
              <w:spacing w:before="19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建设单位未依法备案建设项目环境影响登记表的</w:t>
            </w:r>
          </w:p>
        </w:tc>
      </w:tr>
      <w:tr>
        <w:trPr>
          <w:trHeight w:val="6302" w:hRule="atLeast"/>
        </w:trPr>
        <w:tc>
          <w:tcPr>
            <w:tcW w:w="1420"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《中华人民共和国环境影响评价法》</w:t>
            </w:r>
          </w:p>
          <w:p>
            <w:pPr>
              <w:ind w:left="125"/>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第四款</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3"/>
              </w:rPr>
              <w:t>国家对环境影响登记表实行备案管理。</w:t>
            </w:r>
          </w:p>
          <w:p>
            <w:pPr>
              <w:spacing w:line="274"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《建设项目环境影响登记表备案管理办法》</w:t>
            </w:r>
          </w:p>
          <w:p>
            <w:pPr>
              <w:ind w:left="116" w:right="107" w:firstLine="9"/>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建设单位应当在建设项目建成并投入生产运营前，登录网</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上备案系统,在网上备案系统注册真实信息，</w:t>
            </w:r>
            <w:r>
              <w:rPr>
                <w:rFonts w:ascii="FangSong_GB2312" w:hAnsi="FangSong_GB2312" w:eastAsia="FangSong_GB2312" w:cs="FangSong_GB2312"/>
                <w:sz w:val="24"/>
                <w:szCs w:val="24"/>
                <w:spacing w:val="-3"/>
              </w:rPr>
              <w:t>在线填报并提交建设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项目环境影响登记表。</w:t>
            </w:r>
          </w:p>
          <w:p>
            <w:pPr>
              <w:spacing w:line="274" w:lineRule="auto"/>
              <w:rPr>
                <w:rFonts w:ascii="Arial"/>
                <w:sz w:val="21"/>
              </w:rPr>
            </w:pPr>
            <w:r/>
          </w:p>
          <w:p>
            <w:pPr>
              <w:ind w:left="1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《中华人民共和国环境影响评价法》</w:t>
            </w:r>
          </w:p>
          <w:p>
            <w:pPr>
              <w:ind w:left="119" w:right="172" w:firstLine="6"/>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建设单位未依法备案建设项目环境</w:t>
            </w:r>
            <w:r>
              <w:rPr>
                <w:rFonts w:ascii="FangSong_GB2312" w:hAnsi="FangSong_GB2312" w:eastAsia="FangSong_GB2312" w:cs="FangSong_GB2312"/>
                <w:sz w:val="24"/>
                <w:szCs w:val="24"/>
                <w:spacing w:val="-2"/>
              </w:rPr>
              <w:t>影响登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记表的，由县级以上生态环境主管部门责令备案，处五万元以下</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的罚款。</w:t>
            </w:r>
          </w:p>
          <w:p>
            <w:pPr>
              <w:spacing w:line="268"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《河北省生态环境保护条例》</w:t>
            </w:r>
          </w:p>
          <w:p>
            <w:pPr>
              <w:ind w:left="107" w:right="167" w:firstLine="18"/>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建设单位应当依法编制环境影响报</w:t>
            </w:r>
            <w:r>
              <w:rPr>
                <w:rFonts w:ascii="FangSong_GB2312" w:hAnsi="FangSong_GB2312" w:eastAsia="FangSong_GB2312" w:cs="FangSong_GB2312"/>
                <w:sz w:val="24"/>
                <w:szCs w:val="24"/>
                <w:spacing w:val="-2"/>
              </w:rPr>
              <w:t>告书、环境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影响报告表或者填报环境影响登记表，并按照国家规定</w:t>
            </w:r>
            <w:r>
              <w:rPr>
                <w:rFonts w:ascii="FangSong_GB2312" w:hAnsi="FangSong_GB2312" w:eastAsia="FangSong_GB2312" w:cs="FangSong_GB2312"/>
                <w:sz w:val="24"/>
                <w:szCs w:val="24"/>
                <w:spacing w:val="-1"/>
              </w:rPr>
              <w:t>报有审批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权的生态环境主管部门审批或者备案。建设项目发生法</w:t>
            </w:r>
            <w:r>
              <w:rPr>
                <w:rFonts w:ascii="FangSong_GB2312" w:hAnsi="FangSong_GB2312" w:eastAsia="FangSong_GB2312" w:cs="FangSong_GB2312"/>
                <w:sz w:val="24"/>
                <w:szCs w:val="24"/>
                <w:spacing w:val="-1"/>
              </w:rPr>
              <w:t>定变动情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形的，其环境影响评价文件应当依法重新报批或</w:t>
            </w:r>
            <w:r>
              <w:rPr>
                <w:rFonts w:ascii="FangSong_GB2312" w:hAnsi="FangSong_GB2312" w:eastAsia="FangSong_GB2312" w:cs="FangSong_GB2312"/>
                <w:sz w:val="24"/>
                <w:szCs w:val="24"/>
                <w:spacing w:val="-1"/>
              </w:rPr>
              <w:t>者审核。</w:t>
            </w:r>
          </w:p>
          <w:p>
            <w:pPr>
              <w:ind w:left="111" w:right="167" w:firstLine="14"/>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建设单位未依法备案建设项</w:t>
            </w:r>
            <w:r>
              <w:rPr>
                <w:rFonts w:ascii="FangSong_GB2312" w:hAnsi="FangSong_GB2312" w:eastAsia="FangSong_GB2312" w:cs="FangSong_GB2312"/>
                <w:sz w:val="24"/>
                <w:szCs w:val="24"/>
                <w:spacing w:val="-2"/>
              </w:rPr>
              <w:t>目环境影响登记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表的，由生态环境主管部门责令备案，处五万元以下的罚款。</w:t>
            </w:r>
          </w:p>
        </w:tc>
      </w:tr>
      <w:tr>
        <w:trPr>
          <w:trHeight w:val="635" w:hRule="atLeast"/>
        </w:trPr>
        <w:tc>
          <w:tcPr>
            <w:tcW w:w="4161" w:type="dxa"/>
            <w:vAlign w:val="top"/>
            <w:gridSpan w:val="4"/>
          </w:tcPr>
          <w:p>
            <w:pPr>
              <w:ind w:left="1527"/>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8"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4"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44"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7" w:right="26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违法行为持续</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个月以上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个月以下的</w:t>
            </w:r>
          </w:p>
        </w:tc>
        <w:tc>
          <w:tcPr>
            <w:tcW w:w="1062" w:type="dxa"/>
            <w:vAlign w:val="top"/>
          </w:tcPr>
          <w:p>
            <w:pPr>
              <w:ind w:left="13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2" w:type="dxa"/>
            <w:vAlign w:val="top"/>
          </w:tcPr>
          <w:p>
            <w:pPr>
              <w:ind w:left="12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0" w:type="dxa"/>
            <w:vAlign w:val="top"/>
            <w:gridSpan w:val="2"/>
            <w:vMerge w:val="restart"/>
            <w:tcBorders>
              <w:bottom w:val="nil"/>
            </w:tcBorders>
          </w:tcPr>
          <w:p>
            <w:pPr>
              <w:spacing w:line="449"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3" w:lineRule="auto"/>
              <w:rPr>
                <w:rFonts w:ascii="Arial"/>
                <w:sz w:val="21"/>
              </w:rPr>
            </w:pPr>
            <w:r/>
          </w:p>
          <w:p>
            <w:pPr>
              <w:ind w:left="837"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gridSpan w:val="2"/>
            <w:vMerge w:val="restart"/>
            <w:tcBorders>
              <w:bottom w:val="nil"/>
            </w:tcBorders>
          </w:tcPr>
          <w:p>
            <w:pPr>
              <w:ind w:left="266" w:right="258"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80" w:type="dxa"/>
            <w:vAlign w:val="top"/>
            <w:gridSpan w:val="2"/>
          </w:tcPr>
          <w:p>
            <w:pPr>
              <w:ind w:left="26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tcPr>
          <w:p>
            <w:pPr>
              <w:ind w:left="22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tcPr>
          <w:p>
            <w:pPr>
              <w:ind w:left="23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查处后及时备案的</w:t>
            </w:r>
          </w:p>
        </w:tc>
        <w:tc>
          <w:tcPr>
            <w:tcW w:w="1062" w:type="dxa"/>
            <w:vAlign w:val="top"/>
          </w:tcPr>
          <w:p>
            <w:pPr>
              <w:ind w:left="43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4"/>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0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仍未及时备案的</w:t>
            </w:r>
          </w:p>
        </w:tc>
        <w:tc>
          <w:tcPr>
            <w:tcW w:w="1062" w:type="dxa"/>
            <w:vAlign w:val="top"/>
          </w:tcPr>
          <w:p>
            <w:pPr>
              <w:ind w:left="19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11" w:hRule="atLeast"/>
        </w:trPr>
        <w:tc>
          <w:tcPr>
            <w:tcW w:w="1480" w:type="dxa"/>
            <w:vAlign w:val="top"/>
            <w:vMerge w:val="restart"/>
            <w:tcBorders>
              <w:bottom w:val="nil"/>
            </w:tcBorders>
          </w:tcPr>
          <w:p>
            <w:pPr>
              <w:ind w:left="148"/>
              <w:spacing w:before="8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5"/>
          <w:pgSz w:w="11905" w:h="16839"/>
          <w:pgMar w:top="1431" w:right="1738" w:bottom="1156" w:left="1737"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688" w:hRule="atLeast"/>
        </w:trPr>
        <w:tc>
          <w:tcPr>
            <w:tcW w:w="8424" w:type="dxa"/>
            <w:vAlign w:val="top"/>
            <w:gridSpan w:val="6"/>
          </w:tcPr>
          <w:p>
            <w:pPr>
              <w:ind w:left="210"/>
              <w:spacing w:before="102" w:line="22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河北省生态环境行政处罚裁量规则（环评类）</w:t>
            </w:r>
          </w:p>
        </w:tc>
      </w:tr>
      <w:tr>
        <w:trPr>
          <w:trHeight w:val="635" w:hRule="atLeast"/>
        </w:trPr>
        <w:tc>
          <w:tcPr>
            <w:tcW w:w="1420" w:type="dxa"/>
            <w:vAlign w:val="top"/>
          </w:tcPr>
          <w:p>
            <w:pPr>
              <w:ind w:left="43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65"/>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3</w:t>
            </w:r>
          </w:p>
        </w:tc>
      </w:tr>
      <w:tr>
        <w:trPr>
          <w:trHeight w:val="949" w:hRule="atLeast"/>
        </w:trPr>
        <w:tc>
          <w:tcPr>
            <w:tcW w:w="1420" w:type="dxa"/>
            <w:vAlign w:val="top"/>
          </w:tcPr>
          <w:p>
            <w:pPr>
              <w:spacing w:line="241" w:lineRule="auto"/>
              <w:rPr>
                <w:rFonts w:ascii="Arial"/>
                <w:sz w:val="21"/>
              </w:rPr>
            </w:pPr>
            <w:r/>
          </w:p>
          <w:p>
            <w:pPr>
              <w:ind w:left="122"/>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right="174" w:hanging="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建设项目环境影响报告书、环境影响报告表</w:t>
            </w:r>
            <w:r>
              <w:rPr>
                <w:rFonts w:ascii="FangSong_GB2312" w:hAnsi="FangSong_GB2312" w:eastAsia="FangSong_GB2312" w:cs="FangSong_GB2312"/>
                <w:sz w:val="24"/>
                <w:szCs w:val="24"/>
                <w:spacing w:val="-1"/>
              </w:rPr>
              <w:t>存在基础资料明显不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实，内容存在重大缺陷、遗漏或者虚假，环境影响评价结论不正</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确或者不合理等严重质量问题的</w:t>
            </w:r>
          </w:p>
        </w:tc>
      </w:tr>
      <w:tr>
        <w:trPr>
          <w:trHeight w:val="6932" w:hRule="atLeast"/>
        </w:trPr>
        <w:tc>
          <w:tcPr>
            <w:tcW w:w="1420"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《中华人民共和国环境影响评价法》</w:t>
            </w:r>
          </w:p>
          <w:p>
            <w:pPr>
              <w:ind w:left="108" w:right="107" w:firstLine="17"/>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建设单位应当对建设项目环境影响报</w:t>
            </w:r>
            <w:r>
              <w:rPr>
                <w:rFonts w:ascii="FangSong_GB2312" w:hAnsi="FangSong_GB2312" w:eastAsia="FangSong_GB2312" w:cs="FangSong_GB2312"/>
                <w:sz w:val="24"/>
                <w:szCs w:val="24"/>
                <w:spacing w:val="-4"/>
              </w:rPr>
              <w:t>告书、环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境影响报告表的内容和结论负责，接受委托编制建设</w:t>
            </w:r>
            <w:r>
              <w:rPr>
                <w:rFonts w:ascii="FangSong_GB2312" w:hAnsi="FangSong_GB2312" w:eastAsia="FangSong_GB2312" w:cs="FangSong_GB2312"/>
                <w:sz w:val="24"/>
                <w:szCs w:val="24"/>
                <w:spacing w:val="-1"/>
              </w:rPr>
              <w:t>项目环境影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响报告书、环境影响报告表的技术单位对其编制的建</w:t>
            </w:r>
            <w:r>
              <w:rPr>
                <w:rFonts w:ascii="FangSong_GB2312" w:hAnsi="FangSong_GB2312" w:eastAsia="FangSong_GB2312" w:cs="FangSong_GB2312"/>
                <w:sz w:val="24"/>
                <w:szCs w:val="24"/>
                <w:spacing w:val="-1"/>
              </w:rPr>
              <w:t>设项目环境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影响报告书、环境影响报告表承担相应责任。</w:t>
            </w:r>
          </w:p>
          <w:p>
            <w:pPr>
              <w:spacing w:line="272"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《中华人民共和国环境影响评价法》</w:t>
            </w:r>
          </w:p>
          <w:p>
            <w:pPr>
              <w:ind w:left="116" w:right="107" w:firstLine="9"/>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建设项目环境影响报告书</w:t>
            </w:r>
            <w:r>
              <w:rPr>
                <w:rFonts w:ascii="FangSong_GB2312" w:hAnsi="FangSong_GB2312" w:eastAsia="FangSong_GB2312" w:cs="FangSong_GB2312"/>
                <w:sz w:val="24"/>
                <w:szCs w:val="24"/>
                <w:spacing w:val="-4"/>
              </w:rPr>
              <w:t>、环境影响报告表存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在基础资料明显不实，内容存在重大缺陷、遗漏或者虚假，环境</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影响评价结论不正确或者不合理等严重质量问题的，由设区的市</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级以上人民政府生态环境主管部门对建设单位处五十万元以上二</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百万元以下的罚款，并对建设单位的法定代表人、主要负责人、</w:t>
            </w:r>
          </w:p>
          <w:p>
            <w:pPr>
              <w:ind w:left="121" w:right="174"/>
              <w:spacing w:before="3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直接负责的主管人员和其他直接责任人员，处五万元以上二十万</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元以下的罚款。</w:t>
            </w:r>
          </w:p>
          <w:p>
            <w:pPr>
              <w:ind w:left="133" w:right="107" w:hanging="8"/>
              <w:spacing w:before="3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接受委托编制建设项目环境影响报告书、环境影响报告表</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的技术单位违反国家有关环境影响评价标准和技术规范</w:t>
            </w:r>
            <w:r>
              <w:rPr>
                <w:rFonts w:ascii="FangSong_GB2312" w:hAnsi="FangSong_GB2312" w:eastAsia="FangSong_GB2312" w:cs="FangSong_GB2312"/>
                <w:sz w:val="24"/>
                <w:szCs w:val="24"/>
                <w:spacing w:val="-2"/>
              </w:rPr>
              <w:t>等规定，</w:t>
            </w:r>
          </w:p>
          <w:p>
            <w:pPr>
              <w:ind w:left="110" w:right="174" w:firstLine="12"/>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致使其编制的建设项目环境影响报告书、环境影响报告表存在基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rPr>
              <w:t>础资料明显不实，内容存在重大缺陷、遗漏或</w:t>
            </w:r>
            <w:r>
              <w:rPr>
                <w:rFonts w:ascii="FangSong_GB2312" w:hAnsi="FangSong_GB2312" w:eastAsia="FangSong_GB2312" w:cs="FangSong_GB2312"/>
                <w:sz w:val="24"/>
                <w:szCs w:val="24"/>
                <w:spacing w:val="-1"/>
              </w:rPr>
              <w:t>者虚假，环境影响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评价结论不正确或者不合理等严重质量问题的</w:t>
            </w:r>
            <w:r>
              <w:rPr>
                <w:rFonts w:ascii="FangSong_GB2312" w:hAnsi="FangSong_GB2312" w:eastAsia="FangSong_GB2312" w:cs="FangSong_GB2312"/>
                <w:sz w:val="24"/>
                <w:szCs w:val="24"/>
                <w:spacing w:val="-1"/>
              </w:rPr>
              <w:t>，由设区的市级以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上人民政府生态环境主管部门对技术单位处所</w:t>
            </w:r>
            <w:r>
              <w:rPr>
                <w:rFonts w:ascii="FangSong_GB2312" w:hAnsi="FangSong_GB2312" w:eastAsia="FangSong_GB2312" w:cs="FangSong_GB2312"/>
                <w:sz w:val="24"/>
                <w:szCs w:val="24"/>
                <w:spacing w:val="-1"/>
              </w:rPr>
              <w:t>收费用三倍以上五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倍以下的罚款；情节严重的，禁止从事环境影</w:t>
            </w:r>
            <w:r>
              <w:rPr>
                <w:rFonts w:ascii="FangSong_GB2312" w:hAnsi="FangSong_GB2312" w:eastAsia="FangSong_GB2312" w:cs="FangSong_GB2312"/>
                <w:sz w:val="24"/>
                <w:szCs w:val="24"/>
                <w:spacing w:val="-1"/>
              </w:rPr>
              <w:t>响报告书、环境影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响报告表编制工作；有违法所得的，没收违法所得。</w:t>
            </w:r>
          </w:p>
        </w:tc>
      </w:tr>
      <w:tr>
        <w:trPr>
          <w:trHeight w:val="635" w:hRule="atLeast"/>
        </w:trPr>
        <w:tc>
          <w:tcPr>
            <w:tcW w:w="4161" w:type="dxa"/>
            <w:vAlign w:val="top"/>
            <w:gridSpan w:val="4"/>
          </w:tcPr>
          <w:p>
            <w:pPr>
              <w:ind w:left="152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300" w:lineRule="auto"/>
              <w:rPr>
                <w:rFonts w:ascii="Arial"/>
                <w:sz w:val="21"/>
              </w:rPr>
            </w:pPr>
            <w:r/>
          </w:p>
          <w:p>
            <w:pPr>
              <w:spacing w:line="300" w:lineRule="auto"/>
              <w:rPr>
                <w:rFonts w:ascii="Arial"/>
                <w:sz w:val="21"/>
              </w:rPr>
            </w:pPr>
            <w:r/>
          </w:p>
          <w:p>
            <w:pPr>
              <w:ind w:left="508" w:right="135"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5" w:right="209" w:hanging="1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建设项目环境影响报告基础</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资料内容不全</w:t>
            </w:r>
          </w:p>
        </w:tc>
        <w:tc>
          <w:tcPr>
            <w:tcW w:w="1062" w:type="dxa"/>
            <w:vAlign w:val="top"/>
          </w:tcPr>
          <w:p>
            <w:pPr>
              <w:ind w:left="19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right="258" w:hanging="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环境影响评价结论不正确、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不合理</w:t>
            </w:r>
          </w:p>
        </w:tc>
        <w:tc>
          <w:tcPr>
            <w:tcW w:w="1062" w:type="dxa"/>
            <w:vAlign w:val="top"/>
          </w:tcPr>
          <w:p>
            <w:pPr>
              <w:ind w:left="13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7"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48" w:right="209" w:hanging="35"/>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建设项目环境影响报告资料</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8"/>
              </w:rPr>
              <w:t>内容弄虚作假</w:t>
            </w:r>
          </w:p>
        </w:tc>
        <w:tc>
          <w:tcPr>
            <w:tcW w:w="1062" w:type="dxa"/>
            <w:vAlign w:val="top"/>
          </w:tcPr>
          <w:p>
            <w:pPr>
              <w:ind w:left="12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bl>
    <w:p>
      <w:pPr>
        <w:pStyle w:val="BodyText"/>
        <w:rPr/>
      </w:pPr>
      <w:r/>
    </w:p>
    <w:p>
      <w:pPr>
        <w:sectPr>
          <w:footerReference w:type="default" r:id="rId26"/>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9"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违法行为程度</w:t>
            </w:r>
          </w:p>
        </w:tc>
        <w:tc>
          <w:tcPr>
            <w:tcW w:w="792"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1" w:right="209" w:firstLine="34"/>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已开工建设但主体工程未建</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8"/>
              </w:rPr>
              <w:t>成的</w:t>
            </w:r>
          </w:p>
        </w:tc>
        <w:tc>
          <w:tcPr>
            <w:tcW w:w="1062" w:type="dxa"/>
            <w:vAlign w:val="top"/>
          </w:tcPr>
          <w:p>
            <w:pPr>
              <w:ind w:left="19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0" w:right="209" w:hanging="4"/>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主体工程已建成但尚未投入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生产或者使用的</w:t>
            </w:r>
          </w:p>
        </w:tc>
        <w:tc>
          <w:tcPr>
            <w:tcW w:w="1062" w:type="dxa"/>
            <w:vAlign w:val="top"/>
          </w:tcPr>
          <w:p>
            <w:pPr>
              <w:ind w:left="13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right="209" w:firstLine="1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主体工程已投入生产或者使</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用的</w:t>
            </w:r>
          </w:p>
        </w:tc>
        <w:tc>
          <w:tcPr>
            <w:tcW w:w="1062" w:type="dxa"/>
            <w:vAlign w:val="top"/>
          </w:tcPr>
          <w:p>
            <w:pPr>
              <w:ind w:left="128"/>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80" w:type="dxa"/>
            <w:vAlign w:val="top"/>
            <w:vMerge w:val="restart"/>
            <w:tcBorders>
              <w:bottom w:val="nil"/>
            </w:tcBorders>
          </w:tcPr>
          <w:p>
            <w:pPr>
              <w:spacing w:line="441"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2" w:lineRule="auto"/>
              <w:rPr>
                <w:rFonts w:ascii="Arial"/>
                <w:sz w:val="21"/>
              </w:rPr>
            </w:pPr>
            <w:r/>
          </w:p>
          <w:p>
            <w:pPr>
              <w:ind w:left="227"/>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1"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vMerge w:val="restart"/>
            <w:tcBorders>
              <w:bottom w:val="nil"/>
            </w:tcBorders>
          </w:tcPr>
          <w:p>
            <w:pPr>
              <w:ind w:left="391" w:right="135" w:hanging="23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94" w:hRule="atLeast"/>
        </w:trPr>
        <w:tc>
          <w:tcPr>
            <w:tcW w:w="1480" w:type="dxa"/>
            <w:vAlign w:val="top"/>
            <w:vMerge w:val="restart"/>
            <w:tcBorders>
              <w:bottom w:val="nil"/>
            </w:tcBorders>
          </w:tcPr>
          <w:p>
            <w:pPr>
              <w:ind w:left="148"/>
              <w:spacing w:before="13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13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6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2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2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
          <w:pgSz w:w="11905" w:h="16839"/>
          <w:pgMar w:top="1431" w:right="1738" w:bottom="1156" w:left="1737"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646" w:hRule="atLeast"/>
        </w:trPr>
        <w:tc>
          <w:tcPr>
            <w:tcW w:w="8424" w:type="dxa"/>
            <w:vAlign w:val="top"/>
            <w:gridSpan w:val="6"/>
          </w:tcPr>
          <w:p>
            <w:pPr>
              <w:ind w:left="210"/>
              <w:spacing w:before="81" w:line="21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河北省生态环境行政处罚裁量规则（环评类）</w:t>
            </w:r>
          </w:p>
        </w:tc>
      </w:tr>
      <w:tr>
        <w:trPr>
          <w:trHeight w:val="635" w:hRule="atLeast"/>
        </w:trPr>
        <w:tc>
          <w:tcPr>
            <w:tcW w:w="1420" w:type="dxa"/>
            <w:vAlign w:val="top"/>
          </w:tcPr>
          <w:p>
            <w:pPr>
              <w:ind w:left="43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55"/>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4</w:t>
            </w:r>
          </w:p>
        </w:tc>
      </w:tr>
      <w:tr>
        <w:trPr>
          <w:trHeight w:val="949" w:hRule="atLeast"/>
        </w:trPr>
        <w:tc>
          <w:tcPr>
            <w:tcW w:w="1420" w:type="dxa"/>
            <w:vAlign w:val="top"/>
          </w:tcPr>
          <w:p>
            <w:pPr>
              <w:rPr>
                <w:rFonts w:ascii="Arial"/>
                <w:sz w:val="21"/>
              </w:rPr>
            </w:pPr>
            <w:r/>
          </w:p>
          <w:p>
            <w:pPr>
              <w:ind w:left="122"/>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right="174" w:hanging="2"/>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建设单位编制建设项目初步设计未落实防治</w:t>
            </w:r>
            <w:r>
              <w:rPr>
                <w:rFonts w:ascii="FangSong_GB2312" w:hAnsi="FangSong_GB2312" w:eastAsia="FangSong_GB2312" w:cs="FangSong_GB2312"/>
                <w:sz w:val="24"/>
                <w:szCs w:val="24"/>
                <w:spacing w:val="-1"/>
              </w:rPr>
              <w:t>环境污染和生态破坏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的措施以及环境保护设施投资概算，未将环境保护设施建设纳入</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施工合同，或者未依法开展环境影响后评价的</w:t>
            </w:r>
          </w:p>
        </w:tc>
      </w:tr>
      <w:tr>
        <w:trPr>
          <w:trHeight w:val="5043" w:hRule="atLeast"/>
        </w:trPr>
        <w:tc>
          <w:tcPr>
            <w:tcW w:w="1420"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《建设项目环境保护管理条例》</w:t>
            </w:r>
          </w:p>
          <w:p>
            <w:pPr>
              <w:ind w:left="110" w:right="107" w:firstLine="15"/>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建设项目的初步设计，应当按照环境保护设计规范的要</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求，编制环境保护篇章，落实防治环境污染和</w:t>
            </w:r>
            <w:r>
              <w:rPr>
                <w:rFonts w:ascii="FangSong_GB2312" w:hAnsi="FangSong_GB2312" w:eastAsia="FangSong_GB2312" w:cs="FangSong_GB2312"/>
                <w:sz w:val="24"/>
                <w:szCs w:val="24"/>
                <w:spacing w:val="-1"/>
              </w:rPr>
              <w:t>生态破坏的措施以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及环境保护设施投资概算。</w:t>
            </w:r>
          </w:p>
          <w:p>
            <w:pPr>
              <w:ind w:left="110" w:right="174"/>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建设单位应当将环境保护设施建设纳入施工</w:t>
            </w:r>
            <w:r>
              <w:rPr>
                <w:rFonts w:ascii="FangSong_GB2312" w:hAnsi="FangSong_GB2312" w:eastAsia="FangSong_GB2312" w:cs="FangSong_GB2312"/>
                <w:sz w:val="24"/>
                <w:szCs w:val="24"/>
                <w:spacing w:val="-1"/>
              </w:rPr>
              <w:t>合同，保证环境保护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设施建设进度和资金，并在项目建设过程中同</w:t>
            </w:r>
            <w:r>
              <w:rPr>
                <w:rFonts w:ascii="FangSong_GB2312" w:hAnsi="FangSong_GB2312" w:eastAsia="FangSong_GB2312" w:cs="FangSong_GB2312"/>
                <w:sz w:val="24"/>
                <w:szCs w:val="24"/>
                <w:spacing w:val="-1"/>
              </w:rPr>
              <w:t>时组织实施环境影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响报告书、环境影响报告表及其审批部门审批</w:t>
            </w:r>
            <w:r>
              <w:rPr>
                <w:rFonts w:ascii="FangSong_GB2312" w:hAnsi="FangSong_GB2312" w:eastAsia="FangSong_GB2312" w:cs="FangSong_GB2312"/>
                <w:sz w:val="24"/>
                <w:szCs w:val="24"/>
                <w:spacing w:val="-1"/>
              </w:rPr>
              <w:t>决定中提出的环境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保护对策措施。</w:t>
            </w:r>
          </w:p>
          <w:p>
            <w:pPr>
              <w:spacing w:line="272"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《建设项目环境保护管理条例》</w:t>
            </w:r>
          </w:p>
          <w:p>
            <w:pPr>
              <w:ind w:left="114" w:right="107" w:firstLine="11"/>
              <w:spacing w:before="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违反本条例规定，建设单位</w:t>
            </w:r>
            <w:r>
              <w:rPr>
                <w:rFonts w:ascii="FangSong_GB2312" w:hAnsi="FangSong_GB2312" w:eastAsia="FangSong_GB2312" w:cs="FangSong_GB2312"/>
                <w:sz w:val="24"/>
                <w:szCs w:val="24"/>
                <w:spacing w:val="-2"/>
              </w:rPr>
              <w:t>编制建设项目初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步设计未落实防治环境污染和生态破坏的措施以及环境保护设施</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投资概算，未将环境保护设施建设纳入施工合同，或者未依法开</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展环境影响后评价的，由建设项目所在地县级以上环境保护行政</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5"/>
              </w:rPr>
              <w:t>主管部门责令限期改正，处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万元以下的</w:t>
            </w:r>
            <w:r>
              <w:rPr>
                <w:rFonts w:ascii="FangSong_GB2312" w:hAnsi="FangSong_GB2312" w:eastAsia="FangSong_GB2312" w:cs="FangSong_GB2312"/>
                <w:sz w:val="24"/>
                <w:szCs w:val="24"/>
                <w:spacing w:val="-6"/>
              </w:rPr>
              <w:t>罚款；逾期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不改正的，处</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万元以下的罚款。</w:t>
            </w:r>
          </w:p>
        </w:tc>
      </w:tr>
      <w:tr>
        <w:trPr>
          <w:trHeight w:val="634"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38"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38"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7" w:right="209" w:hanging="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9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3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违法行为程度</w:t>
            </w:r>
          </w:p>
        </w:tc>
        <w:tc>
          <w:tcPr>
            <w:tcW w:w="79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1" w:right="209" w:firstLine="3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已开工建设但主体工程未建</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rPr>
              <w:t>成</w:t>
            </w:r>
          </w:p>
        </w:tc>
        <w:tc>
          <w:tcPr>
            <w:tcW w:w="1062" w:type="dxa"/>
            <w:vAlign w:val="top"/>
          </w:tcPr>
          <w:p>
            <w:pPr>
              <w:ind w:left="1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0" w:right="209" w:hanging="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主体工程已建成但尚未投入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生产或者使用的</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right="209"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主体工程已投入生产或者使</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用的</w:t>
            </w:r>
          </w:p>
        </w:tc>
        <w:tc>
          <w:tcPr>
            <w:tcW w:w="1062" w:type="dxa"/>
            <w:vAlign w:val="top"/>
          </w:tcPr>
          <w:p>
            <w:pPr>
              <w:ind w:left="12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80" w:type="dxa"/>
            <w:vAlign w:val="top"/>
            <w:gridSpan w:val="2"/>
            <w:vMerge w:val="restart"/>
            <w:tcBorders>
              <w:bottom w:val="nil"/>
            </w:tcBorders>
          </w:tcPr>
          <w:p>
            <w:pPr>
              <w:ind w:left="267"/>
              <w:spacing w:before="20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ind w:left="227"/>
              <w:spacing w:before="20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ind w:left="236"/>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062" w:type="dxa"/>
            <w:vAlign w:val="top"/>
          </w:tcPr>
          <w:p>
            <w:pPr>
              <w:ind w:left="25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28"/>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062" w:type="dxa"/>
            <w:vAlign w:val="top"/>
          </w:tcPr>
          <w:p>
            <w:pPr>
              <w:rPr>
                <w:rFonts w:ascii="Arial"/>
                <w:sz w:val="21"/>
              </w:rPr>
            </w:pPr>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480" w:type="dxa"/>
            <w:vAlign w:val="top"/>
            <w:vMerge w:val="restart"/>
            <w:tcBorders>
              <w:bottom w:val="nil"/>
            </w:tcBorders>
          </w:tcPr>
          <w:p>
            <w:pPr>
              <w:ind w:left="266" w:right="258"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4" w:hRule="atLeast"/>
        </w:trPr>
        <w:tc>
          <w:tcPr>
            <w:tcW w:w="1480" w:type="dxa"/>
            <w:vAlign w:val="top"/>
            <w:vMerge w:val="restart"/>
            <w:tcBorders>
              <w:bottom w:val="nil"/>
            </w:tcBorders>
          </w:tcPr>
          <w:p>
            <w:pPr>
              <w:ind w:left="148"/>
              <w:spacing w:before="20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20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43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9"/>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668" w:hRule="atLeast"/>
        </w:trPr>
        <w:tc>
          <w:tcPr>
            <w:tcW w:w="8424" w:type="dxa"/>
            <w:vAlign w:val="top"/>
            <w:gridSpan w:val="6"/>
          </w:tcPr>
          <w:p>
            <w:pPr>
              <w:ind w:left="210"/>
              <w:spacing w:before="92" w:line="21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河北省生态环境行政处罚裁量规则（环评类）</w:t>
            </w:r>
          </w:p>
        </w:tc>
      </w:tr>
      <w:tr>
        <w:trPr>
          <w:trHeight w:val="635" w:hRule="atLeast"/>
        </w:trPr>
        <w:tc>
          <w:tcPr>
            <w:tcW w:w="1420" w:type="dxa"/>
            <w:vAlign w:val="top"/>
          </w:tcPr>
          <w:p>
            <w:pPr>
              <w:ind w:left="43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59"/>
              <w:spacing w:before="231" w:line="18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5</w:t>
            </w:r>
          </w:p>
        </w:tc>
      </w:tr>
      <w:tr>
        <w:trPr>
          <w:trHeight w:val="950" w:hRule="atLeast"/>
        </w:trPr>
        <w:tc>
          <w:tcPr>
            <w:tcW w:w="1420" w:type="dxa"/>
            <w:vAlign w:val="top"/>
          </w:tcPr>
          <w:p>
            <w:pPr>
              <w:spacing w:line="241" w:lineRule="auto"/>
              <w:rPr>
                <w:rFonts w:ascii="Arial"/>
                <w:sz w:val="21"/>
              </w:rPr>
            </w:pPr>
            <w:r/>
          </w:p>
          <w:p>
            <w:pPr>
              <w:ind w:left="122"/>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08" w:right="174" w:firstLine="3"/>
              <w:spacing w:before="39"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建设单位在项目建设过程中未同时组织实施</w:t>
            </w:r>
            <w:r>
              <w:rPr>
                <w:rFonts w:ascii="FangSong_GB2312" w:hAnsi="FangSong_GB2312" w:eastAsia="FangSong_GB2312" w:cs="FangSong_GB2312"/>
                <w:sz w:val="24"/>
                <w:szCs w:val="24"/>
                <w:spacing w:val="-1"/>
              </w:rPr>
              <w:t>环境影响报告书、环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境影响报告表及其审批部门审批决定中提出的环境保</w:t>
            </w:r>
            <w:r>
              <w:rPr>
                <w:rFonts w:ascii="FangSong_GB2312" w:hAnsi="FangSong_GB2312" w:eastAsia="FangSong_GB2312" w:cs="FangSong_GB2312"/>
                <w:sz w:val="24"/>
                <w:szCs w:val="24"/>
                <w:spacing w:val="-1"/>
              </w:rPr>
              <w:t>护对策措施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r>
      <w:tr>
        <w:trPr>
          <w:trHeight w:val="4728" w:hRule="atLeast"/>
        </w:trPr>
        <w:tc>
          <w:tcPr>
            <w:tcW w:w="1420" w:type="dxa"/>
            <w:vAlign w:val="top"/>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《建设项目环境保护管理条例》</w:t>
            </w:r>
          </w:p>
          <w:p>
            <w:pPr>
              <w:ind w:left="110" w:right="107" w:firstLine="15"/>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建设项目的初步设计，应当按照环境保护设计规范的要</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求，编制环境保护篇章，落实防治环境污染和</w:t>
            </w:r>
            <w:r>
              <w:rPr>
                <w:rFonts w:ascii="FangSong_GB2312" w:hAnsi="FangSong_GB2312" w:eastAsia="FangSong_GB2312" w:cs="FangSong_GB2312"/>
                <w:sz w:val="24"/>
                <w:szCs w:val="24"/>
                <w:spacing w:val="-1"/>
              </w:rPr>
              <w:t>生态破坏的措施以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及环境保护设施投资概算。</w:t>
            </w:r>
          </w:p>
          <w:p>
            <w:pPr>
              <w:ind w:left="110" w:right="174"/>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建设单位应当将环境保护设施建设纳入施工</w:t>
            </w:r>
            <w:r>
              <w:rPr>
                <w:rFonts w:ascii="FangSong_GB2312" w:hAnsi="FangSong_GB2312" w:eastAsia="FangSong_GB2312" w:cs="FangSong_GB2312"/>
                <w:sz w:val="24"/>
                <w:szCs w:val="24"/>
                <w:spacing w:val="-1"/>
              </w:rPr>
              <w:t>合同，保证环境保护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设施建设进度和资金，并在项目建设过程中同</w:t>
            </w:r>
            <w:r>
              <w:rPr>
                <w:rFonts w:ascii="FangSong_GB2312" w:hAnsi="FangSong_GB2312" w:eastAsia="FangSong_GB2312" w:cs="FangSong_GB2312"/>
                <w:sz w:val="24"/>
                <w:szCs w:val="24"/>
                <w:spacing w:val="-1"/>
              </w:rPr>
              <w:t>时组织实施环境影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响报告书、环境影响报告表及其审批部门审批</w:t>
            </w:r>
            <w:r>
              <w:rPr>
                <w:rFonts w:ascii="FangSong_GB2312" w:hAnsi="FangSong_GB2312" w:eastAsia="FangSong_GB2312" w:cs="FangSong_GB2312"/>
                <w:sz w:val="24"/>
                <w:szCs w:val="24"/>
                <w:spacing w:val="-1"/>
              </w:rPr>
              <w:t>决定中提出的环境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保护对策措施。</w:t>
            </w:r>
          </w:p>
          <w:p>
            <w:pPr>
              <w:spacing w:line="272"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《建设项目环境保护管理条例》</w:t>
            </w:r>
          </w:p>
          <w:p>
            <w:pPr>
              <w:ind w:left="123" w:right="114" w:firstLine="1"/>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违反本条例规定，建设单位</w:t>
            </w:r>
            <w:r>
              <w:rPr>
                <w:rFonts w:ascii="FangSong_GB2312" w:hAnsi="FangSong_GB2312" w:eastAsia="FangSong_GB2312" w:cs="FangSong_GB2312"/>
                <w:sz w:val="24"/>
                <w:szCs w:val="24"/>
                <w:spacing w:val="-2"/>
              </w:rPr>
              <w:t>在项目建设过程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中未同时组织实施环境影响报告书、环境影响报告表及其审批部</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门审批决定中提出的环境保护对策措施的，由建设项目所在地县</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3"/>
              </w:rPr>
              <w:t>级以上环境保护行政主管部门责令限期改正，处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3"/>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3"/>
              </w:rPr>
              <w:t>万元以上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3"/>
              </w:rPr>
              <w:t>100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万元以下的罚款；逾期不改正的，责令停止建设。</w:t>
            </w:r>
          </w:p>
        </w:tc>
      </w:tr>
      <w:tr>
        <w:trPr>
          <w:trHeight w:val="635" w:hRule="atLeast"/>
        </w:trPr>
        <w:tc>
          <w:tcPr>
            <w:tcW w:w="4161" w:type="dxa"/>
            <w:vAlign w:val="top"/>
            <w:gridSpan w:val="4"/>
          </w:tcPr>
          <w:p>
            <w:pPr>
              <w:ind w:left="1527"/>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480" w:type="dxa"/>
            <w:vAlign w:val="top"/>
            <w:gridSpan w:val="2"/>
            <w:vMerge w:val="restart"/>
            <w:tcBorders>
              <w:bottom w:val="nil"/>
            </w:tcBorders>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3" w:right="209"/>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建设单位在项目建设过程中</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未同时组织实施环境影响报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告表、审批部门审批决定中</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提出的环境保护对策措施的</w:t>
            </w:r>
          </w:p>
        </w:tc>
        <w:tc>
          <w:tcPr>
            <w:tcW w:w="1062" w:type="dxa"/>
            <w:vAlign w:val="top"/>
          </w:tcPr>
          <w:p>
            <w:pPr>
              <w:spacing w:line="433" w:lineRule="auto"/>
              <w:rPr>
                <w:rFonts w:ascii="Arial"/>
                <w:sz w:val="21"/>
              </w:rPr>
            </w:pPr>
            <w:r/>
          </w:p>
          <w:p>
            <w:pPr>
              <w:ind w:left="19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建设单位在项目建设过程中</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未同时组织实施环境影响报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告书、审批部门审批决定中</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提出的环境保护对策措施的</w:t>
            </w:r>
          </w:p>
        </w:tc>
        <w:tc>
          <w:tcPr>
            <w:tcW w:w="1062" w:type="dxa"/>
            <w:vAlign w:val="top"/>
          </w:tcPr>
          <w:p>
            <w:pPr>
              <w:spacing w:line="433" w:lineRule="auto"/>
              <w:rPr>
                <w:rFonts w:ascii="Arial"/>
                <w:sz w:val="21"/>
              </w:rPr>
            </w:pPr>
            <w:r/>
          </w:p>
          <w:p>
            <w:pPr>
              <w:ind w:left="128"/>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0" w:type="dxa"/>
            <w:vAlign w:val="top"/>
            <w:gridSpan w:val="2"/>
            <w:vMerge w:val="restart"/>
            <w:tcBorders>
              <w:bottom w:val="nil"/>
            </w:tcBorders>
          </w:tcPr>
          <w:p>
            <w:pPr>
              <w:spacing w:line="448"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gridSpan w:val="2"/>
            <w:vMerge w:val="restart"/>
            <w:tcBorders>
              <w:bottom w:val="nil"/>
            </w:tcBorders>
          </w:tcPr>
          <w:p>
            <w:pPr>
              <w:spacing w:line="282"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83"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82"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3" w:right="209"/>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0"/>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2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480" w:type="dxa"/>
            <w:vAlign w:val="top"/>
            <w:vMerge w:val="restart"/>
            <w:tcBorders>
              <w:bottom w:val="nil"/>
            </w:tcBorders>
          </w:tcPr>
          <w:p>
            <w:pPr>
              <w:ind w:left="391" w:right="135" w:hanging="23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707" w:right="222"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23" w:hRule="atLeast"/>
        </w:trPr>
        <w:tc>
          <w:tcPr>
            <w:tcW w:w="1480" w:type="dxa"/>
            <w:vAlign w:val="top"/>
            <w:vMerge w:val="restart"/>
            <w:tcBorders>
              <w:bottom w:val="nil"/>
            </w:tcBorders>
          </w:tcPr>
          <w:p>
            <w:pPr>
              <w:ind w:left="148"/>
              <w:spacing w:before="9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3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9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9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1"/>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639" w:hRule="atLeast"/>
        </w:trPr>
        <w:tc>
          <w:tcPr>
            <w:tcW w:w="8424" w:type="dxa"/>
            <w:vAlign w:val="top"/>
            <w:gridSpan w:val="6"/>
          </w:tcPr>
          <w:p>
            <w:pPr>
              <w:ind w:left="215"/>
              <w:spacing w:before="79"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河北省生态环境行政处罚裁量规则（环评类）</w:t>
            </w:r>
          </w:p>
        </w:tc>
      </w:tr>
      <w:tr>
        <w:trPr>
          <w:trHeight w:val="635" w:hRule="atLeast"/>
        </w:trPr>
        <w:tc>
          <w:tcPr>
            <w:tcW w:w="1420" w:type="dxa"/>
            <w:vAlign w:val="top"/>
          </w:tcPr>
          <w:p>
            <w:pPr>
              <w:ind w:left="438"/>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58"/>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6</w:t>
            </w:r>
          </w:p>
        </w:tc>
      </w:tr>
      <w:tr>
        <w:trPr>
          <w:trHeight w:val="949" w:hRule="atLeast"/>
        </w:trPr>
        <w:tc>
          <w:tcPr>
            <w:tcW w:w="1420" w:type="dxa"/>
            <w:vAlign w:val="top"/>
          </w:tcPr>
          <w:p>
            <w:pPr>
              <w:spacing w:line="241" w:lineRule="auto"/>
              <w:rPr>
                <w:rFonts w:ascii="Arial"/>
                <w:sz w:val="21"/>
              </w:rPr>
            </w:pPr>
            <w:r/>
          </w:p>
          <w:p>
            <w:pPr>
              <w:ind w:left="12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1" w:right="47" w:firstLine="15"/>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需要配套建设的环境保护设施未建成、未经验收或者验收不合格，</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rPr>
              <w:t>建设项目即投入生产或者使用，或者在环境</w:t>
            </w:r>
            <w:r>
              <w:rPr>
                <w:rFonts w:ascii="FangSong_GB2312" w:hAnsi="FangSong_GB2312" w:eastAsia="FangSong_GB2312" w:cs="FangSong_GB2312"/>
                <w:sz w:val="24"/>
                <w:szCs w:val="24"/>
                <w:spacing w:val="-1"/>
              </w:rPr>
              <w:t>保护设施验收中弄虚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作假的</w:t>
            </w:r>
          </w:p>
        </w:tc>
      </w:tr>
      <w:tr>
        <w:trPr>
          <w:trHeight w:val="7247" w:hRule="atLeast"/>
        </w:trPr>
        <w:tc>
          <w:tcPr>
            <w:tcW w:w="1420"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70"/>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《建设项目环境保护管理条例》</w:t>
            </w:r>
          </w:p>
          <w:p>
            <w:pPr>
              <w:ind w:left="116" w:right="107" w:firstLine="9"/>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编制环境影响报告书、环境影响报告表的建设项目竣工</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后，建设单位应当按照国务院环境保护行政主管部门规定的标准</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和程序，对配套建设的环境保护设施进行验收，编制验收报告。</w:t>
            </w:r>
          </w:p>
          <w:p>
            <w:pPr>
              <w:ind w:left="118" w:right="174" w:hanging="7"/>
              <w:spacing w:before="3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建设单位在环境保护设施验收过程中，应当</w:t>
            </w:r>
            <w:r>
              <w:rPr>
                <w:rFonts w:ascii="FangSong_GB2312" w:hAnsi="FangSong_GB2312" w:eastAsia="FangSong_GB2312" w:cs="FangSong_GB2312"/>
                <w:sz w:val="24"/>
                <w:szCs w:val="24"/>
                <w:spacing w:val="-1"/>
              </w:rPr>
              <w:t>如实查验、监测、记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载建设项目环境保护设施的建设和调试情况，不得弄虚作假。</w:t>
            </w:r>
          </w:p>
          <w:p>
            <w:pPr>
              <w:ind w:left="121" w:right="174" w:firstLine="8"/>
              <w:spacing w:before="3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除按照国家规定需要保密的情形外，建设单位应当依法向社会公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开验收报告。</w:t>
            </w:r>
          </w:p>
          <w:p>
            <w:pPr>
              <w:ind w:left="123" w:right="107" w:firstLine="1"/>
              <w:spacing w:before="3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编制环境影响报告书、环境影响报告表的建设项目，其</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配套建设的环境保护设施经验收合格，方可投入生产或者使用；</w:t>
            </w:r>
          </w:p>
          <w:p>
            <w:pPr>
              <w:ind w:left="113"/>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未经验收或者验收不合格的，不得投入生产或者使用。</w:t>
            </w:r>
          </w:p>
          <w:p>
            <w:pPr>
              <w:ind w:left="110" w:right="174" w:firstLine="9"/>
              <w:spacing w:before="41"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前款规定的建设项目投入生产或者使用后，应当按照国务院环境</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保护行政主管部门的规定开展环境影响后评价。</w:t>
            </w:r>
          </w:p>
          <w:p>
            <w:pPr>
              <w:spacing w:line="272"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《建设项目环境保护管理条例》</w:t>
            </w:r>
          </w:p>
          <w:p>
            <w:pPr>
              <w:ind w:left="108" w:right="107" w:firstLine="17"/>
              <w:spacing w:before="4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违反本条例规定，需要配套建</w:t>
            </w:r>
            <w:r>
              <w:rPr>
                <w:rFonts w:ascii="FangSong_GB2312" w:hAnsi="FangSong_GB2312" w:eastAsia="FangSong_GB2312" w:cs="FangSong_GB2312"/>
                <w:sz w:val="24"/>
                <w:szCs w:val="24"/>
                <w:spacing w:val="-4"/>
              </w:rPr>
              <w:t>设的环境保护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设施未建成、未经验收或者验收不合格，建设项目即</w:t>
            </w:r>
            <w:r>
              <w:rPr>
                <w:rFonts w:ascii="FangSong_GB2312" w:hAnsi="FangSong_GB2312" w:eastAsia="FangSong_GB2312" w:cs="FangSong_GB2312"/>
                <w:sz w:val="24"/>
                <w:szCs w:val="24"/>
                <w:spacing w:val="-1"/>
              </w:rPr>
              <w:t>投入生产或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者使用，或者在环境保护设施验收中弄虚作假的，由</w:t>
            </w:r>
            <w:r>
              <w:rPr>
                <w:rFonts w:ascii="FangSong_GB2312" w:hAnsi="FangSong_GB2312" w:eastAsia="FangSong_GB2312" w:cs="FangSong_GB2312"/>
                <w:sz w:val="24"/>
                <w:szCs w:val="24"/>
                <w:spacing w:val="-1"/>
              </w:rPr>
              <w:t>县级以上环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境保护行政主管部门责令限期改正，处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的罚款；逾期不改正的，处</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3"/>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3"/>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3"/>
              </w:rPr>
              <w:t>200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3"/>
              </w:rPr>
              <w:t>万元以下</w:t>
            </w:r>
            <w:r>
              <w:rPr>
                <w:rFonts w:ascii="FangSong_GB2312" w:hAnsi="FangSong_GB2312" w:eastAsia="FangSong_GB2312" w:cs="FangSong_GB2312"/>
                <w:sz w:val="24"/>
                <w:szCs w:val="24"/>
                <w:spacing w:val="-4"/>
              </w:rPr>
              <w:t>的罚款；</w:t>
            </w:r>
          </w:p>
          <w:p>
            <w:pPr>
              <w:ind w:left="115" w:right="107" w:firstLine="2"/>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对直接负责的主管人员和其他责任人员，处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下的罚款；造成重大环境污染或者生态破坏的，责令停止生产或</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者使用，或者报经有批准权的人民政府批准，责令关闭。</w:t>
            </w:r>
          </w:p>
        </w:tc>
      </w:tr>
      <w:tr>
        <w:trPr>
          <w:trHeight w:val="635" w:hRule="atLeast"/>
        </w:trPr>
        <w:tc>
          <w:tcPr>
            <w:tcW w:w="4161" w:type="dxa"/>
            <w:vAlign w:val="top"/>
            <w:gridSpan w:val="4"/>
          </w:tcPr>
          <w:p>
            <w:pPr>
              <w:ind w:left="152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0"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4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right="209" w:hanging="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restart"/>
            <w:tcBorders>
              <w:bottom w:val="nil"/>
            </w:tcBorders>
          </w:tcPr>
          <w:p>
            <w:pPr>
              <w:spacing w:line="284" w:lineRule="auto"/>
              <w:rPr>
                <w:rFonts w:ascii="Arial"/>
                <w:sz w:val="21"/>
              </w:rPr>
            </w:pPr>
            <w:r/>
          </w:p>
          <w:p>
            <w:pPr>
              <w:ind w:left="2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违法行为程度</w:t>
            </w:r>
          </w:p>
        </w:tc>
        <w:tc>
          <w:tcPr>
            <w:tcW w:w="792" w:type="dxa"/>
            <w:vAlign w:val="top"/>
            <w:vMerge w:val="restart"/>
            <w:tcBorders>
              <w:bottom w:val="nil"/>
            </w:tcBorders>
          </w:tcPr>
          <w:p>
            <w:pPr>
              <w:spacing w:line="284"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5" w:right="209"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配套建设安装治理设施，但</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未经验收、验收不合格的</w:t>
            </w:r>
          </w:p>
        </w:tc>
        <w:tc>
          <w:tcPr>
            <w:tcW w:w="1062" w:type="dxa"/>
            <w:vAlign w:val="top"/>
          </w:tcPr>
          <w:p>
            <w:pPr>
              <w:ind w:left="19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6"/>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验收过程中弄虚作假的</w:t>
            </w:r>
          </w:p>
        </w:tc>
        <w:tc>
          <w:tcPr>
            <w:tcW w:w="1062" w:type="dxa"/>
            <w:vAlign w:val="top"/>
          </w:tcPr>
          <w:p>
            <w:pPr>
              <w:ind w:left="13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32"/>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899" w:hRule="atLeast"/>
        </w:trPr>
        <w:tc>
          <w:tcPr>
            <w:tcW w:w="1480" w:type="dxa"/>
            <w:vAlign w:val="top"/>
            <w:vMerge w:val="restart"/>
            <w:tcBorders>
              <w:bottom w:val="nil"/>
            </w:tcBorders>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13" w:right="209" w:firstLine="15"/>
              <w:spacing w:before="17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需要建设环境保护设施，未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建成的</w:t>
            </w:r>
          </w:p>
        </w:tc>
        <w:tc>
          <w:tcPr>
            <w:tcW w:w="1062" w:type="dxa"/>
            <w:vAlign w:val="top"/>
          </w:tcPr>
          <w:p>
            <w:pPr>
              <w:spacing w:line="250" w:lineRule="auto"/>
              <w:rPr>
                <w:rFonts w:ascii="Arial"/>
                <w:sz w:val="21"/>
              </w:rPr>
            </w:pPr>
            <w:r/>
          </w:p>
          <w:p>
            <w:pPr>
              <w:ind w:left="12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restart"/>
            <w:tcBorders>
              <w:bottom w:val="nil"/>
            </w:tcBorders>
          </w:tcPr>
          <w:p>
            <w:pPr>
              <w:spacing w:line="440" w:lineRule="auto"/>
              <w:rPr>
                <w:rFonts w:ascii="Arial"/>
                <w:sz w:val="21"/>
              </w:rPr>
            </w:pPr>
            <w:r/>
          </w:p>
          <w:p>
            <w:pPr>
              <w:ind w:left="476"/>
              <w:spacing w:before="7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持续时间</w:t>
            </w:r>
          </w:p>
        </w:tc>
        <w:tc>
          <w:tcPr>
            <w:tcW w:w="792" w:type="dxa"/>
            <w:vAlign w:val="top"/>
            <w:vMerge w:val="restart"/>
            <w:tcBorders>
              <w:bottom w:val="nil"/>
            </w:tcBorders>
          </w:tcPr>
          <w:p>
            <w:pPr>
              <w:spacing w:line="43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2" w:type="dxa"/>
            <w:vAlign w:val="top"/>
          </w:tcPr>
          <w:p>
            <w:pPr>
              <w:ind w:left="251"/>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7" w:right="26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违法行为持续</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个月以上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个月以下的</w:t>
            </w:r>
          </w:p>
        </w:tc>
        <w:tc>
          <w:tcPr>
            <w:tcW w:w="1062" w:type="dxa"/>
            <w:vAlign w:val="top"/>
          </w:tcPr>
          <w:p>
            <w:pPr>
              <w:ind w:left="247"/>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2"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spacing w:line="442"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3"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3"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54" w:hRule="atLeast"/>
        </w:trPr>
        <w:tc>
          <w:tcPr>
            <w:tcW w:w="1480" w:type="dxa"/>
            <w:vAlign w:val="top"/>
            <w:vMerge w:val="restart"/>
            <w:tcBorders>
              <w:bottom w:val="nil"/>
            </w:tcBorders>
          </w:tcPr>
          <w:p>
            <w:pPr>
              <w:ind w:left="148"/>
              <w:spacing w:before="11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11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4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0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0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3"/>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1949"/>
        <w:gridCol w:w="792"/>
        <w:gridCol w:w="3201"/>
        <w:gridCol w:w="1062"/>
      </w:tblGrid>
      <w:tr>
        <w:trPr>
          <w:trHeight w:val="689" w:hRule="atLeast"/>
        </w:trPr>
        <w:tc>
          <w:tcPr>
            <w:tcW w:w="8424" w:type="dxa"/>
            <w:vAlign w:val="top"/>
            <w:gridSpan w:val="5"/>
          </w:tcPr>
          <w:p>
            <w:pPr>
              <w:ind w:left="215"/>
              <w:spacing w:before="103" w:line="22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河北省生态环境行政处罚裁量规则（环评类）</w:t>
            </w:r>
          </w:p>
        </w:tc>
      </w:tr>
      <w:tr>
        <w:trPr>
          <w:trHeight w:val="634" w:hRule="atLeast"/>
        </w:trPr>
        <w:tc>
          <w:tcPr>
            <w:tcW w:w="1420" w:type="dxa"/>
            <w:vAlign w:val="top"/>
          </w:tcPr>
          <w:p>
            <w:pPr>
              <w:ind w:left="438"/>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458"/>
              <w:spacing w:before="230" w:line="18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7</w:t>
            </w:r>
          </w:p>
        </w:tc>
      </w:tr>
      <w:tr>
        <w:trPr>
          <w:trHeight w:val="634" w:hRule="atLeast"/>
        </w:trPr>
        <w:tc>
          <w:tcPr>
            <w:tcW w:w="1420" w:type="dxa"/>
            <w:vAlign w:val="top"/>
          </w:tcPr>
          <w:p>
            <w:pPr>
              <w:ind w:left="12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1"/>
              <w:spacing w:before="19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建设单位未依法向社会公开环境保护设施验收报告的</w:t>
            </w:r>
          </w:p>
        </w:tc>
      </w:tr>
      <w:tr>
        <w:trPr>
          <w:trHeight w:val="4098" w:hRule="atLeast"/>
        </w:trPr>
        <w:tc>
          <w:tcPr>
            <w:tcW w:w="1420"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70"/>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《建设项目环境保护管理条例》</w:t>
            </w:r>
          </w:p>
          <w:p>
            <w:pPr>
              <w:ind w:left="116" w:right="107" w:firstLine="9"/>
              <w:spacing w:before="4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编制环境影响报告书、环境影响报告表的建设项目竣工</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后，建设单位应当按照国务院环境保护行政主管部门规定的标准</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和程序，对配套建设的环境保护设施进行验收，编制验收报告。</w:t>
            </w:r>
          </w:p>
          <w:p>
            <w:pPr>
              <w:ind w:left="118" w:right="174" w:hanging="7"/>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建设单位在环境保护设施验收过程中，应当</w:t>
            </w:r>
            <w:r>
              <w:rPr>
                <w:rFonts w:ascii="FangSong_GB2312" w:hAnsi="FangSong_GB2312" w:eastAsia="FangSong_GB2312" w:cs="FangSong_GB2312"/>
                <w:sz w:val="24"/>
                <w:szCs w:val="24"/>
                <w:spacing w:val="-1"/>
              </w:rPr>
              <w:t>如实查验、监测、记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载建设项目环境保护设施的建设和调试情况，不得弄虚作假。</w:t>
            </w:r>
          </w:p>
          <w:p>
            <w:pPr>
              <w:ind w:left="121" w:right="174" w:firstLine="8"/>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除按照国家规定需要保密的情形外，建设单位应当依法向社会公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开验收报告。</w:t>
            </w:r>
          </w:p>
          <w:p>
            <w:pPr>
              <w:spacing w:line="272" w:lineRule="auto"/>
              <w:rPr>
                <w:rFonts w:ascii="Arial"/>
                <w:sz w:val="21"/>
              </w:rPr>
            </w:pPr>
            <w:r/>
          </w:p>
          <w:p>
            <w:pPr>
              <w:ind w:left="122"/>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《建设项目环境保护管理条例》</w:t>
            </w:r>
          </w:p>
          <w:p>
            <w:pPr>
              <w:ind w:left="121" w:right="107" w:firstLine="4"/>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违反本条例规定，建设单位未</w:t>
            </w:r>
            <w:r>
              <w:rPr>
                <w:rFonts w:ascii="FangSong_GB2312" w:hAnsi="FangSong_GB2312" w:eastAsia="FangSong_GB2312" w:cs="FangSong_GB2312"/>
                <w:sz w:val="24"/>
                <w:szCs w:val="24"/>
                <w:spacing w:val="-4"/>
              </w:rPr>
              <w:t>依法向社会公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开环境保护设施验收报告的，由县级以上环境保护行政主管部门</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4"/>
              </w:rPr>
              <w:t>责令公开，处</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4"/>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万元以下的罚款，并予以公告。</w:t>
            </w:r>
          </w:p>
        </w:tc>
      </w:tr>
      <w:tr>
        <w:trPr>
          <w:trHeight w:val="635" w:hRule="atLeast"/>
        </w:trPr>
        <w:tc>
          <w:tcPr>
            <w:tcW w:w="4161" w:type="dxa"/>
            <w:vAlign w:val="top"/>
            <w:gridSpan w:val="3"/>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20" w:type="dxa"/>
            <w:vAlign w:val="top"/>
          </w:tcPr>
          <w:p>
            <w:pPr>
              <w:ind w:left="482"/>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49" w:type="dxa"/>
            <w:vAlign w:val="top"/>
          </w:tcPr>
          <w:p>
            <w:pPr>
              <w:ind w:left="54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20" w:type="dxa"/>
            <w:vAlign w:val="top"/>
            <w:vMerge w:val="restart"/>
            <w:tcBorders>
              <w:bottom w:val="nil"/>
            </w:tcBorders>
          </w:tcPr>
          <w:p>
            <w:pPr>
              <w:spacing w:line="281" w:lineRule="auto"/>
              <w:rPr>
                <w:rFonts w:ascii="Arial"/>
                <w:sz w:val="21"/>
              </w:rPr>
            </w:pPr>
            <w:r/>
          </w:p>
          <w:p>
            <w:pPr>
              <w:ind w:left="361" w:right="226"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949" w:type="dxa"/>
            <w:vAlign w:val="top"/>
            <w:vMerge w:val="restart"/>
            <w:tcBorders>
              <w:bottom w:val="nil"/>
            </w:tcBorders>
          </w:tcPr>
          <w:p>
            <w:pPr>
              <w:spacing w:line="440" w:lineRule="auto"/>
              <w:rPr>
                <w:rFonts w:ascii="Arial"/>
                <w:sz w:val="21"/>
              </w:rPr>
            </w:pPr>
            <w:r/>
          </w:p>
          <w:p>
            <w:pPr>
              <w:ind w:left="26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40"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9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right="209" w:hanging="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320" w:hRule="atLeast"/>
        </w:trPr>
        <w:tc>
          <w:tcPr>
            <w:tcW w:w="1420" w:type="dxa"/>
            <w:vAlign w:val="top"/>
            <w:vMerge w:val="restart"/>
            <w:tcBorders>
              <w:bottom w:val="nil"/>
            </w:tcBorders>
          </w:tcPr>
          <w:p>
            <w:pPr>
              <w:spacing w:line="443" w:lineRule="auto"/>
              <w:rPr>
                <w:rFonts w:ascii="Arial"/>
                <w:sz w:val="21"/>
              </w:rPr>
            </w:pPr>
            <w:r/>
          </w:p>
          <w:p>
            <w:pPr>
              <w:ind w:left="23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49" w:type="dxa"/>
            <w:vAlign w:val="top"/>
            <w:vMerge w:val="restart"/>
            <w:tcBorders>
              <w:bottom w:val="nil"/>
            </w:tcBorders>
          </w:tcPr>
          <w:p>
            <w:pPr>
              <w:spacing w:line="444" w:lineRule="auto"/>
              <w:rPr>
                <w:rFonts w:ascii="Arial"/>
                <w:sz w:val="21"/>
              </w:rPr>
            </w:pPr>
            <w:r/>
          </w:p>
          <w:p>
            <w:pPr>
              <w:ind w:left="316"/>
              <w:spacing w:before="7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是否及时整改</w:t>
            </w:r>
          </w:p>
        </w:tc>
        <w:tc>
          <w:tcPr>
            <w:tcW w:w="792" w:type="dxa"/>
            <w:vAlign w:val="top"/>
            <w:vMerge w:val="restart"/>
            <w:tcBorders>
              <w:bottom w:val="nil"/>
            </w:tcBorders>
          </w:tcPr>
          <w:p>
            <w:pPr>
              <w:spacing w:line="444"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经责令公开，3</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日内公开的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20"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104" w:hanging="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经责令公开，3</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6"/>
              </w:rPr>
              <w:t>日后</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6"/>
              </w:rPr>
              <w:t>5</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6"/>
              </w:rPr>
              <w:t>日内公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9"/>
              </w:rPr>
              <w:t>开的</w:t>
            </w:r>
          </w:p>
        </w:tc>
        <w:tc>
          <w:tcPr>
            <w:tcW w:w="1062" w:type="dxa"/>
            <w:vAlign w:val="top"/>
          </w:tcPr>
          <w:p>
            <w:pPr>
              <w:ind w:left="13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经责令公开，逾期不公开的</w:t>
            </w:r>
          </w:p>
        </w:tc>
        <w:tc>
          <w:tcPr>
            <w:tcW w:w="1062" w:type="dxa"/>
            <w:vAlign w:val="top"/>
          </w:tcPr>
          <w:p>
            <w:pPr>
              <w:ind w:left="12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20" w:type="dxa"/>
            <w:vAlign w:val="top"/>
            <w:vMerge w:val="restart"/>
            <w:tcBorders>
              <w:bottom w:val="nil"/>
            </w:tcBorders>
          </w:tcPr>
          <w:p>
            <w:pPr>
              <w:ind w:left="238" w:right="226"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49" w:type="dxa"/>
            <w:vAlign w:val="top"/>
            <w:vMerge w:val="restart"/>
            <w:tcBorders>
              <w:bottom w:val="nil"/>
            </w:tcBorders>
          </w:tcPr>
          <w:p>
            <w:pPr>
              <w:ind w:left="736" w:right="25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0"/>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65" w:hRule="atLeast"/>
        </w:trPr>
        <w:tc>
          <w:tcPr>
            <w:tcW w:w="1420" w:type="dxa"/>
            <w:vAlign w:val="top"/>
            <w:vMerge w:val="restart"/>
            <w:tcBorders>
              <w:bottom w:val="nil"/>
            </w:tcBorders>
          </w:tcPr>
          <w:p>
            <w:pPr>
              <w:ind w:left="230" w:right="226" w:firstLine="9"/>
              <w:spacing w:before="121"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949" w:type="dxa"/>
            <w:vAlign w:val="top"/>
            <w:vMerge w:val="restart"/>
            <w:tcBorders>
              <w:bottom w:val="nil"/>
            </w:tcBorders>
          </w:tcPr>
          <w:p>
            <w:pPr>
              <w:ind w:left="267" w:right="133" w:hanging="131"/>
              <w:spacing w:before="2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35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1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1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20" w:type="dxa"/>
            <w:vAlign w:val="top"/>
            <w:vMerge w:val="continue"/>
            <w:tcBorders>
              <w:top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4"/>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678" w:hRule="atLeast"/>
        </w:trPr>
        <w:tc>
          <w:tcPr>
            <w:tcW w:w="8424" w:type="dxa"/>
            <w:vAlign w:val="top"/>
            <w:gridSpan w:val="6"/>
          </w:tcPr>
          <w:p>
            <w:pPr>
              <w:ind w:left="215"/>
              <w:spacing w:before="97" w:line="221"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河北省生态环境行政处罚裁量规则（环评类）</w:t>
            </w:r>
          </w:p>
        </w:tc>
      </w:tr>
      <w:tr>
        <w:trPr>
          <w:trHeight w:val="634" w:hRule="atLeast"/>
        </w:trPr>
        <w:tc>
          <w:tcPr>
            <w:tcW w:w="1420" w:type="dxa"/>
            <w:vAlign w:val="top"/>
          </w:tcPr>
          <w:p>
            <w:pPr>
              <w:ind w:left="438"/>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58"/>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8</w:t>
            </w:r>
          </w:p>
        </w:tc>
      </w:tr>
      <w:tr>
        <w:trPr>
          <w:trHeight w:val="635" w:hRule="atLeast"/>
        </w:trPr>
        <w:tc>
          <w:tcPr>
            <w:tcW w:w="1420" w:type="dxa"/>
            <w:vAlign w:val="top"/>
          </w:tcPr>
          <w:p>
            <w:pPr>
              <w:ind w:left="127"/>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6"/>
              <w:spacing w:before="19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技术机构向建设单位、从事环境影响评价工作的单位收取费用的</w:t>
            </w:r>
          </w:p>
        </w:tc>
      </w:tr>
      <w:tr>
        <w:trPr>
          <w:trHeight w:val="3153" w:hRule="atLeast"/>
        </w:trPr>
        <w:tc>
          <w:tcPr>
            <w:tcW w:w="142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70"/>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《建设项目环境保护管理条例》</w:t>
            </w:r>
          </w:p>
          <w:p>
            <w:pPr>
              <w:ind w:left="113" w:right="170" w:firstLine="12"/>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环境保护行政主管部门可以组织技术机</w:t>
            </w:r>
            <w:r>
              <w:rPr>
                <w:rFonts w:ascii="FangSong_GB2312" w:hAnsi="FangSong_GB2312" w:eastAsia="FangSong_GB2312" w:cs="FangSong_GB2312"/>
                <w:sz w:val="24"/>
                <w:szCs w:val="24"/>
                <w:spacing w:val="-2"/>
              </w:rPr>
              <w:t>构对建设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项目环境影响报告书、环境影响报告表进行技术评估，并承担相</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应费用；技术机构应当对其提出的技术评估意见负责，不得向建</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设单位、从事环境影响评价工作的单位收取任何费用。</w:t>
            </w:r>
          </w:p>
          <w:p>
            <w:pPr>
              <w:spacing w:line="272"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《建设项目环境保护管理条例》</w:t>
            </w:r>
          </w:p>
          <w:p>
            <w:pPr>
              <w:ind w:left="121" w:right="107" w:firstLine="4"/>
              <w:spacing w:before="39"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违反本条例规定，技术机构向建设单位、从事环</w:t>
            </w:r>
            <w:r>
              <w:rPr>
                <w:rFonts w:ascii="FangSong_GB2312" w:hAnsi="FangSong_GB2312" w:eastAsia="FangSong_GB2312" w:cs="FangSong_GB2312"/>
                <w:sz w:val="24"/>
                <w:szCs w:val="24"/>
                <w:spacing w:val="-4"/>
              </w:rPr>
              <w:t>境影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响评价工作的单位收取费用的，由县级以上环境保护行政主管部</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3"/>
              </w:rPr>
              <w:t>门责令退还所收费用，处所收费用</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3"/>
              </w:rPr>
              <w:t>倍以上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3"/>
              </w:rPr>
              <w:t>倍以下的</w:t>
            </w:r>
            <w:r>
              <w:rPr>
                <w:rFonts w:ascii="FangSong_GB2312" w:hAnsi="FangSong_GB2312" w:eastAsia="FangSong_GB2312" w:cs="FangSong_GB2312"/>
                <w:sz w:val="24"/>
                <w:szCs w:val="24"/>
                <w:spacing w:val="-4"/>
              </w:rPr>
              <w:t>罚款。</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39"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3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062" w:type="dxa"/>
            <w:vAlign w:val="top"/>
          </w:tcPr>
          <w:p>
            <w:pPr>
              <w:ind w:left="13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restart"/>
            <w:tcBorders>
              <w:bottom w:val="nil"/>
            </w:tcBorders>
          </w:tcPr>
          <w:p>
            <w:pPr>
              <w:spacing w:line="444" w:lineRule="auto"/>
              <w:rPr>
                <w:rFonts w:ascii="Arial"/>
                <w:sz w:val="21"/>
              </w:rPr>
            </w:pPr>
            <w:r/>
          </w:p>
          <w:p>
            <w:pPr>
              <w:ind w:left="48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收取金额</w:t>
            </w:r>
          </w:p>
        </w:tc>
        <w:tc>
          <w:tcPr>
            <w:tcW w:w="792" w:type="dxa"/>
            <w:vAlign w:val="top"/>
            <w:vMerge w:val="restart"/>
            <w:tcBorders>
              <w:bottom w:val="nil"/>
            </w:tcBorders>
          </w:tcPr>
          <w:p>
            <w:pPr>
              <w:spacing w:line="443"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收取费用</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万以内的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4"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right="209" w:firstLine="7"/>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收取费用</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0"/>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万以上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0"/>
              </w:rPr>
              <w:t>30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万以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下的</w:t>
            </w:r>
          </w:p>
        </w:tc>
        <w:tc>
          <w:tcPr>
            <w:tcW w:w="1062" w:type="dxa"/>
            <w:vAlign w:val="top"/>
          </w:tcPr>
          <w:p>
            <w:pPr>
              <w:ind w:left="13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收取费用</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8"/>
              </w:rPr>
              <w:t>30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万以上的</w:t>
            </w:r>
          </w:p>
        </w:tc>
        <w:tc>
          <w:tcPr>
            <w:tcW w:w="1062"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43" w:hRule="atLeast"/>
        </w:trPr>
        <w:tc>
          <w:tcPr>
            <w:tcW w:w="1480" w:type="dxa"/>
            <w:vAlign w:val="top"/>
            <w:gridSpan w:val="2"/>
            <w:vMerge w:val="restart"/>
            <w:tcBorders>
              <w:bottom w:val="nil"/>
            </w:tcBorders>
          </w:tcPr>
          <w:p>
            <w:pPr>
              <w:spacing w:line="462"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306"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6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gridSpan w:val="2"/>
            <w:vMerge w:val="restart"/>
            <w:tcBorders>
              <w:bottom w:val="nil"/>
            </w:tcBorders>
          </w:tcPr>
          <w:p>
            <w:pPr>
              <w:ind w:left="266" w:right="258"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0" w:hRule="atLeast"/>
        </w:trPr>
        <w:tc>
          <w:tcPr>
            <w:tcW w:w="1480" w:type="dxa"/>
            <w:vAlign w:val="top"/>
            <w:gridSpan w:val="2"/>
            <w:vMerge w:val="restart"/>
            <w:tcBorders>
              <w:bottom w:val="nil"/>
            </w:tcBorders>
          </w:tcPr>
          <w:p>
            <w:pPr>
              <w:ind w:left="148"/>
              <w:spacing w:before="8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8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193"/>
              <w:spacing w:before="8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5"/>
          <w:pgSz w:w="11905" w:h="16839"/>
          <w:pgMar w:top="1431" w:right="1738" w:bottom="1156" w:left="1737"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8" w:line="205" w:lineRule="auto"/>
              <w:rPr>
                <w:rFonts w:ascii="FZXiaoBiaoSong-B05S" w:hAnsi="FZXiaoBiaoSong-B05S" w:eastAsia="FZXiaoBiaoSong-B05S" w:cs="FZXiaoBiaoSong-B05S"/>
                <w:sz w:val="40"/>
                <w:szCs w:val="40"/>
              </w:rPr>
            </w:pPr>
            <w:bookmarkStart w:name="bookmark15" w:id="17"/>
            <w:bookmarkEnd w:id="17"/>
            <w:r>
              <w:rPr>
                <w:rFonts w:ascii="FZXiaoBiaoSong-B05S" w:hAnsi="FZXiaoBiaoSong-B05S" w:eastAsia="FZXiaoBiaoSong-B05S" w:cs="FZXiaoBiaoSong-B05S"/>
                <w:sz w:val="40"/>
                <w:szCs w:val="40"/>
              </w:rPr>
              <w:t>河北省生态环境行政处罚裁量规则</w:t>
            </w:r>
          </w:p>
          <w:p>
            <w:pPr>
              <w:ind w:left="2388"/>
              <w:spacing w:before="81" w:line="213" w:lineRule="auto"/>
              <w:outlineLvl w:val="0"/>
              <w:rPr>
                <w:rFonts w:ascii="FZXiaoBiaoSong-B05S" w:hAnsi="FZXiaoBiaoSong-B05S" w:eastAsia="FZXiaoBiaoSong-B05S" w:cs="FZXiaoBiaoSong-B05S"/>
                <w:sz w:val="40"/>
                <w:szCs w:val="40"/>
              </w:rPr>
            </w:pPr>
            <w:bookmarkStart w:name="bookmark2" w:id="18"/>
            <w:bookmarkEnd w:id="18"/>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58"/>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9</w:t>
            </w:r>
          </w:p>
        </w:tc>
      </w:tr>
      <w:tr>
        <w:trPr>
          <w:trHeight w:val="635" w:hRule="atLeast"/>
        </w:trPr>
        <w:tc>
          <w:tcPr>
            <w:tcW w:w="1420" w:type="dxa"/>
            <w:vAlign w:val="top"/>
          </w:tcPr>
          <w:p>
            <w:pPr>
              <w:ind w:left="122"/>
              <w:spacing w:before="179"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未取得排污许可证排放污染物的</w:t>
            </w:r>
          </w:p>
        </w:tc>
      </w:tr>
      <w:tr>
        <w:trPr>
          <w:trHeight w:val="4728" w:hRule="atLeast"/>
        </w:trPr>
        <w:tc>
          <w:tcPr>
            <w:tcW w:w="1420"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09" w:right="107" w:firstLine="16"/>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第二条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第一款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依照法律规定实行排污许可管理的企业事业单</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位和其他生产经营者(以下称排污单位)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，应当依照本条例规定申</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请取得排污许可证；未取得排污许可证的，不</w:t>
            </w:r>
            <w:r>
              <w:rPr>
                <w:rFonts w:ascii="FangSong_GB2312" w:hAnsi="FangSong_GB2312" w:eastAsia="FangSong_GB2312" w:cs="FangSong_GB2312"/>
                <w:sz w:val="24"/>
                <w:szCs w:val="24"/>
                <w:spacing w:val="-1"/>
              </w:rPr>
              <w:t>得排放污染物。</w:t>
            </w:r>
          </w:p>
          <w:p>
            <w:pPr>
              <w:ind w:left="122"/>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《排污许可管理条例》</w:t>
            </w:r>
          </w:p>
          <w:p>
            <w:pPr>
              <w:ind w:left="118" w:right="107" w:firstLine="7"/>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违反本条例规定，排污单位有下列行为之一的，由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生态环境主管部门责令改正或者限制生产、停产整</w:t>
            </w:r>
            <w:r>
              <w:rPr>
                <w:rFonts w:ascii="FangSong_GB2312" w:hAnsi="FangSong_GB2312" w:eastAsia="FangSong_GB2312" w:cs="FangSong_GB2312"/>
                <w:sz w:val="24"/>
                <w:szCs w:val="24"/>
                <w:spacing w:val="1"/>
              </w:rPr>
              <w:t>治，处</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20</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元以上</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
              </w:rPr>
              <w:t>万元以下的罚款；情节严重的，报经有批准权的人民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政府批准，责令停业、关闭：</w:t>
            </w:r>
          </w:p>
          <w:p>
            <w:pPr>
              <w:ind w:left="164"/>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一</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4"/>
              </w:rPr>
              <w:t>未取得排污许可证排放污染物；</w:t>
            </w:r>
          </w:p>
          <w:p>
            <w:pPr>
              <w:ind w:left="118" w:right="107" w:firstLine="45"/>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二</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19"/>
              </w:rPr>
              <w:t xml:space="preserve"> </w:t>
            </w:r>
            <w:r>
              <w:rPr>
                <w:rFonts w:ascii="FangSong_GB2312" w:hAnsi="FangSong_GB2312" w:eastAsia="FangSong_GB2312" w:cs="FangSong_GB2312"/>
                <w:sz w:val="24"/>
                <w:szCs w:val="24"/>
                <w:spacing w:val="4"/>
              </w:rPr>
              <w:t>排污许可证有效期届满未申请延</w:t>
            </w:r>
            <w:r>
              <w:rPr>
                <w:rFonts w:ascii="FangSong_GB2312" w:hAnsi="FangSong_GB2312" w:eastAsia="FangSong_GB2312" w:cs="FangSong_GB2312"/>
                <w:sz w:val="24"/>
                <w:szCs w:val="24"/>
                <w:spacing w:val="3"/>
              </w:rPr>
              <w:t>续或者延续申请未经批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准排放污染物；</w:t>
            </w:r>
          </w:p>
          <w:p>
            <w:pPr>
              <w:ind w:left="164"/>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三</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被依法撤销、注销、</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吊销排污许可证后排放污染物；</w:t>
            </w:r>
          </w:p>
          <w:p>
            <w:pPr>
              <w:ind w:left="119" w:right="107" w:firstLine="44"/>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
              </w:rPr>
              <w:t>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)依法应当重新申请取得排污许可证，未重新申</w:t>
            </w:r>
            <w:r>
              <w:rPr>
                <w:rFonts w:ascii="FangSong_GB2312" w:hAnsi="FangSong_GB2312" w:eastAsia="FangSong_GB2312" w:cs="FangSong_GB2312"/>
                <w:sz w:val="24"/>
                <w:szCs w:val="24"/>
                <w:spacing w:val="-2"/>
              </w:rPr>
              <w:t>请取得排污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许可证排放污染物。</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6"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88" w:lineRule="auto"/>
              <w:rPr>
                <w:rFonts w:ascii="Arial"/>
                <w:sz w:val="21"/>
              </w:rPr>
            </w:pPr>
            <w:r/>
          </w:p>
          <w:p>
            <w:pPr>
              <w:ind w:left="733" w:right="222" w:hanging="499"/>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6"/>
              </w:rPr>
              <w:t>时间</w:t>
            </w:r>
          </w:p>
        </w:tc>
        <w:tc>
          <w:tcPr>
            <w:tcW w:w="792" w:type="dxa"/>
            <w:vAlign w:val="top"/>
            <w:vMerge w:val="restart"/>
            <w:tcBorders>
              <w:bottom w:val="nil"/>
            </w:tcBorders>
          </w:tcPr>
          <w:p>
            <w:pPr>
              <w:spacing w:line="44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7" w:right="26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违法行为持续</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个月以上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个月以下的</w:t>
            </w:r>
          </w:p>
        </w:tc>
        <w:tc>
          <w:tcPr>
            <w:tcW w:w="1062" w:type="dxa"/>
            <w:vAlign w:val="top"/>
          </w:tcPr>
          <w:p>
            <w:pPr>
              <w:ind w:left="1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2"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444"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7" w:hRule="atLeast"/>
        </w:trPr>
        <w:tc>
          <w:tcPr>
            <w:tcW w:w="1480" w:type="dxa"/>
            <w:vAlign w:val="top"/>
            <w:gridSpan w:val="2"/>
          </w:tcPr>
          <w:p>
            <w:pPr>
              <w:ind w:left="517" w:right="135" w:hanging="371"/>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tcPr>
          <w:p>
            <w:pPr>
              <w:ind w:left="830" w:right="222" w:hanging="596"/>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tcPr>
          <w:p>
            <w:pPr>
              <w:ind w:left="23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6"/>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954"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14" w:right="209" w:firstLine="16"/>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9"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性物质的废水或其他污染物</w:t>
            </w:r>
          </w:p>
        </w:tc>
        <w:tc>
          <w:tcPr>
            <w:tcW w:w="1062" w:type="dxa"/>
            <w:vAlign w:val="top"/>
          </w:tcPr>
          <w:p>
            <w:pPr>
              <w:spacing w:line="430"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7"/>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10</w:t>
            </w:r>
          </w:p>
        </w:tc>
      </w:tr>
      <w:tr>
        <w:trPr>
          <w:trHeight w:val="635"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09"/>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超过许可排放浓度、许可排放量排放污染物的</w:t>
            </w:r>
          </w:p>
        </w:tc>
      </w:tr>
      <w:tr>
        <w:trPr>
          <w:trHeight w:val="3783" w:hRule="atLeast"/>
        </w:trPr>
        <w:tc>
          <w:tcPr>
            <w:tcW w:w="1420"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6" w:right="107" w:firstLine="9"/>
              <w:spacing w:before="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排污许可证是对排污单位进行生态环境监管的主要依</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7"/>
              </w:rPr>
              <w:t>据。</w:t>
            </w:r>
          </w:p>
          <w:p>
            <w:pPr>
              <w:ind w:left="118" w:right="41" w:hanging="2"/>
              <w:spacing w:before="3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排污单位应当遵守排污许可证规定，按照生态环境管理要</w:t>
            </w:r>
            <w:r>
              <w:rPr>
                <w:rFonts w:ascii="FangSong_GB2312" w:hAnsi="FangSong_GB2312" w:eastAsia="FangSong_GB2312" w:cs="FangSong_GB2312"/>
                <w:sz w:val="24"/>
                <w:szCs w:val="24"/>
                <w:spacing w:val="1"/>
              </w:rPr>
              <w:t>求运行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和维护污染防治设施，建立环境管理制度，严格控</w:t>
            </w:r>
            <w:r>
              <w:rPr>
                <w:rFonts w:ascii="FangSong_GB2312" w:hAnsi="FangSong_GB2312" w:eastAsia="FangSong_GB2312" w:cs="FangSong_GB2312"/>
                <w:sz w:val="24"/>
                <w:szCs w:val="24"/>
                <w:spacing w:val="-5"/>
              </w:rPr>
              <w:t>制污染物排放。</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b/>
                <w:bCs/>
                <w:spacing w:val="-4"/>
              </w:rPr>
              <w:t>《排污许可管理条例》</w:t>
            </w:r>
          </w:p>
          <w:p>
            <w:pPr>
              <w:ind w:left="121" w:right="107" w:firstLine="4"/>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的，由生态环境主管部门责令改正或者限制生产、停产整治，处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0"/>
              </w:rPr>
              <w:t>20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100</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万元以下的罚款；情节严重的</w:t>
            </w:r>
            <w:r>
              <w:rPr>
                <w:rFonts w:ascii="FangSong_GB2312" w:hAnsi="FangSong_GB2312" w:eastAsia="FangSong_GB2312" w:cs="FangSong_GB2312"/>
                <w:sz w:val="24"/>
                <w:szCs w:val="24"/>
                <w:spacing w:val="-3"/>
              </w:rPr>
              <w:t>，吊销排污许可证，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报经有批准权的人民政府批准，责令停业、关闭：</w:t>
            </w:r>
          </w:p>
          <w:p>
            <w:pPr>
              <w:ind w:left="164"/>
              <w:spacing w:before="3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一</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超过许可排放浓度、许可排放量排放污染物。</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6"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4" w:lineRule="auto"/>
              <w:rPr>
                <w:rFonts w:ascii="Arial"/>
                <w:sz w:val="21"/>
              </w:rPr>
            </w:pPr>
            <w:r/>
          </w:p>
          <w:p>
            <w:pPr>
              <w:ind w:left="2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违法危害程度</w:t>
            </w:r>
          </w:p>
        </w:tc>
        <w:tc>
          <w:tcPr>
            <w:tcW w:w="792" w:type="dxa"/>
            <w:vAlign w:val="top"/>
            <w:vMerge w:val="restart"/>
            <w:tcBorders>
              <w:bottom w:val="nil"/>
            </w:tcBorders>
          </w:tcPr>
          <w:p>
            <w:pPr>
              <w:spacing w:line="44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污染物超标一倍以内的</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污染物超标一倍以上两倍以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0"/>
              </w:rPr>
              <w:t>下的</w:t>
            </w:r>
          </w:p>
        </w:tc>
        <w:tc>
          <w:tcPr>
            <w:tcW w:w="1062" w:type="dxa"/>
            <w:vAlign w:val="top"/>
          </w:tcPr>
          <w:p>
            <w:pPr>
              <w:ind w:left="1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污染物超标两倍以上的</w:t>
            </w:r>
          </w:p>
        </w:tc>
        <w:tc>
          <w:tcPr>
            <w:tcW w:w="1062"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444"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ind w:left="511" w:right="135" w:hanging="365"/>
              <w:spacing w:before="20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1"/>
              </w:rPr>
              <w:t>数量</w:t>
            </w:r>
          </w:p>
        </w:tc>
        <w:tc>
          <w:tcPr>
            <w:tcW w:w="1889" w:type="dxa"/>
            <w:vAlign w:val="top"/>
            <w:vMerge w:val="restart"/>
            <w:tcBorders>
              <w:bottom w:val="nil"/>
            </w:tcBorders>
          </w:tcPr>
          <w:p>
            <w:pPr>
              <w:ind w:left="346"/>
              <w:spacing w:before="5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超标或超排</w:t>
            </w:r>
          </w:p>
          <w:p>
            <w:pPr>
              <w:ind w:left="472"/>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放量因子</w:t>
            </w:r>
          </w:p>
          <w:p>
            <w:pPr>
              <w:ind w:left="717"/>
              <w:spacing w:before="3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数目</w:t>
            </w:r>
          </w:p>
        </w:tc>
        <w:tc>
          <w:tcPr>
            <w:tcW w:w="792" w:type="dxa"/>
            <w:vAlign w:val="top"/>
            <w:vMerge w:val="restart"/>
            <w:tcBorders>
              <w:bottom w:val="nil"/>
            </w:tcBorders>
          </w:tcPr>
          <w:p>
            <w:pPr>
              <w:spacing w:line="28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3"/>
              </w:rPr>
              <w:t>个</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0"/>
              </w:rPr>
              <w:t>个</w:t>
            </w:r>
          </w:p>
        </w:tc>
        <w:tc>
          <w:tcPr>
            <w:tcW w:w="1062" w:type="dxa"/>
            <w:vAlign w:val="top"/>
          </w:tcPr>
          <w:p>
            <w:pPr>
              <w:ind w:left="19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3</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8"/>
              </w:rPr>
              <w:t>个及以上</w:t>
            </w:r>
          </w:p>
        </w:tc>
        <w:tc>
          <w:tcPr>
            <w:tcW w:w="1062"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ind w:left="266" w:right="258"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80" w:type="dxa"/>
            <w:vAlign w:val="top"/>
            <w:gridSpan w:val="2"/>
          </w:tcPr>
          <w:p>
            <w:pPr>
              <w:ind w:left="26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tcPr>
          <w:p>
            <w:pPr>
              <w:ind w:left="229"/>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tcPr>
          <w:p>
            <w:pPr>
              <w:ind w:left="23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8"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right="209"/>
              <w:spacing w:before="4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9"/>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11</w:t>
            </w:r>
          </w:p>
        </w:tc>
      </w:tr>
      <w:tr>
        <w:trPr>
          <w:trHeight w:val="634"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20" w:right="174" w:hanging="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通过暗管、渗井、渗坑、灌注或者篡改、伪造监测数据，或者不</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正常运行污染防治设施等逃避监管的方式违法排放污染物的</w:t>
            </w:r>
          </w:p>
        </w:tc>
      </w:tr>
      <w:tr>
        <w:trPr>
          <w:trHeight w:val="4413" w:hRule="atLeast"/>
        </w:trPr>
        <w:tc>
          <w:tcPr>
            <w:tcW w:w="1420"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6" w:right="107" w:firstLine="9"/>
              <w:spacing w:before="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排污许可证是对排污单位进行生态环境监管的主要依</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7"/>
              </w:rPr>
              <w:t>据。</w:t>
            </w:r>
          </w:p>
          <w:p>
            <w:pPr>
              <w:ind w:left="118" w:right="41" w:hanging="2"/>
              <w:spacing w:before="3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排污单位应当遵守排污许可证规定，按照生态环境管理要</w:t>
            </w:r>
            <w:r>
              <w:rPr>
                <w:rFonts w:ascii="FangSong_GB2312" w:hAnsi="FangSong_GB2312" w:eastAsia="FangSong_GB2312" w:cs="FangSong_GB2312"/>
                <w:sz w:val="24"/>
                <w:szCs w:val="24"/>
                <w:spacing w:val="1"/>
              </w:rPr>
              <w:t>求运行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和维护污染防治设施，建立环境管理制度，严格控</w:t>
            </w:r>
            <w:r>
              <w:rPr>
                <w:rFonts w:ascii="FangSong_GB2312" w:hAnsi="FangSong_GB2312" w:eastAsia="FangSong_GB2312" w:cs="FangSong_GB2312"/>
                <w:sz w:val="24"/>
                <w:szCs w:val="24"/>
                <w:spacing w:val="-5"/>
              </w:rPr>
              <w:t>制污染物排放。</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1" w:right="107" w:firstLine="4"/>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的，由生态环境主管部门责令改正或者限制生产、停产整治，处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0"/>
              </w:rPr>
              <w:t>20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万元以上</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rPr>
              <w:t>100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rPr>
              <w:t>万元以下的罚款；情节严重的，吊销排污许</w:t>
            </w:r>
            <w:r>
              <w:rPr>
                <w:rFonts w:ascii="FangSong_GB2312" w:hAnsi="FangSong_GB2312" w:eastAsia="FangSong_GB2312" w:cs="FangSong_GB2312"/>
                <w:sz w:val="24"/>
                <w:szCs w:val="24"/>
                <w:spacing w:val="-1"/>
              </w:rPr>
              <w:t>可证，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报经有批准权的人民政府批准，责令停业、关闭：</w:t>
            </w:r>
          </w:p>
          <w:p>
            <w:pPr>
              <w:ind w:left="113" w:right="107" w:firstLine="50"/>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二</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通过暗管、渗井、渗坑、灌注或者篡改、伪造监测数据，</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1"/>
              </w:rPr>
              <w:t>或者不正常运行污染防治设施等逃避监管的方式违法排放污染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物。</w:t>
            </w:r>
          </w:p>
        </w:tc>
      </w:tr>
      <w:tr>
        <w:trPr>
          <w:trHeight w:val="635" w:hRule="atLeast"/>
        </w:trPr>
        <w:tc>
          <w:tcPr>
            <w:tcW w:w="4161" w:type="dxa"/>
            <w:vAlign w:val="top"/>
            <w:gridSpan w:val="4"/>
          </w:tcPr>
          <w:p>
            <w:pPr>
              <w:ind w:left="1527"/>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9"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4" w:lineRule="auto"/>
              <w:rPr>
                <w:rFonts w:ascii="Arial"/>
                <w:sz w:val="21"/>
              </w:rPr>
            </w:pPr>
            <w:r/>
          </w:p>
          <w:p>
            <w:pPr>
              <w:ind w:left="2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违法危害程度</w:t>
            </w:r>
          </w:p>
        </w:tc>
        <w:tc>
          <w:tcPr>
            <w:tcW w:w="792" w:type="dxa"/>
            <w:vAlign w:val="top"/>
            <w:vMerge w:val="restart"/>
            <w:tcBorders>
              <w:bottom w:val="nil"/>
            </w:tcBorders>
          </w:tcPr>
          <w:p>
            <w:pPr>
              <w:spacing w:line="44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污染物超标一倍以内的</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right="20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污染物超标一倍以上两倍以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0"/>
              </w:rPr>
              <w:t>下的</w:t>
            </w:r>
          </w:p>
        </w:tc>
        <w:tc>
          <w:tcPr>
            <w:tcW w:w="1062" w:type="dxa"/>
            <w:vAlign w:val="top"/>
          </w:tcPr>
          <w:p>
            <w:pPr>
              <w:ind w:left="1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污染物超标两倍以上的</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635" w:right="135" w:hanging="489"/>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474"/>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违法事实</w:t>
            </w:r>
          </w:p>
        </w:tc>
        <w:tc>
          <w:tcPr>
            <w:tcW w:w="792"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right="10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部分处理设施不能正常运行</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或停运</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4" w:right="101" w:hanging="1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整体或关键处理设施不能正</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0"/>
              </w:rPr>
              <w:t>常运行</w:t>
            </w:r>
          </w:p>
        </w:tc>
        <w:tc>
          <w:tcPr>
            <w:tcW w:w="1062" w:type="dxa"/>
            <w:vAlign w:val="top"/>
          </w:tcPr>
          <w:p>
            <w:pPr>
              <w:ind w:left="1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104" w:hanging="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7"/>
              </w:rPr>
              <w:t>整体或关键处理设施停运/</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为逃避现场检查临时停产</w:t>
            </w:r>
          </w:p>
        </w:tc>
        <w:tc>
          <w:tcPr>
            <w:tcW w:w="1062" w:type="dxa"/>
            <w:vAlign w:val="top"/>
          </w:tcPr>
          <w:p>
            <w:pPr>
              <w:ind w:left="13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1267"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right="101" w:firstLine="1"/>
              <w:spacing w:before="4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不通过处理设施利用其他方</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7"/>
              </w:rPr>
              <w:t>式</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7"/>
              </w:rPr>
              <w:t>直接排放或者</w:t>
            </w:r>
            <w:r>
              <w:rPr>
                <w:rFonts w:ascii="FangSong_GB2312" w:hAnsi="FangSong_GB2312" w:eastAsia="FangSong_GB2312" w:cs="FangSong_GB2312"/>
                <w:sz w:val="24"/>
                <w:szCs w:val="24"/>
                <w:spacing w:val="-66"/>
              </w:rPr>
              <w:t xml:space="preserve"> </w:t>
            </w:r>
            <w:r>
              <w:rPr>
                <w:rFonts w:ascii="FangSong_GB2312" w:hAnsi="FangSong_GB2312" w:eastAsia="FangSong_GB2312" w:cs="FangSong_GB2312"/>
                <w:sz w:val="24"/>
                <w:szCs w:val="24"/>
                <w:spacing w:val="7"/>
              </w:rPr>
              <w:t>关闭</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7"/>
              </w:rPr>
              <w:t>自</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7"/>
              </w:rPr>
              <w:t>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监测设备/篡改、伪造监测数</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据</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bl>
    <w:p>
      <w:pPr>
        <w:pStyle w:val="BodyText"/>
        <w:rPr/>
      </w:pPr>
      <w:r/>
    </w:p>
    <w:p>
      <w:pPr>
        <w:sectPr>
          <w:footerReference w:type="default" r:id="rId40"/>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ind w:left="398" w:right="135" w:hanging="252"/>
              <w:spacing w:before="21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违法行为发</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0"/>
              </w:rPr>
              <w:t>生时期</w:t>
            </w:r>
          </w:p>
        </w:tc>
        <w:tc>
          <w:tcPr>
            <w:tcW w:w="1889" w:type="dxa"/>
            <w:vAlign w:val="top"/>
            <w:vMerge w:val="restart"/>
            <w:tcBorders>
              <w:bottom w:val="nil"/>
            </w:tcBorders>
          </w:tcPr>
          <w:p>
            <w:pPr>
              <w:spacing w:line="300" w:lineRule="auto"/>
              <w:rPr>
                <w:rFonts w:ascii="Arial"/>
                <w:sz w:val="21"/>
              </w:rPr>
            </w:pPr>
            <w:r/>
          </w:p>
          <w:p>
            <w:pPr>
              <w:ind w:left="49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环境敏感度</w:t>
            </w:r>
          </w:p>
        </w:tc>
        <w:tc>
          <w:tcPr>
            <w:tcW w:w="792" w:type="dxa"/>
            <w:vAlign w:val="top"/>
            <w:vMerge w:val="restart"/>
            <w:tcBorders>
              <w:bottom w:val="nil"/>
            </w:tcBorders>
          </w:tcPr>
          <w:p>
            <w:pPr>
              <w:spacing w:line="28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一般期间</w:t>
            </w:r>
          </w:p>
        </w:tc>
        <w:tc>
          <w:tcPr>
            <w:tcW w:w="1062" w:type="dxa"/>
            <w:vAlign w:val="top"/>
          </w:tcPr>
          <w:p>
            <w:pPr>
              <w:ind w:left="25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特殊或重大活动期间</w:t>
            </w:r>
          </w:p>
        </w:tc>
        <w:tc>
          <w:tcPr>
            <w:tcW w:w="1062" w:type="dxa"/>
            <w:vAlign w:val="top"/>
          </w:tcPr>
          <w:p>
            <w:pPr>
              <w:ind w:left="19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7"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重污染天气预警期间</w:t>
            </w:r>
          </w:p>
        </w:tc>
        <w:tc>
          <w:tcPr>
            <w:tcW w:w="1062" w:type="dxa"/>
            <w:vAlign w:val="top"/>
          </w:tcPr>
          <w:p>
            <w:pPr>
              <w:ind w:left="13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1"/>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12</w:t>
            </w:r>
          </w:p>
        </w:tc>
      </w:tr>
      <w:tr>
        <w:trPr>
          <w:trHeight w:val="635"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未按照排污许可证规定控制大气污染物无组织排放的</w:t>
            </w:r>
          </w:p>
        </w:tc>
      </w:tr>
      <w:tr>
        <w:trPr>
          <w:trHeight w:val="3783" w:hRule="atLeast"/>
        </w:trPr>
        <w:tc>
          <w:tcPr>
            <w:tcW w:w="1420"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6" w:right="107" w:firstLine="9"/>
              <w:spacing w:before="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排污许可证是对排污单位进行生态环境监管的主要依</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7"/>
              </w:rPr>
              <w:t>据。</w:t>
            </w:r>
          </w:p>
          <w:p>
            <w:pPr>
              <w:ind w:left="118" w:right="41" w:hanging="2"/>
              <w:spacing w:before="3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排污单位应当遵守排污许可证规定，按照生态环境管理要</w:t>
            </w:r>
            <w:r>
              <w:rPr>
                <w:rFonts w:ascii="FangSong_GB2312" w:hAnsi="FangSong_GB2312" w:eastAsia="FangSong_GB2312" w:cs="FangSong_GB2312"/>
                <w:sz w:val="24"/>
                <w:szCs w:val="24"/>
                <w:spacing w:val="1"/>
              </w:rPr>
              <w:t>求运行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和维护污染防治设施，建立环境管理制度，严格控</w:t>
            </w:r>
            <w:r>
              <w:rPr>
                <w:rFonts w:ascii="FangSong_GB2312" w:hAnsi="FangSong_GB2312" w:eastAsia="FangSong_GB2312" w:cs="FangSong_GB2312"/>
                <w:sz w:val="24"/>
                <w:szCs w:val="24"/>
                <w:spacing w:val="-5"/>
              </w:rPr>
              <w:t>制污染物排放。</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1" w:right="107" w:firstLine="4"/>
              <w:spacing w:before="35"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的，由生态环境主管部门责令改正，处</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7"/>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罚款；情节严重的，处</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7"/>
              </w:rPr>
              <w:t>100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万元以下的罚款，责令限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制生产、停产整治：</w:t>
            </w:r>
          </w:p>
          <w:p>
            <w:pPr>
              <w:ind w:left="164"/>
              <w:spacing w:before="3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未按照排污许可证规定控制大气污染物无组织</w:t>
            </w:r>
            <w:r>
              <w:rPr>
                <w:rFonts w:ascii="FangSong_GB2312" w:hAnsi="FangSong_GB2312" w:eastAsia="FangSong_GB2312" w:cs="FangSong_GB2312"/>
                <w:sz w:val="24"/>
                <w:szCs w:val="24"/>
                <w:spacing w:val="-3"/>
              </w:rPr>
              <w:t>排放。</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99" w:lineRule="auto"/>
              <w:rPr>
                <w:rFonts w:ascii="Arial"/>
                <w:sz w:val="21"/>
              </w:rPr>
            </w:pPr>
            <w:r/>
          </w:p>
          <w:p>
            <w:pPr>
              <w:spacing w:line="299" w:lineRule="auto"/>
              <w:rPr>
                <w:rFonts w:ascii="Arial"/>
                <w:sz w:val="21"/>
              </w:rPr>
            </w:pPr>
            <w:r/>
          </w:p>
          <w:p>
            <w:pPr>
              <w:ind w:left="390" w:right="135" w:hanging="24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99" w:lineRule="auto"/>
              <w:rPr>
                <w:rFonts w:ascii="Arial"/>
                <w:sz w:val="21"/>
              </w:rPr>
            </w:pPr>
            <w:r/>
          </w:p>
          <w:p>
            <w:pPr>
              <w:spacing w:line="300"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99"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right="209" w:firstLine="3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已采取措施，但不符合排污</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许可证规定</w:t>
            </w:r>
          </w:p>
        </w:tc>
        <w:tc>
          <w:tcPr>
            <w:tcW w:w="1062" w:type="dxa"/>
            <w:vAlign w:val="top"/>
          </w:tcPr>
          <w:p>
            <w:pPr>
              <w:ind w:left="25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firstLine="3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已采取部分措施控制大气污</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3"/>
              </w:rPr>
              <w:t>染物无组织排放</w:t>
            </w:r>
          </w:p>
        </w:tc>
        <w:tc>
          <w:tcPr>
            <w:tcW w:w="1062" w:type="dxa"/>
            <w:vAlign w:val="top"/>
          </w:tcPr>
          <w:p>
            <w:pPr>
              <w:ind w:left="19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5"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2" w:right="209" w:hanging="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未采取措施控制大气污染物</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无组织排放</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445"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723" w:right="222" w:hanging="489"/>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299"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ind w:left="508" w:right="135" w:hanging="360"/>
              <w:spacing w:before="20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88"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排放区域类型</w:t>
            </w:r>
          </w:p>
        </w:tc>
        <w:tc>
          <w:tcPr>
            <w:tcW w:w="792" w:type="dxa"/>
            <w:vAlign w:val="top"/>
            <w:vMerge w:val="restart"/>
            <w:tcBorders>
              <w:bottom w:val="nil"/>
            </w:tcBorders>
          </w:tcPr>
          <w:p>
            <w:pPr>
              <w:spacing w:line="28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一般控制区</w:t>
            </w:r>
          </w:p>
        </w:tc>
        <w:tc>
          <w:tcPr>
            <w:tcW w:w="1062" w:type="dxa"/>
            <w:vAlign w:val="top"/>
          </w:tcPr>
          <w:p>
            <w:pPr>
              <w:ind w:left="25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重点控制区</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核心控制区</w:t>
            </w:r>
          </w:p>
        </w:tc>
        <w:tc>
          <w:tcPr>
            <w:tcW w:w="1062"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2" w:hRule="atLeast"/>
        </w:trPr>
        <w:tc>
          <w:tcPr>
            <w:tcW w:w="1480" w:type="dxa"/>
            <w:vAlign w:val="top"/>
            <w:gridSpan w:val="2"/>
          </w:tcPr>
          <w:p>
            <w:pPr>
              <w:ind w:left="274"/>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889" w:type="dxa"/>
            <w:vAlign w:val="top"/>
          </w:tcPr>
          <w:p>
            <w:pPr>
              <w:ind w:left="22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792" w:type="dxa"/>
            <w:vAlign w:val="top"/>
          </w:tcPr>
          <w:p>
            <w:pPr>
              <w:ind w:left="236"/>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42"/>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tcPr>
          <w:p>
            <w:pPr>
              <w:ind w:left="26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889" w:type="dxa"/>
            <w:vAlign w:val="top"/>
          </w:tcPr>
          <w:p>
            <w:pPr>
              <w:ind w:left="708"/>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792" w:type="dxa"/>
            <w:vAlign w:val="top"/>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8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29"/>
              <w:spacing w:before="7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3"/>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13</w:t>
            </w:r>
          </w:p>
        </w:tc>
      </w:tr>
      <w:tr>
        <w:trPr>
          <w:trHeight w:val="635"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6"/>
              <w:spacing w:before="19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特殊时段未按照排污许可证规定停止或者限制排放污染物的</w:t>
            </w:r>
          </w:p>
        </w:tc>
      </w:tr>
      <w:tr>
        <w:trPr>
          <w:trHeight w:val="4098" w:hRule="atLeast"/>
        </w:trPr>
        <w:tc>
          <w:tcPr>
            <w:tcW w:w="1420"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6" w:right="107" w:firstLine="9"/>
              <w:spacing w:before="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排污许可证是对排污单位进行生态环境监管的主要依</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7"/>
              </w:rPr>
              <w:t>据。</w:t>
            </w:r>
          </w:p>
          <w:p>
            <w:pPr>
              <w:ind w:left="118" w:right="41" w:hanging="2"/>
              <w:spacing w:before="3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排污单位应当遵守排污许可证规定，按照生态环境管理要</w:t>
            </w:r>
            <w:r>
              <w:rPr>
                <w:rFonts w:ascii="FangSong_GB2312" w:hAnsi="FangSong_GB2312" w:eastAsia="FangSong_GB2312" w:cs="FangSong_GB2312"/>
                <w:sz w:val="24"/>
                <w:szCs w:val="24"/>
                <w:spacing w:val="1"/>
              </w:rPr>
              <w:t>求运行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和维护污染防治设施，建立环境管理制度，严格控</w:t>
            </w:r>
            <w:r>
              <w:rPr>
                <w:rFonts w:ascii="FangSong_GB2312" w:hAnsi="FangSong_GB2312" w:eastAsia="FangSong_GB2312" w:cs="FangSong_GB2312"/>
                <w:sz w:val="24"/>
                <w:szCs w:val="24"/>
                <w:spacing w:val="-5"/>
              </w:rPr>
              <w:t>制污染物排放。</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11" w:right="107" w:firstLine="14"/>
              <w:spacing w:before="35"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的，</w:t>
            </w:r>
            <w:r>
              <w:rPr>
                <w:rFonts w:ascii="FangSong_GB2312" w:hAnsi="FangSong_GB2312" w:eastAsia="FangSong_GB2312" w:cs="FangSong_GB2312"/>
                <w:sz w:val="24"/>
                <w:szCs w:val="24"/>
                <w:spacing w:val="45"/>
              </w:rPr>
              <w:t xml:space="preserve"> </w:t>
            </w:r>
            <w:r>
              <w:rPr>
                <w:rFonts w:ascii="FangSong_GB2312" w:hAnsi="FangSong_GB2312" w:eastAsia="FangSong_GB2312" w:cs="FangSong_GB2312"/>
                <w:sz w:val="24"/>
                <w:szCs w:val="24"/>
                <w:spacing w:val="-4"/>
              </w:rPr>
              <w:t>由生态环境主管部门责令改正，处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万元以上</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20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万元以下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的罚款；情节严重的，处</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20</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万元以上</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4"/>
              </w:rPr>
              <w:t>100</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4"/>
              </w:rPr>
              <w:t>万元以下的罚款，责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令限制生产、停产整治：</w:t>
            </w:r>
          </w:p>
          <w:p>
            <w:pPr>
              <w:ind w:left="121" w:right="107" w:firstLine="43"/>
              <w:spacing w:before="3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二</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19"/>
              </w:rPr>
              <w:t xml:space="preserve"> </w:t>
            </w:r>
            <w:r>
              <w:rPr>
                <w:rFonts w:ascii="FangSong_GB2312" w:hAnsi="FangSong_GB2312" w:eastAsia="FangSong_GB2312" w:cs="FangSong_GB2312"/>
                <w:sz w:val="24"/>
                <w:szCs w:val="24"/>
                <w:spacing w:val="4"/>
              </w:rPr>
              <w:t>特殊时段未按照排污许可证规定</w:t>
            </w:r>
            <w:r>
              <w:rPr>
                <w:rFonts w:ascii="FangSong_GB2312" w:hAnsi="FangSong_GB2312" w:eastAsia="FangSong_GB2312" w:cs="FangSong_GB2312"/>
                <w:sz w:val="24"/>
                <w:szCs w:val="24"/>
                <w:spacing w:val="3"/>
              </w:rPr>
              <w:t>停止或者限制排放污染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9"/>
              </w:rPr>
              <w:t>物。</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581" w:hRule="atLeast"/>
        </w:trPr>
        <w:tc>
          <w:tcPr>
            <w:tcW w:w="1480" w:type="dxa"/>
            <w:vAlign w:val="top"/>
            <w:gridSpan w:val="2"/>
          </w:tcPr>
          <w:p>
            <w:pPr>
              <w:ind w:left="513"/>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183"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1" w:line="218"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182"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182"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82" w:lineRule="auto"/>
              <w:rPr>
                <w:rFonts w:ascii="Arial"/>
                <w:sz w:val="21"/>
              </w:rPr>
            </w:pPr>
            <w:r/>
          </w:p>
          <w:p>
            <w:pPr>
              <w:ind w:left="390" w:right="135" w:hanging="24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438"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83"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未完全落实限制或者停止排</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放污染物的措施</w:t>
            </w:r>
          </w:p>
        </w:tc>
        <w:tc>
          <w:tcPr>
            <w:tcW w:w="1062" w:type="dxa"/>
            <w:vAlign w:val="top"/>
          </w:tcPr>
          <w:p>
            <w:pPr>
              <w:ind w:left="1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未采取措施停止或者限制排</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放污染物措施</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445"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445"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441" w:lineRule="auto"/>
              <w:rPr>
                <w:rFonts w:ascii="Arial"/>
                <w:sz w:val="21"/>
              </w:rPr>
            </w:pPr>
            <w:r/>
          </w:p>
          <w:p>
            <w:pPr>
              <w:ind w:left="517" w:right="135" w:hanging="37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439" w:lineRule="auto"/>
              <w:rPr>
                <w:rFonts w:ascii="Arial"/>
                <w:sz w:val="21"/>
              </w:rPr>
            </w:pPr>
            <w:r/>
          </w:p>
          <w:p>
            <w:pPr>
              <w:ind w:left="830" w:right="222" w:hanging="596"/>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5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right="209" w:firstLine="16"/>
              <w:spacing w:before="45"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9"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44"/>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1268" w:hRule="atLeast"/>
        </w:trPr>
        <w:tc>
          <w:tcPr>
            <w:tcW w:w="1480"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13" w:right="209" w:hanging="2"/>
              <w:spacing w:before="4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性物质的废水或其他污染物</w:t>
            </w:r>
          </w:p>
        </w:tc>
        <w:tc>
          <w:tcPr>
            <w:tcW w:w="1062"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5"/>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14</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23"/>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污染物排放口位置或者数量不符合排污许可证规定的</w:t>
            </w:r>
          </w:p>
        </w:tc>
      </w:tr>
      <w:tr>
        <w:trPr>
          <w:trHeight w:val="3468" w:hRule="atLeast"/>
        </w:trPr>
        <w:tc>
          <w:tcPr>
            <w:tcW w:w="1420"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21" w:right="107" w:firstLine="4"/>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第十八条第一款、第二款</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排污单位应当按照生态环境主管部门的</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规定建设规范化污染物排放</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口，并设置标志牌。</w:t>
            </w:r>
          </w:p>
          <w:p>
            <w:pPr>
              <w:ind w:left="123" w:right="174"/>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污染物排放口位置和数量、污染物排放方式和排放去向应当与排</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3"/>
              </w:rPr>
              <w:t>污许可证规定相符。</w:t>
            </w:r>
          </w:p>
          <w:p>
            <w:pPr>
              <w:spacing w:line="27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5" w:right="10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第三十六条第一项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违反本条例规定，排污单位</w:t>
            </w:r>
            <w:r>
              <w:rPr>
                <w:rFonts w:ascii="FangSong_GB2312" w:hAnsi="FangSong_GB2312" w:eastAsia="FangSong_GB2312" w:cs="FangSong_GB2312"/>
                <w:sz w:val="24"/>
                <w:szCs w:val="24"/>
                <w:spacing w:val="-2"/>
              </w:rPr>
              <w:t>有下列行为之一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的，由生态环境主管部门责令改正，处</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罚款；拒不改正的，责令停产整治：</w:t>
            </w:r>
          </w:p>
          <w:p>
            <w:pPr>
              <w:ind w:left="164"/>
              <w:spacing w:before="3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污染物排放口位置或者数量不符合排污许可证</w:t>
            </w:r>
            <w:r>
              <w:rPr>
                <w:rFonts w:ascii="FangSong_GB2312" w:hAnsi="FangSong_GB2312" w:eastAsia="FangSong_GB2312" w:cs="FangSong_GB2312"/>
                <w:sz w:val="24"/>
                <w:szCs w:val="24"/>
                <w:spacing w:val="-3"/>
              </w:rPr>
              <w:t>规定。</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ind w:left="266"/>
              <w:spacing w:before="20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违法事实</w:t>
            </w:r>
          </w:p>
        </w:tc>
        <w:tc>
          <w:tcPr>
            <w:tcW w:w="1889" w:type="dxa"/>
            <w:vAlign w:val="top"/>
            <w:vMerge w:val="restart"/>
            <w:tcBorders>
              <w:bottom w:val="nil"/>
            </w:tcBorders>
          </w:tcPr>
          <w:p>
            <w:pPr>
              <w:ind w:left="477" w:right="462" w:firstLine="116"/>
              <w:spacing w:before="20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2"/>
              </w:rPr>
              <w:t>排放</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22"/>
              </w:rPr>
              <w:t>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数量偏差</w:t>
            </w:r>
          </w:p>
        </w:tc>
        <w:tc>
          <w:tcPr>
            <w:tcW w:w="792" w:type="dxa"/>
            <w:vAlign w:val="top"/>
            <w:vMerge w:val="restart"/>
            <w:tcBorders>
              <w:bottom w:val="nil"/>
            </w:tcBorders>
          </w:tcPr>
          <w:p>
            <w:pPr>
              <w:spacing w:line="28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3"/>
              </w:rPr>
              <w:t>个</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0"/>
              </w:rPr>
              <w:t>个</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3</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8"/>
              </w:rPr>
              <w:t>个及以上</w:t>
            </w:r>
          </w:p>
        </w:tc>
        <w:tc>
          <w:tcPr>
            <w:tcW w:w="1062" w:type="dxa"/>
            <w:vAlign w:val="top"/>
          </w:tcPr>
          <w:p>
            <w:pPr>
              <w:ind w:left="13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444"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444"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2"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ind w:left="830" w:right="222" w:hanging="596"/>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09" w:firstLine="16"/>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8"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5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p>
        </w:tc>
        <w:tc>
          <w:tcPr>
            <w:tcW w:w="1062" w:type="dxa"/>
            <w:vAlign w:val="top"/>
          </w:tcPr>
          <w:p>
            <w:pPr>
              <w:spacing w:line="279"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46"/>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2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性物质的废水或其他污染物</w:t>
            </w:r>
          </w:p>
        </w:tc>
        <w:tc>
          <w:tcPr>
            <w:tcW w:w="1062" w:type="dxa"/>
            <w:vAlign w:val="top"/>
          </w:tcPr>
          <w:p>
            <w:pPr>
              <w:rPr>
                <w:rFonts w:ascii="Arial"/>
                <w:sz w:val="21"/>
              </w:rPr>
            </w:pPr>
            <w:r/>
          </w:p>
        </w:tc>
      </w:tr>
      <w:tr>
        <w:trPr>
          <w:trHeight w:val="319" w:hRule="atLeast"/>
        </w:trPr>
        <w:tc>
          <w:tcPr>
            <w:tcW w:w="1480" w:type="dxa"/>
            <w:vAlign w:val="top"/>
            <w:vMerge w:val="restart"/>
            <w:tcBorders>
              <w:bottom w:val="nil"/>
            </w:tcBorders>
          </w:tcPr>
          <w:p>
            <w:pPr>
              <w:ind w:left="266" w:right="258" w:firstLine="7"/>
              <w:spacing w:before="43"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3"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7"/>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15</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23"/>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污染物排放方式或者排放去向不符合排污许可证规定的</w:t>
            </w:r>
          </w:p>
        </w:tc>
      </w:tr>
      <w:tr>
        <w:trPr>
          <w:trHeight w:val="2839" w:hRule="atLeast"/>
        </w:trPr>
        <w:tc>
          <w:tcPr>
            <w:tcW w:w="1420" w:type="dxa"/>
            <w:vAlign w:val="top"/>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6" w:right="167" w:firstLine="9"/>
              <w:spacing w:before="3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污染物排放口位置和数量、污染物</w:t>
            </w:r>
            <w:r>
              <w:rPr>
                <w:rFonts w:ascii="FangSong_GB2312" w:hAnsi="FangSong_GB2312" w:eastAsia="FangSong_GB2312" w:cs="FangSong_GB2312"/>
                <w:sz w:val="24"/>
                <w:szCs w:val="24"/>
                <w:spacing w:val="-2"/>
              </w:rPr>
              <w:t>排放方式和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排放去向应当与排污许可证规定相符。</w:t>
            </w:r>
          </w:p>
          <w:p>
            <w:pPr>
              <w:spacing w:line="268"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33" w:right="107" w:hanging="8"/>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的，</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6"/>
              </w:rPr>
              <w:t>由生态环境主管部门责令改正，处</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的罚款；拒不改正的，责令停产整治：</w:t>
            </w:r>
          </w:p>
          <w:p>
            <w:pPr>
              <w:ind w:left="164"/>
              <w:spacing w:before="35"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二</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污染物排放方式或者排放去向不符合排污许可证规</w:t>
            </w:r>
            <w:r>
              <w:rPr>
                <w:rFonts w:ascii="FangSong_GB2312" w:hAnsi="FangSong_GB2312" w:eastAsia="FangSong_GB2312" w:cs="FangSong_GB2312"/>
                <w:sz w:val="24"/>
                <w:szCs w:val="24"/>
                <w:spacing w:val="-3"/>
              </w:rPr>
              <w:t>定。</w:t>
            </w:r>
          </w:p>
        </w:tc>
      </w:tr>
      <w:tr>
        <w:trPr>
          <w:trHeight w:val="635" w:hRule="atLeast"/>
        </w:trPr>
        <w:tc>
          <w:tcPr>
            <w:tcW w:w="4161" w:type="dxa"/>
            <w:vAlign w:val="top"/>
            <w:gridSpan w:val="4"/>
          </w:tcPr>
          <w:p>
            <w:pPr>
              <w:ind w:left="1527"/>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48"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99" w:lineRule="auto"/>
              <w:rPr>
                <w:rFonts w:ascii="Arial"/>
                <w:sz w:val="21"/>
              </w:rPr>
            </w:pPr>
            <w:r/>
          </w:p>
          <w:p>
            <w:pPr>
              <w:spacing w:line="299" w:lineRule="auto"/>
              <w:rPr>
                <w:rFonts w:ascii="Arial"/>
                <w:sz w:val="21"/>
              </w:rPr>
            </w:pPr>
            <w:r/>
          </w:p>
          <w:p>
            <w:pPr>
              <w:ind w:left="390" w:right="135" w:hanging="24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99" w:lineRule="auto"/>
              <w:rPr>
                <w:rFonts w:ascii="Arial"/>
                <w:sz w:val="21"/>
              </w:rPr>
            </w:pPr>
            <w:r/>
          </w:p>
          <w:p>
            <w:pPr>
              <w:spacing w:line="300"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right="209" w:hanging="7"/>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部分污染物排放去向不符合</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9"/>
              </w:rPr>
              <w:t>规定</w:t>
            </w:r>
          </w:p>
        </w:tc>
        <w:tc>
          <w:tcPr>
            <w:tcW w:w="1062" w:type="dxa"/>
            <w:vAlign w:val="top"/>
          </w:tcPr>
          <w:p>
            <w:pPr>
              <w:ind w:left="25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4"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209" w:hanging="7"/>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部分污染物排放方式不符合</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9"/>
              </w:rPr>
              <w:t>规定</w:t>
            </w:r>
          </w:p>
        </w:tc>
        <w:tc>
          <w:tcPr>
            <w:tcW w:w="1062" w:type="dxa"/>
            <w:vAlign w:val="top"/>
          </w:tcPr>
          <w:p>
            <w:pPr>
              <w:ind w:left="190"/>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5"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44" w:right="209" w:hanging="18"/>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污染物排放方式或者排放去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7"/>
              </w:rPr>
              <w:t>向不符合规定</w:t>
            </w:r>
          </w:p>
        </w:tc>
        <w:tc>
          <w:tcPr>
            <w:tcW w:w="1062" w:type="dxa"/>
            <w:vAlign w:val="top"/>
          </w:tcPr>
          <w:p>
            <w:pPr>
              <w:ind w:left="13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300" w:lineRule="auto"/>
              <w:rPr>
                <w:rFonts w:ascii="Arial"/>
                <w:sz w:val="21"/>
              </w:rPr>
            </w:pPr>
            <w:r/>
          </w:p>
          <w:p>
            <w:pPr>
              <w:spacing w:line="301" w:lineRule="auto"/>
              <w:rPr>
                <w:rFonts w:ascii="Arial"/>
                <w:sz w:val="21"/>
              </w:rPr>
            </w:pPr>
            <w:r/>
          </w:p>
          <w:p>
            <w:pPr>
              <w:ind w:left="635" w:right="135" w:hanging="489"/>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444"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3" w:lineRule="auto"/>
              <w:rPr>
                <w:rFonts w:ascii="Arial"/>
                <w:sz w:val="21"/>
              </w:rPr>
            </w:pPr>
            <w:r/>
          </w:p>
          <w:p>
            <w:pPr>
              <w:ind w:left="133"/>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517" w:right="135" w:hanging="37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723" w:right="342" w:hanging="36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09" w:firstLine="16"/>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7"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7"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48"/>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9" w:hRule="atLeast"/>
        </w:trPr>
        <w:tc>
          <w:tcPr>
            <w:tcW w:w="1480"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20" w:right="209" w:firstLine="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物或重金属、病原体、放射</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性物质的废水或其他污染物</w:t>
            </w:r>
          </w:p>
        </w:tc>
        <w:tc>
          <w:tcPr>
            <w:tcW w:w="1062" w:type="dxa"/>
            <w:vAlign w:val="top"/>
          </w:tcPr>
          <w:p>
            <w:pPr>
              <w:rPr>
                <w:rFonts w:ascii="Arial"/>
                <w:sz w:val="21"/>
              </w:rPr>
            </w:pPr>
            <w:r/>
          </w:p>
        </w:tc>
      </w:tr>
      <w:tr>
        <w:trPr>
          <w:trHeight w:val="319" w:hRule="atLeast"/>
        </w:trPr>
        <w:tc>
          <w:tcPr>
            <w:tcW w:w="1480" w:type="dxa"/>
            <w:vAlign w:val="top"/>
            <w:vMerge w:val="restart"/>
            <w:tcBorders>
              <w:bottom w:val="nil"/>
            </w:tcBorders>
          </w:tcPr>
          <w:p>
            <w:pPr>
              <w:ind w:left="266" w:right="258" w:firstLine="7"/>
              <w:spacing w:before="43"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3"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9"/>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16</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损毁或者擅自移动、改变污染物排放自动监测设备的</w:t>
            </w:r>
          </w:p>
        </w:tc>
      </w:tr>
      <w:tr>
        <w:trPr>
          <w:trHeight w:val="3154" w:hRule="atLeast"/>
        </w:trPr>
        <w:tc>
          <w:tcPr>
            <w:tcW w:w="142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3" w:right="167" w:firstLine="12"/>
              <w:spacing w:before="3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实行排污许可重点管理的排污单位</w:t>
            </w:r>
            <w:r>
              <w:rPr>
                <w:rFonts w:ascii="FangSong_GB2312" w:hAnsi="FangSong_GB2312" w:eastAsia="FangSong_GB2312" w:cs="FangSong_GB2312"/>
                <w:sz w:val="24"/>
                <w:szCs w:val="24"/>
                <w:spacing w:val="-2"/>
              </w:rPr>
              <w:t>，应当依法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安装、使用、维护污染物排放自动监测设备，并与生态环境主管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部门的监控设备联网。</w:t>
            </w:r>
          </w:p>
          <w:p>
            <w:pPr>
              <w:spacing w:line="27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33" w:right="107" w:hanging="8"/>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第三项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的，</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6"/>
              </w:rPr>
              <w:t>由生态环境主管部门责令改正，处</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的罚款；拒不改正的，责令停产整治：</w:t>
            </w:r>
          </w:p>
          <w:p>
            <w:pPr>
              <w:ind w:left="164"/>
              <w:spacing w:before="38"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三</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损毁或者擅自移动、</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3"/>
              </w:rPr>
              <w:t>改变污染物</w:t>
            </w:r>
            <w:r>
              <w:rPr>
                <w:rFonts w:ascii="FangSong_GB2312" w:hAnsi="FangSong_GB2312" w:eastAsia="FangSong_GB2312" w:cs="FangSong_GB2312"/>
                <w:sz w:val="24"/>
                <w:szCs w:val="24"/>
                <w:spacing w:val="-4"/>
              </w:rPr>
              <w:t>排放自动监测设备。</w:t>
            </w:r>
          </w:p>
        </w:tc>
      </w:tr>
      <w:tr>
        <w:trPr>
          <w:trHeight w:val="635" w:hRule="atLeast"/>
        </w:trPr>
        <w:tc>
          <w:tcPr>
            <w:tcW w:w="4161" w:type="dxa"/>
            <w:vAlign w:val="top"/>
            <w:gridSpan w:val="4"/>
          </w:tcPr>
          <w:p>
            <w:pPr>
              <w:ind w:left="1527"/>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480" w:type="dxa"/>
            <w:vAlign w:val="top"/>
            <w:gridSpan w:val="2"/>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390" w:right="135" w:hanging="24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2" w:right="101"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造</w:t>
            </w:r>
            <w:r>
              <w:rPr>
                <w:rFonts w:ascii="FangSong_GB2312" w:hAnsi="FangSong_GB2312" w:eastAsia="FangSong_GB2312" w:cs="FangSong_GB2312"/>
                <w:sz w:val="24"/>
                <w:szCs w:val="24"/>
                <w:spacing w:val="-71"/>
              </w:rPr>
              <w:t xml:space="preserve"> </w:t>
            </w:r>
            <w:r>
              <w:rPr>
                <w:rFonts w:ascii="FangSong_GB2312" w:hAnsi="FangSong_GB2312" w:eastAsia="FangSong_GB2312" w:cs="FangSong_GB2312"/>
                <w:sz w:val="24"/>
                <w:szCs w:val="24"/>
                <w:spacing w:val="-16"/>
              </w:rPr>
              <w:t>成</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6"/>
              </w:rPr>
              <w:t>自</w:t>
            </w:r>
            <w:r>
              <w:rPr>
                <w:rFonts w:ascii="FangSong_GB2312" w:hAnsi="FangSong_GB2312" w:eastAsia="FangSong_GB2312" w:cs="FangSong_GB2312"/>
                <w:sz w:val="24"/>
                <w:szCs w:val="24"/>
                <w:spacing w:val="-64"/>
              </w:rPr>
              <w:t xml:space="preserve"> </w:t>
            </w:r>
            <w:r>
              <w:rPr>
                <w:rFonts w:ascii="FangSong_GB2312" w:hAnsi="FangSong_GB2312" w:eastAsia="FangSong_GB2312" w:cs="FangSong_GB2312"/>
                <w:sz w:val="24"/>
                <w:szCs w:val="24"/>
                <w:spacing w:val="-16"/>
              </w:rPr>
              <w:t>动</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16"/>
              </w:rPr>
              <w:t>监</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16"/>
              </w:rPr>
              <w:t>测</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16"/>
              </w:rPr>
              <w:t>与人</w:t>
            </w:r>
            <w:r>
              <w:rPr>
                <w:rFonts w:ascii="FangSong_GB2312" w:hAnsi="FangSong_GB2312" w:eastAsia="FangSong_GB2312" w:cs="FangSong_GB2312"/>
                <w:sz w:val="24"/>
                <w:szCs w:val="24"/>
                <w:spacing w:val="-69"/>
              </w:rPr>
              <w:t xml:space="preserve"> </w:t>
            </w:r>
            <w:r>
              <w:rPr>
                <w:rFonts w:ascii="FangSong_GB2312" w:hAnsi="FangSong_GB2312" w:eastAsia="FangSong_GB2312" w:cs="FangSong_GB2312"/>
                <w:sz w:val="24"/>
                <w:szCs w:val="24"/>
                <w:spacing w:val="-16"/>
              </w:rPr>
              <w:t>工</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16"/>
              </w:rPr>
              <w:t>监</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16"/>
              </w:rPr>
              <w:t>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(或者标准物质测试)数据误</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8"/>
              </w:rPr>
              <w:t>差超过技术规范允许范围不</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足</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11"/>
              </w:rPr>
              <w:t>倍</w:t>
            </w:r>
          </w:p>
        </w:tc>
        <w:tc>
          <w:tcPr>
            <w:tcW w:w="1062" w:type="dxa"/>
            <w:vAlign w:val="top"/>
          </w:tcPr>
          <w:p>
            <w:pPr>
              <w:spacing w:line="432" w:lineRule="auto"/>
              <w:rPr>
                <w:rFonts w:ascii="Arial"/>
                <w:sz w:val="21"/>
              </w:rPr>
            </w:pPr>
            <w:r/>
          </w:p>
          <w:p>
            <w:pPr>
              <w:ind w:left="25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1264"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right="101"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造</w:t>
            </w:r>
            <w:r>
              <w:rPr>
                <w:rFonts w:ascii="FangSong_GB2312" w:hAnsi="FangSong_GB2312" w:eastAsia="FangSong_GB2312" w:cs="FangSong_GB2312"/>
                <w:sz w:val="24"/>
                <w:szCs w:val="24"/>
                <w:spacing w:val="-71"/>
              </w:rPr>
              <w:t xml:space="preserve"> </w:t>
            </w:r>
            <w:r>
              <w:rPr>
                <w:rFonts w:ascii="FangSong_GB2312" w:hAnsi="FangSong_GB2312" w:eastAsia="FangSong_GB2312" w:cs="FangSong_GB2312"/>
                <w:sz w:val="24"/>
                <w:szCs w:val="24"/>
                <w:spacing w:val="-16"/>
              </w:rPr>
              <w:t>成</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6"/>
              </w:rPr>
              <w:t>自</w:t>
            </w:r>
            <w:r>
              <w:rPr>
                <w:rFonts w:ascii="FangSong_GB2312" w:hAnsi="FangSong_GB2312" w:eastAsia="FangSong_GB2312" w:cs="FangSong_GB2312"/>
                <w:sz w:val="24"/>
                <w:szCs w:val="24"/>
                <w:spacing w:val="-64"/>
              </w:rPr>
              <w:t xml:space="preserve"> </w:t>
            </w:r>
            <w:r>
              <w:rPr>
                <w:rFonts w:ascii="FangSong_GB2312" w:hAnsi="FangSong_GB2312" w:eastAsia="FangSong_GB2312" w:cs="FangSong_GB2312"/>
                <w:sz w:val="24"/>
                <w:szCs w:val="24"/>
                <w:spacing w:val="-16"/>
              </w:rPr>
              <w:t>动</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16"/>
              </w:rPr>
              <w:t>监</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16"/>
              </w:rPr>
              <w:t>测</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16"/>
              </w:rPr>
              <w:t>与人</w:t>
            </w:r>
            <w:r>
              <w:rPr>
                <w:rFonts w:ascii="FangSong_GB2312" w:hAnsi="FangSong_GB2312" w:eastAsia="FangSong_GB2312" w:cs="FangSong_GB2312"/>
                <w:sz w:val="24"/>
                <w:szCs w:val="24"/>
                <w:spacing w:val="-69"/>
              </w:rPr>
              <w:t xml:space="preserve"> </w:t>
            </w:r>
            <w:r>
              <w:rPr>
                <w:rFonts w:ascii="FangSong_GB2312" w:hAnsi="FangSong_GB2312" w:eastAsia="FangSong_GB2312" w:cs="FangSong_GB2312"/>
                <w:sz w:val="24"/>
                <w:szCs w:val="24"/>
                <w:spacing w:val="-16"/>
              </w:rPr>
              <w:t>工</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16"/>
              </w:rPr>
              <w:t>监</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16"/>
              </w:rPr>
              <w:t>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(或者标准物质测试)数据误</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0"/>
              </w:rPr>
              <w:t>差超过技术规范允许范围</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倍以上不足</w:t>
            </w:r>
            <w:r>
              <w:rPr>
                <w:rFonts w:ascii="FangSong_GB2312" w:hAnsi="FangSong_GB2312" w:eastAsia="FangSong_GB2312" w:cs="FangSong_GB2312"/>
                <w:sz w:val="24"/>
                <w:szCs w:val="24"/>
                <w:spacing w:val="20"/>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4"/>
              </w:rPr>
              <w:t>倍</w:t>
            </w:r>
          </w:p>
        </w:tc>
        <w:tc>
          <w:tcPr>
            <w:tcW w:w="1062" w:type="dxa"/>
            <w:vAlign w:val="top"/>
          </w:tcPr>
          <w:p>
            <w:pPr>
              <w:spacing w:line="432"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2" w:right="101"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造</w:t>
            </w:r>
            <w:r>
              <w:rPr>
                <w:rFonts w:ascii="FangSong_GB2312" w:hAnsi="FangSong_GB2312" w:eastAsia="FangSong_GB2312" w:cs="FangSong_GB2312"/>
                <w:sz w:val="24"/>
                <w:szCs w:val="24"/>
                <w:spacing w:val="-71"/>
              </w:rPr>
              <w:t xml:space="preserve"> </w:t>
            </w:r>
            <w:r>
              <w:rPr>
                <w:rFonts w:ascii="FangSong_GB2312" w:hAnsi="FangSong_GB2312" w:eastAsia="FangSong_GB2312" w:cs="FangSong_GB2312"/>
                <w:sz w:val="24"/>
                <w:szCs w:val="24"/>
                <w:spacing w:val="-16"/>
              </w:rPr>
              <w:t>成</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6"/>
              </w:rPr>
              <w:t>自</w:t>
            </w:r>
            <w:r>
              <w:rPr>
                <w:rFonts w:ascii="FangSong_GB2312" w:hAnsi="FangSong_GB2312" w:eastAsia="FangSong_GB2312" w:cs="FangSong_GB2312"/>
                <w:sz w:val="24"/>
                <w:szCs w:val="24"/>
                <w:spacing w:val="-64"/>
              </w:rPr>
              <w:t xml:space="preserve"> </w:t>
            </w:r>
            <w:r>
              <w:rPr>
                <w:rFonts w:ascii="FangSong_GB2312" w:hAnsi="FangSong_GB2312" w:eastAsia="FangSong_GB2312" w:cs="FangSong_GB2312"/>
                <w:sz w:val="24"/>
                <w:szCs w:val="24"/>
                <w:spacing w:val="-16"/>
              </w:rPr>
              <w:t>动</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16"/>
              </w:rPr>
              <w:t>监</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16"/>
              </w:rPr>
              <w:t>测</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16"/>
              </w:rPr>
              <w:t>与人</w:t>
            </w:r>
            <w:r>
              <w:rPr>
                <w:rFonts w:ascii="FangSong_GB2312" w:hAnsi="FangSong_GB2312" w:eastAsia="FangSong_GB2312" w:cs="FangSong_GB2312"/>
                <w:sz w:val="24"/>
                <w:szCs w:val="24"/>
                <w:spacing w:val="-69"/>
              </w:rPr>
              <w:t xml:space="preserve"> </w:t>
            </w:r>
            <w:r>
              <w:rPr>
                <w:rFonts w:ascii="FangSong_GB2312" w:hAnsi="FangSong_GB2312" w:eastAsia="FangSong_GB2312" w:cs="FangSong_GB2312"/>
                <w:sz w:val="24"/>
                <w:szCs w:val="24"/>
                <w:spacing w:val="-16"/>
              </w:rPr>
              <w:t>工</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16"/>
              </w:rPr>
              <w:t>监</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16"/>
              </w:rPr>
              <w:t>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(或者标准物质测试)数据误</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0"/>
              </w:rPr>
              <w:t>差超过技术规范允许范围</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10"/>
              </w:rPr>
              <w:t>2</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倍以上</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300" w:lineRule="auto"/>
              <w:rPr>
                <w:rFonts w:ascii="Arial"/>
                <w:sz w:val="21"/>
              </w:rPr>
            </w:pPr>
            <w:r/>
          </w:p>
          <w:p>
            <w:pPr>
              <w:spacing w:line="301" w:lineRule="auto"/>
              <w:rPr>
                <w:rFonts w:ascii="Arial"/>
                <w:sz w:val="21"/>
              </w:rPr>
            </w:pPr>
            <w:r/>
          </w:p>
          <w:p>
            <w:pPr>
              <w:ind w:left="635" w:right="135" w:hanging="489"/>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446"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7"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50"/>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spacing w:line="289" w:lineRule="auto"/>
              <w:rPr>
                <w:rFonts w:ascii="Arial"/>
                <w:sz w:val="21"/>
              </w:rPr>
            </w:pPr>
            <w:r/>
          </w:p>
          <w:p>
            <w:pPr>
              <w:ind w:left="23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监测站点级别</w:t>
            </w:r>
          </w:p>
        </w:tc>
        <w:tc>
          <w:tcPr>
            <w:tcW w:w="792" w:type="dxa"/>
            <w:vAlign w:val="top"/>
            <w:vMerge w:val="restart"/>
            <w:tcBorders>
              <w:bottom w:val="nil"/>
            </w:tcBorders>
          </w:tcPr>
          <w:p>
            <w:pPr>
              <w:spacing w:line="28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市控</w:t>
            </w:r>
          </w:p>
        </w:tc>
        <w:tc>
          <w:tcPr>
            <w:tcW w:w="1062" w:type="dxa"/>
            <w:vAlign w:val="top"/>
          </w:tcPr>
          <w:p>
            <w:pPr>
              <w:ind w:left="25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省控</w:t>
            </w:r>
          </w:p>
        </w:tc>
        <w:tc>
          <w:tcPr>
            <w:tcW w:w="1062" w:type="dxa"/>
            <w:vAlign w:val="top"/>
          </w:tcPr>
          <w:p>
            <w:pPr>
              <w:ind w:left="19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国控</w:t>
            </w:r>
          </w:p>
        </w:tc>
        <w:tc>
          <w:tcPr>
            <w:tcW w:w="1062" w:type="dxa"/>
            <w:vAlign w:val="top"/>
          </w:tcPr>
          <w:p>
            <w:pPr>
              <w:ind w:left="13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51"/>
          <w:pgSz w:w="11905" w:h="16839"/>
          <w:pgMar w:top="1431" w:right="1738" w:bottom="1153"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17</w:t>
            </w:r>
          </w:p>
        </w:tc>
      </w:tr>
      <w:tr>
        <w:trPr>
          <w:trHeight w:val="949" w:hRule="atLeast"/>
        </w:trPr>
        <w:tc>
          <w:tcPr>
            <w:tcW w:w="1420" w:type="dxa"/>
            <w:vAlign w:val="top"/>
          </w:tcPr>
          <w:p>
            <w:pPr>
              <w:spacing w:line="242" w:lineRule="auto"/>
              <w:rPr>
                <w:rFonts w:ascii="Arial"/>
                <w:sz w:val="21"/>
              </w:rPr>
            </w:pPr>
            <w:r/>
          </w:p>
          <w:p>
            <w:pPr>
              <w:ind w:left="122"/>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20" w:right="174" w:hanging="7"/>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未按照排污许可证规定安装、使用污染物排放自动监测设备并与</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生态环境主管部门的监控设备联网，或者未保证污染物排放自动</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监测设备正常运行的</w:t>
            </w:r>
          </w:p>
        </w:tc>
      </w:tr>
      <w:tr>
        <w:trPr>
          <w:trHeight w:val="4413" w:hRule="atLeast"/>
        </w:trPr>
        <w:tc>
          <w:tcPr>
            <w:tcW w:w="1420"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3" w:right="107" w:firstLine="12"/>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实行排污许可重点管理的排污单位，应当依法安装、使</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用、维护污染物排放自动监测设备，并与生态环境主管部门的监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控设备联网。</w:t>
            </w:r>
          </w:p>
          <w:p>
            <w:pPr>
              <w:ind w:left="135" w:right="107" w:hanging="19"/>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排污单位发现污染物排放自动监测设备传输数据异常的，</w:t>
            </w:r>
            <w:r>
              <w:rPr>
                <w:rFonts w:ascii="FangSong_GB2312" w:hAnsi="FangSong_GB2312" w:eastAsia="FangSong_GB2312" w:cs="FangSong_GB2312"/>
                <w:sz w:val="24"/>
                <w:szCs w:val="24"/>
                <w:spacing w:val="1"/>
              </w:rPr>
              <w:t>应当及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时报告生态环境主管部门，并进行检查、修复。</w:t>
            </w:r>
          </w:p>
          <w:p>
            <w:pPr>
              <w:spacing w:line="271"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5" w:right="10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第四项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的，由生态环境主管部门责令改正，处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罚款；拒不改正的，责令停产整治：</w:t>
            </w:r>
          </w:p>
          <w:p>
            <w:pPr>
              <w:ind w:left="114" w:right="107" w:firstLine="49"/>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
              </w:rPr>
              <w:t>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)未按照排污许可证规定安装、使用污染物排放</w:t>
            </w:r>
            <w:r>
              <w:rPr>
                <w:rFonts w:ascii="FangSong_GB2312" w:hAnsi="FangSong_GB2312" w:eastAsia="FangSong_GB2312" w:cs="FangSong_GB2312"/>
                <w:sz w:val="24"/>
                <w:szCs w:val="24"/>
                <w:spacing w:val="-2"/>
              </w:rPr>
              <w:t>自动监测设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备并与生态环境主管部门的监控设备联网，或者未保证污染物排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放自动监测设备正常运行。</w:t>
            </w:r>
          </w:p>
        </w:tc>
      </w:tr>
      <w:tr>
        <w:trPr>
          <w:trHeight w:val="635" w:hRule="atLeast"/>
        </w:trPr>
        <w:tc>
          <w:tcPr>
            <w:tcW w:w="4161" w:type="dxa"/>
            <w:vAlign w:val="top"/>
            <w:gridSpan w:val="4"/>
          </w:tcPr>
          <w:p>
            <w:pPr>
              <w:ind w:left="152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390" w:right="135" w:hanging="24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1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6" w:right="209" w:firstLine="3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自动监测设备安装、运行维</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护不符合相关技术规范</w:t>
            </w:r>
          </w:p>
        </w:tc>
        <w:tc>
          <w:tcPr>
            <w:tcW w:w="1062" w:type="dxa"/>
            <w:vAlign w:val="top"/>
          </w:tcPr>
          <w:p>
            <w:pPr>
              <w:ind w:left="25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5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firstLine="35"/>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自动监测设备已安装，未按</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照规定与生态环境主管部门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3"/>
              </w:rPr>
              <w:t>监控设备联网</w:t>
            </w:r>
          </w:p>
        </w:tc>
        <w:tc>
          <w:tcPr>
            <w:tcW w:w="1062" w:type="dxa"/>
            <w:vAlign w:val="top"/>
          </w:tcPr>
          <w:p>
            <w:pPr>
              <w:spacing w:line="276"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right="209"/>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未按照规定安装污染物排放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自动监测设备，或者擅自停</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运部分或全部污染源自动监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测设备</w:t>
            </w:r>
          </w:p>
        </w:tc>
        <w:tc>
          <w:tcPr>
            <w:tcW w:w="1062"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7" w:hRule="atLeast"/>
        </w:trPr>
        <w:tc>
          <w:tcPr>
            <w:tcW w:w="1480" w:type="dxa"/>
            <w:vAlign w:val="top"/>
            <w:gridSpan w:val="2"/>
          </w:tcPr>
          <w:p>
            <w:pPr>
              <w:spacing w:line="434" w:lineRule="auto"/>
              <w:rPr>
                <w:rFonts w:ascii="Arial"/>
                <w:sz w:val="21"/>
              </w:rPr>
            </w:pPr>
            <w:r/>
          </w:p>
          <w:p>
            <w:pPr>
              <w:ind w:left="2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违法事实</w:t>
            </w:r>
          </w:p>
        </w:tc>
        <w:tc>
          <w:tcPr>
            <w:tcW w:w="1889" w:type="dxa"/>
            <w:vAlign w:val="top"/>
          </w:tcPr>
          <w:p>
            <w:pPr>
              <w:ind w:left="478"/>
              <w:spacing w:before="201"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监测数据</w:t>
            </w:r>
          </w:p>
          <w:p>
            <w:pPr>
              <w:ind w:left="351"/>
              <w:spacing w:before="3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误差或有效</w:t>
            </w:r>
          </w:p>
          <w:p>
            <w:pPr>
              <w:ind w:left="58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传输率</w:t>
            </w:r>
          </w:p>
        </w:tc>
        <w:tc>
          <w:tcPr>
            <w:tcW w:w="792" w:type="dxa"/>
            <w:vAlign w:val="top"/>
          </w:tcPr>
          <w:p>
            <w:pPr>
              <w:spacing w:line="27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right="269" w:hanging="2"/>
              <w:spacing w:before="4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未保证监测设备正常运行，</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造成自动监测与人工监测</w:t>
            </w:r>
          </w:p>
          <w:p>
            <w:pPr>
              <w:ind w:left="123" w:right="209" w:firstLine="43"/>
              <w:spacing w:before="3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(或者标准物质测试)数据误</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差超过技术规范允许范围</w:t>
            </w:r>
          </w:p>
        </w:tc>
        <w:tc>
          <w:tcPr>
            <w:tcW w:w="1062" w:type="dxa"/>
            <w:vAlign w:val="top"/>
          </w:tcPr>
          <w:p>
            <w:pPr>
              <w:spacing w:line="434" w:lineRule="auto"/>
              <w:rPr>
                <w:rFonts w:ascii="Arial"/>
                <w:sz w:val="21"/>
              </w:rPr>
            </w:pPr>
            <w:r/>
          </w:p>
          <w:p>
            <w:pPr>
              <w:ind w:left="25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52"/>
          <w:pgSz w:w="11905" w:h="16839"/>
          <w:pgMar w:top="1431" w:right="1738" w:bottom="1156" w:left="1737" w:header="0" w:footer="994" w:gutter="0"/>
        </w:sectPr>
        <w:rPr/>
      </w:pPr>
    </w:p>
    <w:p>
      <w:pPr>
        <w:spacing w:before="92"/>
        <w:rPr/>
      </w:pPr>
      <w:r>
        <w:pict>
          <v:shape id="_x0000_s2" style="position:absolute;margin-left:575.86pt;margin-top:252.05pt;mso-position-vertical-relative:page;mso-position-horizontal-relative:page;width:16.7pt;height:16.75pt;z-index:251714560;" o:allowincell="f" filled="false" strokecolor="#000000" strokeweight="0.25pt" coordsize="334,335" coordorigin="0,0" path="m,l0,334l333,334l333,0l0,0e">
            <v:stroke joinstyle="miter" miterlimit="0"/>
          </v:shape>
        </w:pict>
      </w: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954"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18" w:right="209" w:firstLine="1"/>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不足</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倍/自动监测季度数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据有效传输率</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75%以上不足</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90%</w:t>
            </w:r>
          </w:p>
        </w:tc>
        <w:tc>
          <w:tcPr>
            <w:tcW w:w="1062" w:type="dxa"/>
            <w:vAlign w:val="top"/>
          </w:tcPr>
          <w:p>
            <w:pPr>
              <w:rPr>
                <w:rFonts w:ascii="Arial"/>
                <w:sz w:val="21"/>
              </w:rPr>
            </w:pPr>
            <w:r/>
          </w:p>
        </w:tc>
      </w:tr>
      <w:tr>
        <w:trPr>
          <w:trHeight w:val="220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7" w:right="269" w:hanging="2"/>
              <w:spacing w:before="3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未保证监测设备正常运行，</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造成自动监测与人工监测</w:t>
            </w:r>
          </w:p>
          <w:p>
            <w:pPr>
              <w:ind w:left="123" w:right="209" w:firstLine="43"/>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(或者标准物质测试)数据误</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差超过技术规范允许范围</w:t>
            </w:r>
          </w:p>
          <w:p>
            <w:pPr>
              <w:ind w:left="123" w:right="209" w:firstLine="7"/>
              <w:spacing w:before="34"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倍以上不足</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倍/自动监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测季度数据有效传输率</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60%</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6"/>
              </w:rPr>
              <w:t>以上不足</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75%</w:t>
            </w:r>
          </w:p>
        </w:tc>
        <w:tc>
          <w:tcPr>
            <w:tcW w:w="1062" w:type="dxa"/>
            <w:vAlign w:val="top"/>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89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right="209"/>
              <w:spacing w:before="43"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未保证自动监测设备正常运</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行，造成自动监测与人工监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测</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6"/>
              </w:rPr>
              <w:t>(或者标准物质测试)</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据误差超过技术规范允许范</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围</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倍以上/自动监测季度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数据有效传输率不足</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60%</w:t>
            </w:r>
          </w:p>
        </w:tc>
        <w:tc>
          <w:tcPr>
            <w:tcW w:w="1062"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517" w:right="135" w:hanging="371"/>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830" w:right="222" w:hanging="596"/>
              <w:spacing w:before="78"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09" w:firstLine="16"/>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6"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性物质的废水或其他污染物</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3"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3" w:hRule="atLeast"/>
        </w:trPr>
        <w:tc>
          <w:tcPr>
            <w:tcW w:w="1480" w:type="dxa"/>
            <w:vAlign w:val="top"/>
            <w:vMerge w:val="restart"/>
            <w:tcBorders>
              <w:bottom w:val="nil"/>
            </w:tcBorders>
          </w:tcPr>
          <w:p>
            <w:pPr>
              <w:ind w:left="148"/>
              <w:spacing w:before="9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53"/>
          <w:pgSz w:w="11905" w:h="16839"/>
          <w:pgMar w:top="1431" w:right="54" w:bottom="1153"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18</w:t>
            </w:r>
          </w:p>
        </w:tc>
      </w:tr>
      <w:tr>
        <w:trPr>
          <w:trHeight w:val="635"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未按照排污许可证规定制定自行监测方案并开展自行监测的</w:t>
            </w:r>
          </w:p>
        </w:tc>
      </w:tr>
      <w:tr>
        <w:trPr>
          <w:trHeight w:val="3468" w:hRule="atLeast"/>
        </w:trPr>
        <w:tc>
          <w:tcPr>
            <w:tcW w:w="1420"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0" w:right="107" w:firstLine="15"/>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排污单位应当按照排污许可证规定和有</w:t>
            </w:r>
            <w:r>
              <w:rPr>
                <w:rFonts w:ascii="FangSong_GB2312" w:hAnsi="FangSong_GB2312" w:eastAsia="FangSong_GB2312" w:cs="FangSong_GB2312"/>
                <w:sz w:val="24"/>
                <w:szCs w:val="24"/>
              </w:rPr>
              <w:t>关标准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规范，依法开展自行监测，并保存原始监测记录。原始监测记录</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保存期限不得少于</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5</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年。</w:t>
            </w:r>
          </w:p>
          <w:p>
            <w:pPr>
              <w:spacing w:line="269"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5" w:right="10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第五项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的，由生态环境主管部门责令改正，处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罚款；拒不改正的，责令停产整治：</w:t>
            </w:r>
          </w:p>
          <w:p>
            <w:pPr>
              <w:ind w:left="121" w:right="107" w:firstLine="43"/>
              <w:spacing w:before="35"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五</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未按照排污许可证规定制定自行监测方案并开展自行监</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9"/>
              </w:rPr>
              <w:t>测。</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9" w:lineRule="auto"/>
              <w:rPr>
                <w:rFonts w:ascii="Arial"/>
                <w:sz w:val="21"/>
              </w:rPr>
            </w:pPr>
            <w:r/>
          </w:p>
          <w:p>
            <w:pPr>
              <w:ind w:left="390" w:right="135" w:hanging="24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90" w:lineRule="auto"/>
              <w:rPr>
                <w:rFonts w:ascii="Arial"/>
                <w:sz w:val="21"/>
              </w:rPr>
            </w:pPr>
            <w:r/>
          </w:p>
          <w:p>
            <w:pPr>
              <w:ind w:left="733" w:right="222" w:hanging="499"/>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6"/>
              </w:rPr>
              <w:t>时间</w:t>
            </w:r>
          </w:p>
        </w:tc>
        <w:tc>
          <w:tcPr>
            <w:tcW w:w="792" w:type="dxa"/>
            <w:vAlign w:val="top"/>
            <w:vMerge w:val="restart"/>
            <w:tcBorders>
              <w:bottom w:val="nil"/>
            </w:tcBorders>
          </w:tcPr>
          <w:p>
            <w:pPr>
              <w:spacing w:line="447" w:lineRule="auto"/>
              <w:rPr>
                <w:rFonts w:ascii="Arial"/>
                <w:sz w:val="21"/>
              </w:rPr>
            </w:pPr>
            <w:r/>
          </w:p>
          <w:p>
            <w:pPr>
              <w:ind w:left="1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6</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2" w:type="dxa"/>
            <w:vAlign w:val="top"/>
          </w:tcPr>
          <w:p>
            <w:pPr>
              <w:ind w:left="25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43"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5" w:right="209" w:hanging="7"/>
              <w:spacing w:before="4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6</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个月以上不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2"/>
              </w:rPr>
              <w:t>满</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12"/>
              </w:rPr>
              <w:t>12</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12"/>
              </w:rPr>
              <w:t>个月</w:t>
            </w:r>
          </w:p>
        </w:tc>
        <w:tc>
          <w:tcPr>
            <w:tcW w:w="1062" w:type="dxa"/>
            <w:vAlign w:val="top"/>
          </w:tcPr>
          <w:p>
            <w:pPr>
              <w:ind w:left="190"/>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4"/>
              </w:rPr>
              <w:t>12</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4"/>
              </w:rPr>
              <w:t>个月以上的</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290" w:lineRule="auto"/>
              <w:rPr>
                <w:rFonts w:ascii="Arial"/>
                <w:sz w:val="21"/>
              </w:rPr>
            </w:pPr>
            <w:r/>
          </w:p>
          <w:p>
            <w:pPr>
              <w:ind w:left="635" w:right="135" w:hanging="489"/>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447" w:lineRule="auto"/>
              <w:rPr>
                <w:rFonts w:ascii="Arial"/>
                <w:sz w:val="21"/>
              </w:rPr>
            </w:pPr>
            <w:r/>
          </w:p>
          <w:p>
            <w:pPr>
              <w:ind w:left="474"/>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违法事实</w:t>
            </w:r>
          </w:p>
        </w:tc>
        <w:tc>
          <w:tcPr>
            <w:tcW w:w="792" w:type="dxa"/>
            <w:vAlign w:val="top"/>
            <w:vMerge w:val="restart"/>
            <w:tcBorders>
              <w:bottom w:val="nil"/>
            </w:tcBorders>
          </w:tcPr>
          <w:p>
            <w:pPr>
              <w:spacing w:line="29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5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自行监测项目不全</w:t>
            </w:r>
          </w:p>
        </w:tc>
        <w:tc>
          <w:tcPr>
            <w:tcW w:w="1062" w:type="dxa"/>
            <w:vAlign w:val="top"/>
          </w:tcPr>
          <w:p>
            <w:pPr>
              <w:ind w:left="25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43"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58" w:right="209" w:hanging="43"/>
              <w:spacing w:before="4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未制定监测方案或者未开展</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4"/>
              </w:rPr>
              <w:t>自行监测</w:t>
            </w:r>
          </w:p>
        </w:tc>
        <w:tc>
          <w:tcPr>
            <w:tcW w:w="1062" w:type="dxa"/>
            <w:vAlign w:val="top"/>
          </w:tcPr>
          <w:p>
            <w:pPr>
              <w:ind w:left="190"/>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未制定监测方案并自行监测</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517" w:right="135" w:hanging="371"/>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830" w:right="222" w:hanging="596"/>
              <w:spacing w:before="78"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09" w:firstLine="16"/>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7"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性物质的废水或其他污染物</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2" w:hRule="atLeast"/>
        </w:trPr>
        <w:tc>
          <w:tcPr>
            <w:tcW w:w="1480" w:type="dxa"/>
            <w:vAlign w:val="top"/>
            <w:gridSpan w:val="2"/>
          </w:tcPr>
          <w:p>
            <w:pPr>
              <w:ind w:left="274"/>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889" w:type="dxa"/>
            <w:vAlign w:val="top"/>
          </w:tcPr>
          <w:p>
            <w:pPr>
              <w:ind w:left="22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792" w:type="dxa"/>
            <w:vAlign w:val="top"/>
          </w:tcPr>
          <w:p>
            <w:pPr>
              <w:ind w:left="236"/>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54"/>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tcPr>
          <w:p>
            <w:pPr>
              <w:ind w:left="26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889" w:type="dxa"/>
            <w:vAlign w:val="top"/>
          </w:tcPr>
          <w:p>
            <w:pPr>
              <w:ind w:left="708"/>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792" w:type="dxa"/>
            <w:vAlign w:val="top"/>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8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29"/>
              <w:spacing w:before="7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55"/>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40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19</w:t>
            </w:r>
          </w:p>
        </w:tc>
      </w:tr>
      <w:tr>
        <w:trPr>
          <w:trHeight w:val="634"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未按照排污许可证规定保存原始监测记录的</w:t>
            </w:r>
          </w:p>
        </w:tc>
      </w:tr>
      <w:tr>
        <w:trPr>
          <w:trHeight w:val="3154" w:hRule="atLeast"/>
        </w:trPr>
        <w:tc>
          <w:tcPr>
            <w:tcW w:w="1420"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0" w:right="107" w:firstLine="15"/>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排污单位应当按照排污许可证规定和有</w:t>
            </w:r>
            <w:r>
              <w:rPr>
                <w:rFonts w:ascii="FangSong_GB2312" w:hAnsi="FangSong_GB2312" w:eastAsia="FangSong_GB2312" w:cs="FangSong_GB2312"/>
                <w:sz w:val="24"/>
                <w:szCs w:val="24"/>
              </w:rPr>
              <w:t>关标准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规范，依法开展自行监测，并保存原始监测记录。原始监测记录</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保存期限不得少于</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4"/>
              </w:rPr>
              <w:t>年。</w:t>
            </w:r>
          </w:p>
          <w:p>
            <w:pPr>
              <w:spacing w:line="272"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5" w:right="107"/>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第六项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的，由生态环境主管部门责令改正，处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罚款；拒不改正的，责令停产整治：</w:t>
            </w:r>
          </w:p>
          <w:p>
            <w:pPr>
              <w:ind w:left="164"/>
              <w:spacing w:before="38"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六</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未按照排污许可证规定保存原始监测记录。</w:t>
            </w:r>
          </w:p>
        </w:tc>
      </w:tr>
      <w:tr>
        <w:trPr>
          <w:trHeight w:val="635" w:hRule="atLeast"/>
        </w:trPr>
        <w:tc>
          <w:tcPr>
            <w:tcW w:w="4161" w:type="dxa"/>
            <w:vAlign w:val="top"/>
            <w:gridSpan w:val="4"/>
          </w:tcPr>
          <w:p>
            <w:pPr>
              <w:ind w:left="152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ind w:left="390" w:right="135" w:hanging="242"/>
              <w:spacing w:before="21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ind w:left="714" w:right="222" w:hanging="476"/>
              <w:spacing w:before="21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监测记录保存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期限</w:t>
            </w:r>
          </w:p>
        </w:tc>
        <w:tc>
          <w:tcPr>
            <w:tcW w:w="792" w:type="dxa"/>
            <w:vAlign w:val="top"/>
            <w:vMerge w:val="restart"/>
            <w:tcBorders>
              <w:bottom w:val="nil"/>
            </w:tcBorders>
          </w:tcPr>
          <w:p>
            <w:pPr>
              <w:spacing w:line="28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3</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8"/>
              </w:rPr>
              <w:t>年以上不满</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8"/>
              </w:rPr>
              <w:t>年</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3"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0"/>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年以上不满</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9"/>
              </w:rPr>
              <w:t>3</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9"/>
              </w:rPr>
              <w:t>年</w:t>
            </w:r>
          </w:p>
        </w:tc>
        <w:tc>
          <w:tcPr>
            <w:tcW w:w="1062" w:type="dxa"/>
            <w:vAlign w:val="top"/>
          </w:tcPr>
          <w:p>
            <w:pPr>
              <w:ind w:left="190"/>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不满</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10"/>
              </w:rPr>
              <w:t>年</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65" w:hRule="atLeast"/>
        </w:trPr>
        <w:tc>
          <w:tcPr>
            <w:tcW w:w="1480" w:type="dxa"/>
            <w:vAlign w:val="top"/>
            <w:gridSpan w:val="2"/>
            <w:vMerge w:val="restart"/>
            <w:tcBorders>
              <w:bottom w:val="nil"/>
            </w:tcBorders>
          </w:tcPr>
          <w:p>
            <w:pPr>
              <w:ind w:left="635" w:right="135" w:hanging="489"/>
              <w:spacing w:before="70"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ind w:left="474"/>
              <w:spacing w:before="22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违法事实</w:t>
            </w:r>
          </w:p>
        </w:tc>
        <w:tc>
          <w:tcPr>
            <w:tcW w:w="792" w:type="dxa"/>
            <w:vAlign w:val="top"/>
            <w:vMerge w:val="restart"/>
            <w:tcBorders>
              <w:bottom w:val="nil"/>
            </w:tcBorders>
          </w:tcPr>
          <w:p>
            <w:pPr>
              <w:ind w:left="230"/>
              <w:spacing w:before="22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部分记录未保存</w:t>
            </w:r>
          </w:p>
        </w:tc>
        <w:tc>
          <w:tcPr>
            <w:tcW w:w="1062" w:type="dxa"/>
            <w:vAlign w:val="top"/>
          </w:tcPr>
          <w:p>
            <w:pPr>
              <w:ind w:left="193"/>
              <w:spacing w:before="6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未保存记录</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300" w:lineRule="auto"/>
              <w:rPr>
                <w:rFonts w:ascii="Arial"/>
                <w:sz w:val="21"/>
              </w:rPr>
            </w:pPr>
            <w:r/>
          </w:p>
          <w:p>
            <w:pPr>
              <w:spacing w:line="301"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444"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ind w:left="266" w:right="258"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gridSpan w:val="2"/>
            <w:vMerge w:val="restart"/>
            <w:tcBorders>
              <w:bottom w:val="nil"/>
            </w:tcBorders>
          </w:tcPr>
          <w:p>
            <w:pPr>
              <w:spacing w:line="246" w:lineRule="auto"/>
              <w:rPr>
                <w:rFonts w:ascii="Arial"/>
                <w:sz w:val="21"/>
              </w:rPr>
            </w:pPr>
            <w:r/>
          </w:p>
          <w:p>
            <w:pPr>
              <w:spacing w:line="246"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5"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56"/>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416" w:hRule="atLeast"/>
        </w:trPr>
        <w:tc>
          <w:tcPr>
            <w:tcW w:w="1480" w:type="dxa"/>
            <w:vAlign w:val="top"/>
            <w:vMerge w:val="restart"/>
            <w:tcBorders>
              <w:bottom w:val="nil"/>
            </w:tcBorders>
          </w:tcPr>
          <w:p>
            <w:pPr>
              <w:ind w:left="148"/>
              <w:spacing w:before="9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9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6"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57"/>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20</w:t>
            </w:r>
          </w:p>
        </w:tc>
      </w:tr>
      <w:tr>
        <w:trPr>
          <w:trHeight w:val="635"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未按照排污许可证规定公开或者不如实公开污染物排放信息的</w:t>
            </w:r>
          </w:p>
        </w:tc>
      </w:tr>
      <w:tr>
        <w:trPr>
          <w:trHeight w:val="3154" w:hRule="atLeast"/>
        </w:trPr>
        <w:tc>
          <w:tcPr>
            <w:tcW w:w="1420"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2" w:right="107" w:firstLine="13"/>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排污单位应当按照排污许可证</w:t>
            </w:r>
            <w:r>
              <w:rPr>
                <w:rFonts w:ascii="FangSong_GB2312" w:hAnsi="FangSong_GB2312" w:eastAsia="FangSong_GB2312" w:cs="FangSong_GB2312"/>
                <w:sz w:val="24"/>
                <w:szCs w:val="24"/>
                <w:spacing w:val="-4"/>
              </w:rPr>
              <w:t>规定，如实在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全国排污许可证管理信息平台上公开污染物排放信息。</w:t>
            </w:r>
          </w:p>
          <w:p>
            <w:pPr>
              <w:spacing w:line="27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5" w:right="10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第七项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的，由生态环境主管部门责令改正，处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罚款；拒不改正的，责令停产整治：</w:t>
            </w:r>
          </w:p>
          <w:p>
            <w:pPr>
              <w:ind w:left="130" w:right="107" w:firstLine="33"/>
              <w:spacing w:before="35"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(七)</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未按照排污许可证规定公开或者不如实公开污染物排放信</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4"/>
              </w:rPr>
              <w:t>息。</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ind w:left="390" w:right="135" w:hanging="242"/>
              <w:spacing w:before="21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303" w:lineRule="auto"/>
              <w:rPr>
                <w:rFonts w:ascii="Arial"/>
                <w:sz w:val="21"/>
              </w:rPr>
            </w:pPr>
            <w:r/>
          </w:p>
          <w:p>
            <w:pPr>
              <w:ind w:left="844" w:right="171" w:hanging="671"/>
              <w:spacing w:before="71" w:line="24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
              </w:rPr>
              <w:t>信息公开的及时</w:t>
            </w:r>
            <w:r>
              <w:rPr>
                <w:rFonts w:ascii="FangSong_GB2312" w:hAnsi="FangSong_GB2312" w:eastAsia="FangSong_GB2312" w:cs="FangSong_GB2312"/>
                <w:sz w:val="22"/>
                <w:szCs w:val="22"/>
                <w:spacing w:val="5"/>
              </w:rPr>
              <w:t xml:space="preserve"> </w:t>
            </w:r>
            <w:r>
              <w:rPr>
                <w:rFonts w:ascii="FangSong_GB2312" w:hAnsi="FangSong_GB2312" w:eastAsia="FangSong_GB2312" w:cs="FangSong_GB2312"/>
                <w:sz w:val="22"/>
                <w:szCs w:val="22"/>
              </w:rPr>
              <w:t>性</w:t>
            </w:r>
          </w:p>
        </w:tc>
        <w:tc>
          <w:tcPr>
            <w:tcW w:w="792" w:type="dxa"/>
            <w:vAlign w:val="top"/>
            <w:vMerge w:val="restart"/>
            <w:tcBorders>
              <w:bottom w:val="nil"/>
            </w:tcBorders>
          </w:tcPr>
          <w:p>
            <w:pPr>
              <w:spacing w:line="28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延迟不满</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日</w:t>
            </w:r>
          </w:p>
        </w:tc>
        <w:tc>
          <w:tcPr>
            <w:tcW w:w="1062" w:type="dxa"/>
            <w:vAlign w:val="top"/>
          </w:tcPr>
          <w:p>
            <w:pPr>
              <w:ind w:left="25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3"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延迟</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10"/>
              </w:rPr>
              <w:t>10</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0"/>
              </w:rPr>
              <w:t>日以上不满</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10"/>
              </w:rPr>
              <w:t>30</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0"/>
              </w:rPr>
              <w:t>日</w:t>
            </w:r>
          </w:p>
        </w:tc>
        <w:tc>
          <w:tcPr>
            <w:tcW w:w="1062" w:type="dxa"/>
            <w:vAlign w:val="top"/>
          </w:tcPr>
          <w:p>
            <w:pPr>
              <w:ind w:left="190"/>
              <w:spacing w:before="4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延迟</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13"/>
              </w:rPr>
              <w:t>30</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3"/>
              </w:rPr>
              <w:t>日以上</w:t>
            </w:r>
          </w:p>
        </w:tc>
        <w:tc>
          <w:tcPr>
            <w:tcW w:w="1062" w:type="dxa"/>
            <w:vAlign w:val="top"/>
          </w:tcPr>
          <w:p>
            <w:pPr>
              <w:ind w:left="13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446" w:lineRule="auto"/>
              <w:rPr>
                <w:rFonts w:ascii="Arial"/>
                <w:sz w:val="21"/>
              </w:rPr>
            </w:pPr>
            <w:r/>
          </w:p>
          <w:p>
            <w:pPr>
              <w:ind w:left="635" w:right="135" w:hanging="489"/>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ind w:left="474"/>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违法事实</w:t>
            </w:r>
          </w:p>
        </w:tc>
        <w:tc>
          <w:tcPr>
            <w:tcW w:w="792" w:type="dxa"/>
            <w:vAlign w:val="top"/>
            <w:vMerge w:val="restart"/>
            <w:tcBorders>
              <w:bottom w:val="nil"/>
            </w:tcBorders>
          </w:tcPr>
          <w:p>
            <w:pPr>
              <w:spacing w:line="44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公开污染物信息的方式</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6"/>
              </w:rPr>
              <w:t>(途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4"/>
              </w:rPr>
              <w:t>不符合规定</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42"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7" w:right="209" w:hanging="3"/>
              <w:spacing w:before="41"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公开污染物信息的内容不符</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5"/>
              </w:rPr>
              <w:t>合要求</w:t>
            </w:r>
          </w:p>
        </w:tc>
        <w:tc>
          <w:tcPr>
            <w:tcW w:w="1062" w:type="dxa"/>
            <w:vAlign w:val="top"/>
          </w:tcPr>
          <w:p>
            <w:pPr>
              <w:ind w:left="190"/>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完全未公开污染物信息</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301" w:lineRule="auto"/>
              <w:rPr>
                <w:rFonts w:ascii="Arial"/>
                <w:sz w:val="21"/>
              </w:rPr>
            </w:pPr>
            <w:r/>
          </w:p>
          <w:p>
            <w:pPr>
              <w:spacing w:line="301"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445"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ind w:left="266" w:right="258"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gridSpan w:val="2"/>
            <w:vMerge w:val="restart"/>
            <w:tcBorders>
              <w:bottom w:val="nil"/>
            </w:tcBorders>
          </w:tcPr>
          <w:p>
            <w:pPr>
              <w:ind w:left="267"/>
              <w:spacing w:before="20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ind w:left="229"/>
              <w:spacing w:before="205"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062" w:type="dxa"/>
            <w:vAlign w:val="top"/>
          </w:tcPr>
          <w:p>
            <w:pPr>
              <w:ind w:left="25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58"/>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062" w:type="dxa"/>
            <w:vAlign w:val="top"/>
          </w:tcPr>
          <w:p>
            <w:pPr>
              <w:rPr>
                <w:rFonts w:ascii="Arial"/>
                <w:sz w:val="21"/>
              </w:rPr>
            </w:pPr>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1" w:hRule="atLeast"/>
        </w:trPr>
        <w:tc>
          <w:tcPr>
            <w:tcW w:w="1480" w:type="dxa"/>
            <w:vAlign w:val="top"/>
            <w:vMerge w:val="restart"/>
            <w:tcBorders>
              <w:bottom w:val="nil"/>
            </w:tcBorders>
          </w:tcPr>
          <w:p>
            <w:pPr>
              <w:ind w:left="148"/>
              <w:spacing w:before="9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59"/>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21</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23" w:right="174" w:hanging="1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发现污染物排放自动监测设备传输数据异常或者污染物排放超过</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污染物排放标准等异常情况不报告的</w:t>
            </w:r>
          </w:p>
        </w:tc>
      </w:tr>
      <w:tr>
        <w:trPr>
          <w:trHeight w:val="4728" w:hRule="atLeast"/>
        </w:trPr>
        <w:tc>
          <w:tcPr>
            <w:tcW w:w="1420" w:type="dxa"/>
            <w:vAlign w:val="top"/>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09" w:right="41" w:firstLine="16"/>
              <w:spacing w:before="39"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排污单位发现污染物排放自动监测设备</w:t>
            </w:r>
            <w:r>
              <w:rPr>
                <w:rFonts w:ascii="FangSong_GB2312" w:hAnsi="FangSong_GB2312" w:eastAsia="FangSong_GB2312" w:cs="FangSong_GB2312"/>
                <w:sz w:val="24"/>
                <w:szCs w:val="24"/>
              </w:rPr>
              <w:t>传输数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据异常的，应当及时报告生态环境主管部门，并进行检查、修复。</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排污单位发现污染物排放超过污染物排放标</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准等异常情况时，应当立即采取措施消除、减轻危害后果，如实</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3"/>
              </w:rPr>
              <w:t>进行环境管理台账记录，并报告生态环境主管部门，说明原因。</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超过污染物排放标准等异常情况下的污染物排放计入排污单位的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污染物排放量。</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5" w:right="107"/>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第八项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的，由生态环境主管部门责令改正，处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罚款；拒不改正的，责令停产整治：</w:t>
            </w:r>
          </w:p>
          <w:p>
            <w:pPr>
              <w:ind w:left="109" w:right="107" w:firstLine="55"/>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(八)发现污染物排放自动监测设备传输数据异常或者污染物排放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超过污染物排放标准等异常情况不报告。</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76" w:lineRule="auto"/>
              <w:rPr>
                <w:rFonts w:ascii="Arial"/>
                <w:sz w:val="21"/>
              </w:rPr>
            </w:pPr>
            <w:r/>
          </w:p>
          <w:p>
            <w:pPr>
              <w:ind w:left="390" w:right="135" w:hanging="24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78" w:lineRule="auto"/>
              <w:rPr>
                <w:rFonts w:ascii="Arial"/>
                <w:sz w:val="21"/>
              </w:rPr>
            </w:pPr>
            <w:r/>
          </w:p>
          <w:p>
            <w:pPr>
              <w:ind w:left="733" w:right="222" w:hanging="499"/>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6"/>
              </w:rPr>
              <w:t>时间</w:t>
            </w:r>
          </w:p>
        </w:tc>
        <w:tc>
          <w:tcPr>
            <w:tcW w:w="792" w:type="dxa"/>
            <w:vAlign w:val="top"/>
            <w:vMerge w:val="restart"/>
            <w:tcBorders>
              <w:bottom w:val="nil"/>
            </w:tcBorders>
          </w:tcPr>
          <w:p>
            <w:pPr>
              <w:spacing w:line="43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延迟不满</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7"/>
              </w:rPr>
              <w:t>日</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3"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延迟</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1"/>
              </w:rPr>
              <w:t>3</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1"/>
              </w:rPr>
              <w:t>日以上不满</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1"/>
              </w:rPr>
              <w:t>7</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1"/>
              </w:rPr>
              <w:t>日</w:t>
            </w:r>
          </w:p>
        </w:tc>
        <w:tc>
          <w:tcPr>
            <w:tcW w:w="1062" w:type="dxa"/>
            <w:vAlign w:val="top"/>
          </w:tcPr>
          <w:p>
            <w:pPr>
              <w:ind w:left="190"/>
              <w:spacing w:before="4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1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spacing w:before="42"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延迟</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14"/>
              </w:rPr>
              <w:t>7</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4"/>
              </w:rPr>
              <w:t>日以上</w:t>
            </w:r>
          </w:p>
        </w:tc>
        <w:tc>
          <w:tcPr>
            <w:tcW w:w="1062" w:type="dxa"/>
            <w:vAlign w:val="top"/>
          </w:tcPr>
          <w:p>
            <w:pPr>
              <w:ind w:left="131"/>
              <w:spacing w:before="18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ind w:left="635" w:right="135" w:hanging="489"/>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474"/>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违法事实</w:t>
            </w:r>
          </w:p>
        </w:tc>
        <w:tc>
          <w:tcPr>
            <w:tcW w:w="792"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5" w:right="101" w:firstLine="2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6"/>
              </w:rPr>
              <w:t>自动监测设备传输数据异</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常，污染物排放未超标</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5" w:right="101" w:firstLine="23"/>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6"/>
              </w:rPr>
              <w:t>自动监测设备传输数据异</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常，污染物排放超标，</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1"/>
              </w:rPr>
              <w:t>已及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时采取停产限产等措施</w:t>
            </w:r>
          </w:p>
        </w:tc>
        <w:tc>
          <w:tcPr>
            <w:tcW w:w="1062" w:type="dxa"/>
            <w:vAlign w:val="top"/>
          </w:tcPr>
          <w:p>
            <w:pPr>
              <w:spacing w:line="277"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right="101" w:firstLine="40"/>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6"/>
              </w:rPr>
              <w:t>自动监测设备传输数据异</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7"/>
              </w:rPr>
              <w:t>常，污染物排放超标，未采</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取停产限产措施</w:t>
            </w:r>
          </w:p>
        </w:tc>
        <w:tc>
          <w:tcPr>
            <w:tcW w:w="1062" w:type="dxa"/>
            <w:vAlign w:val="top"/>
          </w:tcPr>
          <w:p>
            <w:pPr>
              <w:spacing w:line="278"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2" w:hRule="atLeast"/>
        </w:trPr>
        <w:tc>
          <w:tcPr>
            <w:tcW w:w="1480" w:type="dxa"/>
            <w:vAlign w:val="top"/>
            <w:gridSpan w:val="2"/>
          </w:tcPr>
          <w:p>
            <w:pPr>
              <w:ind w:left="26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p>
        </w:tc>
        <w:tc>
          <w:tcPr>
            <w:tcW w:w="1889" w:type="dxa"/>
            <w:vAlign w:val="top"/>
          </w:tcPr>
          <w:p>
            <w:pPr>
              <w:ind w:left="23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p>
        </w:tc>
        <w:tc>
          <w:tcPr>
            <w:tcW w:w="792" w:type="dxa"/>
            <w:vAlign w:val="top"/>
          </w:tcPr>
          <w:p>
            <w:pPr>
              <w:ind w:left="23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60"/>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ind w:left="518"/>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ind w:left="723"/>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1"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61"/>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22</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33" w:right="174" w:hanging="2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未建立环境管理台账记录制度，或者未按照排污许可证规定记录</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rPr>
              <w:t>的</w:t>
            </w:r>
          </w:p>
        </w:tc>
      </w:tr>
      <w:tr>
        <w:trPr>
          <w:trHeight w:val="3783" w:hRule="atLeast"/>
        </w:trPr>
        <w:tc>
          <w:tcPr>
            <w:tcW w:w="1420"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4" w:right="107" w:firstLine="11"/>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排污单位应当建立环境管理台账</w:t>
            </w:r>
            <w:r>
              <w:rPr>
                <w:rFonts w:ascii="FangSong_GB2312" w:hAnsi="FangSong_GB2312" w:eastAsia="FangSong_GB2312" w:cs="FangSong_GB2312"/>
                <w:sz w:val="24"/>
                <w:szCs w:val="24"/>
              </w:rPr>
              <w:t>记录制度，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按照排污许可证规定的格式、内容和频次，如实记录主要生产设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施、污染防治设施运行情况以及污染物排放浓度、排放量。环境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管理台账记录保存期限不得少于</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3"/>
              </w:rPr>
              <w:t>年。</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3" w:right="107" w:firstLine="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的，由生态环境主管部门责令改正，处每次</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2"/>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千元以上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下的罚款；法律另有规定的，从其规定：</w:t>
            </w:r>
          </w:p>
          <w:p>
            <w:pPr>
              <w:ind w:left="116" w:right="107" w:firstLine="47"/>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一</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未建立环境管理台账记录制度，或者未按照排污许可证规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4"/>
              </w:rPr>
              <w:t>定记录。</w:t>
            </w:r>
          </w:p>
        </w:tc>
      </w:tr>
      <w:tr>
        <w:trPr>
          <w:trHeight w:val="635" w:hRule="atLeast"/>
        </w:trPr>
        <w:tc>
          <w:tcPr>
            <w:tcW w:w="4161" w:type="dxa"/>
            <w:vAlign w:val="top"/>
            <w:gridSpan w:val="4"/>
          </w:tcPr>
          <w:p>
            <w:pPr>
              <w:ind w:left="1527"/>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635" w:right="135" w:hanging="489"/>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ind w:left="474"/>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违法事实</w:t>
            </w:r>
          </w:p>
        </w:tc>
        <w:tc>
          <w:tcPr>
            <w:tcW w:w="79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部分台账未规范记录</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09"/>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未建立环境管理台账记录制</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度，或者未按照排污许可证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3"/>
              </w:rPr>
              <w:t>规定记录</w:t>
            </w:r>
          </w:p>
        </w:tc>
        <w:tc>
          <w:tcPr>
            <w:tcW w:w="1062" w:type="dxa"/>
            <w:vAlign w:val="top"/>
          </w:tcPr>
          <w:p>
            <w:pPr>
              <w:spacing w:line="275"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right="209"/>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未建立环境管理台账记录制</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度，且未按照排污许可证规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3"/>
              </w:rPr>
              <w:t>定记录</w:t>
            </w:r>
          </w:p>
        </w:tc>
        <w:tc>
          <w:tcPr>
            <w:tcW w:w="1062" w:type="dxa"/>
            <w:vAlign w:val="top"/>
          </w:tcPr>
          <w:p>
            <w:pPr>
              <w:spacing w:line="276" w:lineRule="auto"/>
              <w:rPr>
                <w:rFonts w:ascii="Arial"/>
                <w:sz w:val="21"/>
              </w:rPr>
            </w:pPr>
            <w:r/>
          </w:p>
          <w:p>
            <w:pPr>
              <w:ind w:left="1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80" w:type="dxa"/>
            <w:vAlign w:val="top"/>
            <w:gridSpan w:val="2"/>
            <w:vMerge w:val="restart"/>
            <w:tcBorders>
              <w:bottom w:val="nil"/>
            </w:tcBorders>
          </w:tcPr>
          <w:p>
            <w:pPr>
              <w:spacing w:line="301" w:lineRule="auto"/>
              <w:rPr>
                <w:rFonts w:ascii="Arial"/>
                <w:sz w:val="21"/>
              </w:rPr>
            </w:pPr>
            <w:r/>
          </w:p>
          <w:p>
            <w:pPr>
              <w:spacing w:line="302"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446"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5" w:lineRule="auto"/>
              <w:rPr>
                <w:rFonts w:ascii="Arial"/>
                <w:sz w:val="21"/>
              </w:rPr>
            </w:pPr>
            <w:r/>
          </w:p>
          <w:p>
            <w:pPr>
              <w:ind w:left="1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80" w:type="dxa"/>
            <w:vAlign w:val="top"/>
            <w:gridSpan w:val="2"/>
            <w:vMerge w:val="restart"/>
            <w:tcBorders>
              <w:bottom w:val="nil"/>
            </w:tcBorders>
          </w:tcPr>
          <w:p>
            <w:pPr>
              <w:ind w:left="266" w:right="258"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3" w:hRule="atLeast"/>
        </w:trPr>
        <w:tc>
          <w:tcPr>
            <w:tcW w:w="1480" w:type="dxa"/>
            <w:vAlign w:val="top"/>
            <w:gridSpan w:val="2"/>
          </w:tcPr>
          <w:p>
            <w:pPr>
              <w:ind w:left="267"/>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tcPr>
          <w:p>
            <w:pPr>
              <w:ind w:left="229"/>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tcPr>
          <w:p>
            <w:pPr>
              <w:ind w:left="236"/>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62"/>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8"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right="209"/>
              <w:spacing w:before="4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63"/>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23</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right="174"/>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未如实记录主要生产设施及污染防治设施运行情况或者污染物排</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放浓度、排放量的</w:t>
            </w:r>
          </w:p>
        </w:tc>
      </w:tr>
      <w:tr>
        <w:trPr>
          <w:trHeight w:val="3783" w:hRule="atLeast"/>
        </w:trPr>
        <w:tc>
          <w:tcPr>
            <w:tcW w:w="1420"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4" w:right="107" w:firstLine="11"/>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排污单位应当建立环境管理台账</w:t>
            </w:r>
            <w:r>
              <w:rPr>
                <w:rFonts w:ascii="FangSong_GB2312" w:hAnsi="FangSong_GB2312" w:eastAsia="FangSong_GB2312" w:cs="FangSong_GB2312"/>
                <w:sz w:val="24"/>
                <w:szCs w:val="24"/>
              </w:rPr>
              <w:t>记录制度，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按照排污许可证规定的格式、内容和频次，如实记录主要生产设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施、污染防治设施运行情况以及污染物排放浓度、排放量。环境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管理台账记录保存期限不得少于</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3"/>
              </w:rPr>
              <w:t>年。</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3" w:right="107" w:firstLine="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的，由生态环境主管部门责令改正，处每次</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2"/>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千元以上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下的罚款；法律另有规定的，从其规定：</w:t>
            </w:r>
          </w:p>
          <w:p>
            <w:pPr>
              <w:ind w:left="123" w:right="107" w:firstLine="40"/>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二</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未如实记录主要生产设施及污染防治设</w:t>
            </w:r>
            <w:r>
              <w:rPr>
                <w:rFonts w:ascii="FangSong_GB2312" w:hAnsi="FangSong_GB2312" w:eastAsia="FangSong_GB2312" w:cs="FangSong_GB2312"/>
                <w:sz w:val="24"/>
                <w:szCs w:val="24"/>
                <w:spacing w:val="3"/>
              </w:rPr>
              <w:t>施运行情况或者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污染物排放浓度、</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排放量。</w:t>
            </w:r>
          </w:p>
        </w:tc>
      </w:tr>
      <w:tr>
        <w:trPr>
          <w:trHeight w:val="635" w:hRule="atLeast"/>
        </w:trPr>
        <w:tc>
          <w:tcPr>
            <w:tcW w:w="4161" w:type="dxa"/>
            <w:vAlign w:val="top"/>
            <w:gridSpan w:val="4"/>
          </w:tcPr>
          <w:p>
            <w:pPr>
              <w:ind w:left="1527"/>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480" w:type="dxa"/>
            <w:vAlign w:val="top"/>
            <w:gridSpan w:val="2"/>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90" w:right="135" w:hanging="24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6" w:right="101" w:firstLine="9"/>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主要生产设施及污染防治设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8"/>
              </w:rPr>
              <w:t>施运行情况或者污染物排放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浓度、排放量部分信息未记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录</w:t>
            </w:r>
          </w:p>
        </w:tc>
        <w:tc>
          <w:tcPr>
            <w:tcW w:w="1062" w:type="dxa"/>
            <w:vAlign w:val="top"/>
          </w:tcPr>
          <w:p>
            <w:pPr>
              <w:spacing w:line="431" w:lineRule="auto"/>
              <w:rPr>
                <w:rFonts w:ascii="Arial"/>
                <w:sz w:val="21"/>
              </w:rPr>
            </w:pPr>
            <w:r/>
          </w:p>
          <w:p>
            <w:pPr>
              <w:ind w:left="25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6" w:right="101" w:firstLine="9"/>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主要生产设施及污染防治设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8"/>
              </w:rPr>
              <w:t>施运行情况或者污染物排放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浓度、排放量未记录</w:t>
            </w:r>
          </w:p>
        </w:tc>
        <w:tc>
          <w:tcPr>
            <w:tcW w:w="1062" w:type="dxa"/>
            <w:vAlign w:val="top"/>
          </w:tcPr>
          <w:p>
            <w:pPr>
              <w:spacing w:line="277"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5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right="101" w:firstLine="11"/>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主要生产设施及污染防治设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8"/>
              </w:rPr>
              <w:t>施运行情况、污染物排放浓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度、排放量均未记录</w:t>
            </w:r>
          </w:p>
        </w:tc>
        <w:tc>
          <w:tcPr>
            <w:tcW w:w="1062" w:type="dxa"/>
            <w:vAlign w:val="top"/>
          </w:tcPr>
          <w:p>
            <w:pPr>
              <w:spacing w:line="278"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300" w:lineRule="auto"/>
              <w:rPr>
                <w:rFonts w:ascii="Arial"/>
                <w:sz w:val="21"/>
              </w:rPr>
            </w:pPr>
            <w:r/>
          </w:p>
          <w:p>
            <w:pPr>
              <w:spacing w:line="301" w:lineRule="auto"/>
              <w:rPr>
                <w:rFonts w:ascii="Arial"/>
                <w:sz w:val="21"/>
              </w:rPr>
            </w:pPr>
            <w:r/>
          </w:p>
          <w:p>
            <w:pPr>
              <w:ind w:left="635" w:right="135" w:hanging="489"/>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446"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7"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64"/>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9" w:hRule="atLeast"/>
        </w:trPr>
        <w:tc>
          <w:tcPr>
            <w:tcW w:w="1480"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517" w:right="135" w:hanging="37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830" w:right="222" w:hanging="596"/>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09" w:firstLine="16"/>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3"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性物质的废水或其他污染物</w:t>
            </w:r>
          </w:p>
        </w:tc>
        <w:tc>
          <w:tcPr>
            <w:tcW w:w="1062" w:type="dxa"/>
            <w:vAlign w:val="top"/>
          </w:tcPr>
          <w:p>
            <w:pPr>
              <w:spacing w:line="432"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3" w:hRule="atLeast"/>
        </w:trPr>
        <w:tc>
          <w:tcPr>
            <w:tcW w:w="1480" w:type="dxa"/>
            <w:vAlign w:val="top"/>
            <w:vMerge w:val="restart"/>
            <w:tcBorders>
              <w:bottom w:val="nil"/>
            </w:tcBorders>
          </w:tcPr>
          <w:p>
            <w:pPr>
              <w:ind w:left="148"/>
              <w:spacing w:before="9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9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9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65"/>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24</w:t>
            </w:r>
          </w:p>
        </w:tc>
      </w:tr>
      <w:tr>
        <w:trPr>
          <w:trHeight w:val="635"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未按照排污许可证规定提交排污许可证执行报告的</w:t>
            </w:r>
          </w:p>
        </w:tc>
      </w:tr>
      <w:tr>
        <w:trPr>
          <w:trHeight w:val="3154" w:hRule="atLeast"/>
        </w:trPr>
        <w:tc>
          <w:tcPr>
            <w:tcW w:w="1420"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21" w:right="107" w:firstLine="4"/>
              <w:spacing w:before="4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排污单位应当按照排污许可证规</w:t>
            </w:r>
            <w:r>
              <w:rPr>
                <w:rFonts w:ascii="FangSong_GB2312" w:hAnsi="FangSong_GB2312" w:eastAsia="FangSong_GB2312" w:cs="FangSong_GB2312"/>
                <w:sz w:val="24"/>
                <w:szCs w:val="24"/>
              </w:rPr>
              <w:t>定的内容、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频次和时间要求，向审批部门提交排污许可证执</w:t>
            </w:r>
            <w:r>
              <w:rPr>
                <w:rFonts w:ascii="FangSong_GB2312" w:hAnsi="FangSong_GB2312" w:eastAsia="FangSong_GB2312" w:cs="FangSong_GB2312"/>
                <w:sz w:val="24"/>
                <w:szCs w:val="24"/>
                <w:spacing w:val="1"/>
              </w:rPr>
              <w:t>行报告，如实报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告污染物排放行为、排放浓度、排放量等。</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3" w:right="107" w:firstLine="1"/>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第三项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的，由生态环境主管部门责令改正，处每次</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2"/>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千元以上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下的罚款；法律另有规定的，从其规定：</w:t>
            </w:r>
          </w:p>
          <w:p>
            <w:pPr>
              <w:ind w:left="164"/>
              <w:spacing w:before="37"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三</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未按照排污许可证规定提交排污许可证</w:t>
            </w:r>
            <w:r>
              <w:rPr>
                <w:rFonts w:ascii="FangSong_GB2312" w:hAnsi="FangSong_GB2312" w:eastAsia="FangSong_GB2312" w:cs="FangSong_GB2312"/>
                <w:sz w:val="24"/>
                <w:szCs w:val="24"/>
                <w:spacing w:val="-3"/>
              </w:rPr>
              <w:t>执行报告。</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390" w:right="135" w:hanging="24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right="104" w:hanging="3"/>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季度或月度执行报告缺失</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9"/>
              </w:rPr>
              <w:t>1</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次</w:t>
            </w:r>
          </w:p>
        </w:tc>
        <w:tc>
          <w:tcPr>
            <w:tcW w:w="1062" w:type="dxa"/>
            <w:vAlign w:val="top"/>
          </w:tcPr>
          <w:p>
            <w:pPr>
              <w:ind w:left="25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104" w:hanging="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季度或月度执行报告缺失</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次</w:t>
            </w:r>
          </w:p>
        </w:tc>
        <w:tc>
          <w:tcPr>
            <w:tcW w:w="1062" w:type="dxa"/>
            <w:vAlign w:val="top"/>
          </w:tcPr>
          <w:p>
            <w:pPr>
              <w:ind w:left="190"/>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9" w:right="104"/>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季度或月度执行报告缺失</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次以上，</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或者年度执行报告</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7"/>
              </w:rPr>
              <w:t>缺失</w:t>
            </w:r>
          </w:p>
        </w:tc>
        <w:tc>
          <w:tcPr>
            <w:tcW w:w="1062" w:type="dxa"/>
            <w:vAlign w:val="top"/>
          </w:tcPr>
          <w:p>
            <w:pPr>
              <w:spacing w:line="277"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300" w:lineRule="auto"/>
              <w:rPr>
                <w:rFonts w:ascii="Arial"/>
                <w:sz w:val="21"/>
              </w:rPr>
            </w:pPr>
            <w:r/>
          </w:p>
          <w:p>
            <w:pPr>
              <w:spacing w:line="301" w:lineRule="auto"/>
              <w:rPr>
                <w:rFonts w:ascii="Arial"/>
                <w:sz w:val="21"/>
              </w:rPr>
            </w:pPr>
            <w:r/>
          </w:p>
          <w:p>
            <w:pPr>
              <w:ind w:left="635" w:right="135" w:hanging="489"/>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443" w:lineRule="auto"/>
              <w:rPr>
                <w:rFonts w:ascii="Arial"/>
                <w:sz w:val="21"/>
              </w:rPr>
            </w:pPr>
            <w:r/>
          </w:p>
          <w:p>
            <w:pPr>
              <w:ind w:left="723" w:right="222" w:hanging="489"/>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288" w:lineRule="auto"/>
              <w:rPr>
                <w:rFonts w:ascii="Arial"/>
                <w:sz w:val="21"/>
              </w:rPr>
            </w:pPr>
            <w:r/>
          </w:p>
          <w:p>
            <w:pPr>
              <w:ind w:left="2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违法事实</w:t>
            </w:r>
          </w:p>
        </w:tc>
        <w:tc>
          <w:tcPr>
            <w:tcW w:w="1889" w:type="dxa"/>
            <w:vAlign w:val="top"/>
            <w:vMerge w:val="restart"/>
            <w:tcBorders>
              <w:bottom w:val="nil"/>
            </w:tcBorders>
          </w:tcPr>
          <w:p>
            <w:pPr>
              <w:ind w:left="856" w:right="222" w:hanging="626"/>
              <w:spacing w:before="21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逾期未提交时</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间</w:t>
            </w:r>
          </w:p>
        </w:tc>
        <w:tc>
          <w:tcPr>
            <w:tcW w:w="792" w:type="dxa"/>
            <w:vAlign w:val="top"/>
            <w:vMerge w:val="restart"/>
            <w:tcBorders>
              <w:bottom w:val="nil"/>
            </w:tcBorders>
          </w:tcPr>
          <w:p>
            <w:pPr>
              <w:spacing w:line="28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不满</w:t>
            </w:r>
            <w:r>
              <w:rPr>
                <w:rFonts w:ascii="FangSong_GB2312" w:hAnsi="FangSong_GB2312" w:eastAsia="FangSong_GB2312" w:cs="FangSong_GB2312"/>
                <w:sz w:val="24"/>
                <w:szCs w:val="24"/>
                <w:spacing w:val="20"/>
              </w:rPr>
              <w:t xml:space="preserve"> </w:t>
            </w:r>
            <w:r>
              <w:rPr>
                <w:rFonts w:ascii="FangSong_GB2312" w:hAnsi="FangSong_GB2312" w:eastAsia="FangSong_GB2312" w:cs="FangSong_GB2312"/>
                <w:sz w:val="24"/>
                <w:szCs w:val="24"/>
                <w:spacing w:val="-9"/>
              </w:rPr>
              <w:t>7</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9"/>
              </w:rPr>
              <w:t>天</w:t>
            </w:r>
          </w:p>
        </w:tc>
        <w:tc>
          <w:tcPr>
            <w:tcW w:w="1062" w:type="dxa"/>
            <w:vAlign w:val="top"/>
          </w:tcPr>
          <w:p>
            <w:pPr>
              <w:ind w:left="25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7</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7"/>
              </w:rPr>
              <w:t>天以上不满</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7"/>
              </w:rPr>
              <w:t>15</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7"/>
              </w:rPr>
              <w:t>天</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r>
              <w:rPr>
                <w:rFonts w:ascii="FangSong_GB2312" w:hAnsi="FangSong_GB2312" w:eastAsia="FangSong_GB2312" w:cs="FangSong_GB2312"/>
                <w:sz w:val="24"/>
                <w:szCs w:val="24"/>
                <w:spacing w:val="19"/>
              </w:rPr>
              <w:t xml:space="preserve"> </w:t>
            </w:r>
            <w:r>
              <w:rPr>
                <w:rFonts w:ascii="FangSong_GB2312" w:hAnsi="FangSong_GB2312" w:eastAsia="FangSong_GB2312" w:cs="FangSong_GB2312"/>
                <w:sz w:val="24"/>
                <w:szCs w:val="24"/>
                <w:spacing w:val="-9"/>
              </w:rPr>
              <w:t>天以上</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ind w:left="266" w:right="258" w:firstLine="7"/>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66"/>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67"/>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25</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未如实报告污染物排放行为或者污染物排放浓度、排放量的</w:t>
            </w:r>
          </w:p>
        </w:tc>
      </w:tr>
      <w:tr>
        <w:trPr>
          <w:trHeight w:val="3468" w:hRule="atLeast"/>
        </w:trPr>
        <w:tc>
          <w:tcPr>
            <w:tcW w:w="1420"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21" w:right="107" w:firstLine="4"/>
              <w:spacing w:before="4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排污单位应当按照排污许可证规</w:t>
            </w:r>
            <w:r>
              <w:rPr>
                <w:rFonts w:ascii="FangSong_GB2312" w:hAnsi="FangSong_GB2312" w:eastAsia="FangSong_GB2312" w:cs="FangSong_GB2312"/>
                <w:sz w:val="24"/>
                <w:szCs w:val="24"/>
              </w:rPr>
              <w:t>定的内容、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频次和时间要求，向审批部门提交排污许可证执</w:t>
            </w:r>
            <w:r>
              <w:rPr>
                <w:rFonts w:ascii="FangSong_GB2312" w:hAnsi="FangSong_GB2312" w:eastAsia="FangSong_GB2312" w:cs="FangSong_GB2312"/>
                <w:sz w:val="24"/>
                <w:szCs w:val="24"/>
                <w:spacing w:val="1"/>
              </w:rPr>
              <w:t>行报告，如实报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告污染物排放行为、排放浓度、排放量等。</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23" w:right="107" w:firstLine="1"/>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第四项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违反本条例规定，排污单位有</w:t>
            </w:r>
            <w:r>
              <w:rPr>
                <w:rFonts w:ascii="FangSong_GB2312" w:hAnsi="FangSong_GB2312" w:eastAsia="FangSong_GB2312" w:cs="FangSong_GB2312"/>
                <w:sz w:val="24"/>
                <w:szCs w:val="24"/>
                <w:spacing w:val="-4"/>
              </w:rPr>
              <w:t>下列行为之一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的，由生态环境主管部门责令改正，处每次</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2"/>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千元以上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下的罚款；法律另有规定的，从其规定：</w:t>
            </w:r>
          </w:p>
          <w:p>
            <w:pPr>
              <w:ind w:left="119" w:right="107" w:firstLine="44"/>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3"/>
              </w:rPr>
              <w:t>四</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未如实报告污染物排放行为或者污染物排放浓</w:t>
            </w:r>
            <w:r>
              <w:rPr>
                <w:rFonts w:ascii="FangSong_GB2312" w:hAnsi="FangSong_GB2312" w:eastAsia="FangSong_GB2312" w:cs="FangSong_GB2312"/>
                <w:sz w:val="24"/>
                <w:szCs w:val="24"/>
                <w:spacing w:val="2"/>
              </w:rPr>
              <w:t>度、排放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量。</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90" w:right="135" w:hanging="24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303" w:lineRule="auto"/>
              <w:rPr>
                <w:rFonts w:ascii="Arial"/>
                <w:sz w:val="21"/>
              </w:rPr>
            </w:pPr>
            <w:r/>
          </w:p>
          <w:p>
            <w:pPr>
              <w:spacing w:line="304" w:lineRule="auto"/>
              <w:rPr>
                <w:rFonts w:ascii="Arial"/>
                <w:sz w:val="21"/>
              </w:rPr>
            </w:pPr>
            <w:r/>
          </w:p>
          <w:p>
            <w:pPr>
              <w:spacing w:line="30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right="104" w:firstLine="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次季度或月度执行报告未</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5"/>
              </w:rPr>
              <w:t>如实报告</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104" w:firstLine="1"/>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次季度或月度执行报告未</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5"/>
              </w:rPr>
              <w:t>如实报告</w:t>
            </w:r>
          </w:p>
        </w:tc>
        <w:tc>
          <w:tcPr>
            <w:tcW w:w="1062" w:type="dxa"/>
            <w:vAlign w:val="top"/>
          </w:tcPr>
          <w:p>
            <w:pPr>
              <w:ind w:left="19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3" w:right="101" w:firstLine="11"/>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次以上季度或月度执行报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7"/>
              </w:rPr>
              <w:t>告，或者年度执行报告未如</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实报告</w:t>
            </w:r>
          </w:p>
        </w:tc>
        <w:tc>
          <w:tcPr>
            <w:tcW w:w="1062" w:type="dxa"/>
            <w:vAlign w:val="top"/>
          </w:tcPr>
          <w:p>
            <w:pPr>
              <w:spacing w:line="276"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300" w:lineRule="auto"/>
              <w:rPr>
                <w:rFonts w:ascii="Arial"/>
                <w:sz w:val="21"/>
              </w:rPr>
            </w:pPr>
            <w:r/>
          </w:p>
          <w:p>
            <w:pPr>
              <w:spacing w:line="300" w:lineRule="auto"/>
              <w:rPr>
                <w:rFonts w:ascii="Arial"/>
                <w:sz w:val="21"/>
              </w:rPr>
            </w:pPr>
            <w:r/>
          </w:p>
          <w:p>
            <w:pPr>
              <w:ind w:left="635" w:right="135" w:hanging="489"/>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889" w:type="dxa"/>
            <w:vAlign w:val="top"/>
            <w:vMerge w:val="restart"/>
            <w:tcBorders>
              <w:bottom w:val="nil"/>
            </w:tcBorders>
          </w:tcPr>
          <w:p>
            <w:pPr>
              <w:spacing w:line="445"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299" w:lineRule="auto"/>
              <w:rPr>
                <w:rFonts w:ascii="Arial"/>
                <w:sz w:val="21"/>
              </w:rPr>
            </w:pPr>
            <w:r/>
          </w:p>
          <w:p>
            <w:pPr>
              <w:spacing w:line="30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284" w:lineRule="auto"/>
              <w:rPr>
                <w:rFonts w:ascii="Arial"/>
                <w:sz w:val="21"/>
              </w:rPr>
            </w:pPr>
            <w:r/>
          </w:p>
          <w:p>
            <w:pPr>
              <w:ind w:left="517" w:right="135" w:hanging="37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282" w:lineRule="auto"/>
              <w:rPr>
                <w:rFonts w:ascii="Arial"/>
                <w:sz w:val="21"/>
              </w:rPr>
            </w:pPr>
            <w:r/>
          </w:p>
          <w:p>
            <w:pPr>
              <w:ind w:left="830" w:right="222" w:hanging="596"/>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vMerge w:val="restart"/>
            <w:tcBorders>
              <w:bottom w:val="nil"/>
            </w:tcBorders>
          </w:tcPr>
          <w:p>
            <w:pPr>
              <w:spacing w:line="44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7"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right="209" w:firstLine="16"/>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p>
        </w:tc>
        <w:tc>
          <w:tcPr>
            <w:tcW w:w="1062" w:type="dxa"/>
            <w:vAlign w:val="top"/>
          </w:tcPr>
          <w:p>
            <w:pPr>
              <w:ind w:left="1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68"/>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1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养殖废水或其他污染物</w:t>
            </w:r>
          </w:p>
        </w:tc>
        <w:tc>
          <w:tcPr>
            <w:tcW w:w="1062" w:type="dxa"/>
            <w:vAlign w:val="top"/>
          </w:tcPr>
          <w:p>
            <w:pPr>
              <w:rPr>
                <w:rFonts w:ascii="Arial"/>
                <w:sz w:val="21"/>
              </w:rPr>
            </w:pPr>
            <w:r/>
          </w:p>
        </w:tc>
      </w:tr>
      <w:tr>
        <w:trPr>
          <w:trHeight w:val="126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性物质的废水或其他污染物</w:t>
            </w:r>
          </w:p>
        </w:tc>
        <w:tc>
          <w:tcPr>
            <w:tcW w:w="1062" w:type="dxa"/>
            <w:vAlign w:val="top"/>
          </w:tcPr>
          <w:p>
            <w:pPr>
              <w:spacing w:line="431"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vMerge w:val="restart"/>
            <w:tcBorders>
              <w:bottom w:val="nil"/>
            </w:tcBorders>
          </w:tcPr>
          <w:p>
            <w:pPr>
              <w:ind w:left="266" w:right="258" w:firstLine="7"/>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69"/>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26</w:t>
            </w:r>
          </w:p>
        </w:tc>
      </w:tr>
      <w:tr>
        <w:trPr>
          <w:trHeight w:val="634"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0" w:right="174" w:firstLine="5"/>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排污单位拒不配合生态环境主管部门监督检查，或者在接受监督</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检查时弄虚作假的</w:t>
            </w:r>
          </w:p>
        </w:tc>
      </w:tr>
      <w:tr>
        <w:trPr>
          <w:trHeight w:val="2839" w:hRule="atLeast"/>
        </w:trPr>
        <w:tc>
          <w:tcPr>
            <w:tcW w:w="1420" w:type="dxa"/>
            <w:vAlign w:val="top"/>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13" w:right="107" w:firstLine="12"/>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排污单位应当配合生态环境主管</w:t>
            </w:r>
            <w:r>
              <w:rPr>
                <w:rFonts w:ascii="FangSong_GB2312" w:hAnsi="FangSong_GB2312" w:eastAsia="FangSong_GB2312" w:cs="FangSong_GB2312"/>
                <w:sz w:val="24"/>
                <w:szCs w:val="24"/>
              </w:rPr>
              <w:t>部门监督检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查，如实反映情况，并按照要求提供排污许可证、环境管理台账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记录、排污许可证执行报告、</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自行监测数据等相关材料。</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2.《排污许可管理条例》</w:t>
            </w:r>
          </w:p>
          <w:p>
            <w:pPr>
              <w:ind w:left="116" w:right="107" w:firstLine="9"/>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排污单位拒不配合生态环境主管部门监督检查，</w:t>
            </w:r>
            <w:r>
              <w:rPr>
                <w:rFonts w:ascii="FangSong_GB2312" w:hAnsi="FangSong_GB2312" w:eastAsia="FangSong_GB2312" w:cs="FangSong_GB2312"/>
                <w:sz w:val="24"/>
                <w:szCs w:val="24"/>
                <w:spacing w:val="-4"/>
              </w:rPr>
              <w:t>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在接受监督检查时弄虚作假的，由生态环境主管部门责令</w:t>
            </w:r>
            <w:r>
              <w:rPr>
                <w:rFonts w:ascii="FangSong_GB2312" w:hAnsi="FangSong_GB2312" w:eastAsia="FangSong_GB2312" w:cs="FangSong_GB2312"/>
                <w:sz w:val="24"/>
                <w:szCs w:val="24"/>
                <w:spacing w:val="1"/>
              </w:rPr>
              <w:t>改正，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处</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万元以下的罚款。</w:t>
            </w:r>
          </w:p>
        </w:tc>
      </w:tr>
      <w:tr>
        <w:trPr>
          <w:trHeight w:val="634"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44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0" w:type="dxa"/>
            <w:vAlign w:val="top"/>
            <w:gridSpan w:val="2"/>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ind w:left="23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792"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48" w:right="209" w:hanging="3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内</w:t>
            </w:r>
          </w:p>
        </w:tc>
        <w:tc>
          <w:tcPr>
            <w:tcW w:w="1062" w:type="dxa"/>
            <w:vAlign w:val="top"/>
          </w:tcPr>
          <w:p>
            <w:pPr>
              <w:ind w:left="1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62"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4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62"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right="209" w:firstLine="2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围堵、留滞执法人员或拒绝</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提供资料</w:t>
            </w:r>
          </w:p>
        </w:tc>
        <w:tc>
          <w:tcPr>
            <w:tcW w:w="1062" w:type="dxa"/>
            <w:vAlign w:val="top"/>
          </w:tcPr>
          <w:p>
            <w:pPr>
              <w:ind w:left="1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62"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restart"/>
            <w:tcBorders>
              <w:bottom w:val="nil"/>
            </w:tcBorders>
          </w:tcPr>
          <w:p>
            <w:pPr>
              <w:ind w:left="231"/>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062" w:type="dxa"/>
            <w:vAlign w:val="top"/>
          </w:tcPr>
          <w:p>
            <w:pPr>
              <w:ind w:left="1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062" w:type="dxa"/>
            <w:vAlign w:val="top"/>
          </w:tcPr>
          <w:p>
            <w:pPr>
              <w:ind w:left="1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80" w:type="dxa"/>
            <w:vAlign w:val="top"/>
            <w:gridSpan w:val="2"/>
            <w:vMerge w:val="restart"/>
            <w:tcBorders>
              <w:bottom w:val="nil"/>
            </w:tcBorders>
          </w:tcPr>
          <w:p>
            <w:pPr>
              <w:spacing w:line="448"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gridSpan w:val="2"/>
            <w:vMerge w:val="restart"/>
            <w:tcBorders>
              <w:bottom w:val="nil"/>
            </w:tcBorders>
          </w:tcPr>
          <w:p>
            <w:pPr>
              <w:ind w:left="266" w:right="258"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13" w:hRule="atLeast"/>
        </w:trPr>
        <w:tc>
          <w:tcPr>
            <w:tcW w:w="1480" w:type="dxa"/>
            <w:vAlign w:val="top"/>
            <w:gridSpan w:val="2"/>
            <w:vMerge w:val="restart"/>
            <w:tcBorders>
              <w:bottom w:val="nil"/>
            </w:tcBorders>
          </w:tcPr>
          <w:p>
            <w:pPr>
              <w:ind w:left="148"/>
              <w:spacing w:before="4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27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36"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spacing w:before="14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062" w:type="dxa"/>
            <w:vAlign w:val="top"/>
          </w:tcPr>
          <w:p>
            <w:pPr>
              <w:ind w:left="435"/>
              <w:spacing w:before="1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70"/>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5"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27</w:t>
            </w:r>
          </w:p>
        </w:tc>
      </w:tr>
      <w:tr>
        <w:trPr>
          <w:trHeight w:val="635" w:hRule="atLeast"/>
        </w:trPr>
        <w:tc>
          <w:tcPr>
            <w:tcW w:w="1420" w:type="dxa"/>
            <w:vAlign w:val="top"/>
          </w:tcPr>
          <w:p>
            <w:pPr>
              <w:ind w:left="122"/>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6"/>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伪造、变造、转让排污许可证的</w:t>
            </w:r>
          </w:p>
        </w:tc>
      </w:tr>
      <w:tr>
        <w:trPr>
          <w:trHeight w:val="2209" w:hRule="atLeast"/>
        </w:trPr>
        <w:tc>
          <w:tcPr>
            <w:tcW w:w="1420" w:type="dxa"/>
            <w:vAlign w:val="top"/>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25"/>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第二十六条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第二款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禁止伪造、变造、转让排污许可证。</w:t>
            </w:r>
          </w:p>
          <w:p>
            <w:pPr>
              <w:spacing w:line="271"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《排污许可管理条例》</w:t>
            </w:r>
          </w:p>
          <w:p>
            <w:pPr>
              <w:ind w:left="121" w:right="47" w:firstLine="3"/>
              <w:spacing w:before="36"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第四十一条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违反本条例规定，伪造、变造、转让排污许可证的，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5"/>
              </w:rPr>
              <w:t>由生态环境主管部门没收相关证件或者吊销排污许可</w:t>
            </w:r>
            <w:r>
              <w:rPr>
                <w:rFonts w:ascii="FangSong_GB2312" w:hAnsi="FangSong_GB2312" w:eastAsia="FangSong_GB2312" w:cs="FangSong_GB2312"/>
                <w:sz w:val="24"/>
                <w:szCs w:val="24"/>
                <w:spacing w:val="-6"/>
              </w:rPr>
              <w:t>证，处</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元以上</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3"/>
              </w:rPr>
              <w:t>30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3"/>
              </w:rPr>
              <w:t>万元以下的罚款，3</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3"/>
              </w:rPr>
              <w:t>年内不得再次申请排污许可证。</w:t>
            </w:r>
          </w:p>
        </w:tc>
      </w:tr>
      <w:tr>
        <w:trPr>
          <w:trHeight w:val="635" w:hRule="atLeast"/>
        </w:trPr>
        <w:tc>
          <w:tcPr>
            <w:tcW w:w="4161" w:type="dxa"/>
            <w:vAlign w:val="top"/>
            <w:gridSpan w:val="4"/>
          </w:tcPr>
          <w:p>
            <w:pPr>
              <w:ind w:left="1527"/>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6"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5"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5"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0" w:lineRule="auto"/>
              <w:rPr>
                <w:rFonts w:ascii="Arial"/>
                <w:sz w:val="21"/>
              </w:rPr>
            </w:pPr>
            <w:r/>
          </w:p>
          <w:p>
            <w:pPr>
              <w:ind w:left="2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违法危害程度</w:t>
            </w:r>
          </w:p>
        </w:tc>
        <w:tc>
          <w:tcPr>
            <w:tcW w:w="792" w:type="dxa"/>
            <w:vAlign w:val="top"/>
            <w:vMerge w:val="restart"/>
            <w:tcBorders>
              <w:bottom w:val="nil"/>
            </w:tcBorders>
          </w:tcPr>
          <w:p>
            <w:pPr>
              <w:spacing w:line="44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6</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2" w:type="dxa"/>
            <w:vAlign w:val="top"/>
          </w:tcPr>
          <w:p>
            <w:pPr>
              <w:ind w:left="2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8" w:right="269"/>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违法行为持续</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6</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6"/>
              </w:rPr>
              <w:t>个月以上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年以下的</w:t>
            </w:r>
          </w:p>
        </w:tc>
        <w:tc>
          <w:tcPr>
            <w:tcW w:w="1062" w:type="dxa"/>
            <w:vAlign w:val="top"/>
          </w:tcPr>
          <w:p>
            <w:pPr>
              <w:ind w:left="190"/>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5"/>
              </w:rPr>
              <w:t>年以上的</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443"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5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90"/>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104"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重点管理</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(化工、电镀、皮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3"/>
              </w:rPr>
              <w:t>革、造纸、制浆、冶炼、放</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23"/>
              </w:rPr>
              <w:t>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性、</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印染、染料、炼焦、炼</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油项目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517" w:right="135" w:hanging="371"/>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排放污染物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14"/>
              </w:rPr>
              <w:t>类别</w:t>
            </w:r>
          </w:p>
        </w:tc>
        <w:tc>
          <w:tcPr>
            <w:tcW w:w="1889"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830" w:right="222" w:hanging="596"/>
              <w:spacing w:before="78"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排放污染物类</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别</w:t>
            </w:r>
          </w:p>
        </w:tc>
        <w:tc>
          <w:tcPr>
            <w:tcW w:w="79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3" w:right="33" w:firstLine="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生活、服务业、农业等废气、</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废水或其他污染物</w:t>
            </w:r>
          </w:p>
        </w:tc>
        <w:tc>
          <w:tcPr>
            <w:tcW w:w="1062" w:type="dxa"/>
            <w:vAlign w:val="top"/>
          </w:tcPr>
          <w:p>
            <w:pPr>
              <w:ind w:left="25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9"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09" w:firstLine="16"/>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一般工业废气、一般工业废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水、污水处理厂废水、畜禽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养殖废水或其他污染物</w:t>
            </w:r>
          </w:p>
        </w:tc>
        <w:tc>
          <w:tcPr>
            <w:tcW w:w="1062" w:type="dxa"/>
            <w:vAlign w:val="top"/>
          </w:tcPr>
          <w:p>
            <w:pPr>
              <w:spacing w:line="276" w:lineRule="auto"/>
              <w:rPr>
                <w:rFonts w:ascii="Arial"/>
                <w:sz w:val="21"/>
              </w:rPr>
            </w:pPr>
            <w:r/>
          </w:p>
          <w:p>
            <w:pPr>
              <w:ind w:left="19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26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hanging="2"/>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含有毒有害物质的废气或废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水、医疗废水、含一类污染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物或重金属、病原体、放射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性物质的废水或其他污染物</w:t>
            </w:r>
          </w:p>
        </w:tc>
        <w:tc>
          <w:tcPr>
            <w:tcW w:w="1062" w:type="dxa"/>
            <w:vAlign w:val="top"/>
          </w:tcPr>
          <w:p>
            <w:pPr>
              <w:spacing w:line="433"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ind w:left="266" w:right="258" w:firstLine="7"/>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71"/>
          <w:pgSz w:w="11905" w:h="16839"/>
          <w:pgMar w:top="1431" w:right="1738" w:bottom="1153"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72"/>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1269" w:hRule="atLeast"/>
        </w:trPr>
        <w:tc>
          <w:tcPr>
            <w:tcW w:w="8424" w:type="dxa"/>
            <w:vAlign w:val="top"/>
            <w:gridSpan w:val="6"/>
          </w:tcPr>
          <w:p>
            <w:pPr>
              <w:ind w:left="1211"/>
              <w:spacing w:before="99" w:line="20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w:t>
            </w:r>
          </w:p>
          <w:p>
            <w:pPr>
              <w:ind w:left="2388"/>
              <w:spacing w:before="80"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5"/>
              </w:rPr>
              <w:t>（排污许可管理类）</w:t>
            </w:r>
          </w:p>
        </w:tc>
      </w:tr>
      <w:tr>
        <w:trPr>
          <w:trHeight w:val="634" w:hRule="atLeast"/>
        </w:trPr>
        <w:tc>
          <w:tcPr>
            <w:tcW w:w="1420" w:type="dxa"/>
            <w:vAlign w:val="top"/>
          </w:tcPr>
          <w:p>
            <w:pPr>
              <w:ind w:left="43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9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28</w:t>
            </w:r>
          </w:p>
        </w:tc>
      </w:tr>
      <w:tr>
        <w:trPr>
          <w:trHeight w:val="635" w:hRule="atLeast"/>
        </w:trPr>
        <w:tc>
          <w:tcPr>
            <w:tcW w:w="1420" w:type="dxa"/>
            <w:vAlign w:val="top"/>
          </w:tcPr>
          <w:p>
            <w:pPr>
              <w:ind w:left="12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right="174" w:firstLine="1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需要填报排污登记表的企业事业单位和其他生产经营者，未依照</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本条例规定填报排污信息的</w:t>
            </w:r>
          </w:p>
        </w:tc>
      </w:tr>
      <w:tr>
        <w:trPr>
          <w:trHeight w:val="4098" w:hRule="atLeast"/>
        </w:trPr>
        <w:tc>
          <w:tcPr>
            <w:tcW w:w="1420"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《排污许可管理条例》</w:t>
            </w:r>
          </w:p>
          <w:p>
            <w:pPr>
              <w:ind w:left="121" w:right="107" w:firstLine="4"/>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rPr>
              <w:t>第二十四条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rPr>
              <w:t>第一款、第三款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污染物产生量、排放量和对环境的</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2"/>
              </w:rPr>
              <w:t>影响程度都很小的企业事业单位和其他生产经营</w:t>
            </w:r>
            <w:r>
              <w:rPr>
                <w:rFonts w:ascii="FangSong_GB2312" w:hAnsi="FangSong_GB2312" w:eastAsia="FangSong_GB2312" w:cs="FangSong_GB2312"/>
                <w:sz w:val="24"/>
                <w:szCs w:val="24"/>
                <w:spacing w:val="1"/>
              </w:rPr>
              <w:t>者，应当填报排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污登记表，不需要申请取得排污许可证。</w:t>
            </w:r>
          </w:p>
          <w:p>
            <w:pPr>
              <w:ind w:left="106" w:right="36" w:firstLine="20"/>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需要填报排污登记表的企业事业单位和其他生产经营者，应当在</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4"/>
              </w:rPr>
              <w:t>全国排污许可证管理信息平台上填报基本信息、污染物排放去向、</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执行的污染物排放标准以及采取的污染防治措施等信息；填报的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信息发生变动的，应当自发生变动之日起</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3"/>
              </w:rPr>
              <w:t>20</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日内进行变更填报。</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《排污许可管理条例》</w:t>
            </w:r>
          </w:p>
          <w:p>
            <w:pPr>
              <w:ind w:left="121" w:right="107" w:firstLine="4"/>
              <w:spacing w:before="36"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需要填报排污登记表的企业事业单位和其他生产经</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营者，未依照本条例规定填报排污信息的，由生</w:t>
            </w:r>
            <w:r>
              <w:rPr>
                <w:rFonts w:ascii="FangSong_GB2312" w:hAnsi="FangSong_GB2312" w:eastAsia="FangSong_GB2312" w:cs="FangSong_GB2312"/>
                <w:sz w:val="24"/>
                <w:szCs w:val="24"/>
                <w:spacing w:val="1"/>
              </w:rPr>
              <w:t>态环境主管部门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责令改正，可以处</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万元以下的罚款。</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2"/>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7" w:lineRule="auto"/>
              <w:rPr>
                <w:rFonts w:ascii="Arial"/>
                <w:sz w:val="21"/>
              </w:rPr>
            </w:pPr>
            <w:r/>
          </w:p>
          <w:p>
            <w:pPr>
              <w:ind w:left="508" w:right="135"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5"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4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6</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2" w:type="dxa"/>
            <w:vAlign w:val="top"/>
          </w:tcPr>
          <w:p>
            <w:pPr>
              <w:ind w:left="2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8" w:right="10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4"/>
              </w:rPr>
              <w:t>6</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4"/>
              </w:rPr>
              <w:t>个月以上</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年以下的</w:t>
            </w:r>
          </w:p>
        </w:tc>
        <w:tc>
          <w:tcPr>
            <w:tcW w:w="1062" w:type="dxa"/>
            <w:vAlign w:val="top"/>
          </w:tcPr>
          <w:p>
            <w:pPr>
              <w:ind w:left="1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5"/>
              </w:rPr>
              <w:t>年以上的</w:t>
            </w:r>
          </w:p>
        </w:tc>
        <w:tc>
          <w:tcPr>
            <w:tcW w:w="1062"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280" w:lineRule="auto"/>
              <w:rPr>
                <w:rFonts w:ascii="Arial"/>
                <w:sz w:val="21"/>
              </w:rPr>
            </w:pPr>
            <w:r/>
          </w:p>
          <w:p>
            <w:pPr>
              <w:ind w:left="517" w:right="258" w:hanging="251"/>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4"/>
              </w:rPr>
              <w:t>类型</w:t>
            </w:r>
          </w:p>
        </w:tc>
        <w:tc>
          <w:tcPr>
            <w:tcW w:w="1889" w:type="dxa"/>
            <w:vAlign w:val="top"/>
            <w:vMerge w:val="restart"/>
            <w:tcBorders>
              <w:bottom w:val="nil"/>
            </w:tcBorders>
          </w:tcPr>
          <w:p>
            <w:pPr>
              <w:spacing w:line="280" w:lineRule="auto"/>
              <w:rPr>
                <w:rFonts w:ascii="Arial"/>
                <w:sz w:val="21"/>
              </w:rPr>
            </w:pPr>
            <w:r/>
          </w:p>
          <w:p>
            <w:pPr>
              <w:ind w:left="723" w:right="222" w:hanging="489"/>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排污单位管理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1"/>
              </w:rPr>
              <w:t>类别</w:t>
            </w:r>
          </w:p>
        </w:tc>
        <w:tc>
          <w:tcPr>
            <w:tcW w:w="792" w:type="dxa"/>
            <w:vAlign w:val="top"/>
            <w:vMerge w:val="restart"/>
            <w:tcBorders>
              <w:bottom w:val="nil"/>
            </w:tcBorders>
          </w:tcPr>
          <w:p>
            <w:pPr>
              <w:spacing w:line="43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未规范填报部分排污信息</w:t>
            </w:r>
          </w:p>
        </w:tc>
        <w:tc>
          <w:tcPr>
            <w:tcW w:w="1062" w:type="dxa"/>
            <w:vAlign w:val="top"/>
          </w:tcPr>
          <w:p>
            <w:pPr>
              <w:ind w:left="25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未填报部分排污信息</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15"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spacing w:before="19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未填报排污信息</w:t>
            </w:r>
          </w:p>
        </w:tc>
        <w:tc>
          <w:tcPr>
            <w:tcW w:w="1062" w:type="dxa"/>
            <w:vAlign w:val="top"/>
          </w:tcPr>
          <w:p>
            <w:pPr>
              <w:ind w:left="133"/>
              <w:spacing w:before="19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restart"/>
            <w:tcBorders>
              <w:bottom w:val="nil"/>
            </w:tcBorders>
          </w:tcPr>
          <w:p>
            <w:pPr>
              <w:spacing w:line="450"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37"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gridSpan w:val="2"/>
            <w:vMerge w:val="restart"/>
            <w:tcBorders>
              <w:bottom w:val="nil"/>
            </w:tcBorders>
          </w:tcPr>
          <w:p>
            <w:pPr>
              <w:ind w:left="266" w:right="258"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80" w:type="dxa"/>
            <w:vAlign w:val="top"/>
            <w:gridSpan w:val="2"/>
          </w:tcPr>
          <w:p>
            <w:pPr>
              <w:ind w:left="26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tcPr>
          <w:p>
            <w:pPr>
              <w:ind w:left="229"/>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tcPr>
          <w:p>
            <w:pPr>
              <w:ind w:left="23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73"/>
          <w:pgSz w:w="11905" w:h="16839"/>
          <w:pgMar w:top="1431" w:right="1738" w:bottom="1153" w:left="1737" w:header="0" w:footer="994" w:gutter="0"/>
        </w:sectPr>
        <w:rPr/>
      </w:pPr>
    </w:p>
    <w:p>
      <w:pPr>
        <w:spacing w:before="92"/>
        <w:rPr/>
      </w:pPr>
      <w:r/>
    </w:p>
    <w:p>
      <w:pPr>
        <w:spacing w:before="91"/>
        <w:rPr/>
      </w:pPr>
      <w:r/>
    </w:p>
    <w:tbl>
      <w:tblPr>
        <w:tblStyle w:val="TableNormal"/>
        <w:tblW w:w="8424" w:type="dxa"/>
        <w:tblInd w:w="3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8"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right="209"/>
              <w:spacing w:before="4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480" w:type="dxa"/>
            <w:vAlign w:val="top"/>
            <w:vMerge w:val="restart"/>
            <w:tcBorders>
              <w:bottom w:val="nil"/>
            </w:tcBorders>
          </w:tcPr>
          <w:p>
            <w:pPr>
              <w:ind w:left="14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9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35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70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92" w:type="dxa"/>
            <w:vAlign w:val="top"/>
            <w:vMerge w:val="restart"/>
            <w:tcBorders>
              <w:bottom w:val="nil"/>
            </w:tcBorders>
          </w:tcPr>
          <w:p>
            <w:pPr>
              <w:spacing w:line="32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spacing w:before="65" w:line="103" w:lineRule="exact"/>
        <w:rPr>
          <w:rFonts w:ascii="SimSun" w:hAnsi="SimSun" w:eastAsia="SimSun" w:cs="SimSun"/>
          <w:sz w:val="20"/>
          <w:szCs w:val="20"/>
        </w:rPr>
      </w:pPr>
      <w:r>
        <w:rPr>
          <w:rFonts w:ascii="SimSun" w:hAnsi="SimSun" w:eastAsia="SimSun" w:cs="SimSun"/>
          <w:sz w:val="20"/>
          <w:szCs w:val="20"/>
          <w:position w:val="1"/>
        </w:rPr>
        <w:t>、</w:t>
      </w:r>
    </w:p>
    <w:p>
      <w:pPr>
        <w:spacing w:line="103" w:lineRule="exact"/>
        <w:sectPr>
          <w:footerReference w:type="default" r:id="rId74"/>
          <w:pgSz w:w="11905" w:h="16839"/>
          <w:pgMar w:top="1431" w:right="1738" w:bottom="1156" w:left="1438" w:header="0" w:footer="994" w:gutter="0"/>
        </w:sectPr>
        <w:rPr>
          <w:rFonts w:ascii="SimSun" w:hAnsi="SimSun" w:eastAsia="SimSun" w:cs="SimSun"/>
          <w:sz w:val="20"/>
          <w:szCs w:val="20"/>
        </w:rPr>
      </w:pPr>
    </w:p>
    <w:p>
      <w:pPr>
        <w:spacing w:before="4"/>
        <w:rPr/>
      </w:pPr>
      <w:r/>
    </w:p>
    <w:p>
      <w:pPr>
        <w:spacing w:before="4"/>
        <w:rPr/>
      </w:pPr>
      <w:r/>
    </w:p>
    <w:p>
      <w:pPr>
        <w:spacing w:before="4"/>
        <w:rPr/>
      </w:pPr>
      <w:r/>
    </w:p>
    <w:p>
      <w:pPr>
        <w:spacing w:before="3"/>
        <w:rPr/>
      </w:pPr>
      <w:r/>
    </w:p>
    <w:tbl>
      <w:tblPr>
        <w:tblStyle w:val="TableNormal"/>
        <w:tblW w:w="8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8"/>
        <w:gridCol w:w="1857"/>
        <w:gridCol w:w="771"/>
        <w:gridCol w:w="3480"/>
        <w:gridCol w:w="1101"/>
      </w:tblGrid>
      <w:tr>
        <w:trPr>
          <w:trHeight w:val="720" w:hRule="atLeast"/>
        </w:trPr>
        <w:tc>
          <w:tcPr>
            <w:tcW w:w="8497" w:type="dxa"/>
            <w:vAlign w:val="top"/>
            <w:gridSpan w:val="5"/>
          </w:tcPr>
          <w:p>
            <w:pPr>
              <w:ind w:left="215"/>
              <w:spacing w:before="118" w:line="229" w:lineRule="auto"/>
              <w:rPr>
                <w:rFonts w:ascii="FZXiaoBiaoSong-B05S" w:hAnsi="FZXiaoBiaoSong-B05S" w:eastAsia="FZXiaoBiaoSong-B05S" w:cs="FZXiaoBiaoSong-B05S"/>
                <w:sz w:val="40"/>
                <w:szCs w:val="40"/>
              </w:rPr>
            </w:pPr>
            <w:bookmarkStart w:name="bookmark16" w:id="19"/>
            <w:bookmarkEnd w:id="19"/>
            <w:r>
              <w:rPr>
                <w:rFonts w:ascii="FZXiaoBiaoSong-B05S" w:hAnsi="FZXiaoBiaoSong-B05S" w:eastAsia="FZXiaoBiaoSong-B05S" w:cs="FZXiaoBiaoSong-B05S"/>
                <w:sz w:val="40"/>
                <w:szCs w:val="40"/>
                <w:spacing w:val="1"/>
              </w:rPr>
              <w:t>河北省生态环境行政处罚裁量规则（大气类）</w:t>
            </w:r>
          </w:p>
        </w:tc>
      </w:tr>
      <w:tr>
        <w:trPr>
          <w:trHeight w:val="715" w:hRule="atLeast"/>
        </w:trPr>
        <w:tc>
          <w:tcPr>
            <w:tcW w:w="1288" w:type="dxa"/>
            <w:vAlign w:val="top"/>
          </w:tcPr>
          <w:p>
            <w:pPr>
              <w:ind w:left="368"/>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09" w:type="dxa"/>
            <w:vAlign w:val="top"/>
            <w:gridSpan w:val="4"/>
          </w:tcPr>
          <w:p>
            <w:pPr>
              <w:ind w:left="3497"/>
              <w:spacing w:before="269"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29</w:t>
            </w:r>
          </w:p>
        </w:tc>
      </w:tr>
      <w:tr>
        <w:trPr>
          <w:trHeight w:val="979" w:hRule="atLeast"/>
        </w:trPr>
        <w:tc>
          <w:tcPr>
            <w:tcW w:w="1288" w:type="dxa"/>
            <w:vAlign w:val="top"/>
          </w:tcPr>
          <w:p>
            <w:pPr>
              <w:spacing w:line="257" w:lineRule="auto"/>
              <w:rPr>
                <w:rFonts w:ascii="Arial"/>
                <w:sz w:val="21"/>
              </w:rPr>
            </w:pPr>
            <w:r/>
          </w:p>
          <w:p>
            <w:pPr>
              <w:ind w:left="93"/>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09" w:type="dxa"/>
            <w:vAlign w:val="top"/>
            <w:gridSpan w:val="4"/>
          </w:tcPr>
          <w:p>
            <w:pPr>
              <w:ind w:left="52"/>
              <w:spacing w:before="5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以拒绝进入现场等方式拒不接受生态环境主管部门及其环境执法机</w:t>
            </w:r>
          </w:p>
          <w:p>
            <w:pPr>
              <w:ind w:left="21" w:right="15" w:hanging="2"/>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构或者其他负有大气环境保护监督管理职责的部门的监督检查，</w:t>
            </w:r>
            <w:r>
              <w:rPr>
                <w:rFonts w:ascii="FangSong_GB2312" w:hAnsi="FangSong_GB2312" w:eastAsia="FangSong_GB2312" w:cs="FangSong_GB2312"/>
                <w:sz w:val="24"/>
                <w:szCs w:val="24"/>
                <w:spacing w:val="-2"/>
              </w:rPr>
              <w:t>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在接受监督检查时弄虚作假的</w:t>
            </w:r>
          </w:p>
        </w:tc>
      </w:tr>
      <w:tr>
        <w:trPr>
          <w:trHeight w:val="4758" w:hRule="atLeast"/>
        </w:trPr>
        <w:tc>
          <w:tcPr>
            <w:tcW w:w="1288"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01"/>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09"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4" w:right="15" w:firstLine="17"/>
              <w:spacing w:before="42"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生态环境主管部门及其环境执法机构和其他负有大气环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境保护监督管理职责的部门，有权通过现场检查监测、自动监测、遥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感监测、远红外摄像等方式，对排放大气污染物的企业事业单位和其</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他生产经营者进行监督检查。被检查者应当如实反映情况，提供必要</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的资料。实施检查的部门、机构及其工作人员应当为被检查者保守商</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业秘密。</w:t>
            </w:r>
          </w:p>
          <w:p>
            <w:pPr>
              <w:spacing w:line="26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14" w:right="108" w:firstLine="17"/>
              <w:spacing w:before="4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违反本法规定，以拒绝进入现场等方式拒不接受生态环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境主管部门及其环境执法机构或者其他负有大气环境保</w:t>
            </w:r>
            <w:r>
              <w:rPr>
                <w:rFonts w:ascii="FangSong_GB2312" w:hAnsi="FangSong_GB2312" w:eastAsia="FangSong_GB2312" w:cs="FangSong_GB2312"/>
                <w:sz w:val="24"/>
                <w:szCs w:val="24"/>
                <w:spacing w:val="-1"/>
              </w:rPr>
              <w:t>护监督管理</w:t>
            </w:r>
          </w:p>
          <w:p>
            <w:pPr>
              <w:ind w:left="52" w:right="15" w:hanging="22"/>
              <w:spacing w:before="3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职责的部门的监督检查，或者在接受监督检查时弄虚作假的，由县级</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以上人民政府生态环境主管部门或者其他负有大气环境保护监督管</w:t>
            </w:r>
          </w:p>
          <w:p>
            <w:pPr>
              <w:ind w:left="20" w:right="15" w:firstLine="1"/>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理职责的部门责令改正，处二万元以上二十万元以下的罚</w:t>
            </w:r>
            <w:r>
              <w:rPr>
                <w:rFonts w:ascii="FangSong_GB2312" w:hAnsi="FangSong_GB2312" w:eastAsia="FangSong_GB2312" w:cs="FangSong_GB2312"/>
                <w:sz w:val="24"/>
                <w:szCs w:val="24"/>
                <w:spacing w:val="-2"/>
              </w:rPr>
              <w:t>款；构成违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反治安管理行为的，由公安机关依法予以处罚。</w:t>
            </w:r>
          </w:p>
        </w:tc>
      </w:tr>
      <w:tr>
        <w:trPr>
          <w:trHeight w:val="635" w:hRule="atLeast"/>
        </w:trPr>
        <w:tc>
          <w:tcPr>
            <w:tcW w:w="3916" w:type="dxa"/>
            <w:vAlign w:val="top"/>
            <w:gridSpan w:val="3"/>
          </w:tcPr>
          <w:p>
            <w:pPr>
              <w:ind w:left="140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81" w:type="dxa"/>
            <w:vAlign w:val="top"/>
            <w:gridSpan w:val="2"/>
          </w:tcPr>
          <w:p>
            <w:pPr>
              <w:ind w:left="173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88" w:type="dxa"/>
            <w:vAlign w:val="top"/>
          </w:tcPr>
          <w:p>
            <w:pPr>
              <w:ind w:left="420"/>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57" w:type="dxa"/>
            <w:vAlign w:val="top"/>
          </w:tcPr>
          <w:p>
            <w:pPr>
              <w:ind w:left="498"/>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3" w:right="161"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01" w:type="dxa"/>
            <w:vAlign w:val="top"/>
          </w:tcPr>
          <w:p>
            <w:pPr>
              <w:ind w:left="218"/>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288"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99" w:right="157"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57"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2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771" w:type="dxa"/>
            <w:vAlign w:val="top"/>
            <w:vMerge w:val="restart"/>
            <w:tcBorders>
              <w:bottom w:val="nil"/>
            </w:tcBorders>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2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480" w:type="dxa"/>
            <w:vAlign w:val="top"/>
          </w:tcPr>
          <w:p>
            <w:pPr>
              <w:ind w:left="1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分钟以内</w:t>
            </w:r>
          </w:p>
        </w:tc>
        <w:tc>
          <w:tcPr>
            <w:tcW w:w="1101" w:type="dxa"/>
            <w:vAlign w:val="top"/>
          </w:tcPr>
          <w:p>
            <w:pPr>
              <w:ind w:left="19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88" w:type="dxa"/>
            <w:vAlign w:val="top"/>
            <w:vMerge w:val="continue"/>
            <w:tcBorders>
              <w:top w:val="nil"/>
              <w:bottom w:val="nil"/>
            </w:tcBorders>
          </w:tcPr>
          <w:p>
            <w:pPr>
              <w:rPr>
                <w:rFonts w:ascii="Arial"/>
                <w:sz w:val="21"/>
              </w:rPr>
            </w:pPr>
            <w:r/>
          </w:p>
        </w:tc>
        <w:tc>
          <w:tcPr>
            <w:tcW w:w="1857"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101" w:type="dxa"/>
            <w:vAlign w:val="top"/>
          </w:tcPr>
          <w:p>
            <w:pPr>
              <w:ind w:left="1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288" w:type="dxa"/>
            <w:vAlign w:val="top"/>
            <w:vMerge w:val="continue"/>
            <w:tcBorders>
              <w:top w:val="nil"/>
              <w:bottom w:val="nil"/>
            </w:tcBorders>
          </w:tcPr>
          <w:p>
            <w:pPr>
              <w:rPr>
                <w:rFonts w:ascii="Arial"/>
                <w:sz w:val="21"/>
              </w:rPr>
            </w:pPr>
            <w:r/>
          </w:p>
        </w:tc>
        <w:tc>
          <w:tcPr>
            <w:tcW w:w="1857"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101" w:type="dxa"/>
            <w:vAlign w:val="top"/>
          </w:tcPr>
          <w:p>
            <w:pPr>
              <w:ind w:left="1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288" w:type="dxa"/>
            <w:vAlign w:val="top"/>
            <w:vMerge w:val="continue"/>
            <w:tcBorders>
              <w:top w:val="nil"/>
              <w:bottom w:val="nil"/>
            </w:tcBorders>
          </w:tcPr>
          <w:p>
            <w:pPr>
              <w:rPr>
                <w:rFonts w:ascii="Arial"/>
                <w:sz w:val="21"/>
              </w:rPr>
            </w:pPr>
            <w:r/>
          </w:p>
        </w:tc>
        <w:tc>
          <w:tcPr>
            <w:tcW w:w="1857"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6" w:right="104"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围堵、留滞执法人员或拒绝提供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资料</w:t>
            </w:r>
          </w:p>
        </w:tc>
        <w:tc>
          <w:tcPr>
            <w:tcW w:w="1101" w:type="dxa"/>
            <w:vAlign w:val="top"/>
          </w:tcPr>
          <w:p>
            <w:pPr>
              <w:ind w:left="139"/>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288" w:type="dxa"/>
            <w:vAlign w:val="top"/>
            <w:vMerge w:val="continue"/>
            <w:tcBorders>
              <w:top w:val="nil"/>
              <w:bottom w:val="nil"/>
            </w:tcBorders>
          </w:tcPr>
          <w:p>
            <w:pPr>
              <w:rPr>
                <w:rFonts w:ascii="Arial"/>
                <w:sz w:val="21"/>
              </w:rPr>
            </w:pPr>
            <w:r/>
          </w:p>
        </w:tc>
        <w:tc>
          <w:tcPr>
            <w:tcW w:w="1857"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101" w:type="dxa"/>
            <w:vAlign w:val="top"/>
          </w:tcPr>
          <w:p>
            <w:pPr>
              <w:ind w:left="12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485" w:hRule="atLeast"/>
        </w:trPr>
        <w:tc>
          <w:tcPr>
            <w:tcW w:w="1288" w:type="dxa"/>
            <w:vAlign w:val="top"/>
            <w:vMerge w:val="continue"/>
            <w:tcBorders>
              <w:top w:val="nil"/>
              <w:bottom w:val="nil"/>
            </w:tcBorders>
          </w:tcPr>
          <w:p>
            <w:pPr>
              <w:rPr>
                <w:rFonts w:ascii="Arial"/>
                <w:sz w:val="21"/>
              </w:rPr>
            </w:pPr>
            <w:r/>
          </w:p>
        </w:tc>
        <w:tc>
          <w:tcPr>
            <w:tcW w:w="1857" w:type="dxa"/>
            <w:vAlign w:val="top"/>
            <w:vMerge w:val="restart"/>
            <w:tcBorders>
              <w:bottom w:val="nil"/>
            </w:tcBorders>
          </w:tcPr>
          <w:p>
            <w:pPr>
              <w:ind w:left="214"/>
              <w:spacing w:before="287"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12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101" w:type="dxa"/>
            <w:vAlign w:val="top"/>
          </w:tcPr>
          <w:p>
            <w:pPr>
              <w:ind w:left="131"/>
              <w:spacing w:before="12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20" w:hRule="atLeast"/>
        </w:trPr>
        <w:tc>
          <w:tcPr>
            <w:tcW w:w="1288" w:type="dxa"/>
            <w:vAlign w:val="top"/>
            <w:vMerge w:val="continue"/>
            <w:tcBorders>
              <w:top w:val="nil"/>
            </w:tcBorders>
          </w:tcPr>
          <w:p>
            <w:pPr>
              <w:rPr>
                <w:rFonts w:ascii="Arial"/>
                <w:sz w:val="21"/>
              </w:rPr>
            </w:pPr>
            <w:r/>
          </w:p>
        </w:tc>
        <w:tc>
          <w:tcPr>
            <w:tcW w:w="1857"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101" w:type="dxa"/>
            <w:vAlign w:val="top"/>
          </w:tcPr>
          <w:p>
            <w:pPr>
              <w:ind w:left="13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288" w:type="dxa"/>
            <w:vAlign w:val="top"/>
            <w:vMerge w:val="restart"/>
            <w:tcBorders>
              <w:bottom w:val="nil"/>
            </w:tcBorders>
          </w:tcPr>
          <w:p>
            <w:pPr>
              <w:spacing w:line="450" w:lineRule="auto"/>
              <w:rPr>
                <w:rFonts w:ascii="Arial"/>
                <w:sz w:val="21"/>
              </w:rPr>
            </w:pPr>
            <w:r/>
          </w:p>
          <w:p>
            <w:pPr>
              <w:ind w:left="17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57" w:type="dxa"/>
            <w:vAlign w:val="top"/>
            <w:vMerge w:val="restart"/>
            <w:tcBorders>
              <w:bottom w:val="nil"/>
            </w:tcBorders>
          </w:tcPr>
          <w:p>
            <w:pPr>
              <w:spacing w:line="292" w:lineRule="auto"/>
              <w:rPr>
                <w:rFonts w:ascii="Arial"/>
                <w:sz w:val="21"/>
              </w:rPr>
            </w:pPr>
            <w:r/>
          </w:p>
          <w:p>
            <w:pPr>
              <w:ind w:left="820" w:right="207"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1" w:type="dxa"/>
            <w:vAlign w:val="top"/>
            <w:vMerge w:val="restart"/>
            <w:tcBorders>
              <w:bottom w:val="nil"/>
            </w:tcBorders>
          </w:tcPr>
          <w:p>
            <w:pPr>
              <w:spacing w:line="450"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01" w:type="dxa"/>
            <w:vAlign w:val="top"/>
          </w:tcPr>
          <w:p>
            <w:pPr>
              <w:ind w:left="4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88" w:type="dxa"/>
            <w:vAlign w:val="top"/>
            <w:vMerge w:val="continue"/>
            <w:tcBorders>
              <w:top w:val="nil"/>
              <w:bottom w:val="nil"/>
            </w:tcBorders>
          </w:tcPr>
          <w:p>
            <w:pPr>
              <w:rPr>
                <w:rFonts w:ascii="Arial"/>
                <w:sz w:val="21"/>
              </w:rPr>
            </w:pPr>
            <w:r/>
          </w:p>
        </w:tc>
        <w:tc>
          <w:tcPr>
            <w:tcW w:w="1857"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01" w:type="dxa"/>
            <w:vAlign w:val="top"/>
          </w:tcPr>
          <w:p>
            <w:pPr>
              <w:ind w:left="37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88" w:type="dxa"/>
            <w:vAlign w:val="top"/>
            <w:vMerge w:val="continue"/>
            <w:tcBorders>
              <w:top w:val="nil"/>
              <w:bottom w:val="nil"/>
            </w:tcBorders>
          </w:tcPr>
          <w:p>
            <w:pPr>
              <w:rPr>
                <w:rFonts w:ascii="Arial"/>
                <w:sz w:val="21"/>
              </w:rPr>
            </w:pPr>
            <w:r/>
          </w:p>
        </w:tc>
        <w:tc>
          <w:tcPr>
            <w:tcW w:w="1857"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01" w:type="dxa"/>
            <w:vAlign w:val="top"/>
          </w:tcPr>
          <w:p>
            <w:pPr>
              <w:ind w:left="37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88" w:type="dxa"/>
            <w:vAlign w:val="top"/>
            <w:vMerge w:val="continue"/>
            <w:tcBorders>
              <w:top w:val="nil"/>
            </w:tcBorders>
          </w:tcPr>
          <w:p>
            <w:pPr>
              <w:rPr>
                <w:rFonts w:ascii="Arial"/>
                <w:sz w:val="21"/>
              </w:rPr>
            </w:pPr>
            <w:r/>
          </w:p>
        </w:tc>
        <w:tc>
          <w:tcPr>
            <w:tcW w:w="1857"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01" w:type="dxa"/>
            <w:vAlign w:val="top"/>
          </w:tcPr>
          <w:p>
            <w:pPr>
              <w:ind w:left="37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2" w:hRule="atLeast"/>
        </w:trPr>
        <w:tc>
          <w:tcPr>
            <w:tcW w:w="1288" w:type="dxa"/>
            <w:vAlign w:val="top"/>
          </w:tcPr>
          <w:p>
            <w:pPr>
              <w:ind w:left="17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57" w:type="dxa"/>
            <w:vAlign w:val="top"/>
          </w:tcPr>
          <w:p>
            <w:pPr>
              <w:ind w:left="21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是否及时进行</w:t>
            </w:r>
          </w:p>
        </w:tc>
        <w:tc>
          <w:tcPr>
            <w:tcW w:w="771" w:type="dxa"/>
            <w:vAlign w:val="top"/>
          </w:tcPr>
          <w:p>
            <w:pPr>
              <w:ind w:left="22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未整改未接受监督的</w:t>
            </w:r>
          </w:p>
        </w:tc>
        <w:tc>
          <w:tcPr>
            <w:tcW w:w="1101" w:type="dxa"/>
            <w:vAlign w:val="top"/>
          </w:tcPr>
          <w:p>
            <w:pPr>
              <w:ind w:left="19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75"/>
          <w:pgSz w:w="11905" w:h="16839"/>
          <w:pgMar w:top="1431" w:right="1701" w:bottom="1156" w:left="1701"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2"/>
        <w:gridCol w:w="1857"/>
        <w:gridCol w:w="771"/>
        <w:gridCol w:w="3480"/>
        <w:gridCol w:w="1068"/>
      </w:tblGrid>
      <w:tr>
        <w:trPr>
          <w:trHeight w:val="323" w:hRule="atLeast"/>
        </w:trPr>
        <w:tc>
          <w:tcPr>
            <w:tcW w:w="1282" w:type="dxa"/>
            <w:vAlign w:val="top"/>
          </w:tcPr>
          <w:p>
            <w:pPr>
              <w:rPr>
                <w:rFonts w:ascii="Arial"/>
                <w:sz w:val="21"/>
              </w:rPr>
            </w:pPr>
            <w:r/>
          </w:p>
        </w:tc>
        <w:tc>
          <w:tcPr>
            <w:tcW w:w="1857" w:type="dxa"/>
            <w:vAlign w:val="top"/>
          </w:tcPr>
          <w:p>
            <w:pPr>
              <w:ind w:left="698"/>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整改</w:t>
            </w:r>
          </w:p>
        </w:tc>
        <w:tc>
          <w:tcPr>
            <w:tcW w:w="771" w:type="dxa"/>
            <w:vAlign w:val="top"/>
          </w:tcPr>
          <w:p>
            <w:pPr>
              <w:rPr>
                <w:rFonts w:ascii="Arial"/>
                <w:sz w:val="21"/>
              </w:rPr>
            </w:pPr>
            <w:r/>
          </w:p>
        </w:tc>
        <w:tc>
          <w:tcPr>
            <w:tcW w:w="3480" w:type="dxa"/>
            <w:vAlign w:val="top"/>
          </w:tcPr>
          <w:p>
            <w:pPr>
              <w:ind w:left="119"/>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整改并接受监督的</w:t>
            </w:r>
          </w:p>
        </w:tc>
        <w:tc>
          <w:tcPr>
            <w:tcW w:w="1068" w:type="dxa"/>
            <w:vAlign w:val="top"/>
          </w:tcPr>
          <w:p>
            <w:pPr>
              <w:ind w:left="437"/>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68" w:hRule="atLeast"/>
        </w:trPr>
        <w:tc>
          <w:tcPr>
            <w:tcW w:w="1282" w:type="dxa"/>
            <w:vAlign w:val="top"/>
            <w:vMerge w:val="restart"/>
            <w:tcBorders>
              <w:bottom w:val="nil"/>
            </w:tcBorders>
          </w:tcPr>
          <w:p>
            <w:pPr>
              <w:ind w:left="162" w:right="157" w:firstLine="9"/>
              <w:spacing w:before="12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57" w:type="dxa"/>
            <w:vAlign w:val="top"/>
            <w:vMerge w:val="restart"/>
            <w:tcBorders>
              <w:bottom w:val="nil"/>
            </w:tcBorders>
          </w:tcPr>
          <w:p>
            <w:pPr>
              <w:ind w:left="210"/>
              <w:spacing w:before="12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1"/>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1"/>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361"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8"/>
              <w:spacing w:before="16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5"/>
              <w:spacing w:before="16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50" w:hRule="atLeast"/>
        </w:trPr>
        <w:tc>
          <w:tcPr>
            <w:tcW w:w="1282" w:type="dxa"/>
            <w:vAlign w:val="top"/>
            <w:vMerge w:val="continue"/>
            <w:tcBorders>
              <w:top w:val="nil"/>
            </w:tcBorders>
          </w:tcPr>
          <w:p>
            <w:pPr>
              <w:rPr>
                <w:rFonts w:ascii="Arial"/>
                <w:sz w:val="21"/>
              </w:rPr>
            </w:pPr>
            <w:r/>
          </w:p>
        </w:tc>
        <w:tc>
          <w:tcPr>
            <w:tcW w:w="1857"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5"/>
              <w:spacing w:before="1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7"/>
              <w:spacing w:before="15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76"/>
          <w:pgSz w:w="11905" w:h="16839"/>
          <w:pgMar w:top="1431" w:right="1734" w:bottom="1156" w:left="1707" w:header="0" w:footer="994" w:gutter="0"/>
        </w:sectPr>
        <w:rPr/>
      </w:pPr>
    </w:p>
    <w:p>
      <w:pPr>
        <w:spacing w:before="92"/>
        <w:rPr/>
      </w:pPr>
      <w:r/>
    </w:p>
    <w:p>
      <w:pPr>
        <w:spacing w:before="91"/>
        <w:rPr/>
      </w:pPr>
      <w:r/>
    </w:p>
    <w:tbl>
      <w:tblPr>
        <w:tblStyle w:val="TableNormal"/>
        <w:tblW w:w="85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8"/>
        <w:gridCol w:w="2061"/>
        <w:gridCol w:w="792"/>
        <w:gridCol w:w="3201"/>
        <w:gridCol w:w="1194"/>
      </w:tblGrid>
      <w:tr>
        <w:trPr>
          <w:trHeight w:val="720" w:hRule="atLeast"/>
        </w:trPr>
        <w:tc>
          <w:tcPr>
            <w:tcW w:w="8556" w:type="dxa"/>
            <w:vAlign w:val="top"/>
            <w:gridSpan w:val="5"/>
          </w:tcPr>
          <w:p>
            <w:pPr>
              <w:ind w:left="276"/>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08" w:type="dxa"/>
            <w:vAlign w:val="top"/>
          </w:tcPr>
          <w:p>
            <w:pPr>
              <w:ind w:left="379"/>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48" w:type="dxa"/>
            <w:vAlign w:val="top"/>
            <w:gridSpan w:val="4"/>
          </w:tcPr>
          <w:p>
            <w:pPr>
              <w:ind w:left="3528"/>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30</w:t>
            </w:r>
          </w:p>
        </w:tc>
      </w:tr>
      <w:tr>
        <w:trPr>
          <w:trHeight w:val="665" w:hRule="atLeast"/>
        </w:trPr>
        <w:tc>
          <w:tcPr>
            <w:tcW w:w="1308" w:type="dxa"/>
            <w:vAlign w:val="top"/>
          </w:tcPr>
          <w:p>
            <w:pPr>
              <w:ind w:left="104"/>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48" w:type="dxa"/>
            <w:vAlign w:val="top"/>
            <w:gridSpan w:val="4"/>
          </w:tcPr>
          <w:p>
            <w:pPr>
              <w:ind w:left="20"/>
              <w:spacing w:before="21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未依法取得排污许可证排放大气污染物的</w:t>
            </w:r>
          </w:p>
        </w:tc>
      </w:tr>
      <w:tr>
        <w:trPr>
          <w:trHeight w:val="8851" w:hRule="atLeast"/>
        </w:trPr>
        <w:tc>
          <w:tcPr>
            <w:tcW w:w="1308"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12"/>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48" w:type="dxa"/>
            <w:vAlign w:val="top"/>
            <w:gridSpan w:val="4"/>
          </w:tcPr>
          <w:p>
            <w:pPr>
              <w:ind w:left="15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6" w:right="32" w:firstLine="16"/>
              <w:spacing w:before="37"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排放工业废气或者本法第七十八条规定名录中所列有毒有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害大气污染物的企业事业单位、集中供热设施的燃煤</w:t>
            </w:r>
            <w:r>
              <w:rPr>
                <w:rFonts w:ascii="FangSong_GB2312" w:hAnsi="FangSong_GB2312" w:eastAsia="FangSong_GB2312" w:cs="FangSong_GB2312"/>
                <w:sz w:val="24"/>
                <w:szCs w:val="24"/>
                <w:spacing w:val="-1"/>
              </w:rPr>
              <w:t>热源生产运营单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位以及其他依法实行排污许可管理的单位，应当取得</w:t>
            </w:r>
            <w:r>
              <w:rPr>
                <w:rFonts w:ascii="FangSong_GB2312" w:hAnsi="FangSong_GB2312" w:eastAsia="FangSong_GB2312" w:cs="FangSong_GB2312"/>
                <w:sz w:val="24"/>
                <w:szCs w:val="24"/>
                <w:spacing w:val="-1"/>
              </w:rPr>
              <w:t>排污许可证。排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污许可的具体办法和实施步骤由国务院规定。</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6" w:firstLine="6"/>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第九十九条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违反本法规定，有下列行为之一的，由县级以上人民政府</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生态环境主管部门责令改正或者限制生产、停产整治，并处十万元以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上一百万元以下的罚款；情节严重的，报经有批准权</w:t>
            </w:r>
            <w:r>
              <w:rPr>
                <w:rFonts w:ascii="FangSong_GB2312" w:hAnsi="FangSong_GB2312" w:eastAsia="FangSong_GB2312" w:cs="FangSong_GB2312"/>
                <w:sz w:val="24"/>
                <w:szCs w:val="24"/>
                <w:spacing w:val="-8"/>
              </w:rPr>
              <w:t>的人民政府批准，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责令停业、关闭：</w:t>
            </w:r>
          </w:p>
          <w:p>
            <w:pPr>
              <w:ind w:left="15"/>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（一）未依法取得排污许可证排放大气污染物的；</w:t>
            </w:r>
          </w:p>
          <w:p>
            <w:pPr>
              <w:spacing w:line="273" w:lineRule="auto"/>
              <w:rPr>
                <w:rFonts w:ascii="Arial"/>
                <w:sz w:val="21"/>
              </w:rPr>
            </w:pPr>
            <w:r/>
          </w:p>
          <w:p>
            <w:pPr>
              <w:ind w:left="3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2" w:firstLine="10"/>
              <w:spacing w:before="40"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第七十八条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违反本条例规定，有下列行为之一的，</w:t>
            </w:r>
            <w:r>
              <w:rPr>
                <w:rFonts w:ascii="FangSong_GB2312" w:hAnsi="FangSong_GB2312" w:eastAsia="FangSong_GB2312" w:cs="FangSong_GB2312"/>
                <w:sz w:val="24"/>
                <w:szCs w:val="24"/>
                <w:spacing w:val="-7"/>
              </w:rPr>
              <w:t>由县级以上人民政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府环境保护主管部门责令停止排污或者限制生产、</w:t>
            </w:r>
            <w:r>
              <w:rPr>
                <w:rFonts w:ascii="FangSong_GB2312" w:hAnsi="FangSong_GB2312" w:eastAsia="FangSong_GB2312" w:cs="FangSong_GB2312"/>
                <w:sz w:val="24"/>
                <w:szCs w:val="24"/>
                <w:spacing w:val="-3"/>
              </w:rPr>
              <w:t>停产整治，并处十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万元以上三十万元以下罚款；情节较重的，并处三</w:t>
            </w:r>
            <w:r>
              <w:rPr>
                <w:rFonts w:ascii="FangSong_GB2312" w:hAnsi="FangSong_GB2312" w:eastAsia="FangSong_GB2312" w:cs="FangSong_GB2312"/>
                <w:sz w:val="24"/>
                <w:szCs w:val="24"/>
                <w:spacing w:val="-3"/>
              </w:rPr>
              <w:t>十万元以上一百万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元以下罚款；情节严重的，报经有批准权的人民政府批准，责</w:t>
            </w:r>
            <w:r>
              <w:rPr>
                <w:rFonts w:ascii="FangSong_GB2312" w:hAnsi="FangSong_GB2312" w:eastAsia="FangSong_GB2312" w:cs="FangSong_GB2312"/>
                <w:sz w:val="24"/>
                <w:szCs w:val="24"/>
                <w:spacing w:val="-8"/>
              </w:rPr>
              <w:t>令停业、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关闭。受到罚款处罚，被责令改正，拒不改正的，</w:t>
            </w:r>
            <w:r>
              <w:rPr>
                <w:rFonts w:ascii="FangSong_GB2312" w:hAnsi="FangSong_GB2312" w:eastAsia="FangSong_GB2312" w:cs="FangSong_GB2312"/>
                <w:sz w:val="24"/>
                <w:szCs w:val="24"/>
                <w:spacing w:val="-3"/>
              </w:rPr>
              <w:t>可以自责令改正之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日的次日起，按照原处罚数额按日连续处罚：</w:t>
            </w:r>
          </w:p>
          <w:p>
            <w:pPr>
              <w:ind w:left="15"/>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（一）未依法取得排污许可证排放大气污染物的；</w:t>
            </w:r>
          </w:p>
          <w:p>
            <w:pPr>
              <w:spacing w:line="271" w:lineRule="auto"/>
              <w:rPr>
                <w:rFonts w:ascii="Arial"/>
                <w:sz w:val="21"/>
              </w:rPr>
            </w:pPr>
            <w:r/>
          </w:p>
          <w:p>
            <w:pPr>
              <w:ind w:left="28"/>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《河北省生态环境保护条例》</w:t>
            </w:r>
          </w:p>
          <w:p>
            <w:pPr>
              <w:ind w:left="20" w:right="15" w:firstLine="12"/>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违反本条例规定，企业事业单位和其他生产经营者有下列</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rPr>
              <w:t>行为之一的，受到罚款处罚，被责令改正拒不改正的，依法作出处罚</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rPr>
              <w:t>决定的行政主管部门可以自责令改正之日的次日起，按照原处罚数额</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按日连续处罚：</w:t>
            </w:r>
          </w:p>
          <w:p>
            <w:pPr>
              <w:ind w:left="1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（一）未依法取得排污许可证排放污染物的；</w:t>
            </w:r>
          </w:p>
        </w:tc>
      </w:tr>
      <w:tr>
        <w:trPr>
          <w:trHeight w:val="635" w:hRule="atLeast"/>
        </w:trPr>
        <w:tc>
          <w:tcPr>
            <w:tcW w:w="4161" w:type="dxa"/>
            <w:vAlign w:val="top"/>
            <w:gridSpan w:val="3"/>
          </w:tcPr>
          <w:p>
            <w:pPr>
              <w:ind w:left="1526"/>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95" w:type="dxa"/>
            <w:vAlign w:val="top"/>
            <w:gridSpan w:val="2"/>
          </w:tcPr>
          <w:p>
            <w:pPr>
              <w:ind w:left="165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08" w:type="dxa"/>
            <w:vAlign w:val="top"/>
          </w:tcPr>
          <w:p>
            <w:pPr>
              <w:ind w:left="428"/>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61" w:type="dxa"/>
            <w:vAlign w:val="top"/>
          </w:tcPr>
          <w:p>
            <w:pPr>
              <w:ind w:left="600"/>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3" w:right="17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94" w:type="dxa"/>
            <w:vAlign w:val="top"/>
          </w:tcPr>
          <w:p>
            <w:pPr>
              <w:ind w:left="279"/>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7" w:hRule="atLeast"/>
        </w:trPr>
        <w:tc>
          <w:tcPr>
            <w:tcW w:w="1308" w:type="dxa"/>
            <w:vAlign w:val="top"/>
          </w:tcPr>
          <w:p>
            <w:pPr>
              <w:ind w:left="305" w:right="171" w:hanging="122"/>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61" w:type="dxa"/>
            <w:vAlign w:val="top"/>
          </w:tcPr>
          <w:p>
            <w:pPr>
              <w:ind w:left="318"/>
              <w:spacing w:before="20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tcPr>
          <w:p>
            <w:pPr>
              <w:ind w:left="24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34" w:right="210" w:hanging="9"/>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列入环境影响登记表类项目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94" w:type="dxa"/>
            <w:vAlign w:val="top"/>
          </w:tcPr>
          <w:p>
            <w:pPr>
              <w:ind w:left="259"/>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77"/>
          <w:pgSz w:w="11905" w:h="16839"/>
          <w:pgMar w:top="1431" w:right="1672" w:bottom="1156" w:left="1671" w:header="0" w:footer="994" w:gutter="0"/>
        </w:sectPr>
        <w:rPr/>
      </w:pPr>
    </w:p>
    <w:p>
      <w:pPr>
        <w:spacing w:before="92"/>
        <w:rPr/>
      </w:pPr>
      <w:r/>
    </w:p>
    <w:p>
      <w:pPr>
        <w:spacing w:before="91"/>
        <w:rPr/>
      </w:pPr>
      <w:r/>
    </w:p>
    <w:tbl>
      <w:tblPr>
        <w:tblStyle w:val="TableNormal"/>
        <w:tblW w:w="85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8"/>
        <w:gridCol w:w="2061"/>
        <w:gridCol w:w="792"/>
        <w:gridCol w:w="3201"/>
        <w:gridCol w:w="1194"/>
      </w:tblGrid>
      <w:tr>
        <w:trPr>
          <w:trHeight w:val="923" w:hRule="atLeast"/>
        </w:trPr>
        <w:tc>
          <w:tcPr>
            <w:tcW w:w="1308" w:type="dxa"/>
            <w:vAlign w:val="top"/>
            <w:vMerge w:val="restart"/>
            <w:tcBorders>
              <w:bottom w:val="nil"/>
            </w:tcBorders>
          </w:tcPr>
          <w:p>
            <w:pPr>
              <w:rPr>
                <w:rFonts w:ascii="Arial"/>
                <w:sz w:val="21"/>
              </w:rPr>
            </w:pPr>
            <w:r/>
          </w:p>
        </w:tc>
        <w:tc>
          <w:tcPr>
            <w:tcW w:w="2061"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34" w:right="210" w:hanging="9"/>
              <w:spacing w:before="18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94" w:type="dxa"/>
            <w:vAlign w:val="top"/>
          </w:tcPr>
          <w:p>
            <w:pPr>
              <w:spacing w:line="262" w:lineRule="auto"/>
              <w:rPr>
                <w:rFonts w:ascii="Arial"/>
                <w:sz w:val="21"/>
              </w:rPr>
            </w:pPr>
            <w:r/>
          </w:p>
          <w:p>
            <w:pPr>
              <w:ind w:left="19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0" w:hanging="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列入环境影响报告书类项目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94" w:type="dxa"/>
            <w:vAlign w:val="top"/>
          </w:tcPr>
          <w:p>
            <w:pPr>
              <w:ind w:left="246"/>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19" w:hRule="atLeast"/>
        </w:trPr>
        <w:tc>
          <w:tcPr>
            <w:tcW w:w="1308" w:type="dxa"/>
            <w:vAlign w:val="top"/>
            <w:vMerge w:val="continue"/>
            <w:tcBorders>
              <w:top w:val="nil"/>
              <w:bottom w:val="nil"/>
            </w:tcBorders>
          </w:tcPr>
          <w:p>
            <w:pPr>
              <w:rPr>
                <w:rFonts w:ascii="Arial"/>
                <w:sz w:val="21"/>
              </w:rPr>
            </w:pPr>
            <w:r/>
          </w:p>
        </w:tc>
        <w:tc>
          <w:tcPr>
            <w:tcW w:w="2061" w:type="dxa"/>
            <w:vAlign w:val="top"/>
            <w:vMerge w:val="restart"/>
            <w:tcBorders>
              <w:bottom w:val="nil"/>
            </w:tcBorders>
          </w:tcPr>
          <w:p>
            <w:pPr>
              <w:ind w:left="318"/>
              <w:spacing w:before="20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违法行为形式</w:t>
            </w:r>
          </w:p>
        </w:tc>
        <w:tc>
          <w:tcPr>
            <w:tcW w:w="792" w:type="dxa"/>
            <w:vAlign w:val="top"/>
            <w:vMerge w:val="restart"/>
            <w:tcBorders>
              <w:bottom w:val="nil"/>
            </w:tcBorders>
          </w:tcPr>
          <w:p>
            <w:pPr>
              <w:ind w:left="231"/>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经收集处理的</w:t>
            </w:r>
          </w:p>
        </w:tc>
        <w:tc>
          <w:tcPr>
            <w:tcW w:w="1194" w:type="dxa"/>
            <w:vAlign w:val="top"/>
          </w:tcPr>
          <w:p>
            <w:pPr>
              <w:ind w:left="25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未经收集处理的</w:t>
            </w:r>
          </w:p>
        </w:tc>
        <w:tc>
          <w:tcPr>
            <w:tcW w:w="1194" w:type="dxa"/>
            <w:vAlign w:val="top"/>
          </w:tcPr>
          <w:p>
            <w:pPr>
              <w:ind w:left="19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308" w:type="dxa"/>
            <w:vAlign w:val="top"/>
            <w:vMerge w:val="restart"/>
            <w:tcBorders>
              <w:bottom w:val="nil"/>
            </w:tcBorders>
          </w:tcPr>
          <w:p>
            <w:pPr>
              <w:spacing w:line="447" w:lineRule="auto"/>
              <w:rPr>
                <w:rFonts w:ascii="Arial"/>
                <w:sz w:val="21"/>
              </w:rPr>
            </w:pPr>
            <w:r/>
          </w:p>
          <w:p>
            <w:pPr>
              <w:ind w:left="18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61" w:type="dxa"/>
            <w:vAlign w:val="top"/>
            <w:vMerge w:val="restart"/>
            <w:tcBorders>
              <w:bottom w:val="nil"/>
            </w:tcBorders>
          </w:tcPr>
          <w:p>
            <w:pPr>
              <w:spacing w:line="447" w:lineRule="auto"/>
              <w:rPr>
                <w:rFonts w:ascii="Arial"/>
                <w:sz w:val="21"/>
              </w:rPr>
            </w:pPr>
            <w:r/>
          </w:p>
          <w:p>
            <w:pPr>
              <w:ind w:left="21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2" w:type="dxa"/>
            <w:vAlign w:val="top"/>
            <w:vMerge w:val="restart"/>
            <w:tcBorders>
              <w:bottom w:val="nil"/>
            </w:tcBorders>
          </w:tcPr>
          <w:p>
            <w:pPr>
              <w:spacing w:line="447"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94" w:type="dxa"/>
            <w:vAlign w:val="top"/>
          </w:tcPr>
          <w:p>
            <w:pPr>
              <w:ind w:left="4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94" w:type="dxa"/>
            <w:vAlign w:val="top"/>
          </w:tcPr>
          <w:p>
            <w:pPr>
              <w:ind w:left="43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94" w:type="dxa"/>
            <w:vAlign w:val="top"/>
          </w:tcPr>
          <w:p>
            <w:pPr>
              <w:ind w:left="43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94" w:type="dxa"/>
            <w:vAlign w:val="top"/>
          </w:tcPr>
          <w:p>
            <w:pPr>
              <w:ind w:left="43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08" w:type="dxa"/>
            <w:vAlign w:val="top"/>
            <w:vMerge w:val="restart"/>
            <w:tcBorders>
              <w:bottom w:val="nil"/>
            </w:tcBorders>
          </w:tcPr>
          <w:p>
            <w:pPr>
              <w:spacing w:line="443" w:lineRule="auto"/>
              <w:rPr>
                <w:rFonts w:ascii="Arial"/>
                <w:sz w:val="21"/>
              </w:rPr>
            </w:pPr>
            <w:r/>
          </w:p>
          <w:p>
            <w:pPr>
              <w:ind w:left="18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61" w:type="dxa"/>
            <w:vAlign w:val="top"/>
            <w:vMerge w:val="restart"/>
            <w:tcBorders>
              <w:bottom w:val="nil"/>
            </w:tcBorders>
          </w:tcPr>
          <w:p>
            <w:pPr>
              <w:spacing w:line="444" w:lineRule="auto"/>
              <w:rPr>
                <w:rFonts w:ascii="Arial"/>
                <w:sz w:val="21"/>
              </w:rPr>
            </w:pPr>
            <w:r/>
          </w:p>
          <w:p>
            <w:pPr>
              <w:ind w:left="230"/>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3"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94" w:type="dxa"/>
            <w:vAlign w:val="top"/>
          </w:tcPr>
          <w:p>
            <w:pPr>
              <w:ind w:left="50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21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94" w:type="dxa"/>
            <w:vAlign w:val="top"/>
          </w:tcPr>
          <w:p>
            <w:pPr>
              <w:ind w:left="319"/>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94" w:type="dxa"/>
            <w:vAlign w:val="top"/>
          </w:tcPr>
          <w:p>
            <w:pPr>
              <w:ind w:left="25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24" w:hRule="atLeast"/>
        </w:trPr>
        <w:tc>
          <w:tcPr>
            <w:tcW w:w="1308" w:type="dxa"/>
            <w:vAlign w:val="top"/>
            <w:vMerge w:val="restart"/>
            <w:tcBorders>
              <w:bottom w:val="nil"/>
            </w:tcBorders>
          </w:tcPr>
          <w:p>
            <w:pPr>
              <w:ind w:left="174" w:right="171" w:firstLine="9"/>
              <w:spacing w:before="201"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61" w:type="dxa"/>
            <w:vAlign w:val="top"/>
            <w:vMerge w:val="restart"/>
            <w:tcBorders>
              <w:bottom w:val="nil"/>
            </w:tcBorders>
          </w:tcPr>
          <w:p>
            <w:pPr>
              <w:spacing w:line="275" w:lineRule="auto"/>
              <w:rPr>
                <w:rFonts w:ascii="Arial"/>
                <w:sz w:val="21"/>
              </w:rPr>
            </w:pPr>
            <w:r/>
          </w:p>
          <w:p>
            <w:pPr>
              <w:ind w:left="322" w:right="189" w:hanging="13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434"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94" w:type="dxa"/>
            <w:vAlign w:val="top"/>
          </w:tcPr>
          <w:p>
            <w:pPr>
              <w:ind w:left="252"/>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0"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94" w:type="dxa"/>
            <w:vAlign w:val="top"/>
          </w:tcPr>
          <w:p>
            <w:pPr>
              <w:ind w:left="50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78"/>
          <w:pgSz w:w="11905" w:h="16839"/>
          <w:pgMar w:top="1431" w:right="1672" w:bottom="1156" w:left="167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8"/>
        <w:gridCol w:w="2061"/>
        <w:gridCol w:w="792"/>
        <w:gridCol w:w="3201"/>
        <w:gridCol w:w="1155"/>
      </w:tblGrid>
      <w:tr>
        <w:trPr>
          <w:trHeight w:val="720" w:hRule="atLeast"/>
        </w:trPr>
        <w:tc>
          <w:tcPr>
            <w:tcW w:w="8517" w:type="dxa"/>
            <w:vAlign w:val="top"/>
            <w:gridSpan w:val="5"/>
          </w:tcPr>
          <w:p>
            <w:pPr>
              <w:ind w:left="256"/>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08" w:type="dxa"/>
            <w:vAlign w:val="top"/>
          </w:tcPr>
          <w:p>
            <w:pPr>
              <w:ind w:left="378"/>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09" w:type="dxa"/>
            <w:vAlign w:val="top"/>
            <w:gridSpan w:val="4"/>
          </w:tcPr>
          <w:p>
            <w:pPr>
              <w:ind w:left="3508"/>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31</w:t>
            </w:r>
          </w:p>
        </w:tc>
      </w:tr>
      <w:tr>
        <w:trPr>
          <w:trHeight w:val="706" w:hRule="atLeast"/>
        </w:trPr>
        <w:tc>
          <w:tcPr>
            <w:tcW w:w="1308" w:type="dxa"/>
            <w:vAlign w:val="top"/>
          </w:tcPr>
          <w:p>
            <w:pPr>
              <w:ind w:left="103"/>
              <w:spacing w:before="21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09" w:type="dxa"/>
            <w:vAlign w:val="top"/>
            <w:gridSpan w:val="4"/>
          </w:tcPr>
          <w:p>
            <w:pPr>
              <w:ind w:left="17" w:right="233" w:hanging="2"/>
              <w:spacing w:before="7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超过大气污染物排放标准或者超过重点大气污染物排</w:t>
            </w:r>
            <w:r>
              <w:rPr>
                <w:rFonts w:ascii="FangSong_GB2312" w:hAnsi="FangSong_GB2312" w:eastAsia="FangSong_GB2312" w:cs="FangSong_GB2312"/>
                <w:sz w:val="24"/>
                <w:szCs w:val="24"/>
                <w:spacing w:val="-1"/>
              </w:rPr>
              <w:t>放总量控制指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标排放大气污染物的</w:t>
            </w:r>
          </w:p>
        </w:tc>
      </w:tr>
      <w:tr>
        <w:trPr>
          <w:trHeight w:val="9796" w:hRule="atLeast"/>
        </w:trPr>
        <w:tc>
          <w:tcPr>
            <w:tcW w:w="1308"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11"/>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09" w:type="dxa"/>
            <w:vAlign w:val="top"/>
            <w:gridSpan w:val="4"/>
          </w:tcPr>
          <w:p>
            <w:pPr>
              <w:ind w:left="34"/>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1.《中华人民共和国大气污染防治法》</w:t>
            </w:r>
          </w:p>
          <w:p>
            <w:pPr>
              <w:ind w:left="22" w:right="15" w:firstLine="9"/>
              <w:spacing w:before="35"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企业事业单位和其他生产经营者建设对大气环境有影响的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项目，应当依法进行环境影响评价、公开环境影响评价文</w:t>
            </w:r>
            <w:r>
              <w:rPr>
                <w:rFonts w:ascii="FangSong_GB2312" w:hAnsi="FangSong_GB2312" w:eastAsia="FangSong_GB2312" w:cs="FangSong_GB2312"/>
                <w:sz w:val="24"/>
                <w:szCs w:val="24"/>
                <w:spacing w:val="-2"/>
              </w:rPr>
              <w:t>件；向大气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排放污染物的，应当符合大气污染物排放标准，遵守重点</w:t>
            </w:r>
            <w:r>
              <w:rPr>
                <w:rFonts w:ascii="FangSong_GB2312" w:hAnsi="FangSong_GB2312" w:eastAsia="FangSong_GB2312" w:cs="FangSong_GB2312"/>
                <w:sz w:val="24"/>
                <w:szCs w:val="24"/>
                <w:spacing w:val="-2"/>
              </w:rPr>
              <w:t>大气污染物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排放总量控制要求。</w:t>
            </w:r>
          </w:p>
          <w:p>
            <w:pPr>
              <w:spacing w:line="268"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2.《中华人民共和国大气污染防治法》</w:t>
            </w:r>
          </w:p>
          <w:p>
            <w:pPr>
              <w:ind w:left="21" w:right="15" w:firstLine="10"/>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违反本法规定，有下列行为之一的，由县级以上人民政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府生态环境主管部门责令改正或者限制生产、停产整治，并</w:t>
            </w:r>
            <w:r>
              <w:rPr>
                <w:rFonts w:ascii="FangSong_GB2312" w:hAnsi="FangSong_GB2312" w:eastAsia="FangSong_GB2312" w:cs="FangSong_GB2312"/>
                <w:sz w:val="24"/>
                <w:szCs w:val="24"/>
                <w:spacing w:val="-2"/>
              </w:rPr>
              <w:t>处十万元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以上一百万元以下的罚款；情节严重的，报经有批准权的人</w:t>
            </w:r>
            <w:r>
              <w:rPr>
                <w:rFonts w:ascii="FangSong_GB2312" w:hAnsi="FangSong_GB2312" w:eastAsia="FangSong_GB2312" w:cs="FangSong_GB2312"/>
                <w:sz w:val="24"/>
                <w:szCs w:val="24"/>
                <w:spacing w:val="-2"/>
              </w:rPr>
              <w:t>民政府批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准，责令停业、关闭：</w:t>
            </w:r>
          </w:p>
          <w:p>
            <w:pPr>
              <w:ind w:left="26" w:right="15" w:hanging="11"/>
              <w:spacing w:before="3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（二）超过大气污染物排放标准或者超过重点大气污染物排放总量控</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制指标排放大气污染物的；</w:t>
            </w:r>
          </w:p>
          <w:p>
            <w:pPr>
              <w:spacing w:line="270" w:lineRule="auto"/>
              <w:rPr>
                <w:rFonts w:ascii="Arial"/>
                <w:sz w:val="21"/>
              </w:rPr>
            </w:pPr>
            <w:r/>
          </w:p>
          <w:p>
            <w:pPr>
              <w:ind w:left="38"/>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3.《河北省大气污染防治条例》</w:t>
            </w:r>
          </w:p>
          <w:p>
            <w:pPr>
              <w:ind w:left="24" w:right="15" w:firstLine="7"/>
              <w:spacing w:before="35" w:line="238"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第七十八条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违反本条例规定，有下列行为之一的，由县级以上人民</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政府环境保护主管部门责令停止排污或者限制生产、</w:t>
            </w:r>
            <w:r>
              <w:rPr>
                <w:rFonts w:ascii="FangSong_GB2312" w:hAnsi="FangSong_GB2312" w:eastAsia="FangSong_GB2312" w:cs="FangSong_GB2312"/>
                <w:sz w:val="24"/>
                <w:szCs w:val="24"/>
                <w:spacing w:val="-2"/>
              </w:rPr>
              <w:t>停产整治，并处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十万元以上三十万元以下罚款；情节较重的，并处三</w:t>
            </w:r>
            <w:r>
              <w:rPr>
                <w:rFonts w:ascii="FangSong_GB2312" w:hAnsi="FangSong_GB2312" w:eastAsia="FangSong_GB2312" w:cs="FangSong_GB2312"/>
                <w:sz w:val="24"/>
                <w:szCs w:val="24"/>
                <w:spacing w:val="-2"/>
              </w:rPr>
              <w:t>十万元以上一百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万元以下罚款；情节严重的，报经有批准权的人民政</w:t>
            </w:r>
            <w:r>
              <w:rPr>
                <w:rFonts w:ascii="FangSong_GB2312" w:hAnsi="FangSong_GB2312" w:eastAsia="FangSong_GB2312" w:cs="FangSong_GB2312"/>
                <w:sz w:val="24"/>
                <w:szCs w:val="24"/>
                <w:spacing w:val="-2"/>
              </w:rPr>
              <w:t>府批准，责令停</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业、关闭。受到罚款处罚，被责令改正，拒不改正的</w:t>
            </w:r>
            <w:r>
              <w:rPr>
                <w:rFonts w:ascii="FangSong_GB2312" w:hAnsi="FangSong_GB2312" w:eastAsia="FangSong_GB2312" w:cs="FangSong_GB2312"/>
                <w:sz w:val="24"/>
                <w:szCs w:val="24"/>
                <w:spacing w:val="-2"/>
              </w:rPr>
              <w:t>，可以自责令改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正之日的次日起，按照原处罚数额按日连续处罚：</w:t>
            </w:r>
          </w:p>
          <w:p>
            <w:pPr>
              <w:ind w:left="26" w:right="15" w:hanging="1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（二）超过大气污染物排放标准或者超过重点大气污染物排放总量控</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制指标排放大气污染物的；</w:t>
            </w:r>
          </w:p>
          <w:p>
            <w:pPr>
              <w:spacing w:line="273" w:lineRule="auto"/>
              <w:rPr>
                <w:rFonts w:ascii="Arial"/>
                <w:sz w:val="21"/>
              </w:rPr>
            </w:pPr>
            <w:r/>
          </w:p>
          <w:p>
            <w:pPr>
              <w:ind w:left="2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4.《河北省生态环境保护条例》</w:t>
            </w:r>
          </w:p>
          <w:p>
            <w:pPr>
              <w:ind w:left="19" w:right="15" w:firstLine="12"/>
              <w:spacing w:before="39"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违反本条例规定，企业事业单位和其他生产经营者有下列</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行为之一的，受到罚款处罚，被责令改正拒不改正的，依法作出</w:t>
            </w:r>
            <w:r>
              <w:rPr>
                <w:rFonts w:ascii="FangSong_GB2312" w:hAnsi="FangSong_GB2312" w:eastAsia="FangSong_GB2312" w:cs="FangSong_GB2312"/>
                <w:sz w:val="24"/>
                <w:szCs w:val="24"/>
                <w:spacing w:val="-2"/>
              </w:rPr>
              <w:t>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决定的行政主管部门可以自责令改正之日的次日起，按照原处罚</w:t>
            </w:r>
            <w:r>
              <w:rPr>
                <w:rFonts w:ascii="FangSong_GB2312" w:hAnsi="FangSong_GB2312" w:eastAsia="FangSong_GB2312" w:cs="FangSong_GB2312"/>
                <w:sz w:val="24"/>
                <w:szCs w:val="24"/>
                <w:spacing w:val="-2"/>
              </w:rPr>
              <w:t>数额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按日连续处罚：</w:t>
            </w:r>
          </w:p>
          <w:p>
            <w:pPr>
              <w:ind w:left="20" w:right="15" w:hanging="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（二）超过污染物排放标准或者超过重点污染物排放总量控制指标排</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放污染物的；</w:t>
            </w:r>
          </w:p>
        </w:tc>
      </w:tr>
      <w:tr>
        <w:trPr>
          <w:trHeight w:val="635" w:hRule="atLeast"/>
        </w:trPr>
        <w:tc>
          <w:tcPr>
            <w:tcW w:w="4161" w:type="dxa"/>
            <w:vAlign w:val="top"/>
            <w:gridSpan w:val="3"/>
          </w:tcPr>
          <w:p>
            <w:pPr>
              <w:ind w:left="152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6" w:type="dxa"/>
            <w:vAlign w:val="top"/>
            <w:gridSpan w:val="2"/>
          </w:tcPr>
          <w:p>
            <w:pPr>
              <w:ind w:left="163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7" w:hRule="atLeast"/>
        </w:trPr>
        <w:tc>
          <w:tcPr>
            <w:tcW w:w="1308" w:type="dxa"/>
            <w:vAlign w:val="top"/>
          </w:tcPr>
          <w:p>
            <w:pPr>
              <w:ind w:left="427"/>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61" w:type="dxa"/>
            <w:vAlign w:val="top"/>
          </w:tcPr>
          <w:p>
            <w:pPr>
              <w:ind w:left="599"/>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5"/>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90"/>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5" w:type="dxa"/>
            <w:vAlign w:val="top"/>
          </w:tcPr>
          <w:p>
            <w:pPr>
              <w:ind w:left="262"/>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bl>
    <w:p>
      <w:pPr>
        <w:pStyle w:val="BodyText"/>
        <w:rPr/>
      </w:pPr>
      <w:r/>
    </w:p>
    <w:p>
      <w:pPr>
        <w:sectPr>
          <w:footerReference w:type="default" r:id="rId79"/>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8"/>
        <w:gridCol w:w="2061"/>
        <w:gridCol w:w="792"/>
        <w:gridCol w:w="3201"/>
        <w:gridCol w:w="1155"/>
      </w:tblGrid>
      <w:tr>
        <w:trPr>
          <w:trHeight w:val="639" w:hRule="atLeast"/>
        </w:trPr>
        <w:tc>
          <w:tcPr>
            <w:tcW w:w="1308"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04" w:right="172"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61"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32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6" w:right="209" w:hanging="9"/>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列入环境影响登记表类项目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55" w:type="dxa"/>
            <w:vAlign w:val="top"/>
          </w:tcPr>
          <w:p>
            <w:pPr>
              <w:ind w:left="299"/>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4"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6" w:right="209" w:hanging="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55" w:type="dxa"/>
            <w:vAlign w:val="top"/>
          </w:tcPr>
          <w:p>
            <w:pPr>
              <w:ind w:left="236"/>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4"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列入环境影响报告书类项目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55" w:type="dxa"/>
            <w:vAlign w:val="top"/>
          </w:tcPr>
          <w:p>
            <w:pPr>
              <w:ind w:left="131"/>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308" w:type="dxa"/>
            <w:vAlign w:val="top"/>
            <w:vMerge w:val="continue"/>
            <w:tcBorders>
              <w:top w:val="nil"/>
              <w:bottom w:val="nil"/>
            </w:tcBorders>
          </w:tcPr>
          <w:p>
            <w:pPr>
              <w:rPr>
                <w:rFonts w:ascii="Arial"/>
                <w:sz w:val="21"/>
              </w:rPr>
            </w:pPr>
            <w:r/>
          </w:p>
        </w:tc>
        <w:tc>
          <w:tcPr>
            <w:tcW w:w="2061" w:type="dxa"/>
            <w:vAlign w:val="top"/>
            <w:vMerge w:val="restart"/>
            <w:tcBorders>
              <w:bottom w:val="nil"/>
            </w:tcBorders>
          </w:tcPr>
          <w:p>
            <w:pPr>
              <w:spacing w:line="441" w:lineRule="auto"/>
              <w:rPr>
                <w:rFonts w:ascii="Arial"/>
                <w:sz w:val="21"/>
              </w:rPr>
            </w:pPr>
            <w:r/>
          </w:p>
          <w:p>
            <w:pPr>
              <w:ind w:left="3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违法危害程度</w:t>
            </w:r>
          </w:p>
        </w:tc>
        <w:tc>
          <w:tcPr>
            <w:tcW w:w="792" w:type="dxa"/>
            <w:vAlign w:val="top"/>
            <w:vMerge w:val="restart"/>
            <w:tcBorders>
              <w:bottom w:val="nil"/>
            </w:tcBorders>
          </w:tcPr>
          <w:p>
            <w:pPr>
              <w:spacing w:line="441"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污染物超标一倍以内的</w:t>
            </w:r>
          </w:p>
        </w:tc>
        <w:tc>
          <w:tcPr>
            <w:tcW w:w="1155" w:type="dxa"/>
            <w:vAlign w:val="top"/>
          </w:tcPr>
          <w:p>
            <w:pPr>
              <w:ind w:left="29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4"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污染物超标一倍以上两倍以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0"/>
              </w:rPr>
              <w:t>下的</w:t>
            </w:r>
          </w:p>
        </w:tc>
        <w:tc>
          <w:tcPr>
            <w:tcW w:w="1155" w:type="dxa"/>
            <w:vAlign w:val="top"/>
          </w:tcPr>
          <w:p>
            <w:pPr>
              <w:ind w:left="236"/>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污染物超标两倍以上的</w:t>
            </w:r>
          </w:p>
        </w:tc>
        <w:tc>
          <w:tcPr>
            <w:tcW w:w="1155" w:type="dxa"/>
            <w:vAlign w:val="top"/>
          </w:tcPr>
          <w:p>
            <w:pPr>
              <w:ind w:left="17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308" w:type="dxa"/>
            <w:vAlign w:val="top"/>
            <w:vMerge w:val="restart"/>
            <w:tcBorders>
              <w:bottom w:val="nil"/>
            </w:tcBorders>
          </w:tcPr>
          <w:p>
            <w:pPr>
              <w:spacing w:line="448" w:lineRule="auto"/>
              <w:rPr>
                <w:rFonts w:ascii="Arial"/>
                <w:sz w:val="21"/>
              </w:rPr>
            </w:pPr>
            <w:r/>
          </w:p>
          <w:p>
            <w:pPr>
              <w:ind w:left="18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61" w:type="dxa"/>
            <w:vAlign w:val="top"/>
            <w:vMerge w:val="restart"/>
            <w:tcBorders>
              <w:bottom w:val="nil"/>
            </w:tcBorders>
          </w:tcPr>
          <w:p>
            <w:pPr>
              <w:spacing w:line="448" w:lineRule="auto"/>
              <w:rPr>
                <w:rFonts w:ascii="Arial"/>
                <w:sz w:val="21"/>
              </w:rPr>
            </w:pPr>
            <w:r/>
          </w:p>
          <w:p>
            <w:pPr>
              <w:ind w:left="21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2" w:type="dxa"/>
            <w:vAlign w:val="top"/>
            <w:vMerge w:val="restart"/>
            <w:tcBorders>
              <w:bottom w:val="nil"/>
            </w:tcBorders>
          </w:tcPr>
          <w:p>
            <w:pPr>
              <w:spacing w:line="448"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08" w:type="dxa"/>
            <w:vAlign w:val="top"/>
            <w:vMerge w:val="restart"/>
            <w:tcBorders>
              <w:bottom w:val="nil"/>
            </w:tcBorders>
          </w:tcPr>
          <w:p>
            <w:pPr>
              <w:spacing w:line="444" w:lineRule="auto"/>
              <w:rPr>
                <w:rFonts w:ascii="Arial"/>
                <w:sz w:val="21"/>
              </w:rPr>
            </w:pPr>
            <w:r/>
          </w:p>
          <w:p>
            <w:pPr>
              <w:ind w:left="18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61"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55" w:type="dxa"/>
            <w:vAlign w:val="top"/>
          </w:tcPr>
          <w:p>
            <w:pPr>
              <w:ind w:left="48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308"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55" w:type="dxa"/>
            <w:vAlign w:val="top"/>
          </w:tcPr>
          <w:p>
            <w:pPr>
              <w:ind w:left="299"/>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5" w:type="dxa"/>
            <w:vAlign w:val="top"/>
          </w:tcPr>
          <w:p>
            <w:pPr>
              <w:ind w:left="23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08" w:type="dxa"/>
            <w:vAlign w:val="top"/>
            <w:vMerge w:val="restart"/>
            <w:tcBorders>
              <w:bottom w:val="nil"/>
            </w:tcBorders>
          </w:tcPr>
          <w:p>
            <w:pPr>
              <w:ind w:left="180" w:right="172"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61" w:type="dxa"/>
            <w:vAlign w:val="top"/>
            <w:vMerge w:val="restart"/>
            <w:tcBorders>
              <w:bottom w:val="nil"/>
            </w:tcBorders>
          </w:tcPr>
          <w:p>
            <w:pPr>
              <w:ind w:left="916" w:right="188" w:hanging="723"/>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792" w:type="dxa"/>
            <w:vAlign w:val="top"/>
            <w:vMerge w:val="restart"/>
            <w:tcBorders>
              <w:bottom w:val="nil"/>
            </w:tcBorders>
          </w:tcPr>
          <w:p>
            <w:pPr>
              <w:ind w:left="236"/>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5" w:hRule="atLeast"/>
        </w:trPr>
        <w:tc>
          <w:tcPr>
            <w:tcW w:w="1308" w:type="dxa"/>
            <w:vAlign w:val="top"/>
            <w:vMerge w:val="restart"/>
            <w:tcBorders>
              <w:bottom w:val="nil"/>
            </w:tcBorders>
          </w:tcPr>
          <w:p>
            <w:pPr>
              <w:ind w:left="173" w:right="172" w:firstLine="9"/>
              <w:spacing w:before="198"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61" w:type="dxa"/>
            <w:vAlign w:val="top"/>
            <w:vMerge w:val="restart"/>
            <w:tcBorders>
              <w:bottom w:val="nil"/>
            </w:tcBorders>
          </w:tcPr>
          <w:p>
            <w:pPr>
              <w:spacing w:line="277" w:lineRule="auto"/>
              <w:rPr>
                <w:rFonts w:ascii="Arial"/>
                <w:sz w:val="21"/>
              </w:rPr>
            </w:pPr>
            <w:r/>
          </w:p>
          <w:p>
            <w:pPr>
              <w:ind w:left="324" w:right="188" w:hanging="13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435"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19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19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308"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80"/>
          <w:pgSz w:w="11905" w:h="16839"/>
          <w:pgMar w:top="1431" w:right="1691" w:bottom="1156" w:left="1691"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061"/>
        <w:gridCol w:w="792"/>
        <w:gridCol w:w="3201"/>
        <w:gridCol w:w="1235"/>
      </w:tblGrid>
      <w:tr>
        <w:trPr>
          <w:trHeight w:val="720" w:hRule="atLeast"/>
        </w:trPr>
        <w:tc>
          <w:tcPr>
            <w:tcW w:w="8504" w:type="dxa"/>
            <w:vAlign w:val="top"/>
            <w:gridSpan w:val="5"/>
          </w:tcPr>
          <w:p>
            <w:pPr>
              <w:ind w:left="250"/>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89" w:type="dxa"/>
            <w:vAlign w:val="top"/>
            <w:gridSpan w:val="4"/>
          </w:tcPr>
          <w:p>
            <w:pPr>
              <w:ind w:left="3547"/>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32</w:t>
            </w:r>
          </w:p>
        </w:tc>
      </w:tr>
      <w:tr>
        <w:trPr>
          <w:trHeight w:val="716" w:hRule="atLeast"/>
        </w:trPr>
        <w:tc>
          <w:tcPr>
            <w:tcW w:w="1215" w:type="dxa"/>
            <w:vAlign w:val="top"/>
          </w:tcPr>
          <w:p>
            <w:pPr>
              <w:ind w:left="56"/>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89" w:type="dxa"/>
            <w:vAlign w:val="top"/>
            <w:gridSpan w:val="4"/>
          </w:tcPr>
          <w:p>
            <w:pPr>
              <w:ind w:left="25"/>
              <w:spacing w:before="2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通过逃避监管的方式排放大气污染物的</w:t>
            </w:r>
          </w:p>
        </w:tc>
      </w:tr>
      <w:tr>
        <w:trPr>
          <w:trHeight w:val="6332" w:hRule="atLeast"/>
        </w:trPr>
        <w:tc>
          <w:tcPr>
            <w:tcW w:w="1215"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89"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9" w:right="70" w:firstLine="13"/>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禁止通过偷排、篡改或者伪造监测数据、以逃避现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场检查为目的的临时停产、非紧急情况下开启</w:t>
            </w:r>
            <w:r>
              <w:rPr>
                <w:rFonts w:ascii="FangSong_GB2312" w:hAnsi="FangSong_GB2312" w:eastAsia="FangSong_GB2312" w:cs="FangSong_GB2312"/>
                <w:sz w:val="24"/>
                <w:szCs w:val="24"/>
                <w:spacing w:val="-1"/>
              </w:rPr>
              <w:t>应急排放通道、不正常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运行大气污染防治设施等逃避监管的方式排放大气污染物。</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5" w:firstLine="6"/>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第九十九条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违反本法规定，有下列行为之一的，由县级以上人民政府</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生态环境主管部门责令改正或者限制生产、停产整治，并处十</w:t>
            </w:r>
            <w:r>
              <w:rPr>
                <w:rFonts w:ascii="FangSong_GB2312" w:hAnsi="FangSong_GB2312" w:eastAsia="FangSong_GB2312" w:cs="FangSong_GB2312"/>
                <w:sz w:val="24"/>
                <w:szCs w:val="24"/>
                <w:spacing w:val="-3"/>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上一百万元以下的罚款；情节严重的，报经有批准权的人民政府批准，</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责令停业、关闭：</w:t>
            </w:r>
          </w:p>
          <w:p>
            <w:pPr>
              <w:ind w:left="15"/>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（三）通过逃避监管的方式排放大气污染物。</w:t>
            </w:r>
          </w:p>
          <w:p>
            <w:pPr>
              <w:spacing w:line="273" w:lineRule="auto"/>
              <w:rPr>
                <w:rFonts w:ascii="Arial"/>
                <w:sz w:val="21"/>
              </w:rPr>
            </w:pPr>
            <w:r/>
          </w:p>
          <w:p>
            <w:pPr>
              <w:ind w:left="3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4" w:right="68" w:firstLine="7"/>
              <w:spacing w:before="41"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违反本条例规定，有下列行为之一的，由县级以上人民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政府环境保护主管部门责令停止排污或者限制生产、停产整治，并处</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十万元以上三十万元以下罚款；情节较重的，并处三十万元以上一百</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万元以下罚款；情节严重的，报经有批准权的人民政府批准，责令停</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业、关闭。受到罚款处罚，被责令改正，拒不改正的，可以自责令改</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正之日的次日起，按照原处罚数额按日连续处罚：</w:t>
            </w:r>
          </w:p>
          <w:p>
            <w:pPr>
              <w:ind w:left="15"/>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（三）通过偷排、偷放等逃避监管的方式排放</w:t>
            </w:r>
            <w:r>
              <w:rPr>
                <w:rFonts w:ascii="FangSong_GB2312" w:hAnsi="FangSong_GB2312" w:eastAsia="FangSong_GB2312" w:cs="FangSong_GB2312"/>
                <w:sz w:val="24"/>
                <w:szCs w:val="24"/>
                <w:spacing w:val="-1"/>
              </w:rPr>
              <w:t>大气污染物的。</w:t>
            </w:r>
          </w:p>
        </w:tc>
      </w:tr>
      <w:tr>
        <w:trPr>
          <w:trHeight w:val="635" w:hRule="atLeast"/>
        </w:trPr>
        <w:tc>
          <w:tcPr>
            <w:tcW w:w="4068" w:type="dxa"/>
            <w:vAlign w:val="top"/>
            <w:gridSpan w:val="3"/>
          </w:tcPr>
          <w:p>
            <w:pPr>
              <w:ind w:left="148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36" w:type="dxa"/>
            <w:vAlign w:val="top"/>
            <w:gridSpan w:val="2"/>
          </w:tcPr>
          <w:p>
            <w:pPr>
              <w:ind w:left="1676"/>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61" w:type="dxa"/>
            <w:vAlign w:val="top"/>
          </w:tcPr>
          <w:p>
            <w:pPr>
              <w:ind w:left="599"/>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35" w:type="dxa"/>
            <w:vAlign w:val="top"/>
          </w:tcPr>
          <w:p>
            <w:pPr>
              <w:ind w:left="301"/>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215"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260" w:right="125"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61"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318"/>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23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餐饮油烟（经营）</w:t>
            </w:r>
          </w:p>
        </w:tc>
        <w:tc>
          <w:tcPr>
            <w:tcW w:w="1235" w:type="dxa"/>
            <w:vAlign w:val="top"/>
          </w:tcPr>
          <w:p>
            <w:pPr>
              <w:ind w:left="2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4" w:right="103"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农业生产、畜禽养殖/工地扬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尘/机械、汽车维修</w:t>
            </w:r>
          </w:p>
        </w:tc>
        <w:tc>
          <w:tcPr>
            <w:tcW w:w="1235" w:type="dxa"/>
            <w:vAlign w:val="top"/>
          </w:tcPr>
          <w:p>
            <w:pPr>
              <w:ind w:left="218"/>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331" w:firstLine="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一般工业废气/含恶臭污染</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物的废气/医疗/实验室</w:t>
            </w:r>
          </w:p>
        </w:tc>
        <w:tc>
          <w:tcPr>
            <w:tcW w:w="1235" w:type="dxa"/>
            <w:vAlign w:val="top"/>
          </w:tcPr>
          <w:p>
            <w:pPr>
              <w:ind w:left="21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949"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right="211"/>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火电、钢铁、石化、水泥、</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炼焦、有色、化工废气、烟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尘/燃煤锅炉废气、烟尘</w:t>
            </w:r>
          </w:p>
        </w:tc>
        <w:tc>
          <w:tcPr>
            <w:tcW w:w="1235" w:type="dxa"/>
            <w:vAlign w:val="top"/>
          </w:tcPr>
          <w:p>
            <w:pPr>
              <w:spacing w:line="278"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637"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right="26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排放有毒有害气体或篡改、</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伪造监测数据的</w:t>
            </w:r>
          </w:p>
        </w:tc>
        <w:tc>
          <w:tcPr>
            <w:tcW w:w="1235" w:type="dxa"/>
            <w:vAlign w:val="top"/>
          </w:tcPr>
          <w:p>
            <w:pPr>
              <w:ind w:left="21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bl>
    <w:p>
      <w:pPr>
        <w:pStyle w:val="BodyText"/>
        <w:rPr/>
      </w:pPr>
      <w:r/>
    </w:p>
    <w:p>
      <w:pPr>
        <w:sectPr>
          <w:footerReference w:type="default" r:id="rId81"/>
          <w:pgSz w:w="11905" w:h="16839"/>
          <w:pgMar w:top="1431" w:right="1698" w:bottom="1156" w:left="1697"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061"/>
        <w:gridCol w:w="792"/>
        <w:gridCol w:w="3201"/>
        <w:gridCol w:w="1235"/>
      </w:tblGrid>
      <w:tr>
        <w:trPr>
          <w:trHeight w:val="324" w:hRule="atLeast"/>
        </w:trPr>
        <w:tc>
          <w:tcPr>
            <w:tcW w:w="1215" w:type="dxa"/>
            <w:vAlign w:val="top"/>
            <w:vMerge w:val="restart"/>
            <w:tcBorders>
              <w:bottom w:val="nil"/>
            </w:tcBorders>
          </w:tcPr>
          <w:p>
            <w:pPr>
              <w:spacing w:line="44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61" w:type="dxa"/>
            <w:vAlign w:val="top"/>
            <w:vMerge w:val="restart"/>
            <w:tcBorders>
              <w:bottom w:val="nil"/>
            </w:tcBorders>
          </w:tcPr>
          <w:p>
            <w:pPr>
              <w:spacing w:line="448" w:lineRule="auto"/>
              <w:rPr>
                <w:rFonts w:ascii="Arial"/>
                <w:sz w:val="21"/>
              </w:rPr>
            </w:pPr>
            <w:r/>
          </w:p>
          <w:p>
            <w:pPr>
              <w:ind w:left="12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2" w:type="dxa"/>
            <w:vAlign w:val="top"/>
            <w:vMerge w:val="restart"/>
            <w:tcBorders>
              <w:bottom w:val="nil"/>
            </w:tcBorders>
          </w:tcPr>
          <w:p>
            <w:pPr>
              <w:spacing w:line="448" w:lineRule="auto"/>
              <w:rPr>
                <w:rFonts w:ascii="Arial"/>
                <w:sz w:val="21"/>
              </w:rPr>
            </w:pPr>
            <w:r/>
          </w:p>
          <w:p>
            <w:pPr>
              <w:ind w:left="1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35" w:type="dxa"/>
            <w:vAlign w:val="top"/>
          </w:tcPr>
          <w:p>
            <w:pPr>
              <w:ind w:left="51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35" w:type="dxa"/>
            <w:vAlign w:val="top"/>
          </w:tcPr>
          <w:p>
            <w:pPr>
              <w:ind w:left="45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35" w:type="dxa"/>
            <w:vAlign w:val="top"/>
          </w:tcPr>
          <w:p>
            <w:pPr>
              <w:ind w:left="45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35" w:type="dxa"/>
            <w:vAlign w:val="top"/>
          </w:tcPr>
          <w:p>
            <w:pPr>
              <w:ind w:left="45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2"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61" w:type="dxa"/>
            <w:vAlign w:val="top"/>
            <w:vMerge w:val="restart"/>
            <w:tcBorders>
              <w:bottom w:val="nil"/>
            </w:tcBorders>
          </w:tcPr>
          <w:p>
            <w:pPr>
              <w:spacing w:line="443"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2"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35" w:type="dxa"/>
            <w:vAlign w:val="top"/>
          </w:tcPr>
          <w:p>
            <w:pPr>
              <w:ind w:left="5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35" w:type="dxa"/>
            <w:vAlign w:val="top"/>
          </w:tcPr>
          <w:p>
            <w:pPr>
              <w:ind w:left="338"/>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35" w:type="dxa"/>
            <w:vAlign w:val="top"/>
          </w:tcPr>
          <w:p>
            <w:pPr>
              <w:ind w:left="27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4" w:right="12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61" w:type="dxa"/>
            <w:vAlign w:val="top"/>
            <w:vMerge w:val="restart"/>
            <w:tcBorders>
              <w:bottom w:val="nil"/>
            </w:tcBorders>
          </w:tcPr>
          <w:p>
            <w:pPr>
              <w:ind w:left="791" w:right="310"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35" w:type="dxa"/>
            <w:vAlign w:val="top"/>
          </w:tcPr>
          <w:p>
            <w:pPr>
              <w:ind w:left="2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35" w:type="dxa"/>
            <w:vAlign w:val="top"/>
          </w:tcPr>
          <w:p>
            <w:pPr>
              <w:ind w:left="5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4" w:hRule="atLeast"/>
        </w:trPr>
        <w:tc>
          <w:tcPr>
            <w:tcW w:w="1215" w:type="dxa"/>
            <w:vAlign w:val="top"/>
            <w:vMerge w:val="restart"/>
            <w:tcBorders>
              <w:bottom w:val="nil"/>
            </w:tcBorders>
          </w:tcPr>
          <w:p>
            <w:pPr>
              <w:ind w:left="126" w:right="125" w:firstLine="9"/>
              <w:spacing w:before="200"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61" w:type="dxa"/>
            <w:vAlign w:val="top"/>
            <w:vMerge w:val="restart"/>
            <w:tcBorders>
              <w:bottom w:val="nil"/>
            </w:tcBorders>
          </w:tcPr>
          <w:p>
            <w:pPr>
              <w:spacing w:line="277" w:lineRule="auto"/>
              <w:rPr>
                <w:rFonts w:ascii="Arial"/>
                <w:sz w:val="21"/>
              </w:rPr>
            </w:pPr>
            <w:r/>
          </w:p>
          <w:p>
            <w:pPr>
              <w:ind w:left="322" w:right="190" w:hanging="131"/>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433"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7"/>
              <w:spacing w:before="19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35" w:type="dxa"/>
            <w:vAlign w:val="top"/>
          </w:tcPr>
          <w:p>
            <w:pPr>
              <w:ind w:left="252"/>
              <w:spacing w:before="19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9"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35" w:type="dxa"/>
            <w:vAlign w:val="top"/>
          </w:tcPr>
          <w:p>
            <w:pPr>
              <w:ind w:left="52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82"/>
          <w:pgSz w:w="11905" w:h="16839"/>
          <w:pgMar w:top="1431" w:right="1698" w:bottom="1156" w:left="1697"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853"/>
        <w:gridCol w:w="4436"/>
      </w:tblGrid>
      <w:tr>
        <w:trPr>
          <w:trHeight w:val="720" w:hRule="atLeast"/>
        </w:trPr>
        <w:tc>
          <w:tcPr>
            <w:tcW w:w="8504" w:type="dxa"/>
            <w:vAlign w:val="top"/>
            <w:gridSpan w:val="3"/>
          </w:tcPr>
          <w:p>
            <w:pPr>
              <w:ind w:left="250"/>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89" w:type="dxa"/>
            <w:vAlign w:val="top"/>
            <w:gridSpan w:val="2"/>
          </w:tcPr>
          <w:p>
            <w:pPr>
              <w:ind w:left="3547"/>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33</w:t>
            </w:r>
          </w:p>
        </w:tc>
      </w:tr>
      <w:tr>
        <w:trPr>
          <w:trHeight w:val="683" w:hRule="atLeast"/>
        </w:trPr>
        <w:tc>
          <w:tcPr>
            <w:tcW w:w="1215" w:type="dxa"/>
            <w:vAlign w:val="top"/>
          </w:tcPr>
          <w:p>
            <w:pPr>
              <w:ind w:left="56"/>
              <w:spacing w:before="20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89" w:type="dxa"/>
            <w:vAlign w:val="top"/>
            <w:gridSpan w:val="2"/>
          </w:tcPr>
          <w:p>
            <w:pPr>
              <w:ind w:left="26" w:right="73" w:hanging="14"/>
              <w:spacing w:before="6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侵占、损毁或者擅自移动、改变大气环境质量监测设施或者大</w:t>
            </w:r>
            <w:r>
              <w:rPr>
                <w:rFonts w:ascii="FangSong_GB2312" w:hAnsi="FangSong_GB2312" w:eastAsia="FangSong_GB2312" w:cs="FangSong_GB2312"/>
                <w:sz w:val="24"/>
                <w:szCs w:val="24"/>
                <w:spacing w:val="-1"/>
              </w:rPr>
              <w:t>气污染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物排放自动监测设备的</w:t>
            </w:r>
          </w:p>
        </w:tc>
      </w:tr>
      <w:tr>
        <w:trPr>
          <w:trHeight w:val="10111" w:hRule="atLeast"/>
        </w:trPr>
        <w:tc>
          <w:tcPr>
            <w:tcW w:w="121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89" w:type="dxa"/>
            <w:vAlign w:val="top"/>
            <w:gridSpan w:val="2"/>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1" w:right="13" w:firstLine="11"/>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禁止侵占、损毁或者擅自移动、改变大气环境质量</w:t>
            </w:r>
            <w:r>
              <w:rPr>
                <w:rFonts w:ascii="FangSong_GB2312" w:hAnsi="FangSong_GB2312" w:eastAsia="FangSong_GB2312" w:cs="FangSong_GB2312"/>
                <w:sz w:val="24"/>
                <w:szCs w:val="24"/>
                <w:spacing w:val="-4"/>
              </w:rPr>
              <w:t>监测设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施和大气污染物排放自动监测设备。</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32" w:right="13"/>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违反本法规定，有下列行为之一的，由县级以上人民政府生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态环境主管部门责令改正，处二万元以上二十万元以下的罚款；拒不</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改正的，责令停产整治：</w:t>
            </w:r>
          </w:p>
          <w:p>
            <w:pPr>
              <w:ind w:left="29" w:right="73" w:hanging="14"/>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（一）侵占、损毁或者擅自移动、改变大气环境质量</w:t>
            </w:r>
            <w:r>
              <w:rPr>
                <w:rFonts w:ascii="FangSong_GB2312" w:hAnsi="FangSong_GB2312" w:eastAsia="FangSong_GB2312" w:cs="FangSong_GB2312"/>
                <w:sz w:val="24"/>
                <w:szCs w:val="24"/>
                <w:spacing w:val="-1"/>
              </w:rPr>
              <w:t>监测设施或者大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气污染物排放自动监测设备的；</w:t>
            </w:r>
          </w:p>
          <w:p>
            <w:pPr>
              <w:spacing w:line="273" w:lineRule="auto"/>
              <w:rPr>
                <w:rFonts w:ascii="Arial"/>
                <w:sz w:val="21"/>
              </w:rPr>
            </w:pPr>
            <w:r/>
          </w:p>
          <w:p>
            <w:pPr>
              <w:ind w:left="3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4" w:firstLine="7"/>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第七十九条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违反本条例规定，有下列行为之一的，</w:t>
            </w:r>
            <w:r>
              <w:rPr>
                <w:rFonts w:ascii="FangSong_GB2312" w:hAnsi="FangSong_GB2312" w:eastAsia="FangSong_GB2312" w:cs="FangSong_GB2312"/>
                <w:sz w:val="24"/>
                <w:szCs w:val="24"/>
                <w:spacing w:val="-3"/>
              </w:rPr>
              <w:t>由县级以上人民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政府环境保护主管部门责令限期改正，处二万元以上五万元以下罚款；</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情节较重的，处五万元以上十万元以下罚款；情节严重的，处十万元</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以上二十万元以下罚款；拒不改正的，责令停产整治：</w:t>
            </w:r>
          </w:p>
          <w:p>
            <w:pPr>
              <w:ind w:left="40" w:right="73" w:hanging="2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（一）破坏、损毁或者擅自拆除、闲置大气污染物排</w:t>
            </w:r>
            <w:r>
              <w:rPr>
                <w:rFonts w:ascii="FangSong_GB2312" w:hAnsi="FangSong_GB2312" w:eastAsia="FangSong_GB2312" w:cs="FangSong_GB2312"/>
                <w:sz w:val="24"/>
                <w:szCs w:val="24"/>
                <w:spacing w:val="-1"/>
              </w:rPr>
              <w:t>放自动监测设备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p>
            <w:pPr>
              <w:spacing w:line="272" w:lineRule="auto"/>
              <w:rPr>
                <w:rFonts w:ascii="Arial"/>
                <w:sz w:val="21"/>
              </w:rPr>
            </w:pPr>
            <w:r/>
          </w:p>
          <w:p>
            <w:pPr>
              <w:ind w:left="28"/>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《河北省生态环境保护条例》</w:t>
            </w:r>
          </w:p>
          <w:p>
            <w:pPr>
              <w:ind w:left="24" w:right="13" w:firstLine="7"/>
              <w:spacing w:before="3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违反本条例规定，重点排污单位有下列行为之一的，由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生态环境主管部门责令改正，处二万元以上二十万元以下的罚款；拒</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2"/>
              </w:rPr>
              <w:t>不改正的，责令停产整治：</w:t>
            </w:r>
          </w:p>
          <w:p>
            <w:pPr>
              <w:ind w:left="15"/>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（三）破坏、损毁或者擅自拆除、闲置自动监测设备的；</w:t>
            </w:r>
          </w:p>
          <w:p>
            <w:pPr>
              <w:spacing w:line="270" w:lineRule="auto"/>
              <w:rPr>
                <w:rFonts w:ascii="Arial"/>
                <w:sz w:val="21"/>
              </w:rPr>
            </w:pPr>
            <w:r/>
          </w:p>
          <w:p>
            <w:pPr>
              <w:ind w:left="3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《河北省扬尘污染防治办法》</w:t>
            </w:r>
          </w:p>
          <w:p>
            <w:pPr>
              <w:ind w:left="16" w:right="13" w:firstLine="16"/>
              <w:spacing w:before="37"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违反本办法规定，被确定为重点扬尘污染源的企业</w:t>
            </w:r>
            <w:r>
              <w:rPr>
                <w:rFonts w:ascii="FangSong_GB2312" w:hAnsi="FangSong_GB2312" w:eastAsia="FangSong_GB2312" w:cs="FangSong_GB2312"/>
                <w:sz w:val="24"/>
                <w:szCs w:val="24"/>
                <w:spacing w:val="-4"/>
              </w:rPr>
              <w:t>事业单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位和其他生产经营者有下列行为之一的，由监督管理</w:t>
            </w:r>
            <w:r>
              <w:rPr>
                <w:rFonts w:ascii="FangSong_GB2312" w:hAnsi="FangSong_GB2312" w:eastAsia="FangSong_GB2312" w:cs="FangSong_GB2312"/>
                <w:sz w:val="24"/>
                <w:szCs w:val="24"/>
                <w:spacing w:val="-1"/>
              </w:rPr>
              <w:t>部门责令限期改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正，处二万元以上五万元以下罚款；情节较重的，处</w:t>
            </w:r>
            <w:r>
              <w:rPr>
                <w:rFonts w:ascii="FangSong_GB2312" w:hAnsi="FangSong_GB2312" w:eastAsia="FangSong_GB2312" w:cs="FangSong_GB2312"/>
                <w:sz w:val="24"/>
                <w:szCs w:val="24"/>
                <w:spacing w:val="-1"/>
              </w:rPr>
              <w:t>五万元以上十万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元以下罚款；情节严重的，处十万元以上二十万元以</w:t>
            </w:r>
            <w:r>
              <w:rPr>
                <w:rFonts w:ascii="FangSong_GB2312" w:hAnsi="FangSong_GB2312" w:eastAsia="FangSong_GB2312" w:cs="FangSong_GB2312"/>
                <w:sz w:val="24"/>
                <w:szCs w:val="24"/>
                <w:spacing w:val="-1"/>
              </w:rPr>
              <w:t>下罚款；拒不改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正的，责令停工停产整治：</w:t>
            </w:r>
          </w:p>
          <w:p>
            <w:pPr>
              <w:ind w:left="1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（二）破坏、损毁或者擅自拆除、闲置扬尘污染物在</w:t>
            </w:r>
            <w:r>
              <w:rPr>
                <w:rFonts w:ascii="FangSong_GB2312" w:hAnsi="FangSong_GB2312" w:eastAsia="FangSong_GB2312" w:cs="FangSong_GB2312"/>
                <w:sz w:val="24"/>
                <w:szCs w:val="24"/>
                <w:spacing w:val="-1"/>
              </w:rPr>
              <w:t>线监测设备的；</w:t>
            </w:r>
          </w:p>
        </w:tc>
      </w:tr>
      <w:tr>
        <w:trPr>
          <w:trHeight w:val="637" w:hRule="atLeast"/>
        </w:trPr>
        <w:tc>
          <w:tcPr>
            <w:tcW w:w="4068" w:type="dxa"/>
            <w:vAlign w:val="top"/>
            <w:gridSpan w:val="2"/>
          </w:tcPr>
          <w:p>
            <w:pPr>
              <w:ind w:left="148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36" w:type="dxa"/>
            <w:vAlign w:val="top"/>
          </w:tcPr>
          <w:p>
            <w:pPr>
              <w:ind w:left="1676"/>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bl>
    <w:p>
      <w:pPr>
        <w:pStyle w:val="BodyText"/>
        <w:rPr/>
      </w:pPr>
      <w:r/>
    </w:p>
    <w:p>
      <w:pPr>
        <w:sectPr>
          <w:footerReference w:type="default" r:id="rId83"/>
          <w:pgSz w:w="11905" w:h="16839"/>
          <w:pgMar w:top="1431" w:right="1698" w:bottom="1156" w:left="1697"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061"/>
        <w:gridCol w:w="792"/>
        <w:gridCol w:w="3201"/>
        <w:gridCol w:w="1235"/>
      </w:tblGrid>
      <w:tr>
        <w:trPr>
          <w:trHeight w:val="959" w:hRule="atLeast"/>
        </w:trPr>
        <w:tc>
          <w:tcPr>
            <w:tcW w:w="1215" w:type="dxa"/>
            <w:vAlign w:val="top"/>
          </w:tcPr>
          <w:p>
            <w:pPr>
              <w:spacing w:line="281" w:lineRule="auto"/>
              <w:rPr>
                <w:rFonts w:ascii="Arial"/>
                <w:sz w:val="21"/>
              </w:rPr>
            </w:pPr>
            <w:r/>
          </w:p>
          <w:p>
            <w:pPr>
              <w:ind w:left="38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61" w:type="dxa"/>
            <w:vAlign w:val="top"/>
          </w:tcPr>
          <w:p>
            <w:pPr>
              <w:spacing w:line="297" w:lineRule="auto"/>
              <w:rPr>
                <w:rFonts w:ascii="Arial"/>
                <w:sz w:val="21"/>
              </w:rPr>
            </w:pPr>
            <w:r/>
          </w:p>
          <w:p>
            <w:pPr>
              <w:ind w:left="599"/>
              <w:spacing w:before="72"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212" w:line="25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spacing w:line="296" w:lineRule="auto"/>
              <w:rPr>
                <w:rFonts w:ascii="Arial"/>
                <w:sz w:val="21"/>
              </w:rPr>
            </w:pPr>
            <w:r/>
          </w:p>
          <w:p>
            <w:pPr>
              <w:ind w:left="1388"/>
              <w:spacing w:before="72"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35" w:type="dxa"/>
            <w:vAlign w:val="top"/>
          </w:tcPr>
          <w:p>
            <w:pPr>
              <w:spacing w:line="297" w:lineRule="auto"/>
              <w:rPr>
                <w:rFonts w:ascii="Arial"/>
                <w:sz w:val="21"/>
              </w:rPr>
            </w:pPr>
            <w:r/>
          </w:p>
          <w:p>
            <w:pPr>
              <w:ind w:left="301"/>
              <w:spacing w:before="7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215" w:type="dxa"/>
            <w:vAlign w:val="top"/>
            <w:vMerge w:val="restart"/>
            <w:tcBorders>
              <w:bottom w:val="nil"/>
            </w:tcBorders>
          </w:tcPr>
          <w:p>
            <w:pPr>
              <w:spacing w:line="279" w:lineRule="auto"/>
              <w:rPr>
                <w:rFonts w:ascii="Arial"/>
                <w:sz w:val="21"/>
              </w:rPr>
            </w:pPr>
            <w:r/>
          </w:p>
          <w:p>
            <w:pPr>
              <w:ind w:left="260" w:right="125"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61" w:type="dxa"/>
            <w:vAlign w:val="top"/>
            <w:vMerge w:val="restart"/>
            <w:tcBorders>
              <w:bottom w:val="nil"/>
            </w:tcBorders>
          </w:tcPr>
          <w:p>
            <w:pPr>
              <w:spacing w:line="435" w:lineRule="auto"/>
              <w:rPr>
                <w:rFonts w:ascii="Arial"/>
                <w:sz w:val="21"/>
              </w:rPr>
            </w:pPr>
            <w:r/>
          </w:p>
          <w:p>
            <w:pPr>
              <w:ind w:left="35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3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1" w:right="211" w:hanging="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不影响自动检测设施、设备</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正常使用的</w:t>
            </w:r>
          </w:p>
        </w:tc>
        <w:tc>
          <w:tcPr>
            <w:tcW w:w="1235" w:type="dxa"/>
            <w:vAlign w:val="top"/>
          </w:tcPr>
          <w:p>
            <w:pPr>
              <w:ind w:left="278"/>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4"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1" w:hanging="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导致自动检测设施、设备不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5"/>
              </w:rPr>
              <w:t>能正常使用的</w:t>
            </w:r>
          </w:p>
        </w:tc>
        <w:tc>
          <w:tcPr>
            <w:tcW w:w="1235" w:type="dxa"/>
            <w:vAlign w:val="top"/>
          </w:tcPr>
          <w:p>
            <w:pPr>
              <w:ind w:left="126"/>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61" w:type="dxa"/>
            <w:vAlign w:val="top"/>
            <w:vMerge w:val="restart"/>
            <w:tcBorders>
              <w:bottom w:val="nil"/>
            </w:tcBorders>
          </w:tcPr>
          <w:p>
            <w:pPr>
              <w:spacing w:line="448" w:lineRule="auto"/>
              <w:rPr>
                <w:rFonts w:ascii="Arial"/>
                <w:sz w:val="21"/>
              </w:rPr>
            </w:pPr>
            <w:r/>
          </w:p>
          <w:p>
            <w:pPr>
              <w:ind w:left="12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2" w:type="dxa"/>
            <w:vAlign w:val="top"/>
            <w:vMerge w:val="restart"/>
            <w:tcBorders>
              <w:bottom w:val="nil"/>
            </w:tcBorders>
          </w:tcPr>
          <w:p>
            <w:pPr>
              <w:spacing w:line="448"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35" w:type="dxa"/>
            <w:vAlign w:val="top"/>
          </w:tcPr>
          <w:p>
            <w:pPr>
              <w:ind w:left="5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35" w:type="dxa"/>
            <w:vAlign w:val="top"/>
          </w:tcPr>
          <w:p>
            <w:pPr>
              <w:ind w:left="45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35" w:type="dxa"/>
            <w:vAlign w:val="top"/>
          </w:tcPr>
          <w:p>
            <w:pPr>
              <w:ind w:left="45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35" w:type="dxa"/>
            <w:vAlign w:val="top"/>
          </w:tcPr>
          <w:p>
            <w:pPr>
              <w:ind w:left="45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1"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61" w:type="dxa"/>
            <w:vAlign w:val="top"/>
            <w:vMerge w:val="restart"/>
            <w:tcBorders>
              <w:bottom w:val="nil"/>
            </w:tcBorders>
          </w:tcPr>
          <w:p>
            <w:pPr>
              <w:spacing w:line="442"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1"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35" w:type="dxa"/>
            <w:vAlign w:val="top"/>
          </w:tcPr>
          <w:p>
            <w:pPr>
              <w:ind w:left="5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35" w:type="dxa"/>
            <w:vAlign w:val="top"/>
          </w:tcPr>
          <w:p>
            <w:pPr>
              <w:ind w:left="338"/>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35" w:type="dxa"/>
            <w:vAlign w:val="top"/>
          </w:tcPr>
          <w:p>
            <w:pPr>
              <w:ind w:left="27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215" w:type="dxa"/>
            <w:vAlign w:val="top"/>
            <w:vMerge w:val="restart"/>
            <w:tcBorders>
              <w:bottom w:val="nil"/>
            </w:tcBorders>
          </w:tcPr>
          <w:p>
            <w:pPr>
              <w:ind w:left="134" w:right="125" w:firstLine="7"/>
              <w:spacing w:before="46"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61" w:type="dxa"/>
            <w:vAlign w:val="top"/>
            <w:vMerge w:val="restart"/>
            <w:tcBorders>
              <w:bottom w:val="nil"/>
            </w:tcBorders>
          </w:tcPr>
          <w:p>
            <w:pPr>
              <w:ind w:left="914" w:right="190" w:hanging="723"/>
              <w:spacing w:before="46"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792" w:type="dxa"/>
            <w:vAlign w:val="top"/>
            <w:vMerge w:val="restart"/>
            <w:tcBorders>
              <w:bottom w:val="nil"/>
            </w:tcBorders>
          </w:tcPr>
          <w:p>
            <w:pPr>
              <w:ind w:left="23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35" w:type="dxa"/>
            <w:vAlign w:val="top"/>
          </w:tcPr>
          <w:p>
            <w:pPr>
              <w:ind w:left="278"/>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35" w:type="dxa"/>
            <w:vAlign w:val="top"/>
          </w:tcPr>
          <w:p>
            <w:pPr>
              <w:ind w:left="5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215" w:type="dxa"/>
            <w:vAlign w:val="top"/>
            <w:vMerge w:val="restart"/>
            <w:tcBorders>
              <w:bottom w:val="nil"/>
            </w:tcBorders>
          </w:tcPr>
          <w:p>
            <w:pPr>
              <w:ind w:left="126" w:right="125" w:firstLine="9"/>
              <w:spacing w:before="4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61" w:type="dxa"/>
            <w:vAlign w:val="top"/>
            <w:vMerge w:val="restart"/>
            <w:tcBorders>
              <w:bottom w:val="nil"/>
            </w:tcBorders>
          </w:tcPr>
          <w:p>
            <w:pPr>
              <w:ind w:left="322" w:right="190" w:hanging="131"/>
              <w:spacing w:before="20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283"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35" w:type="dxa"/>
            <w:vAlign w:val="top"/>
          </w:tcPr>
          <w:p>
            <w:pPr>
              <w:ind w:left="25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35" w:type="dxa"/>
            <w:vAlign w:val="top"/>
          </w:tcPr>
          <w:p>
            <w:pPr>
              <w:ind w:left="52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84"/>
          <w:pgSz w:w="11905" w:h="16839"/>
          <w:pgMar w:top="1431" w:right="1698" w:bottom="1156" w:left="1697" w:header="0" w:footer="994" w:gutter="0"/>
        </w:sectPr>
        <w:rPr/>
      </w:pPr>
    </w:p>
    <w:p>
      <w:pPr>
        <w:spacing w:before="92"/>
        <w:rPr/>
      </w:pPr>
      <w:r/>
    </w:p>
    <w:p>
      <w:pPr>
        <w:spacing w:before="91"/>
        <w:rPr/>
      </w:pPr>
      <w:r/>
    </w:p>
    <w:tbl>
      <w:tblPr>
        <w:tblStyle w:val="TableNormal"/>
        <w:tblW w:w="854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79"/>
        <w:gridCol w:w="974"/>
        <w:gridCol w:w="3201"/>
        <w:gridCol w:w="1279"/>
      </w:tblGrid>
      <w:tr>
        <w:trPr>
          <w:trHeight w:val="720" w:hRule="atLeast"/>
        </w:trPr>
        <w:tc>
          <w:tcPr>
            <w:tcW w:w="8548" w:type="dxa"/>
            <w:vAlign w:val="top"/>
            <w:gridSpan w:val="5"/>
          </w:tcPr>
          <w:p>
            <w:pPr>
              <w:ind w:left="272"/>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715" w:hRule="atLeast"/>
        </w:trPr>
        <w:tc>
          <w:tcPr>
            <w:tcW w:w="1215" w:type="dxa"/>
            <w:vAlign w:val="top"/>
          </w:tcPr>
          <w:p>
            <w:pPr>
              <w:ind w:left="332"/>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333" w:type="dxa"/>
            <w:vAlign w:val="top"/>
            <w:gridSpan w:val="4"/>
          </w:tcPr>
          <w:p>
            <w:pPr>
              <w:ind w:left="3569"/>
              <w:spacing w:before="26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34</w:t>
            </w:r>
          </w:p>
        </w:tc>
      </w:tr>
      <w:tr>
        <w:trPr>
          <w:trHeight w:val="671" w:hRule="atLeast"/>
        </w:trPr>
        <w:tc>
          <w:tcPr>
            <w:tcW w:w="1215" w:type="dxa"/>
            <w:vAlign w:val="top"/>
          </w:tcPr>
          <w:p>
            <w:pPr>
              <w:ind w:left="56"/>
              <w:spacing w:before="19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333" w:type="dxa"/>
            <w:vAlign w:val="top"/>
            <w:gridSpan w:val="4"/>
          </w:tcPr>
          <w:p>
            <w:pPr>
              <w:ind w:left="17" w:right="117" w:firstLine="2"/>
              <w:spacing w:before="5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未按照规定对所排放的工业废气和有毒有害</w:t>
            </w:r>
            <w:r>
              <w:rPr>
                <w:rFonts w:ascii="FangSong_GB2312" w:hAnsi="FangSong_GB2312" w:eastAsia="FangSong_GB2312" w:cs="FangSong_GB2312"/>
                <w:sz w:val="24"/>
                <w:szCs w:val="24"/>
                <w:spacing w:val="-1"/>
              </w:rPr>
              <w:t>大气污染物进行监测并保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存原始监测记录的</w:t>
            </w:r>
          </w:p>
        </w:tc>
      </w:tr>
      <w:tr>
        <w:trPr>
          <w:trHeight w:val="6332" w:hRule="atLeast"/>
        </w:trPr>
        <w:tc>
          <w:tcPr>
            <w:tcW w:w="1215"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333"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1" w:firstLine="11"/>
              <w:spacing w:before="39"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企业事业单位和其他生产经营者应当按照国家有关规定</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和监测规范，对其排放的工业废气和本法第七十八条规定名录</w:t>
            </w:r>
            <w:r>
              <w:rPr>
                <w:rFonts w:ascii="FangSong_GB2312" w:hAnsi="FangSong_GB2312" w:eastAsia="FangSong_GB2312" w:cs="FangSong_GB2312"/>
                <w:sz w:val="24"/>
                <w:szCs w:val="24"/>
                <w:spacing w:val="-3"/>
              </w:rPr>
              <w:t>中所列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有毒有害大气污染物进行监测，并保存原始监测记录。其中，</w:t>
            </w:r>
            <w:r>
              <w:rPr>
                <w:rFonts w:ascii="FangSong_GB2312" w:hAnsi="FangSong_GB2312" w:eastAsia="FangSong_GB2312" w:cs="FangSong_GB2312"/>
                <w:sz w:val="24"/>
                <w:szCs w:val="24"/>
                <w:spacing w:val="-3"/>
              </w:rPr>
              <w:t>重点排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污单位应当安装、使用大气污染物排放自动监测设备，与生态</w:t>
            </w:r>
            <w:r>
              <w:rPr>
                <w:rFonts w:ascii="FangSong_GB2312" w:hAnsi="FangSong_GB2312" w:eastAsia="FangSong_GB2312" w:cs="FangSong_GB2312"/>
                <w:sz w:val="24"/>
                <w:szCs w:val="24"/>
                <w:spacing w:val="-3"/>
              </w:rPr>
              <w:t>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管部门的监控设备联网，保证监测设备正常运</w:t>
            </w:r>
            <w:r>
              <w:rPr>
                <w:rFonts w:ascii="FangSong_GB2312" w:hAnsi="FangSong_GB2312" w:eastAsia="FangSong_GB2312" w:cs="FangSong_GB2312"/>
                <w:sz w:val="24"/>
                <w:szCs w:val="24"/>
                <w:spacing w:val="-5"/>
              </w:rPr>
              <w:t>行并依法公开排放信息。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监测的具体办法和重点排污单位的条件由国务院生态环境主管</w:t>
            </w:r>
            <w:r>
              <w:rPr>
                <w:rFonts w:ascii="FangSong_GB2312" w:hAnsi="FangSong_GB2312" w:eastAsia="FangSong_GB2312" w:cs="FangSong_GB2312"/>
                <w:sz w:val="24"/>
                <w:szCs w:val="24"/>
                <w:spacing w:val="-3"/>
              </w:rPr>
              <w:t>部门规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定。</w:t>
            </w:r>
          </w:p>
          <w:p>
            <w:pPr>
              <w:ind w:left="17" w:right="117" w:firstLine="13"/>
              <w:spacing w:before="28"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重点排污单位名录由设区的市级以上地方人民政府生态环境主管部门</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rPr>
              <w:t>按照国务院生态环境主管部门的规定，根据本行政</w:t>
            </w:r>
            <w:r>
              <w:rPr>
                <w:rFonts w:ascii="FangSong_GB2312" w:hAnsi="FangSong_GB2312" w:eastAsia="FangSong_GB2312" w:cs="FangSong_GB2312"/>
                <w:sz w:val="24"/>
                <w:szCs w:val="24"/>
                <w:spacing w:val="-1"/>
              </w:rPr>
              <w:t>区域的大气环境承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载力、重点大气污染物排放总量控制指标的要求以</w:t>
            </w:r>
            <w:r>
              <w:rPr>
                <w:rFonts w:ascii="FangSong_GB2312" w:hAnsi="FangSong_GB2312" w:eastAsia="FangSong_GB2312" w:cs="FangSong_GB2312"/>
                <w:sz w:val="24"/>
                <w:szCs w:val="24"/>
                <w:spacing w:val="-1"/>
              </w:rPr>
              <w:t>及排污单位排放大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气污染物的种类、数量和浓度等因素，商有关部门</w:t>
            </w:r>
            <w:r>
              <w:rPr>
                <w:rFonts w:ascii="FangSong_GB2312" w:hAnsi="FangSong_GB2312" w:eastAsia="FangSong_GB2312" w:cs="FangSong_GB2312"/>
                <w:sz w:val="24"/>
                <w:szCs w:val="24"/>
                <w:spacing w:val="-1"/>
              </w:rPr>
              <w:t>确定，并向社会公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布。</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32" w:right="14"/>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第一百条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违反本法规定，有下列行为之一的，由县级以上人民政府生</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态环境主管部门责令改正，处二万元以上二十万元以下的罚款；拒不</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改正的，责令停产整治：</w:t>
            </w:r>
          </w:p>
          <w:p>
            <w:pPr>
              <w:ind w:left="26" w:right="117" w:hanging="11"/>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（二）未按照规定对所排放的工业废气和有毒有害大</w:t>
            </w:r>
            <w:r>
              <w:rPr>
                <w:rFonts w:ascii="FangSong_GB2312" w:hAnsi="FangSong_GB2312" w:eastAsia="FangSong_GB2312" w:cs="FangSong_GB2312"/>
                <w:sz w:val="24"/>
                <w:szCs w:val="24"/>
                <w:spacing w:val="-1"/>
              </w:rPr>
              <w:t>气污染物进行监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测并保存原始监测记录的；</w:t>
            </w:r>
          </w:p>
        </w:tc>
      </w:tr>
      <w:tr>
        <w:trPr>
          <w:trHeight w:val="635" w:hRule="atLeast"/>
        </w:trPr>
        <w:tc>
          <w:tcPr>
            <w:tcW w:w="4068" w:type="dxa"/>
            <w:vAlign w:val="top"/>
            <w:gridSpan w:val="3"/>
          </w:tcPr>
          <w:p>
            <w:pPr>
              <w:ind w:left="148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80" w:type="dxa"/>
            <w:vAlign w:val="top"/>
            <w:gridSpan w:val="2"/>
          </w:tcPr>
          <w:p>
            <w:pPr>
              <w:ind w:left="169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79" w:type="dxa"/>
            <w:vAlign w:val="top"/>
          </w:tcPr>
          <w:p>
            <w:pPr>
              <w:ind w:left="50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74" w:type="dxa"/>
            <w:vAlign w:val="top"/>
          </w:tcPr>
          <w:p>
            <w:pPr>
              <w:ind w:left="303" w:right="26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79" w:type="dxa"/>
            <w:vAlign w:val="top"/>
          </w:tcPr>
          <w:p>
            <w:pPr>
              <w:ind w:left="322"/>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ind w:left="260" w:right="125" w:hanging="125"/>
              <w:spacing w:before="20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79" w:type="dxa"/>
            <w:vAlign w:val="top"/>
            <w:vMerge w:val="restart"/>
            <w:tcBorders>
              <w:bottom w:val="nil"/>
            </w:tcBorders>
          </w:tcPr>
          <w:p>
            <w:pPr>
              <w:spacing w:line="282" w:lineRule="auto"/>
              <w:rPr>
                <w:rFonts w:ascii="Arial"/>
                <w:sz w:val="21"/>
              </w:rPr>
            </w:pPr>
            <w:r/>
          </w:p>
          <w:p>
            <w:pPr>
              <w:ind w:left="22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74" w:type="dxa"/>
            <w:vAlign w:val="top"/>
            <w:vMerge w:val="restart"/>
            <w:tcBorders>
              <w:bottom w:val="nil"/>
            </w:tcBorders>
          </w:tcPr>
          <w:p>
            <w:pPr>
              <w:spacing w:line="282" w:lineRule="auto"/>
              <w:rPr>
                <w:rFonts w:ascii="Arial"/>
                <w:sz w:val="21"/>
              </w:rPr>
            </w:pPr>
            <w:r/>
          </w:p>
          <w:p>
            <w:pPr>
              <w:ind w:left="3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right="211" w:firstLine="3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已经开展自行监测但未按规</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定保存原始监测记录的</w:t>
            </w:r>
          </w:p>
        </w:tc>
        <w:tc>
          <w:tcPr>
            <w:tcW w:w="1279" w:type="dxa"/>
            <w:vAlign w:val="top"/>
          </w:tcPr>
          <w:p>
            <w:pPr>
              <w:ind w:left="30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未按照规定开展自行监测的</w:t>
            </w:r>
          </w:p>
        </w:tc>
        <w:tc>
          <w:tcPr>
            <w:tcW w:w="1279" w:type="dxa"/>
            <w:vAlign w:val="top"/>
          </w:tcPr>
          <w:p>
            <w:pPr>
              <w:ind w:left="23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79" w:type="dxa"/>
            <w:vAlign w:val="top"/>
            <w:vMerge w:val="restart"/>
            <w:tcBorders>
              <w:bottom w:val="nil"/>
            </w:tcBorders>
          </w:tcPr>
          <w:p>
            <w:pPr>
              <w:spacing w:line="296" w:lineRule="auto"/>
              <w:rPr>
                <w:rFonts w:ascii="Arial"/>
                <w:sz w:val="21"/>
              </w:rPr>
            </w:pPr>
            <w:r/>
          </w:p>
          <w:p>
            <w:pPr>
              <w:ind w:left="830" w:right="219"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74" w:type="dxa"/>
            <w:vAlign w:val="top"/>
            <w:vMerge w:val="restart"/>
            <w:tcBorders>
              <w:bottom w:val="nil"/>
            </w:tcBorders>
          </w:tcPr>
          <w:p>
            <w:pPr>
              <w:spacing w:line="449" w:lineRule="auto"/>
              <w:rPr>
                <w:rFonts w:ascii="Arial"/>
                <w:sz w:val="21"/>
              </w:rPr>
            </w:pPr>
            <w:r/>
          </w:p>
          <w:p>
            <w:pPr>
              <w:ind w:left="3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79" w:type="dxa"/>
            <w:vAlign w:val="top"/>
          </w:tcPr>
          <w:p>
            <w:pPr>
              <w:ind w:left="5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79" w:type="dxa"/>
            <w:vAlign w:val="top"/>
          </w:tcPr>
          <w:p>
            <w:pPr>
              <w:ind w:left="48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79" w:type="dxa"/>
            <w:vAlign w:val="top"/>
          </w:tcPr>
          <w:p>
            <w:pPr>
              <w:ind w:left="48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79" w:type="dxa"/>
            <w:vAlign w:val="top"/>
          </w:tcPr>
          <w:p>
            <w:pPr>
              <w:ind w:left="47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283"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79" w:type="dxa"/>
            <w:vAlign w:val="top"/>
            <w:vMerge w:val="restart"/>
            <w:tcBorders>
              <w:bottom w:val="nil"/>
            </w:tcBorders>
          </w:tcPr>
          <w:p>
            <w:pPr>
              <w:spacing w:line="283" w:lineRule="auto"/>
              <w:rPr>
                <w:rFonts w:ascii="Arial"/>
                <w:sz w:val="21"/>
              </w:rPr>
            </w:pPr>
            <w:r/>
          </w:p>
          <w:p>
            <w:pPr>
              <w:ind w:left="280"/>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74" w:type="dxa"/>
            <w:vAlign w:val="top"/>
            <w:vMerge w:val="restart"/>
            <w:tcBorders>
              <w:bottom w:val="nil"/>
            </w:tcBorders>
          </w:tcPr>
          <w:p>
            <w:pPr>
              <w:spacing w:line="283" w:lineRule="auto"/>
              <w:rPr>
                <w:rFonts w:ascii="Arial"/>
                <w:sz w:val="21"/>
              </w:rPr>
            </w:pPr>
            <w:r/>
          </w:p>
          <w:p>
            <w:pPr>
              <w:ind w:left="3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79" w:type="dxa"/>
            <w:vAlign w:val="top"/>
          </w:tcPr>
          <w:p>
            <w:pPr>
              <w:ind w:left="54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21" w:right="211"/>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79" w:type="dxa"/>
            <w:vAlign w:val="top"/>
          </w:tcPr>
          <w:p>
            <w:pPr>
              <w:ind w:left="36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85"/>
          <w:pgSz w:w="11905" w:h="16839"/>
          <w:pgMar w:top="1431" w:right="1785" w:bottom="1156" w:left="1397" w:header="0" w:footer="994" w:gutter="0"/>
        </w:sectPr>
        <w:rPr/>
      </w:pPr>
    </w:p>
    <w:p>
      <w:pPr>
        <w:spacing w:before="92"/>
        <w:rPr/>
      </w:pPr>
      <w:r/>
    </w:p>
    <w:p>
      <w:pPr>
        <w:spacing w:before="91"/>
        <w:rPr/>
      </w:pPr>
      <w:r/>
    </w:p>
    <w:tbl>
      <w:tblPr>
        <w:tblStyle w:val="TableNormal"/>
        <w:tblW w:w="854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79"/>
        <w:gridCol w:w="974"/>
        <w:gridCol w:w="3201"/>
        <w:gridCol w:w="1279"/>
      </w:tblGrid>
      <w:tr>
        <w:trPr>
          <w:trHeight w:val="324" w:hRule="atLeast"/>
        </w:trPr>
        <w:tc>
          <w:tcPr>
            <w:tcW w:w="1215" w:type="dxa"/>
            <w:vAlign w:val="top"/>
          </w:tcPr>
          <w:p>
            <w:pPr>
              <w:rPr>
                <w:rFonts w:ascii="Arial"/>
                <w:sz w:val="21"/>
              </w:rPr>
            </w:pPr>
            <w:r/>
          </w:p>
        </w:tc>
        <w:tc>
          <w:tcPr>
            <w:tcW w:w="1879" w:type="dxa"/>
            <w:vAlign w:val="top"/>
          </w:tcPr>
          <w:p>
            <w:pPr>
              <w:rPr>
                <w:rFonts w:ascii="Arial"/>
                <w:sz w:val="21"/>
              </w:rPr>
            </w:pPr>
            <w:r/>
          </w:p>
        </w:tc>
        <w:tc>
          <w:tcPr>
            <w:tcW w:w="974" w:type="dxa"/>
            <w:vAlign w:val="top"/>
          </w:tcPr>
          <w:p>
            <w:pPr>
              <w:rPr>
                <w:rFonts w:ascii="Arial"/>
                <w:sz w:val="21"/>
              </w:rPr>
            </w:pPr>
            <w:r/>
          </w:p>
        </w:tc>
        <w:tc>
          <w:tcPr>
            <w:tcW w:w="3201" w:type="dxa"/>
            <w:vAlign w:val="top"/>
          </w:tcPr>
          <w:p>
            <w:pPr>
              <w:ind w:left="12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79" w:type="dxa"/>
            <w:vAlign w:val="top"/>
          </w:tcPr>
          <w:p>
            <w:pPr>
              <w:ind w:left="29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215" w:type="dxa"/>
            <w:vAlign w:val="top"/>
            <w:vMerge w:val="restart"/>
            <w:tcBorders>
              <w:bottom w:val="nil"/>
            </w:tcBorders>
          </w:tcPr>
          <w:p>
            <w:pPr>
              <w:ind w:left="134" w:right="125"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79" w:type="dxa"/>
            <w:vAlign w:val="top"/>
            <w:vMerge w:val="restart"/>
            <w:tcBorders>
              <w:bottom w:val="nil"/>
            </w:tcBorders>
          </w:tcPr>
          <w:p>
            <w:pPr>
              <w:ind w:left="700" w:right="219"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74" w:type="dxa"/>
            <w:vAlign w:val="top"/>
            <w:vMerge w:val="restart"/>
            <w:tcBorders>
              <w:bottom w:val="nil"/>
            </w:tcBorders>
          </w:tcPr>
          <w:p>
            <w:pPr>
              <w:ind w:left="32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79" w:type="dxa"/>
            <w:vAlign w:val="top"/>
          </w:tcPr>
          <w:p>
            <w:pPr>
              <w:ind w:left="30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2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79" w:type="dxa"/>
            <w:vAlign w:val="top"/>
          </w:tcPr>
          <w:p>
            <w:pPr>
              <w:ind w:left="54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89" w:hRule="atLeast"/>
        </w:trPr>
        <w:tc>
          <w:tcPr>
            <w:tcW w:w="1215" w:type="dxa"/>
            <w:vAlign w:val="top"/>
            <w:vMerge w:val="restart"/>
            <w:tcBorders>
              <w:bottom w:val="nil"/>
            </w:tcBorders>
          </w:tcPr>
          <w:p>
            <w:pPr>
              <w:ind w:left="126" w:right="125" w:firstLine="9"/>
              <w:spacing w:before="79"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79" w:type="dxa"/>
            <w:vAlign w:val="top"/>
            <w:vMerge w:val="restart"/>
            <w:tcBorders>
              <w:bottom w:val="nil"/>
            </w:tcBorders>
          </w:tcPr>
          <w:p>
            <w:pPr>
              <w:ind w:left="220"/>
              <w:spacing w:before="8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1"/>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1"/>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74" w:type="dxa"/>
            <w:vAlign w:val="top"/>
            <w:vMerge w:val="restart"/>
            <w:tcBorders>
              <w:bottom w:val="nil"/>
            </w:tcBorders>
          </w:tcPr>
          <w:p>
            <w:pPr>
              <w:spacing w:line="317" w:lineRule="auto"/>
              <w:rPr>
                <w:rFonts w:ascii="Arial"/>
                <w:sz w:val="21"/>
              </w:rPr>
            </w:pPr>
            <w:r/>
          </w:p>
          <w:p>
            <w:pPr>
              <w:ind w:left="3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7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79" w:type="dxa"/>
            <w:vAlign w:val="top"/>
          </w:tcPr>
          <w:p>
            <w:pPr>
              <w:ind w:left="252"/>
              <w:spacing w:before="7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34" w:right="21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79" w:type="dxa"/>
            <w:vAlign w:val="top"/>
          </w:tcPr>
          <w:p>
            <w:pPr>
              <w:ind w:left="54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86"/>
          <w:pgSz w:w="11905" w:h="16839"/>
          <w:pgMar w:top="1431" w:right="1785" w:bottom="1156" w:left="1397" w:header="0" w:footer="994" w:gutter="0"/>
        </w:sectPr>
        <w:rPr/>
      </w:pPr>
    </w:p>
    <w:p>
      <w:pPr>
        <w:spacing w:before="92"/>
        <w:rPr/>
      </w:pPr>
      <w:r/>
    </w:p>
    <w:p>
      <w:pPr>
        <w:spacing w:before="91"/>
        <w:rPr/>
      </w:pPr>
      <w:r/>
    </w:p>
    <w:tbl>
      <w:tblPr>
        <w:tblStyle w:val="TableNormal"/>
        <w:tblW w:w="85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7359"/>
      </w:tblGrid>
      <w:tr>
        <w:trPr>
          <w:trHeight w:val="720" w:hRule="atLeast"/>
        </w:trPr>
        <w:tc>
          <w:tcPr>
            <w:tcW w:w="8574" w:type="dxa"/>
            <w:vAlign w:val="top"/>
            <w:gridSpan w:val="2"/>
          </w:tcPr>
          <w:p>
            <w:pPr>
              <w:ind w:left="285"/>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716" w:hRule="atLeast"/>
        </w:trPr>
        <w:tc>
          <w:tcPr>
            <w:tcW w:w="1215" w:type="dxa"/>
            <w:vAlign w:val="top"/>
          </w:tcPr>
          <w:p>
            <w:pPr>
              <w:ind w:left="333"/>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359" w:type="dxa"/>
            <w:vAlign w:val="top"/>
          </w:tcPr>
          <w:p>
            <w:pPr>
              <w:ind w:left="3582"/>
              <w:spacing w:before="26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35</w:t>
            </w:r>
          </w:p>
        </w:tc>
      </w:tr>
      <w:tr>
        <w:trPr>
          <w:trHeight w:val="665" w:hRule="atLeast"/>
        </w:trPr>
        <w:tc>
          <w:tcPr>
            <w:tcW w:w="1215" w:type="dxa"/>
            <w:vAlign w:val="top"/>
          </w:tcPr>
          <w:p>
            <w:pPr>
              <w:ind w:left="55"/>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359" w:type="dxa"/>
            <w:vAlign w:val="top"/>
          </w:tcPr>
          <w:p>
            <w:pPr>
              <w:ind w:left="34" w:right="14" w:hanging="15"/>
              <w:spacing w:before="5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未按照规定安装、使用大气污染物排放自动监测设备或者未按照规定与</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生态环境主管部门的监控设备联网，并保证监测设备正常运行的</w:t>
            </w:r>
          </w:p>
        </w:tc>
      </w:tr>
      <w:tr>
        <w:trPr>
          <w:trHeight w:val="11058" w:hRule="atLeast"/>
        </w:trPr>
        <w:tc>
          <w:tcPr>
            <w:tcW w:w="1215"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6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359" w:type="dxa"/>
            <w:vAlign w:val="top"/>
          </w:tcPr>
          <w:p>
            <w:pPr>
              <w:ind w:left="34"/>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3" w:right="14" w:firstLine="17"/>
              <w:spacing w:before="39"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企业事业单位和其他生产经营者应当按照国家有关规定和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监测规范，对其排放的工业废气和本法第七十八条规定名录中所列有毒</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有害大气污染物进行监测，并保存原始监测记录。其中，重点排污单位</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应当安装、使用大气污染物排放自动监测设备，与生态环境主管部门的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监控设备联网，保证监测设备正常运行并依法公开排放信息。监测的具</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rPr>
              <w:t>体办法和重点排污单位的条件由国务院生态环境主管</w:t>
            </w:r>
            <w:r>
              <w:rPr>
                <w:rFonts w:ascii="FangSong_GB2312" w:hAnsi="FangSong_GB2312" w:eastAsia="FangSong_GB2312" w:cs="FangSong_GB2312"/>
                <w:sz w:val="24"/>
                <w:szCs w:val="24"/>
                <w:spacing w:val="-1"/>
              </w:rPr>
              <w:t>部门规定。</w:t>
            </w:r>
          </w:p>
          <w:p>
            <w:pPr>
              <w:spacing w:line="274"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6" w:right="14" w:firstLine="4"/>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违反本法规定，有下列行为之一的，由县级以上人民政府生</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态环境主管部门责令改正，处二万元以上二十万元以下的罚</w:t>
            </w:r>
            <w:r>
              <w:rPr>
                <w:rFonts w:ascii="FangSong_GB2312" w:hAnsi="FangSong_GB2312" w:eastAsia="FangSong_GB2312" w:cs="FangSong_GB2312"/>
                <w:sz w:val="24"/>
                <w:szCs w:val="24"/>
                <w:spacing w:val="-5"/>
              </w:rPr>
              <w:t>款；拒不改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正的，责令停产整治：</w:t>
            </w:r>
          </w:p>
          <w:p>
            <w:pPr>
              <w:ind w:left="25" w:right="14" w:hanging="11"/>
              <w:spacing w:before="34"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（三）未按照规定安装、使用大气污染物排放自动监测设备或者未按照</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规定与生态环境主管部门的监控设备联网，并保证监测设备正常运行</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9"/>
              </w:rPr>
              <w:t>的；</w:t>
            </w:r>
          </w:p>
          <w:p>
            <w:pPr>
              <w:spacing w:line="272" w:lineRule="auto"/>
              <w:rPr>
                <w:rFonts w:ascii="Arial"/>
                <w:sz w:val="21"/>
              </w:rPr>
            </w:pPr>
            <w:r/>
          </w:p>
          <w:p>
            <w:pPr>
              <w:ind w:left="3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1" w:right="14" w:firstLine="10"/>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第七十九条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违反本条例规定，有下列行为之一的，由县级以上人民政</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4"/>
              </w:rPr>
              <w:t>府环境保护主管部门责令限期改正，处二万元以上五万元以下罚款；情</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节较重的，处五万元以上十万元以下罚款；情节严重的，处十万元以上</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二十万元以下罚款；拒不改正的，责令停产整治：</w:t>
            </w:r>
          </w:p>
          <w:p>
            <w:pPr>
              <w:ind w:left="36" w:right="14" w:hanging="22"/>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（二）未按照规定安装大气污染物排放自动监测、监控等设备或者未按</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5"/>
              </w:rPr>
              <w:t>照规定与环境保护主管部门的监控设备联网，并保证监测设备正常运行</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4"/>
              </w:rPr>
              <w:t>的；</w:t>
            </w:r>
          </w:p>
          <w:p>
            <w:pPr>
              <w:spacing w:line="270" w:lineRule="auto"/>
              <w:rPr>
                <w:rFonts w:ascii="Arial"/>
                <w:sz w:val="21"/>
              </w:rPr>
            </w:pPr>
            <w:r/>
          </w:p>
          <w:p>
            <w:pPr>
              <w:ind w:left="27"/>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《河北省生态环境保护条例》</w:t>
            </w:r>
          </w:p>
          <w:p>
            <w:pPr>
              <w:ind w:left="33" w:right="14" w:hanging="2"/>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违反本条例规定，重点排污单位有下列行为之一的，由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生态环境主管部门责令改正，处二万元以上</w:t>
            </w:r>
            <w:r>
              <w:rPr>
                <w:rFonts w:ascii="FangSong_GB2312" w:hAnsi="FangSong_GB2312" w:eastAsia="FangSong_GB2312" w:cs="FangSong_GB2312"/>
                <w:sz w:val="24"/>
                <w:szCs w:val="24"/>
                <w:spacing w:val="-5"/>
              </w:rPr>
              <w:t>二十万元以下的罚款；拒不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改正的，责令停产整治：</w:t>
            </w:r>
          </w:p>
          <w:p>
            <w:pPr>
              <w:ind w:left="39" w:right="14" w:hanging="2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（一）未按照规定安装使用自动监测设备，或者未与生态环境主管部门</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的监控设备联网的；</w:t>
            </w:r>
          </w:p>
          <w:p>
            <w:pPr>
              <w:spacing w:line="272" w:lineRule="auto"/>
              <w:rPr>
                <w:rFonts w:ascii="Arial"/>
                <w:sz w:val="21"/>
              </w:rPr>
            </w:pPr>
            <w:r/>
          </w:p>
          <w:p>
            <w:pPr>
              <w:ind w:left="31"/>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《河北省扬尘污染防治办法》</w:t>
            </w:r>
          </w:p>
          <w:p>
            <w:pPr>
              <w:ind w:left="15" w:right="19" w:firstLine="16"/>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违反本办法规定，被确定为重点扬尘污染源的企业事业单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位和其他生产经营者有下列行为之一的，由监督管理</w:t>
            </w:r>
            <w:r>
              <w:rPr>
                <w:rFonts w:ascii="FangSong_GB2312" w:hAnsi="FangSong_GB2312" w:eastAsia="FangSong_GB2312" w:cs="FangSong_GB2312"/>
                <w:sz w:val="24"/>
                <w:szCs w:val="24"/>
                <w:spacing w:val="-1"/>
              </w:rPr>
              <w:t>部门责令限期改</w:t>
            </w:r>
          </w:p>
        </w:tc>
      </w:tr>
    </w:tbl>
    <w:p>
      <w:pPr>
        <w:pStyle w:val="BodyText"/>
        <w:rPr/>
      </w:pPr>
      <w:r/>
    </w:p>
    <w:p>
      <w:pPr>
        <w:sectPr>
          <w:footerReference w:type="default" r:id="rId87"/>
          <w:pgSz w:w="11905" w:h="16839"/>
          <w:pgMar w:top="1431" w:right="1663" w:bottom="1156" w:left="1662" w:header="0" w:footer="994" w:gutter="0"/>
        </w:sectPr>
        <w:rPr/>
      </w:pPr>
    </w:p>
    <w:p>
      <w:pPr>
        <w:spacing w:before="92"/>
        <w:rPr/>
      </w:pPr>
      <w:r/>
    </w:p>
    <w:p>
      <w:pPr>
        <w:spacing w:before="91"/>
        <w:rPr/>
      </w:pPr>
      <w:r/>
    </w:p>
    <w:tbl>
      <w:tblPr>
        <w:tblStyle w:val="TableNormal"/>
        <w:tblW w:w="85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061"/>
        <w:gridCol w:w="792"/>
        <w:gridCol w:w="3201"/>
        <w:gridCol w:w="1305"/>
      </w:tblGrid>
      <w:tr>
        <w:trPr>
          <w:trHeight w:val="1614" w:hRule="atLeast"/>
        </w:trPr>
        <w:tc>
          <w:tcPr>
            <w:tcW w:w="1215" w:type="dxa"/>
            <w:vAlign w:val="top"/>
          </w:tcPr>
          <w:p>
            <w:pPr>
              <w:rPr>
                <w:rFonts w:ascii="Arial"/>
                <w:sz w:val="21"/>
              </w:rPr>
            </w:pPr>
            <w:r/>
          </w:p>
        </w:tc>
        <w:tc>
          <w:tcPr>
            <w:tcW w:w="7359" w:type="dxa"/>
            <w:vAlign w:val="top"/>
            <w:gridSpan w:val="4"/>
          </w:tcPr>
          <w:p>
            <w:pPr>
              <w:ind w:left="26"/>
              <w:spacing w:before="5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正，处二万元以上五万元以下罚款；情节较重的，处五万元以上十万元</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1"/>
              </w:rPr>
              <w:t>以下罚款；情节严重的，处十万元以上二十万元以下罚款；拒不改正</w:t>
            </w:r>
            <w:r>
              <w:rPr>
                <w:rFonts w:ascii="FangSong_GB2312" w:hAnsi="FangSong_GB2312" w:eastAsia="FangSong_GB2312" w:cs="FangSong_GB2312"/>
                <w:sz w:val="24"/>
                <w:szCs w:val="24"/>
                <w:spacing w:val="-12"/>
              </w:rPr>
              <w:t>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责令停工停产整治：</w:t>
            </w:r>
          </w:p>
          <w:p>
            <w:pPr>
              <w:ind w:left="31" w:right="14" w:hanging="17"/>
              <w:spacing w:before="39"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（一）未按照规定安装、使用扬尘污染物在线监测设备或者未按照规定</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与生态环境主管部门的监控设备联网，并保证监测设备正常运行的；</w:t>
            </w:r>
          </w:p>
        </w:tc>
      </w:tr>
      <w:tr>
        <w:trPr>
          <w:trHeight w:val="634" w:hRule="atLeast"/>
        </w:trPr>
        <w:tc>
          <w:tcPr>
            <w:tcW w:w="4068" w:type="dxa"/>
            <w:vAlign w:val="top"/>
            <w:gridSpan w:val="3"/>
          </w:tcPr>
          <w:p>
            <w:pPr>
              <w:ind w:left="1480"/>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06" w:type="dxa"/>
            <w:vAlign w:val="top"/>
            <w:gridSpan w:val="2"/>
          </w:tcPr>
          <w:p>
            <w:pPr>
              <w:ind w:left="1711"/>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215" w:type="dxa"/>
            <w:vAlign w:val="top"/>
          </w:tcPr>
          <w:p>
            <w:pPr>
              <w:ind w:left="379"/>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61" w:type="dxa"/>
            <w:vAlign w:val="top"/>
          </w:tcPr>
          <w:p>
            <w:pPr>
              <w:ind w:left="601"/>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305" w:type="dxa"/>
            <w:vAlign w:val="top"/>
          </w:tcPr>
          <w:p>
            <w:pPr>
              <w:ind w:left="336"/>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215"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ind w:left="259" w:right="124"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61"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319"/>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3" w:right="209" w:firstLine="3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已安装大气污染物排放自动</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监测设备，但未按规定与生</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态环境主管部门联网的</w:t>
            </w:r>
          </w:p>
        </w:tc>
        <w:tc>
          <w:tcPr>
            <w:tcW w:w="1305" w:type="dxa"/>
            <w:vAlign w:val="top"/>
          </w:tcPr>
          <w:p>
            <w:pPr>
              <w:spacing w:line="276" w:lineRule="auto"/>
              <w:rPr>
                <w:rFonts w:ascii="Arial"/>
                <w:sz w:val="21"/>
              </w:rPr>
            </w:pPr>
            <w:r/>
          </w:p>
          <w:p>
            <w:pPr>
              <w:ind w:left="3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6" w:right="209" w:firstLine="39"/>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已安装大气污染物排放自动</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监测设备，但不能保证正常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运行的</w:t>
            </w:r>
          </w:p>
        </w:tc>
        <w:tc>
          <w:tcPr>
            <w:tcW w:w="1305" w:type="dxa"/>
            <w:vAlign w:val="top"/>
          </w:tcPr>
          <w:p>
            <w:pPr>
              <w:spacing w:line="277" w:lineRule="auto"/>
              <w:rPr>
                <w:rFonts w:ascii="Arial"/>
                <w:sz w:val="21"/>
              </w:rPr>
            </w:pPr>
            <w:r/>
          </w:p>
          <w:p>
            <w:pPr>
              <w:ind w:left="25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2" w:right="209" w:hanging="7"/>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未安装大气污染物排放自动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监测设备的</w:t>
            </w:r>
          </w:p>
        </w:tc>
        <w:tc>
          <w:tcPr>
            <w:tcW w:w="1305" w:type="dxa"/>
            <w:vAlign w:val="top"/>
          </w:tcPr>
          <w:p>
            <w:pPr>
              <w:ind w:left="24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61" w:type="dxa"/>
            <w:vAlign w:val="top"/>
            <w:vMerge w:val="restart"/>
            <w:tcBorders>
              <w:bottom w:val="nil"/>
            </w:tcBorders>
          </w:tcPr>
          <w:p>
            <w:pPr>
              <w:spacing w:line="449" w:lineRule="auto"/>
              <w:rPr>
                <w:rFonts w:ascii="Arial"/>
                <w:sz w:val="21"/>
              </w:rPr>
            </w:pPr>
            <w:r/>
          </w:p>
          <w:p>
            <w:pPr>
              <w:ind w:left="21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2" w:type="dxa"/>
            <w:vAlign w:val="top"/>
            <w:vMerge w:val="restart"/>
            <w:tcBorders>
              <w:bottom w:val="nil"/>
            </w:tcBorders>
          </w:tcPr>
          <w:p>
            <w:pPr>
              <w:spacing w:line="44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305" w:type="dxa"/>
            <w:vAlign w:val="top"/>
          </w:tcPr>
          <w:p>
            <w:pPr>
              <w:ind w:left="55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305" w:type="dxa"/>
            <w:vAlign w:val="top"/>
          </w:tcPr>
          <w:p>
            <w:pPr>
              <w:ind w:left="4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305" w:type="dxa"/>
            <w:vAlign w:val="top"/>
          </w:tcPr>
          <w:p>
            <w:pPr>
              <w:ind w:left="4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305" w:type="dxa"/>
            <w:vAlign w:val="top"/>
          </w:tcPr>
          <w:p>
            <w:pPr>
              <w:ind w:left="48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61" w:type="dxa"/>
            <w:vAlign w:val="top"/>
            <w:vMerge w:val="restart"/>
            <w:tcBorders>
              <w:bottom w:val="nil"/>
            </w:tcBorders>
          </w:tcPr>
          <w:p>
            <w:pPr>
              <w:spacing w:line="445" w:lineRule="auto"/>
              <w:rPr>
                <w:rFonts w:ascii="Arial"/>
                <w:sz w:val="21"/>
              </w:rPr>
            </w:pPr>
            <w:r/>
          </w:p>
          <w:p>
            <w:pPr>
              <w:ind w:left="22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305" w:type="dxa"/>
            <w:vAlign w:val="top"/>
          </w:tcPr>
          <w:p>
            <w:pPr>
              <w:ind w:left="55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305" w:type="dxa"/>
            <w:vAlign w:val="top"/>
          </w:tcPr>
          <w:p>
            <w:pPr>
              <w:ind w:left="37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305" w:type="dxa"/>
            <w:vAlign w:val="top"/>
          </w:tcPr>
          <w:p>
            <w:pPr>
              <w:ind w:left="3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5" w:right="124"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61" w:type="dxa"/>
            <w:vAlign w:val="top"/>
            <w:vMerge w:val="restart"/>
            <w:tcBorders>
              <w:bottom w:val="nil"/>
            </w:tcBorders>
          </w:tcPr>
          <w:p>
            <w:pPr>
              <w:ind w:left="915" w:right="188" w:hanging="723"/>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305" w:type="dxa"/>
            <w:vAlign w:val="top"/>
          </w:tcPr>
          <w:p>
            <w:pPr>
              <w:ind w:left="3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305" w:type="dxa"/>
            <w:vAlign w:val="top"/>
          </w:tcPr>
          <w:p>
            <w:pPr>
              <w:ind w:left="55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51" w:hRule="atLeast"/>
        </w:trPr>
        <w:tc>
          <w:tcPr>
            <w:tcW w:w="1215" w:type="dxa"/>
            <w:vAlign w:val="top"/>
            <w:vMerge w:val="restart"/>
            <w:tcBorders>
              <w:bottom w:val="nil"/>
            </w:tcBorders>
          </w:tcPr>
          <w:p>
            <w:pPr>
              <w:ind w:left="127" w:right="124" w:firstLine="9"/>
              <w:spacing w:before="162"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61" w:type="dxa"/>
            <w:vAlign w:val="top"/>
            <w:vMerge w:val="restart"/>
            <w:tcBorders>
              <w:bottom w:val="nil"/>
            </w:tcBorders>
          </w:tcPr>
          <w:p>
            <w:pPr>
              <w:spacing w:line="241" w:lineRule="auto"/>
              <w:rPr>
                <w:rFonts w:ascii="Arial"/>
                <w:sz w:val="21"/>
              </w:rPr>
            </w:pPr>
            <w:r/>
          </w:p>
          <w:p>
            <w:pPr>
              <w:ind w:left="323" w:right="188" w:hanging="131"/>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39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305" w:type="dxa"/>
            <w:vAlign w:val="top"/>
          </w:tcPr>
          <w:p>
            <w:pPr>
              <w:ind w:left="251"/>
              <w:spacing w:before="15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305" w:type="dxa"/>
            <w:vAlign w:val="top"/>
          </w:tcPr>
          <w:p>
            <w:pPr>
              <w:ind w:left="55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88"/>
          <w:pgSz w:w="11905" w:h="16839"/>
          <w:pgMar w:top="1431" w:right="1663" w:bottom="1156" w:left="1662" w:header="0" w:footer="994" w:gutter="0"/>
        </w:sectPr>
        <w:rPr/>
      </w:pPr>
    </w:p>
    <w:p>
      <w:pPr>
        <w:spacing w:before="92"/>
        <w:rPr/>
      </w:pPr>
      <w:r/>
    </w:p>
    <w:p>
      <w:pPr>
        <w:spacing w:before="91"/>
        <w:rPr/>
      </w:pPr>
      <w:r/>
    </w:p>
    <w:tbl>
      <w:tblPr>
        <w:tblStyle w:val="TableNormal"/>
        <w:tblW w:w="863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7416"/>
      </w:tblGrid>
      <w:tr>
        <w:trPr>
          <w:trHeight w:val="720" w:hRule="atLeast"/>
        </w:trPr>
        <w:tc>
          <w:tcPr>
            <w:tcW w:w="8631" w:type="dxa"/>
            <w:vAlign w:val="top"/>
            <w:gridSpan w:val="2"/>
          </w:tcPr>
          <w:p>
            <w:pPr>
              <w:ind w:left="313"/>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416" w:type="dxa"/>
            <w:vAlign w:val="top"/>
          </w:tcPr>
          <w:p>
            <w:pPr>
              <w:ind w:left="3610"/>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36</w:t>
            </w:r>
          </w:p>
        </w:tc>
      </w:tr>
      <w:tr>
        <w:trPr>
          <w:trHeight w:val="665" w:hRule="atLeast"/>
        </w:trPr>
        <w:tc>
          <w:tcPr>
            <w:tcW w:w="1215" w:type="dxa"/>
            <w:vAlign w:val="top"/>
          </w:tcPr>
          <w:p>
            <w:pPr>
              <w:ind w:left="57"/>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416" w:type="dxa"/>
            <w:vAlign w:val="top"/>
          </w:tcPr>
          <w:p>
            <w:pPr>
              <w:ind w:left="31"/>
              <w:spacing w:before="21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重点排污单位不公开或者不如实公开自动监测数据的</w:t>
            </w:r>
          </w:p>
        </w:tc>
      </w:tr>
      <w:tr>
        <w:trPr>
          <w:trHeight w:val="11058" w:hRule="atLeast"/>
        </w:trPr>
        <w:tc>
          <w:tcPr>
            <w:tcW w:w="1215" w:type="dxa"/>
            <w:vAlign w:val="top"/>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416" w:type="dxa"/>
            <w:vAlign w:val="top"/>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5" w:right="14" w:firstLine="17"/>
              <w:spacing w:before="39"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企业事业单位和其他生产经营者应当按照国家有关规</w:t>
            </w:r>
            <w:r>
              <w:rPr>
                <w:rFonts w:ascii="FangSong_GB2312" w:hAnsi="FangSong_GB2312" w:eastAsia="FangSong_GB2312" w:cs="FangSong_GB2312"/>
                <w:sz w:val="24"/>
                <w:szCs w:val="24"/>
                <w:spacing w:val="-2"/>
              </w:rPr>
              <w:t>定和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监测规范，对其排放的工业废气和本法第七十八条规定名录中所列有毒</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有害大气污染物进行监测，并保存原始监测记录。其中，重点排污单位</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应当安装、使用大气污染物排放自动监测设备，与生态环境主管部门的</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监控设备联网，保证监测设备正常运行并依法公开排放信息。监测的具</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体办法和重点排污单位的条件由国务院生态环境主管</w:t>
            </w:r>
            <w:r>
              <w:rPr>
                <w:rFonts w:ascii="FangSong_GB2312" w:hAnsi="FangSong_GB2312" w:eastAsia="FangSong_GB2312" w:cs="FangSong_GB2312"/>
                <w:sz w:val="24"/>
                <w:szCs w:val="24"/>
                <w:spacing w:val="-1"/>
              </w:rPr>
              <w:t>部门规定。</w:t>
            </w:r>
          </w:p>
          <w:p>
            <w:pPr>
              <w:ind w:left="21" w:right="14" w:firstLine="9"/>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重点排污单位名录由设区的市级以上地方人民政府生态环境主管部门</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按照国务院生态环境主管部门的规定，根据本行政区域的大</w:t>
            </w:r>
            <w:r>
              <w:rPr>
                <w:rFonts w:ascii="FangSong_GB2312" w:hAnsi="FangSong_GB2312" w:eastAsia="FangSong_GB2312" w:cs="FangSong_GB2312"/>
                <w:sz w:val="24"/>
                <w:szCs w:val="24"/>
                <w:spacing w:val="-3"/>
              </w:rPr>
              <w:t>气环境承载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力、重点大气污染物排放总量控制指标的要求以及排污单位</w:t>
            </w:r>
            <w:r>
              <w:rPr>
                <w:rFonts w:ascii="FangSong_GB2312" w:hAnsi="FangSong_GB2312" w:eastAsia="FangSong_GB2312" w:cs="FangSong_GB2312"/>
                <w:sz w:val="24"/>
                <w:szCs w:val="24"/>
                <w:spacing w:val="-3"/>
              </w:rPr>
              <w:t>排放大气污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染物的种类、数量和浓度等因素，商有关部门确定，并向社会公布。</w:t>
            </w:r>
          </w:p>
          <w:p>
            <w:pPr>
              <w:spacing w:line="274" w:lineRule="auto"/>
              <w:rPr>
                <w:rFonts w:ascii="Arial"/>
                <w:sz w:val="21"/>
              </w:rPr>
            </w:pPr>
            <w:r/>
          </w:p>
          <w:p>
            <w:pPr>
              <w:ind w:left="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2.《河北省生态环境保护条例》</w:t>
            </w:r>
          </w:p>
          <w:p>
            <w:pPr>
              <w:ind w:left="20" w:right="14" w:firstLine="12"/>
              <w:spacing w:before="37"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设区的市人民政府生态环境主管部门应</w:t>
            </w:r>
            <w:r>
              <w:rPr>
                <w:rFonts w:ascii="FangSong_GB2312" w:hAnsi="FangSong_GB2312" w:eastAsia="FangSong_GB2312" w:cs="FangSong_GB2312"/>
                <w:sz w:val="24"/>
                <w:szCs w:val="24"/>
                <w:spacing w:val="-2"/>
              </w:rPr>
              <w:t>当商有关</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部门依法确定重点排污单位名录并向社会公布。重点排污单位</w:t>
            </w:r>
            <w:r>
              <w:rPr>
                <w:rFonts w:ascii="FangSong_GB2312" w:hAnsi="FangSong_GB2312" w:eastAsia="FangSong_GB2312" w:cs="FangSong_GB2312"/>
                <w:sz w:val="24"/>
                <w:szCs w:val="24"/>
                <w:spacing w:val="-3"/>
              </w:rPr>
              <w:t>应当按照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国家和本省有关规定以及相关监测规范安装</w:t>
            </w:r>
            <w:r>
              <w:rPr>
                <w:rFonts w:ascii="FangSong_GB2312" w:hAnsi="FangSong_GB2312" w:eastAsia="FangSong_GB2312" w:cs="FangSong_GB2312"/>
                <w:sz w:val="24"/>
                <w:szCs w:val="24"/>
                <w:spacing w:val="-1"/>
              </w:rPr>
              <w:t>使用污染物排放自动监测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设备，与生态环境主管部门的监控设备联网，保障自动监测设</w:t>
            </w:r>
            <w:r>
              <w:rPr>
                <w:rFonts w:ascii="FangSong_GB2312" w:hAnsi="FangSong_GB2312" w:eastAsia="FangSong_GB2312" w:cs="FangSong_GB2312"/>
                <w:sz w:val="24"/>
                <w:szCs w:val="24"/>
                <w:spacing w:val="-3"/>
              </w:rPr>
              <w:t>备正常运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行，并向社会公开自动监测数据。</w:t>
            </w:r>
          </w:p>
          <w:p>
            <w:pPr>
              <w:spacing w:line="268" w:lineRule="auto"/>
              <w:rPr>
                <w:rFonts w:ascii="Arial"/>
                <w:sz w:val="21"/>
              </w:rPr>
            </w:pPr>
            <w:r/>
          </w:p>
          <w:p>
            <w:pPr>
              <w:ind w:left="3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3.《中华人民共和国大气污染防治法》</w:t>
            </w:r>
          </w:p>
          <w:p>
            <w:pPr>
              <w:ind w:left="28" w:right="14" w:firstLine="4"/>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违反本法规定，有下列行为之一的，由县级以上人民政府生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态环境主管部门责令改正，处二万元以上二</w:t>
            </w:r>
            <w:r>
              <w:rPr>
                <w:rFonts w:ascii="FangSong_GB2312" w:hAnsi="FangSong_GB2312" w:eastAsia="FangSong_GB2312" w:cs="FangSong_GB2312"/>
                <w:sz w:val="24"/>
                <w:szCs w:val="24"/>
                <w:spacing w:val="-3"/>
              </w:rPr>
              <w:t>十万元以下的罚款；拒不改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正的，责令停产整治：</w:t>
            </w:r>
          </w:p>
          <w:p>
            <w:pPr>
              <w:ind w:left="16"/>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（四）重点排污单位不公开或者不如实公开自</w:t>
            </w:r>
            <w:r>
              <w:rPr>
                <w:rFonts w:ascii="FangSong_GB2312" w:hAnsi="FangSong_GB2312" w:eastAsia="FangSong_GB2312" w:cs="FangSong_GB2312"/>
                <w:sz w:val="24"/>
                <w:szCs w:val="24"/>
                <w:spacing w:val="-1"/>
              </w:rPr>
              <w:t>动监测数据的；</w:t>
            </w:r>
          </w:p>
          <w:p>
            <w:pPr>
              <w:spacing w:line="273" w:lineRule="auto"/>
              <w:rPr>
                <w:rFonts w:ascii="Arial"/>
                <w:sz w:val="21"/>
              </w:rPr>
            </w:pPr>
            <w:r/>
          </w:p>
          <w:p>
            <w:pPr>
              <w:ind w:left="29"/>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4.《河北省生态环境保护条例》</w:t>
            </w:r>
          </w:p>
          <w:p>
            <w:pPr>
              <w:ind w:left="35" w:right="14" w:hanging="2"/>
              <w:spacing w:before="3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违反本条例规定，重点排污单位有下列行为之一的，由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生态环境主管部门责令改正，处二万元以上二十万元以下的罚款；拒不</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3"/>
              </w:rPr>
              <w:t>改正的，责令停产整治：</w:t>
            </w:r>
          </w:p>
          <w:p>
            <w:pPr>
              <w:ind w:left="16"/>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（四）未按照规定向社会公开自动监测数据的。</w:t>
            </w:r>
          </w:p>
          <w:p>
            <w:pPr>
              <w:spacing w:line="270" w:lineRule="auto"/>
              <w:rPr>
                <w:rFonts w:ascii="Arial"/>
                <w:sz w:val="21"/>
              </w:rPr>
            </w:pPr>
            <w:r/>
          </w:p>
          <w:p>
            <w:pPr>
              <w:ind w:left="33"/>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5.《河北省大气污染防治条例》</w:t>
            </w:r>
          </w:p>
          <w:p>
            <w:pPr>
              <w:ind w:left="22" w:right="14" w:firstLine="10"/>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违反本条例规定，有下列行为之一的，由县级以上人民政</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府环境保护主管部门责令限期改正，处二万元以上五万元</w:t>
            </w:r>
            <w:r>
              <w:rPr>
                <w:rFonts w:ascii="FangSong_GB2312" w:hAnsi="FangSong_GB2312" w:eastAsia="FangSong_GB2312" w:cs="FangSong_GB2312"/>
                <w:sz w:val="24"/>
                <w:szCs w:val="24"/>
                <w:spacing w:val="-3"/>
              </w:rPr>
              <w:t>以下罚款；情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节较重的，处五万元以上十万元以下罚款；情节严重的，</w:t>
            </w:r>
            <w:r>
              <w:rPr>
                <w:rFonts w:ascii="FangSong_GB2312" w:hAnsi="FangSong_GB2312" w:eastAsia="FangSong_GB2312" w:cs="FangSong_GB2312"/>
                <w:sz w:val="24"/>
                <w:szCs w:val="24"/>
                <w:spacing w:val="-3"/>
              </w:rPr>
              <w:t>处十万元以上</w:t>
            </w:r>
          </w:p>
        </w:tc>
      </w:tr>
    </w:tbl>
    <w:p>
      <w:pPr>
        <w:pStyle w:val="BodyText"/>
        <w:rPr/>
      </w:pPr>
      <w:r/>
    </w:p>
    <w:p>
      <w:pPr>
        <w:sectPr>
          <w:footerReference w:type="default" r:id="rId89"/>
          <w:pgSz w:w="11905" w:h="16839"/>
          <w:pgMar w:top="1431" w:right="1634" w:bottom="1156" w:left="1634" w:header="0" w:footer="994" w:gutter="0"/>
        </w:sectPr>
        <w:rPr/>
      </w:pPr>
    </w:p>
    <w:p>
      <w:pPr>
        <w:spacing w:before="92"/>
        <w:rPr/>
      </w:pPr>
      <w:r/>
    </w:p>
    <w:p>
      <w:pPr>
        <w:spacing w:before="91"/>
        <w:rPr/>
      </w:pPr>
      <w:r/>
    </w:p>
    <w:tbl>
      <w:tblPr>
        <w:tblStyle w:val="TableNormal"/>
        <w:tblW w:w="863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1028"/>
        <w:gridCol w:w="3201"/>
        <w:gridCol w:w="1362"/>
      </w:tblGrid>
      <w:tr>
        <w:trPr>
          <w:trHeight w:val="3188" w:hRule="atLeast"/>
        </w:trPr>
        <w:tc>
          <w:tcPr>
            <w:tcW w:w="1215" w:type="dxa"/>
            <w:vAlign w:val="top"/>
          </w:tcPr>
          <w:p>
            <w:pPr>
              <w:rPr>
                <w:rFonts w:ascii="Arial"/>
                <w:sz w:val="21"/>
              </w:rPr>
            </w:pPr>
            <w:r/>
          </w:p>
        </w:tc>
        <w:tc>
          <w:tcPr>
            <w:tcW w:w="7416" w:type="dxa"/>
            <w:vAlign w:val="top"/>
            <w:gridSpan w:val="4"/>
          </w:tcPr>
          <w:p>
            <w:pPr>
              <w:ind w:left="33"/>
              <w:spacing w:before="5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二十万元以下罚款；拒不改正的，责令停产整</w:t>
            </w:r>
            <w:r>
              <w:rPr>
                <w:rFonts w:ascii="FangSong_GB2312" w:hAnsi="FangSong_GB2312" w:eastAsia="FangSong_GB2312" w:cs="FangSong_GB2312"/>
                <w:sz w:val="24"/>
                <w:szCs w:val="24"/>
                <w:spacing w:val="-2"/>
              </w:rPr>
              <w:t>治：</w:t>
            </w:r>
          </w:p>
          <w:p>
            <w:pPr>
              <w:ind w:left="16"/>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（三）重点排污单位自动监测数据不公开或者篡改</w:t>
            </w:r>
            <w:r>
              <w:rPr>
                <w:rFonts w:ascii="FangSong_GB2312" w:hAnsi="FangSong_GB2312" w:eastAsia="FangSong_GB2312" w:cs="FangSong_GB2312"/>
                <w:sz w:val="24"/>
                <w:szCs w:val="24"/>
                <w:spacing w:val="-1"/>
              </w:rPr>
              <w:t>、伪造数据的；</w:t>
            </w:r>
          </w:p>
          <w:p>
            <w:pPr>
              <w:spacing w:line="273" w:lineRule="auto"/>
              <w:rPr>
                <w:rFonts w:ascii="Arial"/>
                <w:sz w:val="21"/>
              </w:rPr>
            </w:pPr>
            <w:r/>
          </w:p>
          <w:p>
            <w:pPr>
              <w:ind w:left="3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6.《河北省扬尘污染防治办法》</w:t>
            </w:r>
          </w:p>
          <w:p>
            <w:pPr>
              <w:ind w:left="16" w:firstLine="15"/>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违反本办法规定，被确定为重点扬尘污染源的企业事业单</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位和其他生产经营者有下列行为之一的，由监督管理部门责令限期改</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正，处二万元以上五万元以下罚款；情节较重的，处五万元以上十万元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9"/>
              </w:rPr>
              <w:t>以下罚款；情节严重的，处十万元以上二十万元以下罚款；拒不改正的，</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责令停工停产整治：</w:t>
            </w:r>
          </w:p>
          <w:p>
            <w:pPr>
              <w:ind w:left="16"/>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（三）未依法公开监测数据或者篡改、伪造监测数据的。</w:t>
            </w:r>
          </w:p>
        </w:tc>
      </w:tr>
      <w:tr>
        <w:trPr>
          <w:trHeight w:val="634" w:hRule="atLeast"/>
        </w:trPr>
        <w:tc>
          <w:tcPr>
            <w:tcW w:w="4068" w:type="dxa"/>
            <w:vAlign w:val="top"/>
            <w:gridSpan w:val="3"/>
          </w:tcPr>
          <w:p>
            <w:pPr>
              <w:ind w:left="1482"/>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63" w:type="dxa"/>
            <w:vAlign w:val="top"/>
            <w:gridSpan w:val="2"/>
          </w:tcPr>
          <w:p>
            <w:pPr>
              <w:ind w:left="1739"/>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215" w:type="dxa"/>
            <w:vAlign w:val="top"/>
          </w:tcPr>
          <w:p>
            <w:pPr>
              <w:ind w:left="381"/>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25" w:type="dxa"/>
            <w:vAlign w:val="top"/>
          </w:tcPr>
          <w:p>
            <w:pPr>
              <w:ind w:left="482"/>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28" w:type="dxa"/>
            <w:vAlign w:val="top"/>
          </w:tcPr>
          <w:p>
            <w:pPr>
              <w:ind w:left="329" w:right="292"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362" w:type="dxa"/>
            <w:vAlign w:val="top"/>
          </w:tcPr>
          <w:p>
            <w:pPr>
              <w:ind w:left="364"/>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215" w:type="dxa"/>
            <w:vAlign w:val="top"/>
            <w:vMerge w:val="restart"/>
            <w:tcBorders>
              <w:bottom w:val="nil"/>
            </w:tcBorders>
          </w:tcPr>
          <w:p>
            <w:pPr>
              <w:spacing w:line="281" w:lineRule="auto"/>
              <w:rPr>
                <w:rFonts w:ascii="Arial"/>
                <w:sz w:val="21"/>
              </w:rPr>
            </w:pPr>
            <w:r/>
          </w:p>
          <w:p>
            <w:pPr>
              <w:ind w:left="261" w:right="125" w:hanging="125"/>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25" w:type="dxa"/>
            <w:vAlign w:val="top"/>
            <w:vMerge w:val="restart"/>
            <w:tcBorders>
              <w:bottom w:val="nil"/>
            </w:tcBorders>
          </w:tcPr>
          <w:p>
            <w:pPr>
              <w:spacing w:line="439" w:lineRule="auto"/>
              <w:rPr>
                <w:rFonts w:ascii="Arial"/>
                <w:sz w:val="21"/>
              </w:rPr>
            </w:pPr>
            <w:r/>
          </w:p>
          <w:p>
            <w:pPr>
              <w:ind w:left="20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28" w:type="dxa"/>
            <w:vAlign w:val="top"/>
            <w:vMerge w:val="restart"/>
            <w:tcBorders>
              <w:bottom w:val="nil"/>
            </w:tcBorders>
          </w:tcPr>
          <w:p>
            <w:pPr>
              <w:spacing w:line="439" w:lineRule="auto"/>
              <w:rPr>
                <w:rFonts w:ascii="Arial"/>
                <w:sz w:val="21"/>
              </w:rPr>
            </w:pPr>
            <w:r/>
          </w:p>
          <w:p>
            <w:pPr>
              <w:ind w:left="34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7" w:right="210" w:hanging="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重点排污单位不如实公开自</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动监测数据的</w:t>
            </w:r>
          </w:p>
        </w:tc>
        <w:tc>
          <w:tcPr>
            <w:tcW w:w="1362" w:type="dxa"/>
            <w:vAlign w:val="top"/>
          </w:tcPr>
          <w:p>
            <w:pPr>
              <w:ind w:left="344"/>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2" w:right="210" w:firstLine="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重点排污单位不公开自动监</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测数据的</w:t>
            </w:r>
          </w:p>
        </w:tc>
        <w:tc>
          <w:tcPr>
            <w:tcW w:w="1362" w:type="dxa"/>
            <w:vAlign w:val="top"/>
          </w:tcPr>
          <w:p>
            <w:pPr>
              <w:ind w:left="27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25" w:type="dxa"/>
            <w:vAlign w:val="top"/>
            <w:vMerge w:val="restart"/>
            <w:tcBorders>
              <w:bottom w:val="nil"/>
            </w:tcBorders>
          </w:tcPr>
          <w:p>
            <w:pPr>
              <w:spacing w:line="292" w:lineRule="auto"/>
              <w:rPr>
                <w:rFonts w:ascii="Arial"/>
                <w:sz w:val="21"/>
              </w:rPr>
            </w:pPr>
            <w:r/>
          </w:p>
          <w:p>
            <w:pPr>
              <w:ind w:left="804" w:right="191"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28" w:type="dxa"/>
            <w:vAlign w:val="top"/>
            <w:vMerge w:val="restart"/>
            <w:tcBorders>
              <w:bottom w:val="nil"/>
            </w:tcBorders>
          </w:tcPr>
          <w:p>
            <w:pPr>
              <w:spacing w:line="449" w:lineRule="auto"/>
              <w:rPr>
                <w:rFonts w:ascii="Arial"/>
                <w:sz w:val="21"/>
              </w:rPr>
            </w:pPr>
            <w:r/>
          </w:p>
          <w:p>
            <w:pPr>
              <w:ind w:left="34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362" w:type="dxa"/>
            <w:vAlign w:val="top"/>
          </w:tcPr>
          <w:p>
            <w:pPr>
              <w:ind w:left="58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362" w:type="dxa"/>
            <w:vAlign w:val="top"/>
          </w:tcPr>
          <w:p>
            <w:pPr>
              <w:ind w:left="5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362" w:type="dxa"/>
            <w:vAlign w:val="top"/>
          </w:tcPr>
          <w:p>
            <w:pPr>
              <w:ind w:left="5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362" w:type="dxa"/>
            <w:vAlign w:val="top"/>
          </w:tcPr>
          <w:p>
            <w:pPr>
              <w:ind w:left="5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4"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25" w:type="dxa"/>
            <w:vAlign w:val="top"/>
            <w:vMerge w:val="restart"/>
            <w:tcBorders>
              <w:bottom w:val="nil"/>
            </w:tcBorders>
          </w:tcPr>
          <w:p>
            <w:pPr>
              <w:spacing w:line="445" w:lineRule="auto"/>
              <w:rPr>
                <w:rFonts w:ascii="Arial"/>
                <w:sz w:val="21"/>
              </w:rPr>
            </w:pPr>
            <w:r/>
          </w:p>
          <w:p>
            <w:pPr>
              <w:ind w:left="22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28" w:type="dxa"/>
            <w:vAlign w:val="top"/>
            <w:vMerge w:val="restart"/>
            <w:tcBorders>
              <w:bottom w:val="nil"/>
            </w:tcBorders>
          </w:tcPr>
          <w:p>
            <w:pPr>
              <w:spacing w:line="445" w:lineRule="auto"/>
              <w:rPr>
                <w:rFonts w:ascii="Arial"/>
                <w:sz w:val="21"/>
              </w:rPr>
            </w:pPr>
            <w:r/>
          </w:p>
          <w:p>
            <w:pPr>
              <w:ind w:left="35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362" w:type="dxa"/>
            <w:vAlign w:val="top"/>
          </w:tcPr>
          <w:p>
            <w:pPr>
              <w:ind w:left="58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2" w:right="2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362" w:type="dxa"/>
            <w:vAlign w:val="top"/>
          </w:tcPr>
          <w:p>
            <w:pPr>
              <w:ind w:left="40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362" w:type="dxa"/>
            <w:vAlign w:val="top"/>
          </w:tcPr>
          <w:p>
            <w:pPr>
              <w:ind w:left="3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4" w:right="12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25" w:type="dxa"/>
            <w:vAlign w:val="top"/>
            <w:vMerge w:val="restart"/>
            <w:tcBorders>
              <w:bottom w:val="nil"/>
            </w:tcBorders>
          </w:tcPr>
          <w:p>
            <w:pPr>
              <w:ind w:left="674" w:right="191"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28" w:type="dxa"/>
            <w:vAlign w:val="top"/>
            <w:vMerge w:val="restart"/>
            <w:tcBorders>
              <w:bottom w:val="nil"/>
            </w:tcBorders>
          </w:tcPr>
          <w:p>
            <w:pPr>
              <w:ind w:left="354"/>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362" w:type="dxa"/>
            <w:vAlign w:val="top"/>
          </w:tcPr>
          <w:p>
            <w:pPr>
              <w:ind w:left="34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362" w:type="dxa"/>
            <w:vAlign w:val="top"/>
          </w:tcPr>
          <w:p>
            <w:pPr>
              <w:ind w:left="58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215" w:type="dxa"/>
            <w:vAlign w:val="top"/>
            <w:vMerge w:val="restart"/>
            <w:tcBorders>
              <w:bottom w:val="nil"/>
            </w:tcBorders>
          </w:tcPr>
          <w:p>
            <w:pPr>
              <w:ind w:left="127" w:right="125" w:firstLine="9"/>
              <w:spacing w:before="4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25" w:type="dxa"/>
            <w:vAlign w:val="top"/>
            <w:vMerge w:val="restart"/>
            <w:tcBorders>
              <w:bottom w:val="nil"/>
            </w:tcBorders>
          </w:tcPr>
          <w:p>
            <w:pPr>
              <w:ind w:left="194"/>
              <w:spacing w:before="4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0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05"/>
              <w:spacing w:before="3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28" w:type="dxa"/>
            <w:vAlign w:val="top"/>
            <w:vMerge w:val="restart"/>
            <w:tcBorders>
              <w:bottom w:val="nil"/>
            </w:tcBorders>
          </w:tcPr>
          <w:p>
            <w:pPr>
              <w:spacing w:line="284" w:lineRule="auto"/>
              <w:rPr>
                <w:rFonts w:ascii="Arial"/>
                <w:sz w:val="21"/>
              </w:rPr>
            </w:pPr>
            <w:r/>
          </w:p>
          <w:p>
            <w:pPr>
              <w:ind w:left="34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362" w:type="dxa"/>
            <w:vAlign w:val="top"/>
          </w:tcPr>
          <w:p>
            <w:pPr>
              <w:ind w:left="3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34" w:right="210"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362" w:type="dxa"/>
            <w:vAlign w:val="top"/>
          </w:tcPr>
          <w:p>
            <w:pPr>
              <w:ind w:left="58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90"/>
          <w:pgSz w:w="11905" w:h="16839"/>
          <w:pgMar w:top="1431" w:right="1634" w:bottom="1156" w:left="1634" w:header="0" w:footer="994" w:gutter="0"/>
        </w:sectPr>
        <w:rPr/>
      </w:pPr>
    </w:p>
    <w:p>
      <w:pPr>
        <w:spacing w:before="92"/>
        <w:rPr/>
      </w:pPr>
      <w:r/>
    </w:p>
    <w:p>
      <w:pPr>
        <w:spacing w:before="91"/>
        <w:rPr/>
      </w:pPr>
      <w:r/>
    </w:p>
    <w:tbl>
      <w:tblPr>
        <w:tblStyle w:val="TableNormal"/>
        <w:tblW w:w="84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1028"/>
        <w:gridCol w:w="3298"/>
        <w:gridCol w:w="1127"/>
      </w:tblGrid>
      <w:tr>
        <w:trPr>
          <w:trHeight w:val="720" w:hRule="atLeast"/>
        </w:trPr>
        <w:tc>
          <w:tcPr>
            <w:tcW w:w="8493" w:type="dxa"/>
            <w:vAlign w:val="top"/>
            <w:gridSpan w:val="5"/>
          </w:tcPr>
          <w:p>
            <w:pPr>
              <w:ind w:left="244"/>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3"/>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78" w:type="dxa"/>
            <w:vAlign w:val="top"/>
            <w:gridSpan w:val="4"/>
          </w:tcPr>
          <w:p>
            <w:pPr>
              <w:ind w:left="3541"/>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37</w:t>
            </w:r>
          </w:p>
        </w:tc>
      </w:tr>
      <w:tr>
        <w:trPr>
          <w:trHeight w:val="665" w:hRule="atLeast"/>
        </w:trPr>
        <w:tc>
          <w:tcPr>
            <w:tcW w:w="1215" w:type="dxa"/>
            <w:vAlign w:val="top"/>
          </w:tcPr>
          <w:p>
            <w:pPr>
              <w:ind w:left="58"/>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78" w:type="dxa"/>
            <w:vAlign w:val="top"/>
            <w:gridSpan w:val="4"/>
          </w:tcPr>
          <w:p>
            <w:pPr>
              <w:ind w:left="18"/>
              <w:spacing w:before="21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未按照规定设置大气污染物排放口的</w:t>
            </w:r>
          </w:p>
        </w:tc>
      </w:tr>
      <w:tr>
        <w:trPr>
          <w:trHeight w:val="5437" w:hRule="atLeast"/>
        </w:trPr>
        <w:tc>
          <w:tcPr>
            <w:tcW w:w="1215"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78" w:type="dxa"/>
            <w:vAlign w:val="top"/>
            <w:gridSpan w:val="4"/>
          </w:tcPr>
          <w:p>
            <w:pPr>
              <w:ind w:left="34"/>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6" w:right="56" w:firstLine="4"/>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企业事业单位和其他生产经营者向大气排放</w:t>
            </w:r>
            <w:r>
              <w:rPr>
                <w:rFonts w:ascii="FangSong_GB2312" w:hAnsi="FangSong_GB2312" w:eastAsia="FangSong_GB2312" w:cs="FangSong_GB2312"/>
                <w:sz w:val="24"/>
                <w:szCs w:val="24"/>
                <w:spacing w:val="-2"/>
              </w:rPr>
              <w:t>污染物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的，应当依照法律法规和国务院环境保护主管部门的规定设置大气污</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2"/>
              </w:rPr>
              <w:t>染物排放</w:t>
            </w:r>
            <w:r>
              <w:rPr>
                <w:rFonts w:ascii="FangSong_GB2312" w:hAnsi="FangSong_GB2312" w:eastAsia="FangSong_GB2312" w:cs="FangSong_GB2312"/>
                <w:sz w:val="24"/>
                <w:szCs w:val="24"/>
                <w:spacing w:val="-66"/>
              </w:rPr>
              <w:t xml:space="preserve"> </w:t>
            </w:r>
            <w:r>
              <w:rPr>
                <w:rFonts w:ascii="FangSong_GB2312" w:hAnsi="FangSong_GB2312" w:eastAsia="FangSong_GB2312" w:cs="FangSong_GB2312"/>
                <w:sz w:val="24"/>
                <w:szCs w:val="24"/>
                <w:spacing w:val="-12"/>
              </w:rPr>
              <w:t>口。</w:t>
            </w:r>
          </w:p>
          <w:p>
            <w:pPr>
              <w:spacing w:line="273"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31" w:right="15"/>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违反本法规定，有下列行为之一</w:t>
            </w:r>
            <w:r>
              <w:rPr>
                <w:rFonts w:ascii="FangSong_GB2312" w:hAnsi="FangSong_GB2312" w:eastAsia="FangSong_GB2312" w:cs="FangSong_GB2312"/>
                <w:sz w:val="24"/>
                <w:szCs w:val="24"/>
                <w:spacing w:val="-4"/>
              </w:rPr>
              <w:t>的，由县级以上人民政府生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态环境主管部门责令改正，处二万元以上二十万元以下的罚款；拒不</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改正的，责令停产整治：</w:t>
            </w:r>
          </w:p>
          <w:p>
            <w:pPr>
              <w:ind w:left="14"/>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（五）未按照规定设置大气污染物排放口的。</w:t>
            </w:r>
          </w:p>
          <w:p>
            <w:pPr>
              <w:spacing w:line="270" w:lineRule="auto"/>
              <w:rPr>
                <w:rFonts w:ascii="Arial"/>
                <w:sz w:val="21"/>
              </w:rPr>
            </w:pPr>
            <w:r/>
          </w:p>
          <w:p>
            <w:pPr>
              <w:ind w:left="3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3.《河北省大气污染防治条例》</w:t>
            </w:r>
          </w:p>
          <w:p>
            <w:pPr>
              <w:ind w:left="23" w:firstLine="7"/>
              <w:spacing w:before="39"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第七十九条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违反本条例规定，有下列行为之一的，由县</w:t>
            </w:r>
            <w:r>
              <w:rPr>
                <w:rFonts w:ascii="FangSong_GB2312" w:hAnsi="FangSong_GB2312" w:eastAsia="FangSong_GB2312" w:cs="FangSong_GB2312"/>
                <w:sz w:val="24"/>
                <w:szCs w:val="24"/>
                <w:spacing w:val="-3"/>
              </w:rPr>
              <w:t>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政府环境保护主管部门责令限期改正，处二万元以上五万</w:t>
            </w:r>
            <w:r>
              <w:rPr>
                <w:rFonts w:ascii="FangSong_GB2312" w:hAnsi="FangSong_GB2312" w:eastAsia="FangSong_GB2312" w:cs="FangSong_GB2312"/>
                <w:sz w:val="24"/>
                <w:szCs w:val="24"/>
                <w:spacing w:val="-7"/>
              </w:rPr>
              <w:t>元以下罚款；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情节较重的，处五万元以上十万元以下罚款；情节严重的，处十万元</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以上二十万元以下罚款；拒不改正的，责令停产整治：</w:t>
            </w:r>
          </w:p>
          <w:p>
            <w:pPr>
              <w:ind w:left="14"/>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（四）未按照规定设置大气污染物排放口的。</w:t>
            </w:r>
          </w:p>
        </w:tc>
      </w:tr>
      <w:tr>
        <w:trPr>
          <w:trHeight w:val="635" w:hRule="atLeast"/>
        </w:trPr>
        <w:tc>
          <w:tcPr>
            <w:tcW w:w="4068" w:type="dxa"/>
            <w:vAlign w:val="top"/>
            <w:gridSpan w:val="3"/>
          </w:tcPr>
          <w:p>
            <w:pPr>
              <w:ind w:left="1482"/>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25" w:type="dxa"/>
            <w:vAlign w:val="top"/>
            <w:gridSpan w:val="2"/>
          </w:tcPr>
          <w:p>
            <w:pPr>
              <w:ind w:left="1670"/>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7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25" w:type="dxa"/>
            <w:vAlign w:val="top"/>
          </w:tcPr>
          <w:p>
            <w:pPr>
              <w:ind w:left="481"/>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28" w:type="dxa"/>
            <w:vAlign w:val="top"/>
          </w:tcPr>
          <w:p>
            <w:pPr>
              <w:ind w:left="330" w:right="291"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98" w:type="dxa"/>
            <w:vAlign w:val="top"/>
          </w:tcPr>
          <w:p>
            <w:pPr>
              <w:ind w:left="1437"/>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7" w:type="dxa"/>
            <w:vAlign w:val="top"/>
          </w:tcPr>
          <w:p>
            <w:pPr>
              <w:ind w:left="248"/>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59" w:right="124"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25" w:type="dxa"/>
            <w:vAlign w:val="top"/>
            <w:vMerge w:val="restart"/>
            <w:tcBorders>
              <w:bottom w:val="nil"/>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ind w:left="20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28" w:type="dxa"/>
            <w:vAlign w:val="top"/>
            <w:vMerge w:val="restart"/>
            <w:tcBorders>
              <w:bottom w:val="nil"/>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ind w:left="34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98" w:type="dxa"/>
            <w:vAlign w:val="top"/>
          </w:tcPr>
          <w:p>
            <w:pPr>
              <w:ind w:left="122" w:right="102" w:hanging="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建设项目调试生产期间，未按</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规定设置大气污染排放口的</w:t>
            </w:r>
          </w:p>
        </w:tc>
        <w:tc>
          <w:tcPr>
            <w:tcW w:w="1127" w:type="dxa"/>
            <w:vAlign w:val="top"/>
          </w:tcPr>
          <w:p>
            <w:pPr>
              <w:ind w:left="226"/>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98" w:type="dxa"/>
            <w:vAlign w:val="top"/>
          </w:tcPr>
          <w:p>
            <w:pPr>
              <w:ind w:left="125" w:right="102" w:firstLine="3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已投入生产，未按规定设置大</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3"/>
              </w:rPr>
              <w:t>气污染排放口的</w:t>
            </w:r>
          </w:p>
        </w:tc>
        <w:tc>
          <w:tcPr>
            <w:tcW w:w="1127" w:type="dxa"/>
            <w:vAlign w:val="top"/>
          </w:tcPr>
          <w:p>
            <w:pPr>
              <w:ind w:left="16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98" w:type="dxa"/>
            <w:vAlign w:val="top"/>
          </w:tcPr>
          <w:p>
            <w:pPr>
              <w:ind w:left="116" w:right="102" w:firstLine="1"/>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排放有毒有害大气污染物，未</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6"/>
              </w:rPr>
              <w:t>按规定设置大气污染排放</w:t>
            </w:r>
            <w:r>
              <w:rPr>
                <w:rFonts w:ascii="FangSong_GB2312" w:hAnsi="FangSong_GB2312" w:eastAsia="FangSong_GB2312" w:cs="FangSong_GB2312"/>
                <w:sz w:val="24"/>
                <w:szCs w:val="24"/>
                <w:spacing w:val="-60"/>
              </w:rPr>
              <w:t xml:space="preserve"> </w:t>
            </w:r>
            <w:r>
              <w:rPr>
                <w:rFonts w:ascii="FangSong_GB2312" w:hAnsi="FangSong_GB2312" w:eastAsia="FangSong_GB2312" w:cs="FangSong_GB2312"/>
                <w:sz w:val="24"/>
                <w:szCs w:val="24"/>
                <w:spacing w:val="-6"/>
              </w:rPr>
              <w:t>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7" w:type="dxa"/>
            <w:vAlign w:val="top"/>
          </w:tcPr>
          <w:p>
            <w:pPr>
              <w:spacing w:line="278" w:lineRule="auto"/>
              <w:rPr>
                <w:rFonts w:ascii="Arial"/>
                <w:sz w:val="21"/>
              </w:rPr>
            </w:pPr>
            <w:r/>
          </w:p>
          <w:p>
            <w:pPr>
              <w:ind w:left="16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25" w:type="dxa"/>
            <w:vAlign w:val="top"/>
            <w:vMerge w:val="restart"/>
            <w:tcBorders>
              <w:bottom w:val="nil"/>
            </w:tcBorders>
          </w:tcPr>
          <w:p>
            <w:pPr>
              <w:spacing w:line="295" w:lineRule="auto"/>
              <w:rPr>
                <w:rFonts w:ascii="Arial"/>
                <w:sz w:val="21"/>
              </w:rPr>
            </w:pPr>
            <w:r/>
          </w:p>
          <w:p>
            <w:pPr>
              <w:ind w:left="805" w:right="190"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28" w:type="dxa"/>
            <w:vAlign w:val="top"/>
            <w:vMerge w:val="restart"/>
            <w:tcBorders>
              <w:bottom w:val="nil"/>
            </w:tcBorders>
          </w:tcPr>
          <w:p>
            <w:pPr>
              <w:spacing w:line="449" w:lineRule="auto"/>
              <w:rPr>
                <w:rFonts w:ascii="Arial"/>
                <w:sz w:val="21"/>
              </w:rPr>
            </w:pPr>
            <w:r/>
          </w:p>
          <w:p>
            <w:pPr>
              <w:ind w:left="34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98"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7" w:type="dxa"/>
            <w:vAlign w:val="top"/>
          </w:tcPr>
          <w:p>
            <w:pPr>
              <w:ind w:left="46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98"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7" w:type="dxa"/>
            <w:vAlign w:val="top"/>
          </w:tcPr>
          <w:p>
            <w:pPr>
              <w:ind w:left="40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98"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7" w:type="dxa"/>
            <w:vAlign w:val="top"/>
          </w:tcPr>
          <w:p>
            <w:pPr>
              <w:ind w:left="4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98"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7" w:type="dxa"/>
            <w:vAlign w:val="top"/>
          </w:tcPr>
          <w:p>
            <w:pPr>
              <w:ind w:left="40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ind w:left="136"/>
              <w:spacing w:before="20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25" w:type="dxa"/>
            <w:vAlign w:val="top"/>
            <w:vMerge w:val="restart"/>
            <w:tcBorders>
              <w:bottom w:val="nil"/>
            </w:tcBorders>
          </w:tcPr>
          <w:p>
            <w:pPr>
              <w:ind w:left="228"/>
              <w:spacing w:before="204"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28" w:type="dxa"/>
            <w:vAlign w:val="top"/>
            <w:vMerge w:val="restart"/>
            <w:tcBorders>
              <w:bottom w:val="nil"/>
            </w:tcBorders>
          </w:tcPr>
          <w:p>
            <w:pPr>
              <w:ind w:left="354"/>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98"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7" w:type="dxa"/>
            <w:vAlign w:val="top"/>
          </w:tcPr>
          <w:p>
            <w:pPr>
              <w:ind w:left="4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98" w:type="dxa"/>
            <w:vAlign w:val="top"/>
          </w:tcPr>
          <w:p>
            <w:pPr>
              <w:ind w:left="12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127" w:type="dxa"/>
            <w:vAlign w:val="top"/>
          </w:tcPr>
          <w:p>
            <w:pPr>
              <w:ind w:left="28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91"/>
          <w:pgSz w:w="11905" w:h="16839"/>
          <w:pgMar w:top="1431" w:right="1703" w:bottom="1156" w:left="1703" w:header="0" w:footer="994" w:gutter="0"/>
        </w:sectPr>
        <w:rPr/>
      </w:pPr>
    </w:p>
    <w:p>
      <w:pPr>
        <w:spacing w:before="92"/>
        <w:rPr/>
      </w:pPr>
      <w:r/>
    </w:p>
    <w:p>
      <w:pPr>
        <w:spacing w:before="91"/>
        <w:rPr/>
      </w:pPr>
      <w:r/>
    </w:p>
    <w:tbl>
      <w:tblPr>
        <w:tblStyle w:val="TableNormal"/>
        <w:tblW w:w="84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1028"/>
        <w:gridCol w:w="3298"/>
        <w:gridCol w:w="1127"/>
      </w:tblGrid>
      <w:tr>
        <w:trPr>
          <w:trHeight w:val="324" w:hRule="atLeast"/>
        </w:trPr>
        <w:tc>
          <w:tcPr>
            <w:tcW w:w="1215" w:type="dxa"/>
            <w:vAlign w:val="top"/>
            <w:vMerge w:val="restart"/>
            <w:tcBorders>
              <w:bottom w:val="nil"/>
            </w:tcBorders>
          </w:tcPr>
          <w:p>
            <w:pPr>
              <w:rPr>
                <w:rFonts w:ascii="Arial"/>
                <w:sz w:val="21"/>
              </w:rPr>
            </w:pPr>
            <w:r/>
          </w:p>
        </w:tc>
        <w:tc>
          <w:tcPr>
            <w:tcW w:w="1825" w:type="dxa"/>
            <w:vAlign w:val="top"/>
            <w:vMerge w:val="restart"/>
            <w:tcBorders>
              <w:bottom w:val="nil"/>
            </w:tcBorders>
          </w:tcPr>
          <w:p>
            <w:pPr>
              <w:rPr>
                <w:rFonts w:ascii="Arial"/>
                <w:sz w:val="21"/>
              </w:rPr>
            </w:pPr>
            <w:r/>
          </w:p>
        </w:tc>
        <w:tc>
          <w:tcPr>
            <w:tcW w:w="1028" w:type="dxa"/>
            <w:vAlign w:val="top"/>
            <w:vMerge w:val="restart"/>
            <w:tcBorders>
              <w:bottom w:val="nil"/>
            </w:tcBorders>
          </w:tcPr>
          <w:p>
            <w:pPr>
              <w:rPr>
                <w:rFonts w:ascii="Arial"/>
                <w:sz w:val="21"/>
              </w:rPr>
            </w:pPr>
            <w:r/>
          </w:p>
        </w:tc>
        <w:tc>
          <w:tcPr>
            <w:tcW w:w="3298" w:type="dxa"/>
            <w:vAlign w:val="top"/>
          </w:tcPr>
          <w:p>
            <w:pPr>
              <w:ind w:left="122"/>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127" w:type="dxa"/>
            <w:vAlign w:val="top"/>
          </w:tcPr>
          <w:p>
            <w:pPr>
              <w:rPr>
                <w:rFonts w:ascii="Arial"/>
                <w:sz w:val="21"/>
              </w:rPr>
            </w:pPr>
            <w:r/>
          </w:p>
        </w:tc>
      </w:tr>
      <w:tr>
        <w:trPr>
          <w:trHeight w:val="31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98" w:type="dxa"/>
            <w:vAlign w:val="top"/>
          </w:tcPr>
          <w:p>
            <w:pPr>
              <w:ind w:left="1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7" w:type="dxa"/>
            <w:vAlign w:val="top"/>
          </w:tcPr>
          <w:p>
            <w:pPr>
              <w:ind w:left="22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215" w:type="dxa"/>
            <w:vAlign w:val="top"/>
            <w:vMerge w:val="restart"/>
            <w:tcBorders>
              <w:bottom w:val="nil"/>
            </w:tcBorders>
          </w:tcPr>
          <w:p>
            <w:pPr>
              <w:ind w:left="135" w:right="124"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25" w:type="dxa"/>
            <w:vAlign w:val="top"/>
            <w:vMerge w:val="restart"/>
            <w:tcBorders>
              <w:bottom w:val="nil"/>
            </w:tcBorders>
          </w:tcPr>
          <w:p>
            <w:pPr>
              <w:ind w:left="675" w:right="190"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28" w:type="dxa"/>
            <w:vAlign w:val="top"/>
            <w:vMerge w:val="restart"/>
            <w:tcBorders>
              <w:bottom w:val="nil"/>
            </w:tcBorders>
          </w:tcPr>
          <w:p>
            <w:pPr>
              <w:ind w:left="354"/>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98"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7" w:type="dxa"/>
            <w:vAlign w:val="top"/>
          </w:tcPr>
          <w:p>
            <w:pPr>
              <w:ind w:left="2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98" w:type="dxa"/>
            <w:vAlign w:val="top"/>
          </w:tcPr>
          <w:p>
            <w:pPr>
              <w:ind w:left="125"/>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7" w:type="dxa"/>
            <w:vAlign w:val="top"/>
          </w:tcPr>
          <w:p>
            <w:pPr>
              <w:ind w:left="467"/>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19" w:hRule="atLeast"/>
        </w:trPr>
        <w:tc>
          <w:tcPr>
            <w:tcW w:w="1215" w:type="dxa"/>
            <w:vAlign w:val="top"/>
            <w:vMerge w:val="restart"/>
            <w:tcBorders>
              <w:bottom w:val="nil"/>
            </w:tcBorders>
          </w:tcPr>
          <w:p>
            <w:pPr>
              <w:ind w:left="127" w:right="124" w:firstLine="9"/>
              <w:spacing w:before="14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25" w:type="dxa"/>
            <w:vAlign w:val="top"/>
            <w:vMerge w:val="restart"/>
            <w:tcBorders>
              <w:bottom w:val="nil"/>
            </w:tcBorders>
          </w:tcPr>
          <w:p>
            <w:pPr>
              <w:ind w:left="195"/>
              <w:spacing w:before="14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0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0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28" w:type="dxa"/>
            <w:vAlign w:val="top"/>
            <w:vMerge w:val="restart"/>
            <w:tcBorders>
              <w:bottom w:val="nil"/>
            </w:tcBorders>
          </w:tcPr>
          <w:p>
            <w:pPr>
              <w:spacing w:line="381" w:lineRule="auto"/>
              <w:rPr>
                <w:rFonts w:ascii="Arial"/>
                <w:sz w:val="21"/>
              </w:rPr>
            </w:pPr>
            <w:r/>
          </w:p>
          <w:p>
            <w:pPr>
              <w:ind w:left="34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98" w:type="dxa"/>
            <w:vAlign w:val="top"/>
          </w:tcPr>
          <w:p>
            <w:pPr>
              <w:ind w:left="118"/>
              <w:spacing w:before="1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7" w:type="dxa"/>
            <w:vAlign w:val="top"/>
          </w:tcPr>
          <w:p>
            <w:pPr>
              <w:ind w:left="252"/>
              <w:spacing w:before="14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98" w:type="dxa"/>
            <w:vAlign w:val="top"/>
          </w:tcPr>
          <w:p>
            <w:pPr>
              <w:ind w:left="135" w:right="306"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7" w:type="dxa"/>
            <w:vAlign w:val="top"/>
          </w:tcPr>
          <w:p>
            <w:pPr>
              <w:ind w:left="46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92"/>
          <w:pgSz w:w="11905" w:h="16839"/>
          <w:pgMar w:top="1431" w:right="1703" w:bottom="1156" w:left="1703" w:header="0" w:footer="994" w:gutter="0"/>
        </w:sectPr>
        <w:rPr/>
      </w:pPr>
    </w:p>
    <w:p>
      <w:pPr>
        <w:spacing w:before="92"/>
        <w:rPr/>
      </w:pPr>
      <w:r/>
    </w:p>
    <w:p>
      <w:pPr>
        <w:spacing w:before="91"/>
        <w:rPr/>
      </w:pPr>
      <w:r/>
    </w:p>
    <w:tbl>
      <w:tblPr>
        <w:tblStyle w:val="TableNormal"/>
        <w:tblW w:w="851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90"/>
        <w:gridCol w:w="963"/>
        <w:gridCol w:w="3384"/>
        <w:gridCol w:w="1064"/>
      </w:tblGrid>
      <w:tr>
        <w:trPr>
          <w:trHeight w:val="720" w:hRule="atLeast"/>
        </w:trPr>
        <w:tc>
          <w:tcPr>
            <w:tcW w:w="8516" w:type="dxa"/>
            <w:vAlign w:val="top"/>
            <w:gridSpan w:val="5"/>
          </w:tcPr>
          <w:p>
            <w:pPr>
              <w:ind w:left="256"/>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3"/>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301" w:type="dxa"/>
            <w:vAlign w:val="top"/>
            <w:gridSpan w:val="4"/>
          </w:tcPr>
          <w:p>
            <w:pPr>
              <w:ind w:left="3553"/>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38</w:t>
            </w:r>
          </w:p>
        </w:tc>
      </w:tr>
      <w:tr>
        <w:trPr>
          <w:trHeight w:val="664" w:hRule="atLeast"/>
        </w:trPr>
        <w:tc>
          <w:tcPr>
            <w:tcW w:w="1215" w:type="dxa"/>
            <w:vAlign w:val="top"/>
          </w:tcPr>
          <w:p>
            <w:pPr>
              <w:ind w:left="58"/>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301" w:type="dxa"/>
            <w:vAlign w:val="top"/>
            <w:gridSpan w:val="4"/>
          </w:tcPr>
          <w:p>
            <w:pPr>
              <w:ind w:left="24"/>
              <w:spacing w:before="213"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单位燃用不符合质量标准的煤炭、石油焦的</w:t>
            </w:r>
          </w:p>
        </w:tc>
      </w:tr>
      <w:tr>
        <w:trPr>
          <w:trHeight w:val="5073" w:hRule="atLeast"/>
        </w:trPr>
        <w:tc>
          <w:tcPr>
            <w:tcW w:w="1215"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处罚依据</w:t>
            </w:r>
          </w:p>
        </w:tc>
        <w:tc>
          <w:tcPr>
            <w:tcW w:w="7301" w:type="dxa"/>
            <w:vAlign w:val="top"/>
            <w:gridSpan w:val="4"/>
          </w:tcPr>
          <w:p>
            <w:pPr>
              <w:ind w:left="34"/>
              <w:spacing w:before="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9" w:right="79" w:firstLine="11"/>
              <w:spacing w:before="35"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第三十五条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b/>
                <w:bCs/>
                <w:spacing w:val="-4"/>
              </w:rPr>
              <w:t>第一款</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国家禁止进</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4"/>
              </w:rPr>
              <w:t>口、销售和燃用不符合质量标准的煤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炭，鼓励燃用优质煤炭。</w:t>
            </w:r>
          </w:p>
          <w:p>
            <w:pPr>
              <w:spacing w:line="277" w:lineRule="auto"/>
              <w:rPr>
                <w:rFonts w:ascii="Arial"/>
                <w:sz w:val="21"/>
              </w:rPr>
            </w:pPr>
            <w:r/>
          </w:p>
          <w:p>
            <w:pPr>
              <w:ind w:left="26" w:right="852" w:firstLine="4"/>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石油炼制企业应当按照燃油质量标准生产燃油。</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禁止进</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spacing w:val="-4"/>
              </w:rPr>
              <w:t>口、销售和燃用不符合质量标准的石油焦。</w:t>
            </w:r>
          </w:p>
          <w:p>
            <w:pPr>
              <w:spacing w:line="271"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2" w:right="14" w:firstLine="8"/>
              <w:spacing w:before="40"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第一百零五条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违反本法规定，单位燃用不符合质量标准的煤炭、石油</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焦的，由县级以上人民政府生态环境主管部门责令改正，处货值金额</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一倍以上三倍以下的罚款。</w:t>
            </w:r>
          </w:p>
          <w:p>
            <w:pPr>
              <w:spacing w:line="270" w:lineRule="auto"/>
              <w:rPr>
                <w:rFonts w:ascii="Arial"/>
                <w:sz w:val="21"/>
              </w:rPr>
            </w:pPr>
            <w:r/>
          </w:p>
          <w:p>
            <w:pPr>
              <w:ind w:left="3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4" w:right="86" w:firstLine="6"/>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违反本条例规定，单位燃用不符合质量标准</w:t>
            </w:r>
            <w:r>
              <w:rPr>
                <w:rFonts w:ascii="FangSong_GB2312" w:hAnsi="FangSong_GB2312" w:eastAsia="FangSong_GB2312" w:cs="FangSong_GB2312"/>
                <w:sz w:val="24"/>
                <w:szCs w:val="24"/>
                <w:spacing w:val="-2"/>
              </w:rPr>
              <w:t>的煤炭的，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由县级以上人民政府环境保护主管部门责令改正，处货值金额一倍以</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上三倍以下的罚款。</w:t>
            </w:r>
          </w:p>
        </w:tc>
      </w:tr>
      <w:tr>
        <w:trPr>
          <w:trHeight w:val="635" w:hRule="atLeast"/>
        </w:trPr>
        <w:tc>
          <w:tcPr>
            <w:tcW w:w="4068" w:type="dxa"/>
            <w:vAlign w:val="top"/>
            <w:gridSpan w:val="3"/>
          </w:tcPr>
          <w:p>
            <w:pPr>
              <w:ind w:left="1482"/>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48" w:type="dxa"/>
            <w:vAlign w:val="top"/>
            <w:gridSpan w:val="2"/>
          </w:tcPr>
          <w:p>
            <w:pPr>
              <w:ind w:left="1682"/>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7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90" w:type="dxa"/>
            <w:vAlign w:val="top"/>
          </w:tcPr>
          <w:p>
            <w:pPr>
              <w:ind w:left="51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63" w:type="dxa"/>
            <w:vAlign w:val="top"/>
          </w:tcPr>
          <w:p>
            <w:pPr>
              <w:ind w:left="298" w:right="258"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84" w:type="dxa"/>
            <w:vAlign w:val="top"/>
          </w:tcPr>
          <w:p>
            <w:pPr>
              <w:ind w:left="1480"/>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4" w:type="dxa"/>
            <w:vAlign w:val="top"/>
          </w:tcPr>
          <w:p>
            <w:pPr>
              <w:ind w:left="215"/>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443" w:lineRule="auto"/>
              <w:rPr>
                <w:rFonts w:ascii="Arial"/>
                <w:sz w:val="21"/>
              </w:rPr>
            </w:pPr>
            <w:r/>
          </w:p>
          <w:p>
            <w:pPr>
              <w:ind w:left="259" w:right="124"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90"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63"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31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384" w:type="dxa"/>
            <w:vAlign w:val="top"/>
          </w:tcPr>
          <w:p>
            <w:pPr>
              <w:ind w:left="135" w:right="152" w:hanging="2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煤质或石油焦超标</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3"/>
              </w:rPr>
              <w:t>0.5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3"/>
              </w:rPr>
              <w:t>倍以内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064" w:type="dxa"/>
            <w:vAlign w:val="top"/>
          </w:tcPr>
          <w:p>
            <w:pPr>
              <w:ind w:left="19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384" w:type="dxa"/>
            <w:vAlign w:val="top"/>
          </w:tcPr>
          <w:p>
            <w:pPr>
              <w:ind w:left="111"/>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煤质或石油焦超标</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3"/>
              </w:rPr>
              <w:t>0.5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3"/>
              </w:rPr>
              <w:t>倍以上</w:t>
            </w:r>
          </w:p>
          <w:p>
            <w:pPr>
              <w:ind w:left="130"/>
              <w:spacing w:before="36"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7"/>
              </w:rPr>
              <w:t>倍以下的</w:t>
            </w:r>
          </w:p>
        </w:tc>
        <w:tc>
          <w:tcPr>
            <w:tcW w:w="1064" w:type="dxa"/>
            <w:vAlign w:val="top"/>
          </w:tcPr>
          <w:p>
            <w:pPr>
              <w:ind w:left="12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384" w:type="dxa"/>
            <w:vAlign w:val="top"/>
          </w:tcPr>
          <w:p>
            <w:pPr>
              <w:ind w:left="1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煤质或石油焦超标</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3"/>
              </w:rPr>
              <w:t>倍以上的</w:t>
            </w:r>
          </w:p>
        </w:tc>
        <w:tc>
          <w:tcPr>
            <w:tcW w:w="1064" w:type="dxa"/>
            <w:vAlign w:val="top"/>
          </w:tcPr>
          <w:p>
            <w:pPr>
              <w:ind w:left="13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90" w:type="dxa"/>
            <w:vAlign w:val="top"/>
            <w:vMerge w:val="restart"/>
            <w:tcBorders>
              <w:bottom w:val="nil"/>
            </w:tcBorders>
          </w:tcPr>
          <w:p>
            <w:pPr>
              <w:spacing w:line="296" w:lineRule="auto"/>
              <w:rPr>
                <w:rFonts w:ascii="Arial"/>
                <w:sz w:val="21"/>
              </w:rPr>
            </w:pPr>
            <w:r/>
          </w:p>
          <w:p>
            <w:pPr>
              <w:ind w:left="836" w:right="224"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63" w:type="dxa"/>
            <w:vAlign w:val="top"/>
            <w:vMerge w:val="restart"/>
            <w:tcBorders>
              <w:bottom w:val="nil"/>
            </w:tcBorders>
          </w:tcPr>
          <w:p>
            <w:pPr>
              <w:spacing w:line="449" w:lineRule="auto"/>
              <w:rPr>
                <w:rFonts w:ascii="Arial"/>
                <w:sz w:val="21"/>
              </w:rPr>
            </w:pPr>
            <w:r/>
          </w:p>
          <w:p>
            <w:pPr>
              <w:ind w:left="31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84"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4" w:type="dxa"/>
            <w:vAlign w:val="top"/>
          </w:tcPr>
          <w:p>
            <w:pPr>
              <w:ind w:left="4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384"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4" w:type="dxa"/>
            <w:vAlign w:val="top"/>
          </w:tcPr>
          <w:p>
            <w:pPr>
              <w:ind w:left="3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384"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4"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384"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4" w:type="dxa"/>
            <w:vAlign w:val="top"/>
          </w:tcPr>
          <w:p>
            <w:pPr>
              <w:ind w:left="3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90" w:type="dxa"/>
            <w:vAlign w:val="top"/>
            <w:vMerge w:val="restart"/>
            <w:tcBorders>
              <w:bottom w:val="nil"/>
            </w:tcBorders>
          </w:tcPr>
          <w:p>
            <w:pPr>
              <w:spacing w:line="446" w:lineRule="auto"/>
              <w:rPr>
                <w:rFonts w:ascii="Arial"/>
                <w:sz w:val="21"/>
              </w:rPr>
            </w:pPr>
            <w:r/>
          </w:p>
          <w:p>
            <w:pPr>
              <w:ind w:left="22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63" w:type="dxa"/>
            <w:vAlign w:val="top"/>
            <w:vMerge w:val="restart"/>
            <w:tcBorders>
              <w:bottom w:val="nil"/>
            </w:tcBorders>
          </w:tcPr>
          <w:p>
            <w:pPr>
              <w:spacing w:line="445" w:lineRule="auto"/>
              <w:rPr>
                <w:rFonts w:ascii="Arial"/>
                <w:sz w:val="21"/>
              </w:rPr>
            </w:pPr>
            <w:r/>
          </w:p>
          <w:p>
            <w:pPr>
              <w:ind w:left="3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84"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4" w:type="dxa"/>
            <w:vAlign w:val="top"/>
          </w:tcPr>
          <w:p>
            <w:pPr>
              <w:ind w:left="43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384" w:type="dxa"/>
            <w:vAlign w:val="top"/>
          </w:tcPr>
          <w:p>
            <w:pPr>
              <w:ind w:left="130" w:right="152"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4" w:type="dxa"/>
            <w:vAlign w:val="top"/>
          </w:tcPr>
          <w:p>
            <w:pPr>
              <w:ind w:left="25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384"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4" w:type="dxa"/>
            <w:vAlign w:val="top"/>
          </w:tcPr>
          <w:p>
            <w:pPr>
              <w:ind w:left="18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2" w:hRule="atLeast"/>
        </w:trPr>
        <w:tc>
          <w:tcPr>
            <w:tcW w:w="1215" w:type="dxa"/>
            <w:vAlign w:val="top"/>
          </w:tcPr>
          <w:p>
            <w:pPr>
              <w:ind w:left="14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890" w:type="dxa"/>
            <w:vAlign w:val="top"/>
          </w:tcPr>
          <w:p>
            <w:pPr>
              <w:ind w:left="22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963" w:type="dxa"/>
            <w:vAlign w:val="top"/>
          </w:tcPr>
          <w:p>
            <w:pPr>
              <w:ind w:left="368"/>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84" w:type="dxa"/>
            <w:vAlign w:val="top"/>
          </w:tcPr>
          <w:p>
            <w:pPr>
              <w:ind w:left="12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4" w:type="dxa"/>
            <w:vAlign w:val="top"/>
          </w:tcPr>
          <w:p>
            <w:pPr>
              <w:ind w:left="19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93"/>
          <w:pgSz w:w="11905" w:h="16839"/>
          <w:pgMar w:top="1431" w:right="1692" w:bottom="1156" w:left="1691" w:header="0" w:footer="994" w:gutter="0"/>
        </w:sectPr>
        <w:rPr/>
      </w:pPr>
    </w:p>
    <w:p>
      <w:pPr>
        <w:spacing w:before="92"/>
        <w:rPr/>
      </w:pPr>
      <w:r/>
    </w:p>
    <w:p>
      <w:pPr>
        <w:spacing w:before="91"/>
        <w:rPr/>
      </w:pPr>
      <w:r/>
    </w:p>
    <w:tbl>
      <w:tblPr>
        <w:tblStyle w:val="TableNormal"/>
        <w:tblW w:w="851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90"/>
        <w:gridCol w:w="963"/>
        <w:gridCol w:w="3384"/>
        <w:gridCol w:w="1064"/>
      </w:tblGrid>
      <w:tr>
        <w:trPr>
          <w:trHeight w:val="323" w:hRule="atLeast"/>
        </w:trPr>
        <w:tc>
          <w:tcPr>
            <w:tcW w:w="1215" w:type="dxa"/>
            <w:vAlign w:val="top"/>
          </w:tcPr>
          <w:p>
            <w:pPr>
              <w:ind w:left="13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890" w:type="dxa"/>
            <w:vAlign w:val="top"/>
          </w:tcPr>
          <w:p>
            <w:pPr>
              <w:ind w:left="707"/>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963" w:type="dxa"/>
            <w:vAlign w:val="top"/>
          </w:tcPr>
          <w:p>
            <w:pPr>
              <w:rPr>
                <w:rFonts w:ascii="Arial"/>
                <w:sz w:val="21"/>
              </w:rPr>
            </w:pPr>
            <w:r/>
          </w:p>
        </w:tc>
        <w:tc>
          <w:tcPr>
            <w:tcW w:w="3384" w:type="dxa"/>
            <w:vAlign w:val="top"/>
          </w:tcPr>
          <w:p>
            <w:pPr>
              <w:ind w:left="12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4" w:type="dxa"/>
            <w:vAlign w:val="top"/>
          </w:tcPr>
          <w:p>
            <w:pPr>
              <w:ind w:left="43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85" w:hRule="atLeast"/>
        </w:trPr>
        <w:tc>
          <w:tcPr>
            <w:tcW w:w="1215" w:type="dxa"/>
            <w:vAlign w:val="top"/>
            <w:vMerge w:val="restart"/>
            <w:tcBorders>
              <w:bottom w:val="nil"/>
            </w:tcBorders>
          </w:tcPr>
          <w:p>
            <w:pPr>
              <w:ind w:left="127" w:right="124" w:firstLine="9"/>
              <w:spacing w:before="40"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90" w:type="dxa"/>
            <w:vAlign w:val="top"/>
            <w:vMerge w:val="restart"/>
            <w:tcBorders>
              <w:bottom w:val="nil"/>
            </w:tcBorders>
          </w:tcPr>
          <w:p>
            <w:pPr>
              <w:ind w:left="226"/>
              <w:spacing w:before="4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63" w:type="dxa"/>
            <w:vAlign w:val="top"/>
            <w:vMerge w:val="restart"/>
            <w:tcBorders>
              <w:bottom w:val="nil"/>
            </w:tcBorders>
          </w:tcPr>
          <w:p>
            <w:pPr>
              <w:spacing w:line="275" w:lineRule="auto"/>
              <w:rPr>
                <w:rFonts w:ascii="Arial"/>
                <w:sz w:val="21"/>
              </w:rPr>
            </w:pPr>
            <w:r/>
          </w:p>
          <w:p>
            <w:pPr>
              <w:ind w:left="31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84" w:type="dxa"/>
            <w:vAlign w:val="top"/>
          </w:tcPr>
          <w:p>
            <w:pPr>
              <w:ind w:left="118"/>
              <w:spacing w:before="12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4" w:type="dxa"/>
            <w:vAlign w:val="top"/>
          </w:tcPr>
          <w:p>
            <w:pPr>
              <w:ind w:left="253"/>
              <w:spacing w:before="12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61"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384" w:type="dxa"/>
            <w:vAlign w:val="top"/>
          </w:tcPr>
          <w:p>
            <w:pPr>
              <w:ind w:left="115"/>
              <w:spacing w:before="11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4" w:type="dxa"/>
            <w:vAlign w:val="top"/>
          </w:tcPr>
          <w:p>
            <w:pPr>
              <w:ind w:left="434"/>
              <w:spacing w:before="1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94"/>
          <w:pgSz w:w="11905" w:h="16839"/>
          <w:pgMar w:top="1431" w:right="1692" w:bottom="1156" w:left="1691" w:header="0" w:footer="994" w:gutter="0"/>
        </w:sectPr>
        <w:rPr/>
      </w:pPr>
    </w:p>
    <w:p>
      <w:pPr>
        <w:spacing w:before="92"/>
        <w:rPr/>
      </w:pPr>
      <w:r/>
    </w:p>
    <w:p>
      <w:pPr>
        <w:spacing w:before="91"/>
        <w:rPr/>
      </w:pPr>
      <w:r/>
    </w:p>
    <w:tbl>
      <w:tblPr>
        <w:tblStyle w:val="TableNormal"/>
        <w:tblW w:w="856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953"/>
        <w:gridCol w:w="3416"/>
        <w:gridCol w:w="1153"/>
      </w:tblGrid>
      <w:tr>
        <w:trPr>
          <w:trHeight w:val="720" w:hRule="atLeast"/>
        </w:trPr>
        <w:tc>
          <w:tcPr>
            <w:tcW w:w="8562" w:type="dxa"/>
            <w:vAlign w:val="top"/>
            <w:gridSpan w:val="5"/>
          </w:tcPr>
          <w:p>
            <w:pPr>
              <w:ind w:left="279"/>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347" w:type="dxa"/>
            <w:vAlign w:val="top"/>
            <w:gridSpan w:val="4"/>
          </w:tcPr>
          <w:p>
            <w:pPr>
              <w:ind w:left="3576"/>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5"/>
              </w:rPr>
              <w:t>39</w:t>
            </w:r>
          </w:p>
        </w:tc>
      </w:tr>
      <w:tr>
        <w:trPr>
          <w:trHeight w:val="1294" w:hRule="atLeast"/>
        </w:trPr>
        <w:tc>
          <w:tcPr>
            <w:tcW w:w="1215" w:type="dxa"/>
            <w:vAlign w:val="top"/>
          </w:tcPr>
          <w:p>
            <w:pPr>
              <w:spacing w:line="415" w:lineRule="auto"/>
              <w:rPr>
                <w:rFonts w:ascii="Arial"/>
                <w:sz w:val="21"/>
              </w:rPr>
            </w:pPr>
            <w:r/>
          </w:p>
          <w:p>
            <w:pPr>
              <w:ind w:left="5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347" w:type="dxa"/>
            <w:vAlign w:val="top"/>
            <w:gridSpan w:val="4"/>
          </w:tcPr>
          <w:p>
            <w:pPr>
              <w:ind w:left="21" w:right="131" w:firstLine="1"/>
              <w:spacing w:before="52"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在禁燃区内新建、扩建燃用高污染燃料的设施，或者未按照规定停止</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燃用高污染燃料，或者在城市集中供热管网覆盖地区新建、扩建分散</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燃煤供热锅炉，或者未按照规定拆除已建成的不能达标排放的燃煤供</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3"/>
              </w:rPr>
              <w:t>热锅炉的</w:t>
            </w:r>
          </w:p>
        </w:tc>
      </w:tr>
      <w:tr>
        <w:trPr>
          <w:trHeight w:val="4758" w:hRule="atLeast"/>
        </w:trPr>
        <w:tc>
          <w:tcPr>
            <w:tcW w:w="1215"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347"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4" w:right="13" w:firstLine="8"/>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城市人民政府可以划定并公布高污染燃料</w:t>
            </w:r>
            <w:r>
              <w:rPr>
                <w:rFonts w:ascii="FangSong_GB2312" w:hAnsi="FangSong_GB2312" w:eastAsia="FangSong_GB2312" w:cs="FangSong_GB2312"/>
                <w:sz w:val="24"/>
                <w:szCs w:val="24"/>
                <w:spacing w:val="-2"/>
              </w:rPr>
              <w:t>禁燃区，并根据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大气环境质量改善要求，逐步扩大高污染燃料禁燃区范围。高污染燃</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料的目录由国务院生态环境主管部门确定。</w:t>
            </w:r>
          </w:p>
          <w:p>
            <w:pPr>
              <w:ind w:left="27" w:right="131" w:hanging="4"/>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在禁燃区内，禁止销售、燃用高污染燃料；禁止新建、扩建燃用高污</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染燃料的设施，</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2"/>
              </w:rPr>
              <w:t>已建成的，应当在城市人民政府规</w:t>
            </w:r>
            <w:r>
              <w:rPr>
                <w:rFonts w:ascii="FangSong_GB2312" w:hAnsi="FangSong_GB2312" w:eastAsia="FangSong_GB2312" w:cs="FangSong_GB2312"/>
                <w:sz w:val="24"/>
                <w:szCs w:val="24"/>
                <w:spacing w:val="-3"/>
              </w:rPr>
              <w:t>定的期限内改用天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然气、页岩气、液化石油气、电或者其他清洁能源。</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18" w:firstLine="14"/>
              <w:spacing w:before="36"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第一百零七条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违反本法规定，在禁燃区内新建、扩建燃用高污染燃料</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的设施，或者未按照规定停止燃用高污染燃料，或者在城市集中供热</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管网覆盖地区新建、扩建分散燃煤供热锅炉，或者未按照规定拆除已</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建成的不能达标排放的燃煤供热锅炉的，由县级以上地方人民政府生</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态环境主管部门没收燃用高污染燃料的设施，组织拆除燃煤供热锅炉，</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并处二万元以上二十万元以下的罚款。</w:t>
            </w:r>
          </w:p>
        </w:tc>
      </w:tr>
      <w:tr>
        <w:trPr>
          <w:trHeight w:val="635" w:hRule="atLeast"/>
        </w:trPr>
        <w:tc>
          <w:tcPr>
            <w:tcW w:w="3993" w:type="dxa"/>
            <w:vAlign w:val="top"/>
            <w:gridSpan w:val="3"/>
          </w:tcPr>
          <w:p>
            <w:pPr>
              <w:ind w:left="144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69" w:type="dxa"/>
            <w:vAlign w:val="top"/>
            <w:gridSpan w:val="2"/>
          </w:tcPr>
          <w:p>
            <w:pPr>
              <w:ind w:left="174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1"/>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25" w:type="dxa"/>
            <w:vAlign w:val="top"/>
          </w:tcPr>
          <w:p>
            <w:pPr>
              <w:ind w:left="482"/>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53" w:type="dxa"/>
            <w:vAlign w:val="top"/>
          </w:tcPr>
          <w:p>
            <w:pPr>
              <w:ind w:left="293" w:right="25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16" w:type="dxa"/>
            <w:vAlign w:val="top"/>
          </w:tcPr>
          <w:p>
            <w:pPr>
              <w:ind w:left="1497"/>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3" w:type="dxa"/>
            <w:vAlign w:val="top"/>
          </w:tcPr>
          <w:p>
            <w:pPr>
              <w:ind w:left="259"/>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579" w:hRule="atLeast"/>
        </w:trPr>
        <w:tc>
          <w:tcPr>
            <w:tcW w:w="1215"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261" w:right="125" w:hanging="125"/>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25"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0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53"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1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16" w:type="dxa"/>
            <w:vAlign w:val="top"/>
          </w:tcPr>
          <w:p>
            <w:pPr>
              <w:ind w:left="112" w:right="185" w:firstLine="5"/>
              <w:spacing w:before="41"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在禁燃区内新建、扩建燃用高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污染燃料的设施或者在城市集</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中供热管网覆盖地区新建、扩</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建分散燃煤供热锅炉，未投入</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3"/>
              </w:rPr>
              <w:t>使用的</w:t>
            </w:r>
          </w:p>
        </w:tc>
        <w:tc>
          <w:tcPr>
            <w:tcW w:w="1153" w:type="dxa"/>
            <w:vAlign w:val="top"/>
          </w:tcPr>
          <w:p>
            <w:pPr>
              <w:spacing w:line="295" w:lineRule="auto"/>
              <w:rPr>
                <w:rFonts w:ascii="Arial"/>
                <w:sz w:val="21"/>
              </w:rPr>
            </w:pPr>
            <w:r/>
          </w:p>
          <w:p>
            <w:pPr>
              <w:spacing w:line="295"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1579"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416" w:type="dxa"/>
            <w:vAlign w:val="top"/>
          </w:tcPr>
          <w:p>
            <w:pPr>
              <w:ind w:left="113" w:right="185" w:firstLine="4"/>
              <w:spacing w:before="41"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在禁燃区内新建、扩建燃用高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污染燃料的设施或者在城市集</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中供热管网覆盖地区新建、扩</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建分散燃煤供热锅炉，投入使</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用的</w:t>
            </w:r>
          </w:p>
        </w:tc>
        <w:tc>
          <w:tcPr>
            <w:tcW w:w="1153" w:type="dxa"/>
            <w:vAlign w:val="top"/>
          </w:tcPr>
          <w:p>
            <w:pPr>
              <w:spacing w:line="295" w:lineRule="auto"/>
              <w:rPr>
                <w:rFonts w:ascii="Arial"/>
                <w:sz w:val="21"/>
              </w:rPr>
            </w:pPr>
            <w:r/>
          </w:p>
          <w:p>
            <w:pPr>
              <w:spacing w:line="295" w:lineRule="auto"/>
              <w:rPr>
                <w:rFonts w:ascii="Arial"/>
                <w:sz w:val="21"/>
              </w:rPr>
            </w:pPr>
            <w:r/>
          </w:p>
          <w:p>
            <w:pPr>
              <w:ind w:left="17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635"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416" w:type="dxa"/>
            <w:vAlign w:val="top"/>
          </w:tcPr>
          <w:p>
            <w:pPr>
              <w:ind w:left="118" w:right="185" w:hanging="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未按照规定停止燃用高污染燃</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7"/>
              </w:rPr>
              <w:t>料的</w:t>
            </w:r>
          </w:p>
        </w:tc>
        <w:tc>
          <w:tcPr>
            <w:tcW w:w="1153" w:type="dxa"/>
            <w:vAlign w:val="top"/>
          </w:tcPr>
          <w:p>
            <w:pPr>
              <w:ind w:left="237"/>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1%-40%</w:t>
            </w:r>
          </w:p>
        </w:tc>
      </w:tr>
      <w:tr>
        <w:trPr>
          <w:trHeight w:val="638"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416" w:type="dxa"/>
            <w:vAlign w:val="top"/>
          </w:tcPr>
          <w:p>
            <w:pPr>
              <w:ind w:left="115" w:right="185"/>
              <w:spacing w:before="4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未按照规定拆除已建成的不能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达标排放的燃煤供热锅炉的</w:t>
            </w:r>
          </w:p>
        </w:tc>
        <w:tc>
          <w:tcPr>
            <w:tcW w:w="1153" w:type="dxa"/>
            <w:vAlign w:val="top"/>
          </w:tcPr>
          <w:p>
            <w:pPr>
              <w:ind w:left="2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1%-40%</w:t>
            </w:r>
          </w:p>
        </w:tc>
      </w:tr>
    </w:tbl>
    <w:p>
      <w:pPr>
        <w:pStyle w:val="BodyText"/>
        <w:rPr/>
      </w:pPr>
      <w:r/>
    </w:p>
    <w:p>
      <w:pPr>
        <w:sectPr>
          <w:footerReference w:type="default" r:id="rId95"/>
          <w:pgSz w:w="11905" w:h="16839"/>
          <w:pgMar w:top="1431" w:right="1669" w:bottom="1156" w:left="1668" w:header="0" w:footer="994" w:gutter="0"/>
        </w:sectPr>
        <w:rPr/>
      </w:pPr>
    </w:p>
    <w:p>
      <w:pPr>
        <w:spacing w:before="92"/>
        <w:rPr/>
      </w:pPr>
      <w:r/>
    </w:p>
    <w:p>
      <w:pPr>
        <w:spacing w:before="91"/>
        <w:rPr/>
      </w:pPr>
      <w:r/>
    </w:p>
    <w:tbl>
      <w:tblPr>
        <w:tblStyle w:val="TableNormal"/>
        <w:tblW w:w="856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953"/>
        <w:gridCol w:w="3416"/>
        <w:gridCol w:w="1153"/>
      </w:tblGrid>
      <w:tr>
        <w:trPr>
          <w:trHeight w:val="324" w:hRule="atLeast"/>
        </w:trPr>
        <w:tc>
          <w:tcPr>
            <w:tcW w:w="1215" w:type="dxa"/>
            <w:vAlign w:val="top"/>
            <w:vMerge w:val="restart"/>
            <w:tcBorders>
              <w:bottom w:val="nil"/>
            </w:tcBorders>
          </w:tcPr>
          <w:p>
            <w:pPr>
              <w:spacing w:line="44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25" w:type="dxa"/>
            <w:vAlign w:val="top"/>
            <w:vMerge w:val="restart"/>
            <w:tcBorders>
              <w:bottom w:val="nil"/>
            </w:tcBorders>
          </w:tcPr>
          <w:p>
            <w:pPr>
              <w:spacing w:line="295" w:lineRule="auto"/>
              <w:rPr>
                <w:rFonts w:ascii="Arial"/>
                <w:sz w:val="21"/>
              </w:rPr>
            </w:pPr>
            <w:r/>
          </w:p>
          <w:p>
            <w:pPr>
              <w:ind w:left="804" w:right="191"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53" w:type="dxa"/>
            <w:vAlign w:val="top"/>
            <w:vMerge w:val="restart"/>
            <w:tcBorders>
              <w:bottom w:val="nil"/>
            </w:tcBorders>
          </w:tcPr>
          <w:p>
            <w:pPr>
              <w:spacing w:line="448" w:lineRule="auto"/>
              <w:rPr>
                <w:rFonts w:ascii="Arial"/>
                <w:sz w:val="21"/>
              </w:rPr>
            </w:pPr>
            <w:r/>
          </w:p>
          <w:p>
            <w:pPr>
              <w:ind w:left="31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16" w:type="dxa"/>
            <w:vAlign w:val="top"/>
          </w:tcPr>
          <w:p>
            <w:pPr>
              <w:ind w:left="122"/>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3" w:type="dxa"/>
            <w:vAlign w:val="top"/>
          </w:tcPr>
          <w:p>
            <w:pPr>
              <w:ind w:left="474"/>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416"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3" w:type="dxa"/>
            <w:vAlign w:val="top"/>
          </w:tcPr>
          <w:p>
            <w:pPr>
              <w:ind w:left="41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416" w:type="dxa"/>
            <w:vAlign w:val="top"/>
          </w:tcPr>
          <w:p>
            <w:pPr>
              <w:ind w:left="12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3" w:type="dxa"/>
            <w:vAlign w:val="top"/>
          </w:tcPr>
          <w:p>
            <w:pPr>
              <w:ind w:left="41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416"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3" w:type="dxa"/>
            <w:vAlign w:val="top"/>
          </w:tcPr>
          <w:p>
            <w:pPr>
              <w:ind w:left="41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2"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25" w:type="dxa"/>
            <w:vAlign w:val="top"/>
            <w:vMerge w:val="restart"/>
            <w:tcBorders>
              <w:bottom w:val="nil"/>
            </w:tcBorders>
          </w:tcPr>
          <w:p>
            <w:pPr>
              <w:spacing w:line="443" w:lineRule="auto"/>
              <w:rPr>
                <w:rFonts w:ascii="Arial"/>
                <w:sz w:val="21"/>
              </w:rPr>
            </w:pPr>
            <w:r/>
          </w:p>
          <w:p>
            <w:pPr>
              <w:ind w:left="230"/>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53" w:type="dxa"/>
            <w:vAlign w:val="top"/>
            <w:vMerge w:val="restart"/>
            <w:tcBorders>
              <w:bottom w:val="nil"/>
            </w:tcBorders>
          </w:tcPr>
          <w:p>
            <w:pPr>
              <w:spacing w:line="442" w:lineRule="auto"/>
              <w:rPr>
                <w:rFonts w:ascii="Arial"/>
                <w:sz w:val="21"/>
              </w:rPr>
            </w:pPr>
            <w:r/>
          </w:p>
          <w:p>
            <w:pPr>
              <w:ind w:left="31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16"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53" w:type="dxa"/>
            <w:vAlign w:val="top"/>
          </w:tcPr>
          <w:p>
            <w:pPr>
              <w:ind w:left="47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416" w:type="dxa"/>
            <w:vAlign w:val="top"/>
          </w:tcPr>
          <w:p>
            <w:pPr>
              <w:ind w:left="130" w:right="185" w:hanging="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153" w:type="dxa"/>
            <w:vAlign w:val="top"/>
          </w:tcPr>
          <w:p>
            <w:pPr>
              <w:ind w:left="297"/>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416"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3" w:type="dxa"/>
            <w:vAlign w:val="top"/>
          </w:tcPr>
          <w:p>
            <w:pPr>
              <w:ind w:left="2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4" w:right="12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25" w:type="dxa"/>
            <w:vAlign w:val="top"/>
            <w:vMerge w:val="restart"/>
            <w:tcBorders>
              <w:bottom w:val="nil"/>
            </w:tcBorders>
          </w:tcPr>
          <w:p>
            <w:pPr>
              <w:ind w:left="674" w:right="191"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53" w:type="dxa"/>
            <w:vAlign w:val="top"/>
            <w:vMerge w:val="restart"/>
            <w:tcBorders>
              <w:bottom w:val="nil"/>
            </w:tcBorders>
          </w:tcPr>
          <w:p>
            <w:pPr>
              <w:ind w:left="248"/>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16"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3" w:type="dxa"/>
            <w:vAlign w:val="top"/>
          </w:tcPr>
          <w:p>
            <w:pPr>
              <w:ind w:left="2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416"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3" w:type="dxa"/>
            <w:vAlign w:val="top"/>
          </w:tcPr>
          <w:p>
            <w:pPr>
              <w:ind w:left="47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39" w:hRule="atLeast"/>
        </w:trPr>
        <w:tc>
          <w:tcPr>
            <w:tcW w:w="1215" w:type="dxa"/>
            <w:vAlign w:val="top"/>
            <w:vMerge w:val="restart"/>
            <w:tcBorders>
              <w:bottom w:val="nil"/>
            </w:tcBorders>
          </w:tcPr>
          <w:p>
            <w:pPr>
              <w:ind w:left="126" w:right="125" w:firstLine="9"/>
              <w:spacing w:before="42"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25" w:type="dxa"/>
            <w:vAlign w:val="top"/>
            <w:vMerge w:val="restart"/>
            <w:tcBorders>
              <w:bottom w:val="nil"/>
            </w:tcBorders>
          </w:tcPr>
          <w:p>
            <w:pPr>
              <w:ind w:left="194"/>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0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0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53" w:type="dxa"/>
            <w:vAlign w:val="top"/>
            <w:vMerge w:val="restart"/>
            <w:tcBorders>
              <w:bottom w:val="nil"/>
            </w:tcBorders>
          </w:tcPr>
          <w:p>
            <w:pPr>
              <w:spacing w:line="278" w:lineRule="auto"/>
              <w:rPr>
                <w:rFonts w:ascii="Arial"/>
                <w:sz w:val="21"/>
              </w:rPr>
            </w:pPr>
            <w:r/>
          </w:p>
          <w:p>
            <w:pPr>
              <w:ind w:left="31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16" w:type="dxa"/>
            <w:vAlign w:val="top"/>
          </w:tcPr>
          <w:p>
            <w:pPr>
              <w:ind w:left="118"/>
              <w:spacing w:before="15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3" w:type="dxa"/>
            <w:vAlign w:val="top"/>
          </w:tcPr>
          <w:p>
            <w:pPr>
              <w:ind w:left="251"/>
              <w:spacing w:before="15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0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416" w:type="dxa"/>
            <w:vAlign w:val="top"/>
          </w:tcPr>
          <w:p>
            <w:pPr>
              <w:ind w:left="115"/>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153" w:type="dxa"/>
            <w:vAlign w:val="top"/>
          </w:tcPr>
          <w:p>
            <w:pPr>
              <w:ind w:left="479"/>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96"/>
          <w:pgSz w:w="11905" w:h="16839"/>
          <w:pgMar w:top="1431" w:right="1669" w:bottom="1156" w:left="1668" w:header="0" w:footer="994" w:gutter="0"/>
        </w:sectPr>
        <w:rPr/>
      </w:pPr>
    </w:p>
    <w:p>
      <w:pPr>
        <w:spacing w:before="92"/>
        <w:rPr/>
      </w:pPr>
      <w:r/>
    </w:p>
    <w:p>
      <w:pPr>
        <w:spacing w:before="91"/>
        <w:rPr/>
      </w:pPr>
      <w:r/>
    </w:p>
    <w:tbl>
      <w:tblPr>
        <w:tblStyle w:val="TableNormal"/>
        <w:tblW w:w="84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79"/>
        <w:gridCol w:w="974"/>
        <w:gridCol w:w="3201"/>
        <w:gridCol w:w="1194"/>
      </w:tblGrid>
      <w:tr>
        <w:trPr>
          <w:trHeight w:val="720" w:hRule="atLeast"/>
        </w:trPr>
        <w:tc>
          <w:tcPr>
            <w:tcW w:w="8463" w:type="dxa"/>
            <w:vAlign w:val="top"/>
            <w:gridSpan w:val="5"/>
          </w:tcPr>
          <w:p>
            <w:pPr>
              <w:ind w:left="229"/>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48" w:type="dxa"/>
            <w:vAlign w:val="top"/>
            <w:gridSpan w:val="4"/>
          </w:tcPr>
          <w:p>
            <w:pPr>
              <w:ind w:left="3516"/>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40</w:t>
            </w:r>
          </w:p>
        </w:tc>
      </w:tr>
      <w:tr>
        <w:trPr>
          <w:trHeight w:val="980" w:hRule="atLeast"/>
        </w:trPr>
        <w:tc>
          <w:tcPr>
            <w:tcW w:w="1215" w:type="dxa"/>
            <w:vAlign w:val="top"/>
          </w:tcPr>
          <w:p>
            <w:pPr>
              <w:spacing w:line="257" w:lineRule="auto"/>
              <w:rPr>
                <w:rFonts w:ascii="Arial"/>
                <w:sz w:val="21"/>
              </w:rPr>
            </w:pPr>
            <w:r/>
          </w:p>
          <w:p>
            <w:pPr>
              <w:ind w:left="5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48" w:type="dxa"/>
            <w:vAlign w:val="top"/>
            <w:gridSpan w:val="4"/>
          </w:tcPr>
          <w:p>
            <w:pPr>
              <w:ind w:left="22" w:right="31" w:hanging="2"/>
              <w:spacing w:before="53"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产生含挥发性有机物废气的生产和服务活动</w:t>
            </w:r>
            <w:r>
              <w:rPr>
                <w:rFonts w:ascii="FangSong_GB2312" w:hAnsi="FangSong_GB2312" w:eastAsia="FangSong_GB2312" w:cs="FangSong_GB2312"/>
                <w:sz w:val="24"/>
                <w:szCs w:val="24"/>
                <w:spacing w:val="-1"/>
              </w:rPr>
              <w:t>，未在密闭空间或者设备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中进行，未按照规定安装、使用污染防治设施，或者未采取减少废气</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排放措施的</w:t>
            </w:r>
          </w:p>
        </w:tc>
      </w:tr>
      <w:tr>
        <w:trPr>
          <w:trHeight w:val="9481" w:hRule="atLeast"/>
        </w:trPr>
        <w:tc>
          <w:tcPr>
            <w:tcW w:w="1215"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65"/>
              <w:spacing w:before="92"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48"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37" w:right="14" w:hanging="5"/>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第四十五条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产生含挥发性有机物废气的生产和服务活动，应当在密闭</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空间或者设备中进行，并按照规定安装、使用污染防治设施；无法密</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闭的，应当采取措施减少废气排放。</w:t>
            </w:r>
          </w:p>
          <w:p>
            <w:pPr>
              <w:spacing w:line="270"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2" w:right="14" w:firstLine="10"/>
              <w:spacing w:before="38"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第一百零八条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违反本法规定，有下列行为之一的，由县级以上人民政</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府生态环境主管部门责令改正，处二万元以上二十万元以下的罚款；</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拒不改正的，责令停产整治：</w:t>
            </w:r>
          </w:p>
          <w:p>
            <w:pPr>
              <w:ind w:left="20" w:right="31" w:hanging="4"/>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（一）产生含挥发性有机物废气的生产和服务活动，</w:t>
            </w:r>
            <w:r>
              <w:rPr>
                <w:rFonts w:ascii="FangSong_GB2312" w:hAnsi="FangSong_GB2312" w:eastAsia="FangSong_GB2312" w:cs="FangSong_GB2312"/>
                <w:sz w:val="24"/>
                <w:szCs w:val="24"/>
                <w:spacing w:val="-1"/>
              </w:rPr>
              <w:t>未在密闭空间或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者设备中进行，未按照规定安装、使用污染</w:t>
            </w:r>
            <w:r>
              <w:rPr>
                <w:rFonts w:ascii="FangSong_GB2312" w:hAnsi="FangSong_GB2312" w:eastAsia="FangSong_GB2312" w:cs="FangSong_GB2312"/>
                <w:sz w:val="24"/>
                <w:szCs w:val="24"/>
                <w:spacing w:val="-1"/>
              </w:rPr>
              <w:t>防治设施，或者未采取减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少废气排放措施的；</w:t>
            </w:r>
          </w:p>
          <w:p>
            <w:pPr>
              <w:spacing w:line="270" w:lineRule="auto"/>
              <w:rPr>
                <w:rFonts w:ascii="Arial"/>
                <w:sz w:val="21"/>
              </w:rPr>
            </w:pPr>
            <w:r/>
          </w:p>
          <w:p>
            <w:pPr>
              <w:ind w:left="3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5" w:right="29" w:firstLine="7"/>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违反本条例规定，有下列行为之一的，由县级以上</w:t>
            </w:r>
            <w:r>
              <w:rPr>
                <w:rFonts w:ascii="FangSong_GB2312" w:hAnsi="FangSong_GB2312" w:eastAsia="FangSong_GB2312" w:cs="FangSong_GB2312"/>
                <w:sz w:val="24"/>
                <w:szCs w:val="24"/>
                <w:spacing w:val="-2"/>
              </w:rPr>
              <w:t>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政府环境保护主管部门责令改正，处二万元以上五万元以下罚款；情</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节较重的，处五万元以上十万元以下罚款；情节严重的，处十万元以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上二十万元以下罚款；拒不改正的，责令停产整治或者报经有批准权</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的人民政府批准，责令停业、关闭：</w:t>
            </w:r>
          </w:p>
          <w:p>
            <w:pPr>
              <w:ind w:left="20" w:right="31" w:hanging="4"/>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（一）产生含挥发性有机物废气的生产和服务活动，</w:t>
            </w:r>
            <w:r>
              <w:rPr>
                <w:rFonts w:ascii="FangSong_GB2312" w:hAnsi="FangSong_GB2312" w:eastAsia="FangSong_GB2312" w:cs="FangSong_GB2312"/>
                <w:sz w:val="24"/>
                <w:szCs w:val="24"/>
                <w:spacing w:val="-1"/>
              </w:rPr>
              <w:t>未在密闭空间或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者设备中进行，未按照规定安装、使用污染</w:t>
            </w:r>
            <w:r>
              <w:rPr>
                <w:rFonts w:ascii="FangSong_GB2312" w:hAnsi="FangSong_GB2312" w:eastAsia="FangSong_GB2312" w:cs="FangSong_GB2312"/>
                <w:sz w:val="24"/>
                <w:szCs w:val="24"/>
                <w:spacing w:val="-1"/>
              </w:rPr>
              <w:t>防治设施，或者未采取减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少废气排放措施的；</w:t>
            </w:r>
          </w:p>
          <w:p>
            <w:pPr>
              <w:spacing w:line="273" w:lineRule="auto"/>
              <w:rPr>
                <w:rFonts w:ascii="Arial"/>
                <w:sz w:val="21"/>
              </w:rPr>
            </w:pPr>
            <w:r/>
          </w:p>
          <w:p>
            <w:pPr>
              <w:ind w:left="29"/>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.《河北省生态环境保护条例》</w:t>
            </w:r>
          </w:p>
          <w:p>
            <w:pPr>
              <w:ind w:left="20" w:right="29" w:firstLine="12"/>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违反本条例规定，企业事业单位和其他生产经营者有下列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行为之一的，受到罚款处罚，被责令改正拒</w:t>
            </w:r>
            <w:r>
              <w:rPr>
                <w:rFonts w:ascii="FangSong_GB2312" w:hAnsi="FangSong_GB2312" w:eastAsia="FangSong_GB2312" w:cs="FangSong_GB2312"/>
                <w:sz w:val="24"/>
                <w:szCs w:val="24"/>
                <w:spacing w:val="-1"/>
              </w:rPr>
              <w:t>不改正的，依法作出处罚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决定的行政主管部门可以自责令改正之日的</w:t>
            </w:r>
            <w:r>
              <w:rPr>
                <w:rFonts w:ascii="FangSong_GB2312" w:hAnsi="FangSong_GB2312" w:eastAsia="FangSong_GB2312" w:cs="FangSong_GB2312"/>
                <w:sz w:val="24"/>
                <w:szCs w:val="24"/>
                <w:spacing w:val="-1"/>
              </w:rPr>
              <w:t>次日起，按照原处罚数额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按日连续处罚：</w:t>
            </w:r>
          </w:p>
          <w:p>
            <w:pPr>
              <w:ind w:left="23" w:right="31" w:hanging="7"/>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（三）未按照国家和本省的要求建设、安装、使用防治</w:t>
            </w:r>
            <w:r>
              <w:rPr>
                <w:rFonts w:ascii="FangSong_GB2312" w:hAnsi="FangSong_GB2312" w:eastAsia="FangSong_GB2312" w:cs="FangSong_GB2312"/>
                <w:sz w:val="24"/>
                <w:szCs w:val="24"/>
                <w:spacing w:val="-1"/>
              </w:rPr>
              <w:t>污染设施直接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排放污染物的；</w:t>
            </w:r>
          </w:p>
        </w:tc>
      </w:tr>
      <w:tr>
        <w:trPr>
          <w:trHeight w:val="635" w:hRule="atLeast"/>
        </w:trPr>
        <w:tc>
          <w:tcPr>
            <w:tcW w:w="4068" w:type="dxa"/>
            <w:vAlign w:val="top"/>
            <w:gridSpan w:val="3"/>
          </w:tcPr>
          <w:p>
            <w:pPr>
              <w:ind w:left="148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95" w:type="dxa"/>
            <w:vAlign w:val="top"/>
            <w:gridSpan w:val="2"/>
          </w:tcPr>
          <w:p>
            <w:pPr>
              <w:ind w:left="1655"/>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7" w:hRule="atLeast"/>
        </w:trPr>
        <w:tc>
          <w:tcPr>
            <w:tcW w:w="1215" w:type="dxa"/>
            <w:vAlign w:val="top"/>
          </w:tcPr>
          <w:p>
            <w:pPr>
              <w:ind w:left="381"/>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79" w:type="dxa"/>
            <w:vAlign w:val="top"/>
          </w:tcPr>
          <w:p>
            <w:pPr>
              <w:ind w:left="509"/>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74" w:type="dxa"/>
            <w:vAlign w:val="top"/>
          </w:tcPr>
          <w:p>
            <w:pPr>
              <w:ind w:left="304" w:right="263" w:hanging="32"/>
              <w:spacing w:before="52"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94" w:type="dxa"/>
            <w:vAlign w:val="top"/>
          </w:tcPr>
          <w:p>
            <w:pPr>
              <w:ind w:left="280"/>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bl>
    <w:p>
      <w:pPr>
        <w:pStyle w:val="BodyText"/>
        <w:rPr/>
      </w:pPr>
      <w:r/>
    </w:p>
    <w:p>
      <w:pPr>
        <w:sectPr>
          <w:footerReference w:type="default" r:id="rId97"/>
          <w:pgSz w:w="11905" w:h="16839"/>
          <w:pgMar w:top="1431" w:right="1718" w:bottom="1156" w:left="1718" w:header="0" w:footer="994" w:gutter="0"/>
        </w:sectPr>
        <w:rPr/>
      </w:pPr>
    </w:p>
    <w:p>
      <w:pPr>
        <w:spacing w:before="92"/>
        <w:rPr/>
      </w:pPr>
      <w:r/>
    </w:p>
    <w:p>
      <w:pPr>
        <w:spacing w:before="91"/>
        <w:rPr/>
      </w:pPr>
      <w:r/>
    </w:p>
    <w:tbl>
      <w:tblPr>
        <w:tblStyle w:val="TableNormal"/>
        <w:tblW w:w="84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79"/>
        <w:gridCol w:w="974"/>
        <w:gridCol w:w="3201"/>
        <w:gridCol w:w="1194"/>
      </w:tblGrid>
      <w:tr>
        <w:trPr>
          <w:trHeight w:val="1269" w:hRule="atLeast"/>
        </w:trPr>
        <w:tc>
          <w:tcPr>
            <w:tcW w:w="1215"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left="261" w:right="125"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79"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2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74"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right="210" w:firstLine="40"/>
              <w:spacing w:before="42"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已在密闭空间或者设备中进</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行，以及已采取减少废气排</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放措施，但污染防治设施不</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能达到治理效果的</w:t>
            </w:r>
          </w:p>
        </w:tc>
        <w:tc>
          <w:tcPr>
            <w:tcW w:w="1194" w:type="dxa"/>
            <w:vAlign w:val="top"/>
          </w:tcPr>
          <w:p>
            <w:pPr>
              <w:spacing w:line="434" w:lineRule="auto"/>
              <w:rPr>
                <w:rFonts w:ascii="Arial"/>
                <w:sz w:val="21"/>
              </w:rPr>
            </w:pPr>
            <w:r/>
          </w:p>
          <w:p>
            <w:pPr>
              <w:ind w:left="26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264"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14" w:right="210" w:firstLine="40"/>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已按照规定安装、使用污染</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防治设施，未在密闭空间或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者设备中进行或者未采取减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少废气排放措施的</w:t>
            </w:r>
          </w:p>
        </w:tc>
        <w:tc>
          <w:tcPr>
            <w:tcW w:w="1194" w:type="dxa"/>
            <w:vAlign w:val="top"/>
          </w:tcPr>
          <w:p>
            <w:pPr>
              <w:spacing w:line="430" w:lineRule="auto"/>
              <w:rPr>
                <w:rFonts w:ascii="Arial"/>
                <w:sz w:val="21"/>
              </w:rPr>
            </w:pPr>
            <w:r/>
          </w:p>
          <w:p>
            <w:pPr>
              <w:ind w:left="20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14" w:right="210" w:firstLine="40"/>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已在密闭空间或者设备中进</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行，但未按照规定安装、使</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用污染防治设施的</w:t>
            </w:r>
          </w:p>
        </w:tc>
        <w:tc>
          <w:tcPr>
            <w:tcW w:w="1194" w:type="dxa"/>
            <w:vAlign w:val="top"/>
          </w:tcPr>
          <w:p>
            <w:pPr>
              <w:spacing w:line="275" w:lineRule="auto"/>
              <w:rPr>
                <w:rFonts w:ascii="Arial"/>
                <w:sz w:val="21"/>
              </w:rPr>
            </w:pPr>
            <w:r/>
          </w:p>
          <w:p>
            <w:pPr>
              <w:ind w:left="19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949"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14" w:right="210"/>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未在密闭空间或者设备中进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行且未按照规定安装、使用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污染防治设施的</w:t>
            </w:r>
          </w:p>
        </w:tc>
        <w:tc>
          <w:tcPr>
            <w:tcW w:w="1194" w:type="dxa"/>
            <w:vAlign w:val="top"/>
          </w:tcPr>
          <w:p>
            <w:pPr>
              <w:spacing w:line="276" w:lineRule="auto"/>
              <w:rPr>
                <w:rFonts w:ascii="Arial"/>
                <w:sz w:val="21"/>
              </w:rPr>
            </w:pPr>
            <w:r/>
          </w:p>
          <w:p>
            <w:pPr>
              <w:ind w:left="20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79" w:type="dxa"/>
            <w:vAlign w:val="top"/>
            <w:vMerge w:val="restart"/>
            <w:tcBorders>
              <w:bottom w:val="nil"/>
            </w:tcBorders>
          </w:tcPr>
          <w:p>
            <w:pPr>
              <w:spacing w:line="291" w:lineRule="auto"/>
              <w:rPr>
                <w:rFonts w:ascii="Arial"/>
                <w:sz w:val="21"/>
              </w:rPr>
            </w:pPr>
            <w:r/>
          </w:p>
          <w:p>
            <w:pPr>
              <w:ind w:left="830" w:right="218"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74" w:type="dxa"/>
            <w:vAlign w:val="top"/>
            <w:vMerge w:val="restart"/>
            <w:tcBorders>
              <w:bottom w:val="nil"/>
            </w:tcBorders>
          </w:tcPr>
          <w:p>
            <w:pPr>
              <w:spacing w:line="449" w:lineRule="auto"/>
              <w:rPr>
                <w:rFonts w:ascii="Arial"/>
                <w:sz w:val="21"/>
              </w:rPr>
            </w:pPr>
            <w:r/>
          </w:p>
          <w:p>
            <w:pPr>
              <w:ind w:left="3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94" w:type="dxa"/>
            <w:vAlign w:val="top"/>
          </w:tcPr>
          <w:p>
            <w:pPr>
              <w:ind w:left="4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94" w:type="dxa"/>
            <w:vAlign w:val="top"/>
          </w:tcPr>
          <w:p>
            <w:pPr>
              <w:ind w:left="44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94" w:type="dxa"/>
            <w:vAlign w:val="top"/>
          </w:tcPr>
          <w:p>
            <w:pPr>
              <w:ind w:left="4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94" w:type="dxa"/>
            <w:vAlign w:val="top"/>
          </w:tcPr>
          <w:p>
            <w:pPr>
              <w:ind w:left="43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3"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79" w:type="dxa"/>
            <w:vAlign w:val="top"/>
            <w:vMerge w:val="restart"/>
            <w:tcBorders>
              <w:bottom w:val="nil"/>
            </w:tcBorders>
          </w:tcPr>
          <w:p>
            <w:pPr>
              <w:spacing w:line="443" w:lineRule="auto"/>
              <w:rPr>
                <w:rFonts w:ascii="Arial"/>
                <w:sz w:val="21"/>
              </w:rPr>
            </w:pPr>
            <w:r/>
          </w:p>
          <w:p>
            <w:pPr>
              <w:ind w:left="22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74" w:type="dxa"/>
            <w:vAlign w:val="top"/>
            <w:vMerge w:val="restart"/>
            <w:tcBorders>
              <w:bottom w:val="nil"/>
            </w:tcBorders>
          </w:tcPr>
          <w:p>
            <w:pPr>
              <w:spacing w:line="443" w:lineRule="auto"/>
              <w:rPr>
                <w:rFonts w:ascii="Arial"/>
                <w:sz w:val="21"/>
              </w:rPr>
            </w:pPr>
            <w:r/>
          </w:p>
          <w:p>
            <w:pPr>
              <w:ind w:left="3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94" w:type="dxa"/>
            <w:vAlign w:val="top"/>
          </w:tcPr>
          <w:p>
            <w:pPr>
              <w:ind w:left="50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22" w:right="210"/>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94" w:type="dxa"/>
            <w:vAlign w:val="top"/>
          </w:tcPr>
          <w:p>
            <w:pPr>
              <w:ind w:left="32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94" w:type="dxa"/>
            <w:vAlign w:val="top"/>
          </w:tcPr>
          <w:p>
            <w:pPr>
              <w:ind w:left="25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4" w:right="12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79" w:type="dxa"/>
            <w:vAlign w:val="top"/>
            <w:vMerge w:val="restart"/>
            <w:tcBorders>
              <w:bottom w:val="nil"/>
            </w:tcBorders>
          </w:tcPr>
          <w:p>
            <w:pPr>
              <w:ind w:left="700" w:right="218"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74" w:type="dxa"/>
            <w:vAlign w:val="top"/>
            <w:vMerge w:val="restart"/>
            <w:tcBorders>
              <w:bottom w:val="nil"/>
            </w:tcBorders>
          </w:tcPr>
          <w:p>
            <w:pPr>
              <w:ind w:left="249"/>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94" w:type="dxa"/>
            <w:vAlign w:val="top"/>
          </w:tcPr>
          <w:p>
            <w:pPr>
              <w:ind w:left="26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94" w:type="dxa"/>
            <w:vAlign w:val="top"/>
          </w:tcPr>
          <w:p>
            <w:pPr>
              <w:ind w:left="50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2" w:hRule="atLeast"/>
        </w:trPr>
        <w:tc>
          <w:tcPr>
            <w:tcW w:w="1215" w:type="dxa"/>
            <w:vAlign w:val="top"/>
            <w:vMerge w:val="restart"/>
            <w:tcBorders>
              <w:bottom w:val="nil"/>
            </w:tcBorders>
          </w:tcPr>
          <w:p>
            <w:pPr>
              <w:ind w:left="127" w:right="125" w:firstLine="9"/>
              <w:spacing w:before="90"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79" w:type="dxa"/>
            <w:vAlign w:val="top"/>
            <w:vMerge w:val="restart"/>
            <w:tcBorders>
              <w:bottom w:val="nil"/>
            </w:tcBorders>
          </w:tcPr>
          <w:p>
            <w:pPr>
              <w:ind w:left="220"/>
              <w:spacing w:before="8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2"/>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2"/>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74" w:type="dxa"/>
            <w:vAlign w:val="top"/>
            <w:vMerge w:val="restart"/>
            <w:tcBorders>
              <w:bottom w:val="nil"/>
            </w:tcBorders>
          </w:tcPr>
          <w:p>
            <w:pPr>
              <w:spacing w:line="324" w:lineRule="auto"/>
              <w:rPr>
                <w:rFonts w:ascii="Arial"/>
                <w:sz w:val="21"/>
              </w:rPr>
            </w:pPr>
            <w:r/>
          </w:p>
          <w:p>
            <w:pPr>
              <w:ind w:left="3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94" w:type="dxa"/>
            <w:vAlign w:val="top"/>
          </w:tcPr>
          <w:p>
            <w:pPr>
              <w:ind w:left="253"/>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34" w:right="210"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94" w:type="dxa"/>
            <w:vAlign w:val="top"/>
          </w:tcPr>
          <w:p>
            <w:pPr>
              <w:ind w:left="50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98"/>
          <w:pgSz w:w="11905" w:h="16839"/>
          <w:pgMar w:top="1431" w:right="1718" w:bottom="1156" w:left="1718" w:header="0" w:footer="994" w:gutter="0"/>
        </w:sectPr>
        <w:rPr/>
      </w:pPr>
    </w:p>
    <w:p>
      <w:pPr>
        <w:spacing w:before="92"/>
        <w:rPr/>
      </w:pPr>
      <w:r/>
    </w:p>
    <w:p>
      <w:pPr>
        <w:spacing w:before="91"/>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061"/>
        <w:gridCol w:w="792"/>
        <w:gridCol w:w="3201"/>
        <w:gridCol w:w="1178"/>
      </w:tblGrid>
      <w:tr>
        <w:trPr>
          <w:trHeight w:val="720" w:hRule="atLeast"/>
        </w:trPr>
        <w:tc>
          <w:tcPr>
            <w:tcW w:w="8447" w:type="dxa"/>
            <w:vAlign w:val="top"/>
            <w:gridSpan w:val="5"/>
          </w:tcPr>
          <w:p>
            <w:pPr>
              <w:ind w:left="221"/>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32" w:type="dxa"/>
            <w:vAlign w:val="top"/>
            <w:gridSpan w:val="4"/>
          </w:tcPr>
          <w:p>
            <w:pPr>
              <w:ind w:left="3508"/>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41</w:t>
            </w:r>
          </w:p>
        </w:tc>
      </w:tr>
      <w:tr>
        <w:trPr>
          <w:trHeight w:val="715" w:hRule="atLeast"/>
        </w:trPr>
        <w:tc>
          <w:tcPr>
            <w:tcW w:w="1215" w:type="dxa"/>
            <w:vAlign w:val="top"/>
          </w:tcPr>
          <w:p>
            <w:pPr>
              <w:ind w:left="56"/>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32" w:type="dxa"/>
            <w:vAlign w:val="top"/>
            <w:gridSpan w:val="4"/>
          </w:tcPr>
          <w:p>
            <w:pPr>
              <w:ind w:left="39" w:right="16" w:hanging="14"/>
              <w:spacing w:before="8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工业涂装企业未使用低挥发性有机物含量涂料或者未建立、保存台账</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rPr>
              <w:t>的</w:t>
            </w:r>
          </w:p>
        </w:tc>
      </w:tr>
      <w:tr>
        <w:trPr>
          <w:trHeight w:val="6332" w:hRule="atLeast"/>
        </w:trPr>
        <w:tc>
          <w:tcPr>
            <w:tcW w:w="1215"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32"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8" w:right="16" w:firstLine="14"/>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工业涂装企业应当使用低挥发性有机物含量的涂料，并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建立台账，记录生产原料、辅料的使用量、废弃</w:t>
            </w:r>
            <w:r>
              <w:rPr>
                <w:rFonts w:ascii="FangSong_GB2312" w:hAnsi="FangSong_GB2312" w:eastAsia="FangSong_GB2312" w:cs="FangSong_GB2312"/>
                <w:sz w:val="24"/>
                <w:szCs w:val="24"/>
                <w:spacing w:val="-1"/>
              </w:rPr>
              <w:t>量、去向以及挥发性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有机物含量。台账保存期限不得少于三年。</w:t>
            </w:r>
          </w:p>
          <w:p>
            <w:pPr>
              <w:spacing w:line="269" w:lineRule="auto"/>
              <w:rPr>
                <w:rFonts w:ascii="Arial"/>
                <w:sz w:val="21"/>
              </w:rPr>
            </w:pPr>
            <w:r/>
          </w:p>
          <w:p>
            <w:pPr>
              <w:ind w:left="2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4" w:firstLine="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第一百零八条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违反本法规定，有下列行为</w:t>
            </w:r>
            <w:r>
              <w:rPr>
                <w:rFonts w:ascii="FangSong_GB2312" w:hAnsi="FangSong_GB2312" w:eastAsia="FangSong_GB2312" w:cs="FangSong_GB2312"/>
                <w:sz w:val="24"/>
                <w:szCs w:val="24"/>
                <w:spacing w:val="-3"/>
              </w:rPr>
              <w:t>之一的，由县级以上人民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政府生态环境主管部门责令改正，处二万元以上二十万元以下的罚款；</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3"/>
              </w:rPr>
              <w:t>拒不改正的，责令停产整治：</w:t>
            </w:r>
          </w:p>
          <w:p>
            <w:pPr>
              <w:ind w:left="16" w:right="16" w:hanging="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（二）工业涂装企业未使用低挥发性有机物含量涂料</w:t>
            </w:r>
            <w:r>
              <w:rPr>
                <w:rFonts w:ascii="FangSong_GB2312" w:hAnsi="FangSong_GB2312" w:eastAsia="FangSong_GB2312" w:cs="FangSong_GB2312"/>
                <w:sz w:val="24"/>
                <w:szCs w:val="24"/>
                <w:spacing w:val="-1"/>
              </w:rPr>
              <w:t>或者未建立、保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存台账的；</w:t>
            </w:r>
          </w:p>
          <w:p>
            <w:pPr>
              <w:spacing w:line="272" w:lineRule="auto"/>
              <w:rPr>
                <w:rFonts w:ascii="Arial"/>
                <w:sz w:val="21"/>
              </w:rPr>
            </w:pPr>
            <w:r/>
          </w:p>
          <w:p>
            <w:pPr>
              <w:ind w:left="3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4" w:right="14" w:firstLine="7"/>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违反本条例规定，有下列行为之一的，由县级以上</w:t>
            </w:r>
            <w:r>
              <w:rPr>
                <w:rFonts w:ascii="FangSong_GB2312" w:hAnsi="FangSong_GB2312" w:eastAsia="FangSong_GB2312" w:cs="FangSong_GB2312"/>
                <w:sz w:val="24"/>
                <w:szCs w:val="24"/>
                <w:spacing w:val="-2"/>
              </w:rPr>
              <w:t>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政府环境保护主管部门责令改正，处二万元以上五万元以下罚款；情</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节较重的，处五万元以上十万元以下罚款；情节严重的，处十万元以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上二十万元以下罚款；拒不改正的，责令停产整治或者报经有批准权</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的人民政府批准，责令停业、关闭：</w:t>
            </w:r>
          </w:p>
          <w:p>
            <w:pPr>
              <w:ind w:left="16" w:right="16" w:hanging="1"/>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（四）工业涂装企业未使用低挥发性有机物含量涂料</w:t>
            </w:r>
            <w:r>
              <w:rPr>
                <w:rFonts w:ascii="FangSong_GB2312" w:hAnsi="FangSong_GB2312" w:eastAsia="FangSong_GB2312" w:cs="FangSong_GB2312"/>
                <w:sz w:val="24"/>
                <w:szCs w:val="24"/>
                <w:spacing w:val="-1"/>
              </w:rPr>
              <w:t>或者未建立、保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存台账的；</w:t>
            </w:r>
          </w:p>
        </w:tc>
      </w:tr>
      <w:tr>
        <w:trPr>
          <w:trHeight w:val="635" w:hRule="atLeast"/>
        </w:trPr>
        <w:tc>
          <w:tcPr>
            <w:tcW w:w="4068" w:type="dxa"/>
            <w:vAlign w:val="top"/>
            <w:gridSpan w:val="3"/>
          </w:tcPr>
          <w:p>
            <w:pPr>
              <w:ind w:left="148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9" w:type="dxa"/>
            <w:vAlign w:val="top"/>
            <w:gridSpan w:val="2"/>
          </w:tcPr>
          <w:p>
            <w:pPr>
              <w:ind w:left="164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61" w:type="dxa"/>
            <w:vAlign w:val="top"/>
          </w:tcPr>
          <w:p>
            <w:pPr>
              <w:ind w:left="599"/>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8" w:type="dxa"/>
            <w:vAlign w:val="top"/>
          </w:tcPr>
          <w:p>
            <w:pPr>
              <w:ind w:left="269"/>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283" w:lineRule="auto"/>
              <w:rPr>
                <w:rFonts w:ascii="Arial"/>
                <w:sz w:val="21"/>
              </w:rPr>
            </w:pPr>
            <w:r/>
          </w:p>
          <w:p>
            <w:pPr>
              <w:ind w:left="260" w:right="126"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61" w:type="dxa"/>
            <w:vAlign w:val="top"/>
            <w:vMerge w:val="restart"/>
            <w:tcBorders>
              <w:bottom w:val="nil"/>
            </w:tcBorders>
          </w:tcPr>
          <w:p>
            <w:pPr>
              <w:spacing w:line="439" w:lineRule="auto"/>
              <w:rPr>
                <w:rFonts w:ascii="Arial"/>
                <w:sz w:val="21"/>
              </w:rPr>
            </w:pPr>
            <w:r/>
          </w:p>
          <w:p>
            <w:pPr>
              <w:ind w:left="318"/>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3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9" w:right="211" w:firstLine="3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已使用低挥发性有机物含量</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涂料但未建立、保存台账的</w:t>
            </w:r>
          </w:p>
        </w:tc>
        <w:tc>
          <w:tcPr>
            <w:tcW w:w="1178" w:type="dxa"/>
            <w:vAlign w:val="top"/>
          </w:tcPr>
          <w:p>
            <w:pPr>
              <w:ind w:left="24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9" w:right="211"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未使用低挥发性有机物含量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涂料的</w:t>
            </w:r>
          </w:p>
        </w:tc>
        <w:tc>
          <w:tcPr>
            <w:tcW w:w="1178" w:type="dxa"/>
            <w:vAlign w:val="top"/>
          </w:tcPr>
          <w:p>
            <w:pPr>
              <w:ind w:left="18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50"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61" w:type="dxa"/>
            <w:vAlign w:val="top"/>
            <w:vMerge w:val="restart"/>
            <w:tcBorders>
              <w:bottom w:val="nil"/>
            </w:tcBorders>
          </w:tcPr>
          <w:p>
            <w:pPr>
              <w:spacing w:line="465" w:lineRule="auto"/>
              <w:rPr>
                <w:rFonts w:ascii="Arial"/>
                <w:sz w:val="21"/>
              </w:rPr>
            </w:pPr>
            <w:r/>
          </w:p>
          <w:p>
            <w:pPr>
              <w:ind w:left="280"/>
              <w:spacing w:before="7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一年内违法次数</w:t>
            </w:r>
          </w:p>
        </w:tc>
        <w:tc>
          <w:tcPr>
            <w:tcW w:w="792" w:type="dxa"/>
            <w:vAlign w:val="top"/>
            <w:vMerge w:val="restart"/>
            <w:tcBorders>
              <w:bottom w:val="nil"/>
            </w:tcBorders>
          </w:tcPr>
          <w:p>
            <w:pPr>
              <w:spacing w:line="465" w:lineRule="auto"/>
              <w:rPr>
                <w:rFonts w:ascii="Arial"/>
                <w:sz w:val="21"/>
              </w:rPr>
            </w:pPr>
            <w:r/>
          </w:p>
          <w:p>
            <w:pPr>
              <w:ind w:left="244"/>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8" w:type="dxa"/>
            <w:vAlign w:val="top"/>
          </w:tcPr>
          <w:p>
            <w:pPr>
              <w:ind w:left="49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8" w:type="dxa"/>
            <w:vAlign w:val="top"/>
          </w:tcPr>
          <w:p>
            <w:pPr>
              <w:ind w:left="437"/>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215" w:type="dxa"/>
            <w:vAlign w:val="top"/>
            <w:vMerge w:val="restart"/>
            <w:tcBorders>
              <w:bottom w:val="nil"/>
            </w:tcBorders>
          </w:tcPr>
          <w:p>
            <w:pPr>
              <w:ind w:left="134"/>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61" w:type="dxa"/>
            <w:vAlign w:val="top"/>
            <w:vMerge w:val="restart"/>
            <w:tcBorders>
              <w:bottom w:val="nil"/>
            </w:tcBorders>
          </w:tcPr>
          <w:p>
            <w:pPr>
              <w:ind w:left="229"/>
              <w:spacing w:before="205"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ind w:left="23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8" w:type="dxa"/>
            <w:vAlign w:val="top"/>
          </w:tcPr>
          <w:p>
            <w:pPr>
              <w:ind w:left="48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178" w:type="dxa"/>
            <w:vAlign w:val="top"/>
          </w:tcPr>
          <w:p>
            <w:pPr>
              <w:ind w:left="30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99"/>
          <w:pgSz w:w="11905" w:h="16839"/>
          <w:pgMar w:top="1431" w:right="1726" w:bottom="1156" w:left="1726" w:header="0" w:footer="994" w:gutter="0"/>
        </w:sectPr>
        <w:rPr/>
      </w:pPr>
    </w:p>
    <w:p>
      <w:pPr>
        <w:spacing w:before="92"/>
        <w:rPr/>
      </w:pPr>
      <w:r/>
    </w:p>
    <w:p>
      <w:pPr>
        <w:spacing w:before="91"/>
        <w:rPr/>
      </w:pPr>
      <w:r/>
    </w:p>
    <w:tbl>
      <w:tblPr>
        <w:tblStyle w:val="TableNormal"/>
        <w:tblW w:w="84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061"/>
        <w:gridCol w:w="792"/>
        <w:gridCol w:w="3201"/>
        <w:gridCol w:w="1172"/>
      </w:tblGrid>
      <w:tr>
        <w:trPr>
          <w:trHeight w:val="324" w:hRule="atLeast"/>
        </w:trPr>
        <w:tc>
          <w:tcPr>
            <w:tcW w:w="1215" w:type="dxa"/>
            <w:vAlign w:val="top"/>
            <w:vMerge w:val="restart"/>
            <w:tcBorders>
              <w:bottom w:val="nil"/>
            </w:tcBorders>
          </w:tcPr>
          <w:p>
            <w:pPr>
              <w:rPr>
                <w:rFonts w:ascii="Arial"/>
                <w:sz w:val="21"/>
              </w:rPr>
            </w:pPr>
            <w:r/>
          </w:p>
        </w:tc>
        <w:tc>
          <w:tcPr>
            <w:tcW w:w="2061"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172" w:type="dxa"/>
            <w:vAlign w:val="top"/>
          </w:tcPr>
          <w:p>
            <w:pPr>
              <w:rPr>
                <w:rFonts w:ascii="Arial"/>
                <w:sz w:val="21"/>
              </w:rPr>
            </w:pPr>
            <w:r/>
          </w:p>
        </w:tc>
      </w:tr>
      <w:tr>
        <w:trPr>
          <w:trHeight w:val="319"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2" w:type="dxa"/>
            <w:vAlign w:val="top"/>
          </w:tcPr>
          <w:p>
            <w:pPr>
              <w:ind w:left="24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215" w:type="dxa"/>
            <w:vAlign w:val="top"/>
            <w:vMerge w:val="restart"/>
            <w:tcBorders>
              <w:bottom w:val="nil"/>
            </w:tcBorders>
          </w:tcPr>
          <w:p>
            <w:pPr>
              <w:ind w:left="133" w:right="126"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61" w:type="dxa"/>
            <w:vAlign w:val="top"/>
            <w:vMerge w:val="restart"/>
            <w:tcBorders>
              <w:bottom w:val="nil"/>
            </w:tcBorders>
          </w:tcPr>
          <w:p>
            <w:pPr>
              <w:ind w:left="914" w:right="190" w:hanging="723"/>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792" w:type="dxa"/>
            <w:vAlign w:val="top"/>
            <w:vMerge w:val="restart"/>
            <w:tcBorders>
              <w:bottom w:val="nil"/>
            </w:tcBorders>
          </w:tcPr>
          <w:p>
            <w:pPr>
              <w:ind w:left="249"/>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2" w:type="dxa"/>
            <w:vAlign w:val="top"/>
          </w:tcPr>
          <w:p>
            <w:pPr>
              <w:ind w:left="24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2" w:type="dxa"/>
            <w:vAlign w:val="top"/>
          </w:tcPr>
          <w:p>
            <w:pPr>
              <w:ind w:left="489"/>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39" w:hRule="atLeast"/>
        </w:trPr>
        <w:tc>
          <w:tcPr>
            <w:tcW w:w="1215" w:type="dxa"/>
            <w:vAlign w:val="top"/>
            <w:vMerge w:val="restart"/>
            <w:tcBorders>
              <w:bottom w:val="nil"/>
            </w:tcBorders>
          </w:tcPr>
          <w:p>
            <w:pPr>
              <w:ind w:left="126" w:right="126" w:firstLine="9"/>
              <w:spacing w:before="15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61" w:type="dxa"/>
            <w:vAlign w:val="top"/>
            <w:vMerge w:val="restart"/>
            <w:tcBorders>
              <w:bottom w:val="nil"/>
            </w:tcBorders>
          </w:tcPr>
          <w:p>
            <w:pPr>
              <w:ind w:left="322" w:right="190" w:hanging="131"/>
              <w:spacing w:before="31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391"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5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72" w:type="dxa"/>
            <w:vAlign w:val="top"/>
          </w:tcPr>
          <w:p>
            <w:pPr>
              <w:ind w:left="252"/>
              <w:spacing w:before="15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72" w:type="dxa"/>
            <w:vAlign w:val="top"/>
          </w:tcPr>
          <w:p>
            <w:pPr>
              <w:ind w:left="489"/>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00"/>
          <w:pgSz w:w="11905" w:h="16839"/>
          <w:pgMar w:top="1431" w:right="1732" w:bottom="1156" w:left="1726" w:header="0" w:footer="994" w:gutter="0"/>
        </w:sectPr>
        <w:rPr/>
      </w:pPr>
    </w:p>
    <w:p>
      <w:pPr>
        <w:spacing w:before="92"/>
        <w:rPr/>
      </w:pPr>
      <w:r/>
    </w:p>
    <w:p>
      <w:pPr>
        <w:spacing w:before="91"/>
        <w:rPr/>
      </w:pPr>
      <w:r/>
    </w:p>
    <w:tbl>
      <w:tblPr>
        <w:tblStyle w:val="TableNormal"/>
        <w:tblW w:w="84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61"/>
        <w:gridCol w:w="1092"/>
        <w:gridCol w:w="3201"/>
        <w:gridCol w:w="1172"/>
      </w:tblGrid>
      <w:tr>
        <w:trPr>
          <w:trHeight w:val="720" w:hRule="atLeast"/>
        </w:trPr>
        <w:tc>
          <w:tcPr>
            <w:tcW w:w="8441" w:type="dxa"/>
            <w:vAlign w:val="top"/>
            <w:gridSpan w:val="5"/>
          </w:tcPr>
          <w:p>
            <w:pPr>
              <w:ind w:left="21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26" w:type="dxa"/>
            <w:vAlign w:val="top"/>
            <w:gridSpan w:val="4"/>
          </w:tcPr>
          <w:p>
            <w:pPr>
              <w:ind w:left="3505"/>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42</w:t>
            </w:r>
          </w:p>
        </w:tc>
      </w:tr>
      <w:tr>
        <w:trPr>
          <w:trHeight w:val="979" w:hRule="atLeast"/>
        </w:trPr>
        <w:tc>
          <w:tcPr>
            <w:tcW w:w="1215" w:type="dxa"/>
            <w:vAlign w:val="top"/>
          </w:tcPr>
          <w:p>
            <w:pPr>
              <w:spacing w:line="257" w:lineRule="auto"/>
              <w:rPr>
                <w:rFonts w:ascii="Arial"/>
                <w:sz w:val="21"/>
              </w:rPr>
            </w:pPr>
            <w:r/>
          </w:p>
          <w:p>
            <w:pPr>
              <w:ind w:left="5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26" w:type="dxa"/>
            <w:vAlign w:val="top"/>
            <w:gridSpan w:val="4"/>
          </w:tcPr>
          <w:p>
            <w:pPr>
              <w:ind w:left="19" w:firstLine="9"/>
              <w:spacing w:before="53"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石油、化工以及其他生产和使用有机溶剂的企业，未采取措施对管道、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设备进行日常维护、维修，减少物料泄漏或者</w:t>
            </w:r>
            <w:r>
              <w:rPr>
                <w:rFonts w:ascii="FangSong_GB2312" w:hAnsi="FangSong_GB2312" w:eastAsia="FangSong_GB2312" w:cs="FangSong_GB2312"/>
                <w:sz w:val="24"/>
                <w:szCs w:val="24"/>
                <w:spacing w:val="-3"/>
              </w:rPr>
              <w:t>对泄漏的物料未及时收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集处理的</w:t>
            </w:r>
          </w:p>
        </w:tc>
      </w:tr>
      <w:tr>
        <w:trPr>
          <w:trHeight w:val="7907" w:hRule="atLeast"/>
        </w:trPr>
        <w:tc>
          <w:tcPr>
            <w:tcW w:w="1215"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6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26" w:type="dxa"/>
            <w:vAlign w:val="top"/>
            <w:gridSpan w:val="4"/>
          </w:tcPr>
          <w:p>
            <w:pPr>
              <w:ind w:left="34"/>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9" w:right="13" w:firstLine="1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石油、化工以及其他生产和使用有机溶剂的企业，应当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采取措施对管道、设备进行日常维护、维修，减少物料泄漏，对泄漏</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的物料应当及时收集处理。</w:t>
            </w:r>
          </w:p>
          <w:p>
            <w:pPr>
              <w:ind w:left="25" w:right="13" w:hanging="11"/>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储油储气库、加油加气站、原油成品油码头</w:t>
            </w:r>
            <w:r>
              <w:rPr>
                <w:rFonts w:ascii="FangSong_GB2312" w:hAnsi="FangSong_GB2312" w:eastAsia="FangSong_GB2312" w:cs="FangSong_GB2312"/>
                <w:sz w:val="24"/>
                <w:szCs w:val="24"/>
                <w:spacing w:val="-1"/>
              </w:rPr>
              <w:t>、原油成品油运输船舶和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油罐车、气罐车等，应当按照国家有关规定安装油气回收装置并保持</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正常使用。</w:t>
            </w:r>
          </w:p>
          <w:p>
            <w:pPr>
              <w:spacing w:line="273"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1" w:right="126" w:firstLine="10"/>
              <w:spacing w:before="38"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政府生态环境主管部门责令改正，处二万元以上二十万元以下的罚</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款；拒不改正的，责令停产整治：</w:t>
            </w:r>
          </w:p>
          <w:p>
            <w:pPr>
              <w:ind w:left="18" w:right="13" w:hanging="4"/>
              <w:spacing w:before="37"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（三）石油、化工以及其他生产和使用有机溶剂</w:t>
            </w:r>
            <w:r>
              <w:rPr>
                <w:rFonts w:ascii="FangSong_GB2312" w:hAnsi="FangSong_GB2312" w:eastAsia="FangSong_GB2312" w:cs="FangSong_GB2312"/>
                <w:sz w:val="24"/>
                <w:szCs w:val="24"/>
                <w:spacing w:val="-1"/>
              </w:rPr>
              <w:t>的企业，未采取措施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对管道、设备进行日常维护、维修，减少物料泄漏或者对泄漏的物料</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未及时收集处理的；</w:t>
            </w:r>
          </w:p>
          <w:p>
            <w:pPr>
              <w:spacing w:line="273" w:lineRule="auto"/>
              <w:rPr>
                <w:rFonts w:ascii="Arial"/>
                <w:sz w:val="21"/>
              </w:rPr>
            </w:pPr>
            <w:r/>
          </w:p>
          <w:p>
            <w:pPr>
              <w:ind w:left="3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4" w:right="13" w:firstLine="7"/>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w:t>
            </w:r>
            <w:r>
              <w:rPr>
                <w:rFonts w:ascii="FangSong_GB2312" w:hAnsi="FangSong_GB2312" w:eastAsia="FangSong_GB2312" w:cs="FangSong_GB2312"/>
                <w:sz w:val="24"/>
                <w:szCs w:val="24"/>
                <w:spacing w:val="-2"/>
              </w:rPr>
              <w:t>由县级以上人民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政府环境保护主管部门责令改正，处二万元以上五万元以下罚款；情</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节较重的，处五万元以上十万元以下罚款；情节严重的，处十万元以</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上二十万元以下罚款；拒不改正的，责令停产整治或者报经有批准权</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的人民政府批准，责令停业、关闭：</w:t>
            </w:r>
          </w:p>
          <w:p>
            <w:pPr>
              <w:ind w:left="18" w:right="13" w:hanging="4"/>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（五）石油、化工以及其他生产和使用有机溶剂</w:t>
            </w:r>
            <w:r>
              <w:rPr>
                <w:rFonts w:ascii="FangSong_GB2312" w:hAnsi="FangSong_GB2312" w:eastAsia="FangSong_GB2312" w:cs="FangSong_GB2312"/>
                <w:sz w:val="24"/>
                <w:szCs w:val="24"/>
                <w:spacing w:val="-1"/>
              </w:rPr>
              <w:t>的企业，未采取措施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对管道、设备进行日常维护、维修，减少物料泄漏或者对泄漏的物料</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未及时收集处理的；</w:t>
            </w:r>
          </w:p>
        </w:tc>
      </w:tr>
      <w:tr>
        <w:trPr>
          <w:trHeight w:val="635" w:hRule="atLeast"/>
        </w:trPr>
        <w:tc>
          <w:tcPr>
            <w:tcW w:w="4068" w:type="dxa"/>
            <w:vAlign w:val="top"/>
            <w:gridSpan w:val="3"/>
          </w:tcPr>
          <w:p>
            <w:pPr>
              <w:ind w:left="148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3" w:type="dxa"/>
            <w:vAlign w:val="top"/>
            <w:gridSpan w:val="2"/>
          </w:tcPr>
          <w:p>
            <w:pPr>
              <w:ind w:left="164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61" w:type="dxa"/>
            <w:vAlign w:val="top"/>
          </w:tcPr>
          <w:p>
            <w:pPr>
              <w:ind w:left="450"/>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92" w:type="dxa"/>
            <w:vAlign w:val="top"/>
          </w:tcPr>
          <w:p>
            <w:pPr>
              <w:ind w:left="363" w:right="32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2" w:type="dxa"/>
            <w:vAlign w:val="top"/>
          </w:tcPr>
          <w:p>
            <w:pPr>
              <w:ind w:left="269"/>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2" w:hRule="atLeast"/>
        </w:trPr>
        <w:tc>
          <w:tcPr>
            <w:tcW w:w="1215" w:type="dxa"/>
            <w:vAlign w:val="top"/>
          </w:tcPr>
          <w:p>
            <w:pPr>
              <w:ind w:left="259" w:right="124" w:hanging="122"/>
              <w:spacing w:before="19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61" w:type="dxa"/>
            <w:vAlign w:val="top"/>
          </w:tcPr>
          <w:p>
            <w:pPr>
              <w:spacing w:line="278" w:lineRule="auto"/>
              <w:rPr>
                <w:rFonts w:ascii="Arial"/>
                <w:sz w:val="21"/>
              </w:rPr>
            </w:pPr>
            <w:r/>
          </w:p>
          <w:p>
            <w:pPr>
              <w:ind w:left="168"/>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92" w:type="dxa"/>
            <w:vAlign w:val="top"/>
          </w:tcPr>
          <w:p>
            <w:pPr>
              <w:spacing w:line="278" w:lineRule="auto"/>
              <w:rPr>
                <w:rFonts w:ascii="Arial"/>
                <w:sz w:val="21"/>
              </w:rPr>
            </w:pPr>
            <w:r/>
          </w:p>
          <w:p>
            <w:pPr>
              <w:ind w:left="38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5" w:right="209"/>
              <w:spacing w:before="45"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未采取措施对管道、设备进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行</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6"/>
              </w:rPr>
              <w:t>日常维护、维修，但未造</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成泄漏的</w:t>
            </w:r>
          </w:p>
        </w:tc>
        <w:tc>
          <w:tcPr>
            <w:tcW w:w="1172" w:type="dxa"/>
            <w:vAlign w:val="top"/>
          </w:tcPr>
          <w:p>
            <w:pPr>
              <w:spacing w:line="278" w:lineRule="auto"/>
              <w:rPr>
                <w:rFonts w:ascii="Arial"/>
                <w:sz w:val="21"/>
              </w:rPr>
            </w:pPr>
            <w:r/>
          </w:p>
          <w:p>
            <w:pPr>
              <w:ind w:left="24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101"/>
          <w:pgSz w:w="11905" w:h="16839"/>
          <w:pgMar w:top="1431" w:right="1729" w:bottom="1156" w:left="1729" w:header="0" w:footer="994" w:gutter="0"/>
        </w:sectPr>
        <w:rPr/>
      </w:pPr>
    </w:p>
    <w:p>
      <w:pPr>
        <w:spacing w:before="92"/>
        <w:rPr/>
      </w:pPr>
      <w:r/>
    </w:p>
    <w:p>
      <w:pPr>
        <w:spacing w:before="91"/>
        <w:rPr/>
      </w:pPr>
      <w:r/>
    </w:p>
    <w:tbl>
      <w:tblPr>
        <w:tblStyle w:val="TableNormal"/>
        <w:tblW w:w="84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61"/>
        <w:gridCol w:w="1092"/>
        <w:gridCol w:w="3201"/>
        <w:gridCol w:w="1172"/>
      </w:tblGrid>
      <w:tr>
        <w:trPr>
          <w:trHeight w:val="954" w:hRule="atLeast"/>
        </w:trPr>
        <w:tc>
          <w:tcPr>
            <w:tcW w:w="1215" w:type="dxa"/>
            <w:vAlign w:val="top"/>
            <w:vMerge w:val="restart"/>
            <w:tcBorders>
              <w:bottom w:val="nil"/>
            </w:tcBorders>
          </w:tcPr>
          <w:p>
            <w:pPr>
              <w:rPr>
                <w:rFonts w:ascii="Arial"/>
                <w:sz w:val="21"/>
              </w:rPr>
            </w:pPr>
            <w:r/>
          </w:p>
        </w:tc>
        <w:tc>
          <w:tcPr>
            <w:tcW w:w="1761" w:type="dxa"/>
            <w:vAlign w:val="top"/>
            <w:vMerge w:val="restart"/>
            <w:tcBorders>
              <w:bottom w:val="nil"/>
            </w:tcBorders>
          </w:tcPr>
          <w:p>
            <w:pPr>
              <w:rPr>
                <w:rFonts w:ascii="Arial"/>
                <w:sz w:val="21"/>
              </w:rPr>
            </w:pPr>
            <w:r/>
          </w:p>
        </w:tc>
        <w:tc>
          <w:tcPr>
            <w:tcW w:w="1092" w:type="dxa"/>
            <w:vAlign w:val="top"/>
            <w:vMerge w:val="restart"/>
            <w:tcBorders>
              <w:bottom w:val="nil"/>
            </w:tcBorders>
          </w:tcPr>
          <w:p>
            <w:pPr>
              <w:rPr>
                <w:rFonts w:ascii="Arial"/>
                <w:sz w:val="21"/>
              </w:rPr>
            </w:pPr>
            <w:r/>
          </w:p>
        </w:tc>
        <w:tc>
          <w:tcPr>
            <w:tcW w:w="3201" w:type="dxa"/>
            <w:vAlign w:val="top"/>
          </w:tcPr>
          <w:p>
            <w:pPr>
              <w:ind w:left="115" w:right="209"/>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未采取措施对管道、设备进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行</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6"/>
              </w:rPr>
              <w:t>日常维护、维修，造成泄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漏但及时收集处理的</w:t>
            </w:r>
          </w:p>
        </w:tc>
        <w:tc>
          <w:tcPr>
            <w:tcW w:w="1172" w:type="dxa"/>
            <w:vAlign w:val="top"/>
          </w:tcPr>
          <w:p>
            <w:pPr>
              <w:spacing w:line="279" w:lineRule="auto"/>
              <w:rPr>
                <w:rFonts w:ascii="Arial"/>
                <w:sz w:val="21"/>
              </w:rPr>
            </w:pPr>
            <w:r/>
          </w:p>
          <w:p>
            <w:pPr>
              <w:ind w:left="18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215" w:type="dxa"/>
            <w:vAlign w:val="top"/>
            <w:vMerge w:val="continue"/>
            <w:tcBorders>
              <w:top w:val="nil"/>
            </w:tcBorders>
          </w:tcPr>
          <w:p>
            <w:pPr>
              <w:rPr>
                <w:rFonts w:ascii="Arial"/>
                <w:sz w:val="21"/>
              </w:rPr>
            </w:pPr>
            <w:r/>
          </w:p>
        </w:tc>
        <w:tc>
          <w:tcPr>
            <w:tcW w:w="1761" w:type="dxa"/>
            <w:vAlign w:val="top"/>
            <w:vMerge w:val="continue"/>
            <w:tcBorders>
              <w:top w:val="nil"/>
            </w:tcBorders>
          </w:tcPr>
          <w:p>
            <w:pPr>
              <w:rPr>
                <w:rFonts w:ascii="Arial"/>
                <w:sz w:val="21"/>
              </w:rPr>
            </w:pPr>
            <w:r/>
          </w:p>
        </w:tc>
        <w:tc>
          <w:tcPr>
            <w:tcW w:w="1092" w:type="dxa"/>
            <w:vAlign w:val="top"/>
            <w:vMerge w:val="continue"/>
            <w:tcBorders>
              <w:top w:val="nil"/>
            </w:tcBorders>
          </w:tcPr>
          <w:p>
            <w:pPr>
              <w:rPr>
                <w:rFonts w:ascii="Arial"/>
                <w:sz w:val="21"/>
              </w:rPr>
            </w:pPr>
            <w:r/>
          </w:p>
        </w:tc>
        <w:tc>
          <w:tcPr>
            <w:tcW w:w="3201" w:type="dxa"/>
            <w:vAlign w:val="top"/>
          </w:tcPr>
          <w:p>
            <w:pPr>
              <w:ind w:left="115" w:right="209"/>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未采取措施对管道、设备进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行</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6"/>
              </w:rPr>
              <w:t>日常维护、维修，造成泄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漏且未及时收集处理的</w:t>
            </w:r>
          </w:p>
        </w:tc>
        <w:tc>
          <w:tcPr>
            <w:tcW w:w="1172" w:type="dxa"/>
            <w:vAlign w:val="top"/>
          </w:tcPr>
          <w:p>
            <w:pPr>
              <w:spacing w:line="275"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61" w:type="dxa"/>
            <w:vAlign w:val="top"/>
            <w:vMerge w:val="restart"/>
            <w:tcBorders>
              <w:bottom w:val="nil"/>
            </w:tcBorders>
          </w:tcPr>
          <w:p>
            <w:pPr>
              <w:spacing w:line="289" w:lineRule="auto"/>
              <w:rPr>
                <w:rFonts w:ascii="Arial"/>
                <w:sz w:val="21"/>
              </w:rPr>
            </w:pPr>
            <w:r/>
          </w:p>
          <w:p>
            <w:pPr>
              <w:ind w:left="771" w:right="159"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92" w:type="dxa"/>
            <w:vAlign w:val="top"/>
            <w:vMerge w:val="restart"/>
            <w:tcBorders>
              <w:bottom w:val="nil"/>
            </w:tcBorders>
          </w:tcPr>
          <w:p>
            <w:pPr>
              <w:spacing w:line="446" w:lineRule="auto"/>
              <w:rPr>
                <w:rFonts w:ascii="Arial"/>
                <w:sz w:val="21"/>
              </w:rPr>
            </w:pPr>
            <w:r/>
          </w:p>
          <w:p>
            <w:pPr>
              <w:ind w:left="38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2" w:type="dxa"/>
            <w:vAlign w:val="top"/>
          </w:tcPr>
          <w:p>
            <w:pPr>
              <w:ind w:left="48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761" w:type="dxa"/>
            <w:vAlign w:val="top"/>
            <w:vMerge w:val="continue"/>
            <w:tcBorders>
              <w:top w:val="nil"/>
              <w:bottom w:val="nil"/>
            </w:tcBorders>
          </w:tcPr>
          <w:p>
            <w:pPr>
              <w:rPr>
                <w:rFonts w:ascii="Arial"/>
                <w:sz w:val="21"/>
              </w:rPr>
            </w:pPr>
            <w:r/>
          </w:p>
        </w:tc>
        <w:tc>
          <w:tcPr>
            <w:tcW w:w="1092" w:type="dxa"/>
            <w:vAlign w:val="top"/>
            <w:vMerge w:val="continue"/>
            <w:tcBorders>
              <w:top w:val="nil"/>
              <w:bottom w:val="nil"/>
            </w:tcBorders>
          </w:tcPr>
          <w:p>
            <w:pPr>
              <w:rPr>
                <w:rFonts w:ascii="Arial"/>
                <w:sz w:val="21"/>
              </w:rPr>
            </w:pPr>
            <w:r/>
          </w:p>
        </w:tc>
        <w:tc>
          <w:tcPr>
            <w:tcW w:w="3201"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2" w:type="dxa"/>
            <w:vAlign w:val="top"/>
          </w:tcPr>
          <w:p>
            <w:pPr>
              <w:ind w:left="42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761" w:type="dxa"/>
            <w:vAlign w:val="top"/>
            <w:vMerge w:val="continue"/>
            <w:tcBorders>
              <w:top w:val="nil"/>
              <w:bottom w:val="nil"/>
            </w:tcBorders>
          </w:tcPr>
          <w:p>
            <w:pPr>
              <w:rPr>
                <w:rFonts w:ascii="Arial"/>
                <w:sz w:val="21"/>
              </w:rPr>
            </w:pPr>
            <w:r/>
          </w:p>
        </w:tc>
        <w:tc>
          <w:tcPr>
            <w:tcW w:w="1092" w:type="dxa"/>
            <w:vAlign w:val="top"/>
            <w:vMerge w:val="continue"/>
            <w:tcBorders>
              <w:top w:val="nil"/>
              <w:bottom w:val="nil"/>
            </w:tcBorders>
          </w:tcPr>
          <w:p>
            <w:pPr>
              <w:rPr>
                <w:rFonts w:ascii="Arial"/>
                <w:sz w:val="21"/>
              </w:rPr>
            </w:pPr>
            <w:r/>
          </w:p>
        </w:tc>
        <w:tc>
          <w:tcPr>
            <w:tcW w:w="3201" w:type="dxa"/>
            <w:vAlign w:val="top"/>
          </w:tcPr>
          <w:p>
            <w:pPr>
              <w:ind w:left="128"/>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2" w:type="dxa"/>
            <w:vAlign w:val="top"/>
          </w:tcPr>
          <w:p>
            <w:pPr>
              <w:ind w:left="429"/>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761" w:type="dxa"/>
            <w:vAlign w:val="top"/>
            <w:vMerge w:val="continue"/>
            <w:tcBorders>
              <w:top w:val="nil"/>
            </w:tcBorders>
          </w:tcPr>
          <w:p>
            <w:pPr>
              <w:rPr>
                <w:rFonts w:ascii="Arial"/>
                <w:sz w:val="21"/>
              </w:rPr>
            </w:pPr>
            <w:r/>
          </w:p>
        </w:tc>
        <w:tc>
          <w:tcPr>
            <w:tcW w:w="10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2" w:type="dxa"/>
            <w:vAlign w:val="top"/>
          </w:tcPr>
          <w:p>
            <w:pPr>
              <w:ind w:left="4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1" w:lineRule="auto"/>
              <w:rPr>
                <w:rFonts w:ascii="Arial"/>
                <w:sz w:val="21"/>
              </w:rPr>
            </w:pPr>
            <w:r/>
          </w:p>
          <w:p>
            <w:pPr>
              <w:ind w:left="13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61" w:type="dxa"/>
            <w:vAlign w:val="top"/>
            <w:vMerge w:val="restart"/>
            <w:tcBorders>
              <w:bottom w:val="nil"/>
            </w:tcBorders>
          </w:tcPr>
          <w:p>
            <w:pPr>
              <w:spacing w:line="442" w:lineRule="auto"/>
              <w:rPr>
                <w:rFonts w:ascii="Arial"/>
                <w:sz w:val="21"/>
              </w:rPr>
            </w:pPr>
            <w:r/>
          </w:p>
          <w:p>
            <w:pPr>
              <w:ind w:left="161"/>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92" w:type="dxa"/>
            <w:vAlign w:val="top"/>
            <w:vMerge w:val="restart"/>
            <w:tcBorders>
              <w:bottom w:val="nil"/>
            </w:tcBorders>
          </w:tcPr>
          <w:p>
            <w:pPr>
              <w:spacing w:line="442" w:lineRule="auto"/>
              <w:rPr>
                <w:rFonts w:ascii="Arial"/>
                <w:sz w:val="21"/>
              </w:rPr>
            </w:pPr>
            <w:r/>
          </w:p>
          <w:p>
            <w:pPr>
              <w:ind w:left="38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2" w:type="dxa"/>
            <w:vAlign w:val="top"/>
          </w:tcPr>
          <w:p>
            <w:pPr>
              <w:ind w:left="49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215" w:type="dxa"/>
            <w:vAlign w:val="top"/>
            <w:vMerge w:val="continue"/>
            <w:tcBorders>
              <w:top w:val="nil"/>
              <w:bottom w:val="nil"/>
            </w:tcBorders>
          </w:tcPr>
          <w:p>
            <w:pPr>
              <w:rPr>
                <w:rFonts w:ascii="Arial"/>
                <w:sz w:val="21"/>
              </w:rPr>
            </w:pPr>
            <w:r/>
          </w:p>
        </w:tc>
        <w:tc>
          <w:tcPr>
            <w:tcW w:w="1761" w:type="dxa"/>
            <w:vAlign w:val="top"/>
            <w:vMerge w:val="continue"/>
            <w:tcBorders>
              <w:top w:val="nil"/>
              <w:bottom w:val="nil"/>
            </w:tcBorders>
          </w:tcPr>
          <w:p>
            <w:pPr>
              <w:rPr>
                <w:rFonts w:ascii="Arial"/>
                <w:sz w:val="21"/>
              </w:rPr>
            </w:pPr>
            <w:r/>
          </w:p>
        </w:tc>
        <w:tc>
          <w:tcPr>
            <w:tcW w:w="10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72" w:type="dxa"/>
            <w:vAlign w:val="top"/>
          </w:tcPr>
          <w:p>
            <w:pPr>
              <w:ind w:left="309"/>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761" w:type="dxa"/>
            <w:vAlign w:val="top"/>
            <w:vMerge w:val="continue"/>
            <w:tcBorders>
              <w:top w:val="nil"/>
            </w:tcBorders>
          </w:tcPr>
          <w:p>
            <w:pPr>
              <w:rPr>
                <w:rFonts w:ascii="Arial"/>
                <w:sz w:val="21"/>
              </w:rPr>
            </w:pPr>
            <w:r/>
          </w:p>
        </w:tc>
        <w:tc>
          <w:tcPr>
            <w:tcW w:w="1092" w:type="dxa"/>
            <w:vAlign w:val="top"/>
            <w:vMerge w:val="continue"/>
            <w:tcBorders>
              <w:top w:val="nil"/>
            </w:tcBorders>
          </w:tcPr>
          <w:p>
            <w:pPr>
              <w:rPr>
                <w:rFonts w:ascii="Arial"/>
                <w:sz w:val="21"/>
              </w:rPr>
            </w:pPr>
            <w:r/>
          </w:p>
        </w:tc>
        <w:tc>
          <w:tcPr>
            <w:tcW w:w="3201" w:type="dxa"/>
            <w:vAlign w:val="top"/>
          </w:tcPr>
          <w:p>
            <w:pPr>
              <w:ind w:left="12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2" w:type="dxa"/>
            <w:vAlign w:val="top"/>
          </w:tcPr>
          <w:p>
            <w:pPr>
              <w:ind w:left="24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215" w:type="dxa"/>
            <w:vAlign w:val="top"/>
            <w:vMerge w:val="restart"/>
            <w:tcBorders>
              <w:bottom w:val="nil"/>
            </w:tcBorders>
          </w:tcPr>
          <w:p>
            <w:pPr>
              <w:ind w:left="135" w:right="124" w:firstLine="7"/>
              <w:spacing w:before="46"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61" w:type="dxa"/>
            <w:vAlign w:val="top"/>
            <w:vMerge w:val="restart"/>
            <w:tcBorders>
              <w:bottom w:val="nil"/>
            </w:tcBorders>
          </w:tcPr>
          <w:p>
            <w:pPr>
              <w:ind w:left="641" w:right="159" w:hanging="480"/>
              <w:spacing w:before="46"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92" w:type="dxa"/>
            <w:vAlign w:val="top"/>
            <w:vMerge w:val="restart"/>
            <w:tcBorders>
              <w:bottom w:val="nil"/>
            </w:tcBorders>
          </w:tcPr>
          <w:p>
            <w:pPr>
              <w:ind w:left="368"/>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2" w:type="dxa"/>
            <w:vAlign w:val="top"/>
          </w:tcPr>
          <w:p>
            <w:pPr>
              <w:ind w:left="249"/>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761" w:type="dxa"/>
            <w:vAlign w:val="top"/>
            <w:vMerge w:val="continue"/>
            <w:tcBorders>
              <w:top w:val="nil"/>
            </w:tcBorders>
          </w:tcPr>
          <w:p>
            <w:pPr>
              <w:rPr>
                <w:rFonts w:ascii="Arial"/>
                <w:sz w:val="21"/>
              </w:rPr>
            </w:pPr>
            <w:r/>
          </w:p>
        </w:tc>
        <w:tc>
          <w:tcPr>
            <w:tcW w:w="10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2" w:type="dxa"/>
            <w:vAlign w:val="top"/>
          </w:tcPr>
          <w:p>
            <w:pPr>
              <w:ind w:left="4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39" w:hRule="atLeast"/>
        </w:trPr>
        <w:tc>
          <w:tcPr>
            <w:tcW w:w="1215" w:type="dxa"/>
            <w:vAlign w:val="top"/>
            <w:vMerge w:val="restart"/>
            <w:tcBorders>
              <w:bottom w:val="nil"/>
            </w:tcBorders>
          </w:tcPr>
          <w:p>
            <w:pPr>
              <w:ind w:left="128" w:right="124" w:firstLine="9"/>
              <w:spacing w:before="15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61" w:type="dxa"/>
            <w:vAlign w:val="top"/>
            <w:vMerge w:val="restart"/>
            <w:tcBorders>
              <w:bottom w:val="nil"/>
            </w:tcBorders>
          </w:tcPr>
          <w:p>
            <w:pPr>
              <w:ind w:left="161"/>
              <w:spacing w:before="15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73"/>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73"/>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92" w:type="dxa"/>
            <w:vAlign w:val="top"/>
            <w:vMerge w:val="restart"/>
            <w:tcBorders>
              <w:bottom w:val="nil"/>
            </w:tcBorders>
          </w:tcPr>
          <w:p>
            <w:pPr>
              <w:spacing w:line="393" w:lineRule="auto"/>
              <w:rPr>
                <w:rFonts w:ascii="Arial"/>
                <w:sz w:val="21"/>
              </w:rPr>
            </w:pPr>
            <w:r/>
          </w:p>
          <w:p>
            <w:pPr>
              <w:ind w:left="38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5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72" w:type="dxa"/>
            <w:vAlign w:val="top"/>
          </w:tcPr>
          <w:p>
            <w:pPr>
              <w:ind w:left="251"/>
              <w:spacing w:before="15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761" w:type="dxa"/>
            <w:vAlign w:val="top"/>
            <w:vMerge w:val="continue"/>
            <w:tcBorders>
              <w:top w:val="nil"/>
            </w:tcBorders>
          </w:tcPr>
          <w:p>
            <w:pPr>
              <w:rPr>
                <w:rFonts w:ascii="Arial"/>
                <w:sz w:val="21"/>
              </w:rPr>
            </w:pPr>
            <w:r/>
          </w:p>
        </w:tc>
        <w:tc>
          <w:tcPr>
            <w:tcW w:w="1092" w:type="dxa"/>
            <w:vAlign w:val="top"/>
            <w:vMerge w:val="continue"/>
            <w:tcBorders>
              <w:top w:val="nil"/>
            </w:tcBorders>
          </w:tcPr>
          <w:p>
            <w:pPr>
              <w:rPr>
                <w:rFonts w:ascii="Arial"/>
                <w:sz w:val="21"/>
              </w:rPr>
            </w:pPr>
            <w:r/>
          </w:p>
        </w:tc>
        <w:tc>
          <w:tcPr>
            <w:tcW w:w="3201" w:type="dxa"/>
            <w:vAlign w:val="top"/>
          </w:tcPr>
          <w:p>
            <w:pPr>
              <w:ind w:left="135" w:right="209"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72" w:type="dxa"/>
            <w:vAlign w:val="top"/>
          </w:tcPr>
          <w:p>
            <w:pPr>
              <w:ind w:left="4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02"/>
          <w:pgSz w:w="11905" w:h="16839"/>
          <w:pgMar w:top="1431" w:right="1729" w:bottom="1156" w:left="1729" w:header="0" w:footer="994" w:gutter="0"/>
        </w:sectPr>
        <w:rPr/>
      </w:pPr>
    </w:p>
    <w:p>
      <w:pPr>
        <w:spacing w:before="92"/>
        <w:rPr/>
      </w:pPr>
      <w:r/>
    </w:p>
    <w:p>
      <w:pPr>
        <w:spacing w:before="91"/>
        <w:rPr/>
      </w:pPr>
      <w:r/>
    </w:p>
    <w:tbl>
      <w:tblPr>
        <w:tblStyle w:val="TableNormal"/>
        <w:tblW w:w="85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04"/>
        <w:gridCol w:w="1049"/>
        <w:gridCol w:w="3201"/>
        <w:gridCol w:w="1281"/>
      </w:tblGrid>
      <w:tr>
        <w:trPr>
          <w:trHeight w:val="720" w:hRule="atLeast"/>
        </w:trPr>
        <w:tc>
          <w:tcPr>
            <w:tcW w:w="8550" w:type="dxa"/>
            <w:vAlign w:val="top"/>
            <w:gridSpan w:val="5"/>
          </w:tcPr>
          <w:p>
            <w:pPr>
              <w:ind w:left="273"/>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716" w:hRule="atLeast"/>
        </w:trPr>
        <w:tc>
          <w:tcPr>
            <w:tcW w:w="1215" w:type="dxa"/>
            <w:vAlign w:val="top"/>
          </w:tcPr>
          <w:p>
            <w:pPr>
              <w:ind w:left="333"/>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335" w:type="dxa"/>
            <w:vAlign w:val="top"/>
            <w:gridSpan w:val="4"/>
          </w:tcPr>
          <w:p>
            <w:pPr>
              <w:ind w:left="3560"/>
              <w:spacing w:before="26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43</w:t>
            </w:r>
          </w:p>
        </w:tc>
      </w:tr>
      <w:tr>
        <w:trPr>
          <w:trHeight w:val="665" w:hRule="atLeast"/>
        </w:trPr>
        <w:tc>
          <w:tcPr>
            <w:tcW w:w="1215" w:type="dxa"/>
            <w:vAlign w:val="top"/>
          </w:tcPr>
          <w:p>
            <w:pPr>
              <w:ind w:left="55"/>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335" w:type="dxa"/>
            <w:vAlign w:val="top"/>
            <w:gridSpan w:val="4"/>
          </w:tcPr>
          <w:p>
            <w:pPr>
              <w:ind w:left="24" w:right="120" w:hanging="10"/>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储油储气库、加油加气站和油罐车、气罐车等，未按照</w:t>
            </w:r>
            <w:r>
              <w:rPr>
                <w:rFonts w:ascii="FangSong_GB2312" w:hAnsi="FangSong_GB2312" w:eastAsia="FangSong_GB2312" w:cs="FangSong_GB2312"/>
                <w:sz w:val="24"/>
                <w:szCs w:val="24"/>
                <w:spacing w:val="-1"/>
              </w:rPr>
              <w:t>国家有关规定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安装并正常使用油气回收装置的</w:t>
            </w:r>
          </w:p>
        </w:tc>
      </w:tr>
      <w:tr>
        <w:trPr>
          <w:trHeight w:val="7277" w:hRule="atLeast"/>
        </w:trPr>
        <w:tc>
          <w:tcPr>
            <w:tcW w:w="1215"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6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335" w:type="dxa"/>
            <w:vAlign w:val="top"/>
            <w:gridSpan w:val="4"/>
          </w:tcPr>
          <w:p>
            <w:pPr>
              <w:ind w:left="34"/>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2" w:right="14" w:firstLine="9"/>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第四十七条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石油、化工以及其他生产和使用有机溶剂的企业，应当采</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取措施对管道、设备进行日常维护、维修，减少物料泄漏，对泄漏的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物料应当及时收集处理。</w:t>
            </w:r>
          </w:p>
          <w:p>
            <w:pPr>
              <w:ind w:left="25" w:right="120" w:hanging="11"/>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储油储气库、加油加气站、原油成品油码头、原油成品</w:t>
            </w:r>
            <w:r>
              <w:rPr>
                <w:rFonts w:ascii="FangSong_GB2312" w:hAnsi="FangSong_GB2312" w:eastAsia="FangSong_GB2312" w:cs="FangSong_GB2312"/>
                <w:sz w:val="24"/>
                <w:szCs w:val="24"/>
                <w:spacing w:val="-1"/>
              </w:rPr>
              <w:t>油运输船舶和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油罐车、气罐车等，应当按照国家有关规定安装油气回收装置并保持</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正常使用。</w:t>
            </w:r>
          </w:p>
          <w:p>
            <w:pPr>
              <w:spacing w:line="273"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1" w:right="14" w:firstLine="10"/>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第一百零八条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违反本法规定，有下列行为之一的，由县级以上人民政</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府生态环境主管部门责令改正，处二万元以上二十万元以下的罚款；</w:t>
            </w:r>
          </w:p>
          <w:p>
            <w:pPr>
              <w:ind w:left="24"/>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拒不改正的，责令停产整治：</w:t>
            </w:r>
          </w:p>
          <w:p>
            <w:pPr>
              <w:ind w:left="28" w:right="120" w:hanging="14"/>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（四）储油储气库、加油加气站和油罐车、气罐车等，</w:t>
            </w:r>
            <w:r>
              <w:rPr>
                <w:rFonts w:ascii="FangSong_GB2312" w:hAnsi="FangSong_GB2312" w:eastAsia="FangSong_GB2312" w:cs="FangSong_GB2312"/>
                <w:sz w:val="24"/>
                <w:szCs w:val="24"/>
                <w:spacing w:val="-1"/>
              </w:rPr>
              <w:t>未按照国家有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关规定安装并正常使用油气回收装置的；</w:t>
            </w:r>
          </w:p>
          <w:p>
            <w:pPr>
              <w:spacing w:line="273" w:lineRule="auto"/>
              <w:rPr>
                <w:rFonts w:ascii="Arial"/>
                <w:sz w:val="21"/>
              </w:rPr>
            </w:pPr>
            <w:r/>
          </w:p>
          <w:p>
            <w:pPr>
              <w:ind w:left="3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3" w:right="115" w:firstLine="7"/>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违反本条例规定，有下列行为之一的，由县级以上人民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政府环境保护主管部门责令改正，处二万元以上五万元以下罚款；情</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节较重的，处五万元以上十万元以下罚款；情节严重的，处十万元以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上二十万元以下罚款；拒不改正的，责令停产整治或者报经有批准权</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的人民政府批准，责令停业、关闭：</w:t>
            </w:r>
          </w:p>
          <w:p>
            <w:pPr>
              <w:ind w:left="24" w:right="120" w:hanging="10"/>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（六）储油库、储气库、加油加气站和油罐车、气罐车</w:t>
            </w:r>
            <w:r>
              <w:rPr>
                <w:rFonts w:ascii="FangSong_GB2312" w:hAnsi="FangSong_GB2312" w:eastAsia="FangSong_GB2312" w:cs="FangSong_GB2312"/>
                <w:sz w:val="24"/>
                <w:szCs w:val="24"/>
                <w:spacing w:val="-1"/>
              </w:rPr>
              <w:t>等，未按照国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家有关规定安装并正常使用油气回收装置的。</w:t>
            </w:r>
          </w:p>
        </w:tc>
      </w:tr>
      <w:tr>
        <w:trPr>
          <w:trHeight w:val="635" w:hRule="atLeast"/>
        </w:trPr>
        <w:tc>
          <w:tcPr>
            <w:tcW w:w="4068" w:type="dxa"/>
            <w:vAlign w:val="top"/>
            <w:gridSpan w:val="3"/>
          </w:tcPr>
          <w:p>
            <w:pPr>
              <w:ind w:left="148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82" w:type="dxa"/>
            <w:vAlign w:val="top"/>
            <w:gridSpan w:val="2"/>
          </w:tcPr>
          <w:p>
            <w:pPr>
              <w:ind w:left="169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7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04" w:type="dxa"/>
            <w:vAlign w:val="top"/>
          </w:tcPr>
          <w:p>
            <w:pPr>
              <w:ind w:left="471"/>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49" w:type="dxa"/>
            <w:vAlign w:val="top"/>
          </w:tcPr>
          <w:p>
            <w:pPr>
              <w:ind w:left="341" w:right="301"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81" w:type="dxa"/>
            <w:vAlign w:val="top"/>
          </w:tcPr>
          <w:p>
            <w:pPr>
              <w:ind w:left="324"/>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215"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59" w:right="124"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04" w:type="dxa"/>
            <w:vAlign w:val="top"/>
            <w:vMerge w:val="restart"/>
            <w:tcBorders>
              <w:bottom w:val="nil"/>
            </w:tcBorders>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ind w:left="19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49" w:type="dxa"/>
            <w:vAlign w:val="top"/>
            <w:vMerge w:val="restart"/>
            <w:tcBorders>
              <w:bottom w:val="nil"/>
            </w:tcBorders>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ind w:left="35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right="209" w:hanging="3"/>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储油储气库、加油加气站和</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5"/>
              </w:rPr>
              <w:t>油罐车、气罐车等，</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5"/>
              </w:rPr>
              <w:t>已安装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但未按照国家有关规定使用</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油气回收装置的</w:t>
            </w:r>
          </w:p>
        </w:tc>
        <w:tc>
          <w:tcPr>
            <w:tcW w:w="1281" w:type="dxa"/>
            <w:vAlign w:val="top"/>
          </w:tcPr>
          <w:p>
            <w:pPr>
              <w:spacing w:line="433" w:lineRule="auto"/>
              <w:rPr>
                <w:rFonts w:ascii="Arial"/>
                <w:sz w:val="21"/>
              </w:rPr>
            </w:pPr>
            <w:r/>
          </w:p>
          <w:p>
            <w:pPr>
              <w:ind w:left="301"/>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52" w:hRule="atLeast"/>
        </w:trPr>
        <w:tc>
          <w:tcPr>
            <w:tcW w:w="1215" w:type="dxa"/>
            <w:vAlign w:val="top"/>
            <w:vMerge w:val="continue"/>
            <w:tcBorders>
              <w:top w:val="nil"/>
            </w:tcBorders>
          </w:tcPr>
          <w:p>
            <w:pPr>
              <w:rPr>
                <w:rFonts w:ascii="Arial"/>
                <w:sz w:val="21"/>
              </w:rPr>
            </w:pPr>
            <w:r/>
          </w:p>
        </w:tc>
        <w:tc>
          <w:tcPr>
            <w:tcW w:w="1804"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3201" w:type="dxa"/>
            <w:vAlign w:val="top"/>
          </w:tcPr>
          <w:p>
            <w:pPr>
              <w:ind w:left="128" w:right="209" w:hanging="17"/>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储油储气库、加油加气站和</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油罐车、气罐车等，未按照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国家有关规定安装油气回收</w:t>
            </w:r>
          </w:p>
        </w:tc>
        <w:tc>
          <w:tcPr>
            <w:tcW w:w="1281" w:type="dxa"/>
            <w:vAlign w:val="top"/>
          </w:tcPr>
          <w:p>
            <w:pPr>
              <w:spacing w:line="279"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bl>
    <w:p>
      <w:pPr>
        <w:pStyle w:val="BodyText"/>
        <w:rPr/>
      </w:pPr>
      <w:r/>
    </w:p>
    <w:p>
      <w:pPr>
        <w:sectPr>
          <w:footerReference w:type="default" r:id="rId103"/>
          <w:pgSz w:w="11905" w:h="16839"/>
          <w:pgMar w:top="1431" w:right="1675" w:bottom="1156" w:left="1674" w:header="0" w:footer="994" w:gutter="0"/>
        </w:sectPr>
        <w:rPr/>
      </w:pPr>
    </w:p>
    <w:p>
      <w:pPr>
        <w:spacing w:before="92"/>
        <w:rPr/>
      </w:pPr>
      <w:r/>
    </w:p>
    <w:p>
      <w:pPr>
        <w:spacing w:before="91"/>
        <w:rPr/>
      </w:pPr>
      <w:r/>
    </w:p>
    <w:tbl>
      <w:tblPr>
        <w:tblStyle w:val="TableNormal"/>
        <w:tblW w:w="85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04"/>
        <w:gridCol w:w="1049"/>
        <w:gridCol w:w="3201"/>
        <w:gridCol w:w="1281"/>
      </w:tblGrid>
      <w:tr>
        <w:trPr>
          <w:trHeight w:val="324" w:hRule="atLeast"/>
        </w:trPr>
        <w:tc>
          <w:tcPr>
            <w:tcW w:w="1215" w:type="dxa"/>
            <w:vAlign w:val="top"/>
          </w:tcPr>
          <w:p>
            <w:pPr>
              <w:rPr>
                <w:rFonts w:ascii="Arial"/>
                <w:sz w:val="21"/>
              </w:rPr>
            </w:pPr>
            <w:r/>
          </w:p>
        </w:tc>
        <w:tc>
          <w:tcPr>
            <w:tcW w:w="1804" w:type="dxa"/>
            <w:vAlign w:val="top"/>
          </w:tcPr>
          <w:p>
            <w:pPr>
              <w:rPr>
                <w:rFonts w:ascii="Arial"/>
                <w:sz w:val="21"/>
              </w:rPr>
            </w:pPr>
            <w:r/>
          </w:p>
        </w:tc>
        <w:tc>
          <w:tcPr>
            <w:tcW w:w="1049" w:type="dxa"/>
            <w:vAlign w:val="top"/>
          </w:tcPr>
          <w:p>
            <w:pPr>
              <w:rPr>
                <w:rFonts w:ascii="Arial"/>
                <w:sz w:val="21"/>
              </w:rPr>
            </w:pPr>
            <w:r/>
          </w:p>
        </w:tc>
        <w:tc>
          <w:tcPr>
            <w:tcW w:w="3201" w:type="dxa"/>
            <w:vAlign w:val="top"/>
          </w:tcPr>
          <w:p>
            <w:pPr>
              <w:ind w:left="11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装置的</w:t>
            </w:r>
          </w:p>
        </w:tc>
        <w:tc>
          <w:tcPr>
            <w:tcW w:w="1281" w:type="dxa"/>
            <w:vAlign w:val="top"/>
          </w:tcPr>
          <w:p>
            <w:pPr>
              <w:rPr>
                <w:rFonts w:ascii="Arial"/>
                <w:sz w:val="21"/>
              </w:rPr>
            </w:pPr>
            <w:r/>
          </w:p>
        </w:tc>
      </w:tr>
      <w:tr>
        <w:trPr>
          <w:trHeight w:val="319" w:hRule="atLeast"/>
        </w:trPr>
        <w:tc>
          <w:tcPr>
            <w:tcW w:w="1215" w:type="dxa"/>
            <w:vAlign w:val="top"/>
            <w:vMerge w:val="restart"/>
            <w:tcBorders>
              <w:bottom w:val="nil"/>
            </w:tcBorders>
          </w:tcPr>
          <w:p>
            <w:pPr>
              <w:spacing w:line="445"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04" w:type="dxa"/>
            <w:vAlign w:val="top"/>
            <w:vMerge w:val="restart"/>
            <w:tcBorders>
              <w:bottom w:val="nil"/>
            </w:tcBorders>
          </w:tcPr>
          <w:p>
            <w:pPr>
              <w:spacing w:line="289" w:lineRule="auto"/>
              <w:rPr>
                <w:rFonts w:ascii="Arial"/>
                <w:sz w:val="21"/>
              </w:rPr>
            </w:pPr>
            <w:r/>
          </w:p>
          <w:p>
            <w:pPr>
              <w:ind w:left="793" w:right="181"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49" w:type="dxa"/>
            <w:vAlign w:val="top"/>
            <w:vMerge w:val="restart"/>
            <w:tcBorders>
              <w:bottom w:val="nil"/>
            </w:tcBorders>
          </w:tcPr>
          <w:p>
            <w:pPr>
              <w:spacing w:line="446" w:lineRule="auto"/>
              <w:rPr>
                <w:rFonts w:ascii="Arial"/>
                <w:sz w:val="21"/>
              </w:rPr>
            </w:pPr>
            <w:r/>
          </w:p>
          <w:p>
            <w:pPr>
              <w:ind w:left="36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81" w:type="dxa"/>
            <w:vAlign w:val="top"/>
          </w:tcPr>
          <w:p>
            <w:pPr>
              <w:ind w:left="53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215" w:type="dxa"/>
            <w:vAlign w:val="top"/>
            <w:vMerge w:val="continue"/>
            <w:tcBorders>
              <w:top w:val="nil"/>
              <w:bottom w:val="nil"/>
            </w:tcBorders>
          </w:tcPr>
          <w:p>
            <w:pPr>
              <w:rPr>
                <w:rFonts w:ascii="Arial"/>
                <w:sz w:val="21"/>
              </w:rPr>
            </w:pPr>
            <w:r/>
          </w:p>
        </w:tc>
        <w:tc>
          <w:tcPr>
            <w:tcW w:w="1804" w:type="dxa"/>
            <w:vAlign w:val="top"/>
            <w:vMerge w:val="continue"/>
            <w:tcBorders>
              <w:top w:val="nil"/>
              <w:bottom w:val="nil"/>
            </w:tcBorders>
          </w:tcPr>
          <w:p>
            <w:pPr>
              <w:rPr>
                <w:rFonts w:ascii="Arial"/>
                <w:sz w:val="21"/>
              </w:rPr>
            </w:pPr>
            <w:r/>
          </w:p>
        </w:tc>
        <w:tc>
          <w:tcPr>
            <w:tcW w:w="1049" w:type="dxa"/>
            <w:vAlign w:val="top"/>
            <w:vMerge w:val="continue"/>
            <w:tcBorders>
              <w:top w:val="nil"/>
              <w:bottom w:val="nil"/>
            </w:tcBorders>
          </w:tcPr>
          <w:p>
            <w:pPr>
              <w:rPr>
                <w:rFonts w:ascii="Arial"/>
                <w:sz w:val="21"/>
              </w:rPr>
            </w:pPr>
            <w:r/>
          </w:p>
        </w:tc>
        <w:tc>
          <w:tcPr>
            <w:tcW w:w="3201" w:type="dxa"/>
            <w:vAlign w:val="top"/>
          </w:tcPr>
          <w:p>
            <w:pPr>
              <w:ind w:left="12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81" w:type="dxa"/>
            <w:vAlign w:val="top"/>
          </w:tcPr>
          <w:p>
            <w:pPr>
              <w:ind w:left="48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04" w:type="dxa"/>
            <w:vAlign w:val="top"/>
            <w:vMerge w:val="continue"/>
            <w:tcBorders>
              <w:top w:val="nil"/>
              <w:bottom w:val="nil"/>
            </w:tcBorders>
          </w:tcPr>
          <w:p>
            <w:pPr>
              <w:rPr>
                <w:rFonts w:ascii="Arial"/>
                <w:sz w:val="21"/>
              </w:rPr>
            </w:pPr>
            <w:r/>
          </w:p>
        </w:tc>
        <w:tc>
          <w:tcPr>
            <w:tcW w:w="1049" w:type="dxa"/>
            <w:vAlign w:val="top"/>
            <w:vMerge w:val="continue"/>
            <w:tcBorders>
              <w:top w:val="nil"/>
              <w:bottom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81" w:type="dxa"/>
            <w:vAlign w:val="top"/>
          </w:tcPr>
          <w:p>
            <w:pPr>
              <w:ind w:left="48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04"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3201" w:type="dxa"/>
            <w:vAlign w:val="top"/>
          </w:tcPr>
          <w:p>
            <w:pPr>
              <w:ind w:left="13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81" w:type="dxa"/>
            <w:vAlign w:val="top"/>
          </w:tcPr>
          <w:p>
            <w:pPr>
              <w:ind w:left="47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1" w:lineRule="auto"/>
              <w:rPr>
                <w:rFonts w:ascii="Arial"/>
                <w:sz w:val="21"/>
              </w:rPr>
            </w:pPr>
            <w:r/>
          </w:p>
          <w:p>
            <w:pPr>
              <w:ind w:left="13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04" w:type="dxa"/>
            <w:vAlign w:val="top"/>
            <w:vMerge w:val="restart"/>
            <w:tcBorders>
              <w:bottom w:val="nil"/>
            </w:tcBorders>
          </w:tcPr>
          <w:p>
            <w:pPr>
              <w:spacing w:line="442" w:lineRule="auto"/>
              <w:rPr>
                <w:rFonts w:ascii="Arial"/>
                <w:sz w:val="21"/>
              </w:rPr>
            </w:pPr>
            <w:r/>
          </w:p>
          <w:p>
            <w:pPr>
              <w:ind w:left="22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49" w:type="dxa"/>
            <w:vAlign w:val="top"/>
            <w:vMerge w:val="restart"/>
            <w:tcBorders>
              <w:bottom w:val="nil"/>
            </w:tcBorders>
          </w:tcPr>
          <w:p>
            <w:pPr>
              <w:spacing w:line="441" w:lineRule="auto"/>
              <w:rPr>
                <w:rFonts w:ascii="Arial"/>
                <w:sz w:val="21"/>
              </w:rPr>
            </w:pPr>
            <w:r/>
          </w:p>
          <w:p>
            <w:pPr>
              <w:ind w:left="36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81" w:type="dxa"/>
            <w:vAlign w:val="top"/>
          </w:tcPr>
          <w:p>
            <w:pPr>
              <w:ind w:left="54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215" w:type="dxa"/>
            <w:vAlign w:val="top"/>
            <w:vMerge w:val="continue"/>
            <w:tcBorders>
              <w:top w:val="nil"/>
              <w:bottom w:val="nil"/>
            </w:tcBorders>
          </w:tcPr>
          <w:p>
            <w:pPr>
              <w:rPr>
                <w:rFonts w:ascii="Arial"/>
                <w:sz w:val="21"/>
              </w:rPr>
            </w:pPr>
            <w:r/>
          </w:p>
        </w:tc>
        <w:tc>
          <w:tcPr>
            <w:tcW w:w="1804" w:type="dxa"/>
            <w:vAlign w:val="top"/>
            <w:vMerge w:val="continue"/>
            <w:tcBorders>
              <w:top w:val="nil"/>
              <w:bottom w:val="nil"/>
            </w:tcBorders>
          </w:tcPr>
          <w:p>
            <w:pPr>
              <w:rPr>
                <w:rFonts w:ascii="Arial"/>
                <w:sz w:val="21"/>
              </w:rPr>
            </w:pPr>
            <w:r/>
          </w:p>
        </w:tc>
        <w:tc>
          <w:tcPr>
            <w:tcW w:w="1049"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81" w:type="dxa"/>
            <w:vAlign w:val="top"/>
          </w:tcPr>
          <w:p>
            <w:pPr>
              <w:ind w:left="361"/>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04"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81" w:type="dxa"/>
            <w:vAlign w:val="top"/>
          </w:tcPr>
          <w:p>
            <w:pPr>
              <w:ind w:left="29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5" w:right="124"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04" w:type="dxa"/>
            <w:vAlign w:val="top"/>
            <w:vMerge w:val="restart"/>
            <w:tcBorders>
              <w:bottom w:val="nil"/>
            </w:tcBorders>
          </w:tcPr>
          <w:p>
            <w:pPr>
              <w:ind w:left="663" w:right="181"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49" w:type="dxa"/>
            <w:vAlign w:val="top"/>
            <w:vMerge w:val="restart"/>
            <w:tcBorders>
              <w:bottom w:val="nil"/>
            </w:tcBorders>
          </w:tcPr>
          <w:p>
            <w:pPr>
              <w:ind w:left="368"/>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81" w:type="dxa"/>
            <w:vAlign w:val="top"/>
          </w:tcPr>
          <w:p>
            <w:pPr>
              <w:ind w:left="30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04"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81" w:type="dxa"/>
            <w:vAlign w:val="top"/>
          </w:tcPr>
          <w:p>
            <w:pPr>
              <w:ind w:left="54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39" w:hRule="atLeast"/>
        </w:trPr>
        <w:tc>
          <w:tcPr>
            <w:tcW w:w="1215" w:type="dxa"/>
            <w:vAlign w:val="top"/>
            <w:vMerge w:val="restart"/>
            <w:tcBorders>
              <w:bottom w:val="nil"/>
            </w:tcBorders>
          </w:tcPr>
          <w:p>
            <w:pPr>
              <w:ind w:left="127" w:right="124" w:firstLine="9"/>
              <w:spacing w:before="15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04" w:type="dxa"/>
            <w:vAlign w:val="top"/>
            <w:vMerge w:val="restart"/>
            <w:tcBorders>
              <w:bottom w:val="nil"/>
            </w:tcBorders>
          </w:tcPr>
          <w:p>
            <w:pPr>
              <w:ind w:left="183"/>
              <w:spacing w:before="15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94"/>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94"/>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49" w:type="dxa"/>
            <w:vAlign w:val="top"/>
            <w:vMerge w:val="restart"/>
            <w:tcBorders>
              <w:bottom w:val="nil"/>
            </w:tcBorders>
          </w:tcPr>
          <w:p>
            <w:pPr>
              <w:spacing w:line="391" w:lineRule="auto"/>
              <w:rPr>
                <w:rFonts w:ascii="Arial"/>
                <w:sz w:val="21"/>
              </w:rPr>
            </w:pPr>
            <w:r/>
          </w:p>
          <w:p>
            <w:pPr>
              <w:ind w:left="36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5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81" w:type="dxa"/>
            <w:vAlign w:val="top"/>
          </w:tcPr>
          <w:p>
            <w:pPr>
              <w:ind w:left="371"/>
              <w:spacing w:before="15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04"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81" w:type="dxa"/>
            <w:vAlign w:val="top"/>
          </w:tcPr>
          <w:p>
            <w:pPr>
              <w:ind w:left="61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04"/>
          <w:pgSz w:w="11905" w:h="16839"/>
          <w:pgMar w:top="1431" w:right="1675" w:bottom="1156" w:left="1674" w:header="0" w:footer="994" w:gutter="0"/>
        </w:sectPr>
        <w:rPr/>
      </w:pPr>
    </w:p>
    <w:p>
      <w:pPr>
        <w:spacing w:before="92"/>
        <w:rPr/>
      </w:pPr>
      <w:r/>
    </w:p>
    <w:p>
      <w:pPr>
        <w:spacing w:before="91"/>
        <w:rPr/>
      </w:pPr>
      <w:r/>
    </w:p>
    <w:tbl>
      <w:tblPr>
        <w:tblStyle w:val="TableNormal"/>
        <w:tblW w:w="84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72"/>
        <w:gridCol w:w="1081"/>
        <w:gridCol w:w="3201"/>
        <w:gridCol w:w="1131"/>
      </w:tblGrid>
      <w:tr>
        <w:trPr>
          <w:trHeight w:val="720" w:hRule="atLeast"/>
        </w:trPr>
        <w:tc>
          <w:tcPr>
            <w:tcW w:w="8400" w:type="dxa"/>
            <w:vAlign w:val="top"/>
            <w:gridSpan w:val="5"/>
          </w:tcPr>
          <w:p>
            <w:pPr>
              <w:ind w:left="19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85" w:type="dxa"/>
            <w:vAlign w:val="top"/>
            <w:gridSpan w:val="4"/>
          </w:tcPr>
          <w:p>
            <w:pPr>
              <w:ind w:left="3485"/>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44</w:t>
            </w:r>
          </w:p>
        </w:tc>
      </w:tr>
      <w:tr>
        <w:trPr>
          <w:trHeight w:val="979" w:hRule="atLeast"/>
        </w:trPr>
        <w:tc>
          <w:tcPr>
            <w:tcW w:w="1215" w:type="dxa"/>
            <w:vAlign w:val="top"/>
          </w:tcPr>
          <w:p>
            <w:pPr>
              <w:spacing w:line="257" w:lineRule="auto"/>
              <w:rPr>
                <w:rFonts w:ascii="Arial"/>
                <w:sz w:val="21"/>
              </w:rPr>
            </w:pPr>
            <w:r/>
          </w:p>
          <w:p>
            <w:pPr>
              <w:ind w:left="5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85" w:type="dxa"/>
            <w:vAlign w:val="top"/>
            <w:gridSpan w:val="4"/>
          </w:tcPr>
          <w:p>
            <w:pPr>
              <w:ind w:left="20" w:right="16" w:hanging="1"/>
              <w:spacing w:before="53"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钢铁、建材、有色金属、石油、化工、制药、矿产开采等企业，未采</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取集中收集处理、密闭、围挡、遮盖、清扫、洒水等措施，控制、减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少粉尘和气态污染物排放的</w:t>
            </w:r>
          </w:p>
        </w:tc>
      </w:tr>
      <w:tr>
        <w:trPr>
          <w:trHeight w:val="4443" w:hRule="atLeast"/>
        </w:trPr>
        <w:tc>
          <w:tcPr>
            <w:tcW w:w="1215"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85" w:type="dxa"/>
            <w:vAlign w:val="top"/>
            <w:gridSpan w:val="4"/>
          </w:tcPr>
          <w:p>
            <w:pPr>
              <w:ind w:left="36"/>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.《中华人民共和国大气污染防治法》</w:t>
            </w:r>
          </w:p>
          <w:p>
            <w:pPr>
              <w:ind w:left="23" w:right="14" w:firstLine="9"/>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钢铁、建材、有色金属、石油、化工、制药、矿</w:t>
            </w:r>
            <w:r>
              <w:rPr>
                <w:rFonts w:ascii="FangSong_GB2312" w:hAnsi="FangSong_GB2312" w:eastAsia="FangSong_GB2312" w:cs="FangSong_GB2312"/>
                <w:sz w:val="24"/>
                <w:szCs w:val="24"/>
                <w:spacing w:val="-2"/>
              </w:rPr>
              <w:t>产开采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等企业，应当加强精细化管理，采取集中收集处理等措施，严格控制</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粉尘和气态污染物的排放。</w:t>
            </w:r>
          </w:p>
          <w:p>
            <w:pPr>
              <w:ind w:left="53" w:hanging="27"/>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工业生产企业应当采取密闭、围挡、遮盖、清扫、洒水等措施，减少</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0"/>
              </w:rPr>
              <w:t>内部物料的堆存、传输、装卸等环节产生的粉尘和气态污</w:t>
            </w:r>
            <w:r>
              <w:rPr>
                <w:rFonts w:ascii="FangSong_GB2312" w:hAnsi="FangSong_GB2312" w:eastAsia="FangSong_GB2312" w:cs="FangSong_GB2312"/>
                <w:sz w:val="24"/>
                <w:szCs w:val="24"/>
                <w:spacing w:val="-11"/>
              </w:rPr>
              <w:t>染物的排放。</w:t>
            </w:r>
          </w:p>
          <w:p>
            <w:pPr>
              <w:spacing w:line="273"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2" w:right="83" w:firstLine="10"/>
              <w:spacing w:before="35"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政府生态环境主管部门责令改正，处二万元以上二十万元以下的罚</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款；拒不改正的，责令停产整治：</w:t>
            </w:r>
          </w:p>
          <w:p>
            <w:pPr>
              <w:ind w:left="23" w:right="27" w:hanging="7"/>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钢铁、建材、有色金属、石油、化工、制药、</w:t>
            </w:r>
            <w:r>
              <w:rPr>
                <w:rFonts w:ascii="FangSong_GB2312" w:hAnsi="FangSong_GB2312" w:eastAsia="FangSong_GB2312" w:cs="FangSong_GB2312"/>
                <w:sz w:val="24"/>
                <w:szCs w:val="24"/>
                <w:spacing w:val="-1"/>
              </w:rPr>
              <w:t>矿产开采等企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业，未采取集中收集处理、密闭、围挡、遮盖、清扫、洒水等措施，</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控制、减少粉尘和气态污染物排放的；</w:t>
            </w:r>
          </w:p>
        </w:tc>
      </w:tr>
      <w:tr>
        <w:trPr>
          <w:trHeight w:val="635" w:hRule="atLeast"/>
        </w:trPr>
        <w:tc>
          <w:tcPr>
            <w:tcW w:w="4068" w:type="dxa"/>
            <w:vAlign w:val="top"/>
            <w:gridSpan w:val="3"/>
          </w:tcPr>
          <w:p>
            <w:pPr>
              <w:ind w:left="1482"/>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32" w:type="dxa"/>
            <w:vAlign w:val="top"/>
            <w:gridSpan w:val="2"/>
          </w:tcPr>
          <w:p>
            <w:pPr>
              <w:ind w:left="162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7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72" w:type="dxa"/>
            <w:vAlign w:val="top"/>
          </w:tcPr>
          <w:p>
            <w:pPr>
              <w:ind w:left="456"/>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81" w:type="dxa"/>
            <w:vAlign w:val="top"/>
          </w:tcPr>
          <w:p>
            <w:pPr>
              <w:ind w:left="356" w:right="318"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31" w:type="dxa"/>
            <w:vAlign w:val="top"/>
          </w:tcPr>
          <w:p>
            <w:pPr>
              <w:ind w:left="249"/>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ind w:left="258" w:right="125"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72"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7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81"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3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1" w:right="210" w:hanging="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应密闭未密闭，未能有效控</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制、减少污染物排放的</w:t>
            </w:r>
          </w:p>
        </w:tc>
        <w:tc>
          <w:tcPr>
            <w:tcW w:w="1131" w:type="dxa"/>
            <w:vAlign w:val="top"/>
          </w:tcPr>
          <w:p>
            <w:pPr>
              <w:ind w:left="226"/>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215" w:type="dxa"/>
            <w:vAlign w:val="top"/>
            <w:vMerge w:val="continue"/>
            <w:tcBorders>
              <w:top w:val="nil"/>
              <w:bottom w:val="nil"/>
            </w:tcBorders>
          </w:tcPr>
          <w:p>
            <w:pPr>
              <w:rPr>
                <w:rFonts w:ascii="Arial"/>
                <w:sz w:val="21"/>
              </w:rPr>
            </w:pPr>
            <w:r/>
          </w:p>
        </w:tc>
        <w:tc>
          <w:tcPr>
            <w:tcW w:w="1772" w:type="dxa"/>
            <w:vAlign w:val="top"/>
            <w:vMerge w:val="continue"/>
            <w:tcBorders>
              <w:top w:val="nil"/>
              <w:bottom w:val="nil"/>
            </w:tcBorders>
          </w:tcPr>
          <w:p>
            <w:pPr>
              <w:rPr>
                <w:rFonts w:ascii="Arial"/>
                <w:sz w:val="21"/>
              </w:rPr>
            </w:pPr>
            <w:r/>
          </w:p>
        </w:tc>
        <w:tc>
          <w:tcPr>
            <w:tcW w:w="1081" w:type="dxa"/>
            <w:vAlign w:val="top"/>
            <w:vMerge w:val="continue"/>
            <w:tcBorders>
              <w:top w:val="nil"/>
              <w:bottom w:val="nil"/>
            </w:tcBorders>
          </w:tcPr>
          <w:p>
            <w:pPr>
              <w:rPr>
                <w:rFonts w:ascii="Arial"/>
                <w:sz w:val="21"/>
              </w:rPr>
            </w:pPr>
            <w:r/>
          </w:p>
        </w:tc>
        <w:tc>
          <w:tcPr>
            <w:tcW w:w="3201" w:type="dxa"/>
            <w:vAlign w:val="top"/>
          </w:tcPr>
          <w:p>
            <w:pPr>
              <w:ind w:left="121" w:right="210" w:hanging="1"/>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应采取集中收集处理未采取</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的，未能有效控制、减少污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染物排放的</w:t>
            </w:r>
          </w:p>
        </w:tc>
        <w:tc>
          <w:tcPr>
            <w:tcW w:w="1131" w:type="dxa"/>
            <w:vAlign w:val="top"/>
          </w:tcPr>
          <w:p>
            <w:pPr>
              <w:spacing w:line="277"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50" w:hRule="atLeast"/>
        </w:trPr>
        <w:tc>
          <w:tcPr>
            <w:tcW w:w="1215"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3201" w:type="dxa"/>
            <w:vAlign w:val="top"/>
          </w:tcPr>
          <w:p>
            <w:pPr>
              <w:ind w:left="120" w:right="210"/>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应密闭未密闭且应采取集中</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收集处理未采取的，未能有</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效控制、减少污染物排放的</w:t>
            </w:r>
          </w:p>
        </w:tc>
        <w:tc>
          <w:tcPr>
            <w:tcW w:w="1131" w:type="dxa"/>
            <w:vAlign w:val="top"/>
          </w:tcPr>
          <w:p>
            <w:pPr>
              <w:spacing w:line="279" w:lineRule="auto"/>
              <w:rPr>
                <w:rFonts w:ascii="Arial"/>
                <w:sz w:val="21"/>
              </w:rPr>
            </w:pPr>
            <w:r/>
          </w:p>
          <w:p>
            <w:pPr>
              <w:ind w:left="16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72" w:type="dxa"/>
            <w:vAlign w:val="top"/>
            <w:vMerge w:val="restart"/>
            <w:tcBorders>
              <w:bottom w:val="nil"/>
            </w:tcBorders>
          </w:tcPr>
          <w:p>
            <w:pPr>
              <w:spacing w:line="295" w:lineRule="auto"/>
              <w:rPr>
                <w:rFonts w:ascii="Arial"/>
                <w:sz w:val="21"/>
              </w:rPr>
            </w:pPr>
            <w:r/>
          </w:p>
          <w:p>
            <w:pPr>
              <w:ind w:left="778" w:right="164"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81" w:type="dxa"/>
            <w:vAlign w:val="top"/>
            <w:vMerge w:val="restart"/>
            <w:tcBorders>
              <w:bottom w:val="nil"/>
            </w:tcBorders>
          </w:tcPr>
          <w:p>
            <w:pPr>
              <w:spacing w:line="448" w:lineRule="auto"/>
              <w:rPr>
                <w:rFonts w:ascii="Arial"/>
                <w:sz w:val="21"/>
              </w:rPr>
            </w:pPr>
            <w:r/>
          </w:p>
          <w:p>
            <w:pPr>
              <w:ind w:left="3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31" w:type="dxa"/>
            <w:vAlign w:val="top"/>
          </w:tcPr>
          <w:p>
            <w:pPr>
              <w:ind w:left="46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772" w:type="dxa"/>
            <w:vAlign w:val="top"/>
            <w:vMerge w:val="continue"/>
            <w:tcBorders>
              <w:top w:val="nil"/>
              <w:bottom w:val="nil"/>
            </w:tcBorders>
          </w:tcPr>
          <w:p>
            <w:pPr>
              <w:rPr>
                <w:rFonts w:ascii="Arial"/>
                <w:sz w:val="21"/>
              </w:rPr>
            </w:pPr>
            <w:r/>
          </w:p>
        </w:tc>
        <w:tc>
          <w:tcPr>
            <w:tcW w:w="1081"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31" w:type="dxa"/>
            <w:vAlign w:val="top"/>
          </w:tcPr>
          <w:p>
            <w:pPr>
              <w:ind w:left="4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772" w:type="dxa"/>
            <w:vAlign w:val="top"/>
            <w:vMerge w:val="continue"/>
            <w:tcBorders>
              <w:top w:val="nil"/>
              <w:bottom w:val="nil"/>
            </w:tcBorders>
          </w:tcPr>
          <w:p>
            <w:pPr>
              <w:rPr>
                <w:rFonts w:ascii="Arial"/>
                <w:sz w:val="21"/>
              </w:rPr>
            </w:pPr>
            <w:r/>
          </w:p>
        </w:tc>
        <w:tc>
          <w:tcPr>
            <w:tcW w:w="1081" w:type="dxa"/>
            <w:vAlign w:val="top"/>
            <w:vMerge w:val="continue"/>
            <w:tcBorders>
              <w:top w:val="nil"/>
              <w:bottom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31" w:type="dxa"/>
            <w:vAlign w:val="top"/>
          </w:tcPr>
          <w:p>
            <w:pPr>
              <w:ind w:left="40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31" w:type="dxa"/>
            <w:vAlign w:val="top"/>
          </w:tcPr>
          <w:p>
            <w:pPr>
              <w:ind w:left="40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284"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72" w:type="dxa"/>
            <w:vAlign w:val="top"/>
            <w:vMerge w:val="restart"/>
            <w:tcBorders>
              <w:bottom w:val="nil"/>
            </w:tcBorders>
          </w:tcPr>
          <w:p>
            <w:pPr>
              <w:spacing w:line="285" w:lineRule="auto"/>
              <w:rPr>
                <w:rFonts w:ascii="Arial"/>
                <w:sz w:val="21"/>
              </w:rPr>
            </w:pPr>
            <w:r/>
          </w:p>
          <w:p>
            <w:pPr>
              <w:ind w:left="16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81" w:type="dxa"/>
            <w:vAlign w:val="top"/>
            <w:vMerge w:val="restart"/>
            <w:tcBorders>
              <w:bottom w:val="nil"/>
            </w:tcBorders>
          </w:tcPr>
          <w:p>
            <w:pPr>
              <w:spacing w:line="284" w:lineRule="auto"/>
              <w:rPr>
                <w:rFonts w:ascii="Arial"/>
                <w:sz w:val="21"/>
              </w:rPr>
            </w:pPr>
            <w:r/>
          </w:p>
          <w:p>
            <w:pPr>
              <w:ind w:left="3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31" w:type="dxa"/>
            <w:vAlign w:val="top"/>
          </w:tcPr>
          <w:p>
            <w:pPr>
              <w:ind w:left="46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215"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3201" w:type="dxa"/>
            <w:vAlign w:val="top"/>
          </w:tcPr>
          <w:p>
            <w:pPr>
              <w:ind w:left="122" w:right="210"/>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31" w:type="dxa"/>
            <w:vAlign w:val="top"/>
          </w:tcPr>
          <w:p>
            <w:pPr>
              <w:ind w:left="28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105"/>
          <w:pgSz w:w="11905" w:h="16839"/>
          <w:pgMar w:top="1431" w:right="1750" w:bottom="1156" w:left="1749" w:header="0" w:footer="994" w:gutter="0"/>
        </w:sectPr>
        <w:rPr/>
      </w:pPr>
    </w:p>
    <w:p>
      <w:pPr>
        <w:spacing w:before="92"/>
        <w:rPr/>
      </w:pPr>
      <w:r/>
    </w:p>
    <w:p>
      <w:pPr>
        <w:spacing w:before="91"/>
        <w:rPr/>
      </w:pPr>
      <w:r/>
    </w:p>
    <w:tbl>
      <w:tblPr>
        <w:tblStyle w:val="TableNormal"/>
        <w:tblW w:w="84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72"/>
        <w:gridCol w:w="1081"/>
        <w:gridCol w:w="3201"/>
        <w:gridCol w:w="1131"/>
      </w:tblGrid>
      <w:tr>
        <w:trPr>
          <w:trHeight w:val="324" w:hRule="atLeast"/>
        </w:trPr>
        <w:tc>
          <w:tcPr>
            <w:tcW w:w="1215" w:type="dxa"/>
            <w:vAlign w:val="top"/>
          </w:tcPr>
          <w:p>
            <w:pPr>
              <w:rPr>
                <w:rFonts w:ascii="Arial"/>
                <w:sz w:val="21"/>
              </w:rPr>
            </w:pPr>
            <w:r/>
          </w:p>
        </w:tc>
        <w:tc>
          <w:tcPr>
            <w:tcW w:w="1772" w:type="dxa"/>
            <w:vAlign w:val="top"/>
          </w:tcPr>
          <w:p>
            <w:pPr>
              <w:rPr>
                <w:rFonts w:ascii="Arial"/>
                <w:sz w:val="21"/>
              </w:rPr>
            </w:pPr>
            <w:r/>
          </w:p>
        </w:tc>
        <w:tc>
          <w:tcPr>
            <w:tcW w:w="1081" w:type="dxa"/>
            <w:vAlign w:val="top"/>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31" w:type="dxa"/>
            <w:vAlign w:val="top"/>
          </w:tcPr>
          <w:p>
            <w:pPr>
              <w:ind w:left="22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215" w:type="dxa"/>
            <w:vAlign w:val="top"/>
            <w:vMerge w:val="restart"/>
            <w:tcBorders>
              <w:bottom w:val="nil"/>
            </w:tcBorders>
          </w:tcPr>
          <w:p>
            <w:pPr>
              <w:ind w:left="134" w:right="125"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72" w:type="dxa"/>
            <w:vAlign w:val="top"/>
            <w:vMerge w:val="restart"/>
            <w:tcBorders>
              <w:bottom w:val="nil"/>
            </w:tcBorders>
          </w:tcPr>
          <w:p>
            <w:pPr>
              <w:ind w:left="648" w:right="164"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81" w:type="dxa"/>
            <w:vAlign w:val="top"/>
            <w:vMerge w:val="restart"/>
            <w:tcBorders>
              <w:bottom w:val="nil"/>
            </w:tcBorders>
          </w:tcPr>
          <w:p>
            <w:pPr>
              <w:ind w:left="3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31" w:type="dxa"/>
            <w:vAlign w:val="top"/>
          </w:tcPr>
          <w:p>
            <w:pPr>
              <w:ind w:left="2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215"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3201"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31" w:type="dxa"/>
            <w:vAlign w:val="top"/>
          </w:tcPr>
          <w:p>
            <w:pPr>
              <w:ind w:left="46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39" w:hRule="atLeast"/>
        </w:trPr>
        <w:tc>
          <w:tcPr>
            <w:tcW w:w="1215" w:type="dxa"/>
            <w:vAlign w:val="top"/>
            <w:vMerge w:val="restart"/>
            <w:tcBorders>
              <w:bottom w:val="nil"/>
            </w:tcBorders>
          </w:tcPr>
          <w:p>
            <w:pPr>
              <w:ind w:left="127" w:right="125" w:firstLine="9"/>
              <w:spacing w:before="15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72" w:type="dxa"/>
            <w:vAlign w:val="top"/>
            <w:vMerge w:val="restart"/>
            <w:tcBorders>
              <w:bottom w:val="nil"/>
            </w:tcBorders>
          </w:tcPr>
          <w:p>
            <w:pPr>
              <w:ind w:left="168"/>
              <w:spacing w:before="15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79"/>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79"/>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81" w:type="dxa"/>
            <w:vAlign w:val="top"/>
            <w:vMerge w:val="restart"/>
            <w:tcBorders>
              <w:bottom w:val="nil"/>
            </w:tcBorders>
          </w:tcPr>
          <w:p>
            <w:pPr>
              <w:spacing w:line="391" w:lineRule="auto"/>
              <w:rPr>
                <w:rFonts w:ascii="Arial"/>
                <w:sz w:val="21"/>
              </w:rPr>
            </w:pPr>
            <w:r/>
          </w:p>
          <w:p>
            <w:pPr>
              <w:ind w:left="3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5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31" w:type="dxa"/>
            <w:vAlign w:val="top"/>
          </w:tcPr>
          <w:p>
            <w:pPr>
              <w:ind w:left="253"/>
              <w:spacing w:before="15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215"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3201" w:type="dxa"/>
            <w:vAlign w:val="top"/>
          </w:tcPr>
          <w:p>
            <w:pPr>
              <w:ind w:left="135" w:right="210"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31" w:type="dxa"/>
            <w:vAlign w:val="top"/>
          </w:tcPr>
          <w:p>
            <w:pPr>
              <w:ind w:left="468"/>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06"/>
          <w:pgSz w:w="11905" w:h="16839"/>
          <w:pgMar w:top="1431" w:right="1750" w:bottom="1156" w:left="1749" w:header="0" w:footer="994" w:gutter="0"/>
        </w:sectPr>
        <w:rPr/>
      </w:pPr>
    </w:p>
    <w:p>
      <w:pPr>
        <w:spacing w:before="92"/>
        <w:rPr/>
      </w:pPr>
      <w:r/>
    </w:p>
    <w:p>
      <w:pPr>
        <w:spacing w:before="91"/>
        <w:rPr/>
      </w:pPr>
      <w:r/>
    </w:p>
    <w:tbl>
      <w:tblPr>
        <w:tblStyle w:val="TableNormal"/>
        <w:tblW w:w="84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68"/>
        <w:gridCol w:w="985"/>
        <w:gridCol w:w="3201"/>
        <w:gridCol w:w="1131"/>
      </w:tblGrid>
      <w:tr>
        <w:trPr>
          <w:trHeight w:val="720" w:hRule="atLeast"/>
        </w:trPr>
        <w:tc>
          <w:tcPr>
            <w:tcW w:w="8400" w:type="dxa"/>
            <w:vAlign w:val="top"/>
            <w:gridSpan w:val="5"/>
          </w:tcPr>
          <w:p>
            <w:pPr>
              <w:ind w:left="19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85" w:type="dxa"/>
            <w:vAlign w:val="top"/>
            <w:gridSpan w:val="4"/>
          </w:tcPr>
          <w:p>
            <w:pPr>
              <w:ind w:left="3485"/>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45</w:t>
            </w:r>
          </w:p>
        </w:tc>
      </w:tr>
      <w:tr>
        <w:trPr>
          <w:trHeight w:val="979" w:hRule="atLeast"/>
        </w:trPr>
        <w:tc>
          <w:tcPr>
            <w:tcW w:w="1215" w:type="dxa"/>
            <w:vAlign w:val="top"/>
          </w:tcPr>
          <w:p>
            <w:pPr>
              <w:spacing w:line="257" w:lineRule="auto"/>
              <w:rPr>
                <w:rFonts w:ascii="Arial"/>
                <w:sz w:val="21"/>
              </w:rPr>
            </w:pPr>
            <w:r/>
          </w:p>
          <w:p>
            <w:pPr>
              <w:ind w:left="5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85" w:type="dxa"/>
            <w:vAlign w:val="top"/>
            <w:gridSpan w:val="4"/>
          </w:tcPr>
          <w:p>
            <w:pPr>
              <w:ind w:left="20" w:right="14" w:firstLine="5"/>
              <w:spacing w:before="5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工业生产、垃圾填埋或者其他活动中产生的可燃性气体未回收利</w:t>
            </w:r>
            <w:r>
              <w:rPr>
                <w:rFonts w:ascii="FangSong_GB2312" w:hAnsi="FangSong_GB2312" w:eastAsia="FangSong_GB2312" w:cs="FangSong_GB2312"/>
                <w:sz w:val="24"/>
                <w:szCs w:val="24"/>
                <w:spacing w:val="-3"/>
              </w:rPr>
              <w:t>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不具备回收利用条件未进行防治污染处理，或者可燃性气体回收利用</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装置不能正常作业，未及时修复或者更新的</w:t>
            </w:r>
          </w:p>
        </w:tc>
      </w:tr>
      <w:tr>
        <w:trPr>
          <w:trHeight w:val="7907" w:hRule="atLeast"/>
        </w:trPr>
        <w:tc>
          <w:tcPr>
            <w:tcW w:w="1215"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85" w:type="dxa"/>
            <w:vAlign w:val="top"/>
            <w:gridSpan w:val="4"/>
          </w:tcPr>
          <w:p>
            <w:pPr>
              <w:ind w:left="36"/>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.《中华人民共和国大气污染防治法》</w:t>
            </w:r>
          </w:p>
          <w:p>
            <w:pPr>
              <w:ind w:left="50" w:right="86" w:hanging="17"/>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工业生产、垃圾填埋或者其他活动产生的可燃性</w:t>
            </w:r>
            <w:r>
              <w:rPr>
                <w:rFonts w:ascii="FangSong_GB2312" w:hAnsi="FangSong_GB2312" w:eastAsia="FangSong_GB2312" w:cs="FangSong_GB2312"/>
                <w:sz w:val="24"/>
                <w:szCs w:val="24"/>
                <w:spacing w:val="-2"/>
              </w:rPr>
              <w:t>气体应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当回收利用，不具备回收利用条件的，应当进行污染防治处理。</w:t>
            </w:r>
          </w:p>
          <w:p>
            <w:pPr>
              <w:ind w:left="21" w:right="14" w:firstLine="9"/>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可燃性气体回收利用装置不能正常作业的，应当及时</w:t>
            </w:r>
            <w:r>
              <w:rPr>
                <w:rFonts w:ascii="FangSong_GB2312" w:hAnsi="FangSong_GB2312" w:eastAsia="FangSong_GB2312" w:cs="FangSong_GB2312"/>
                <w:sz w:val="24"/>
                <w:szCs w:val="24"/>
                <w:spacing w:val="-3"/>
              </w:rPr>
              <w:t>修复或者更新。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在回收利用装置不能正常作业期间确需排放可燃性气体的，应当将排</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放的可燃性气体充分燃烧或者采取其他控制大气污染物排放的措施，</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并向当地生态环境主管部门报告，按照要求限期修复或者更新。</w:t>
            </w:r>
          </w:p>
          <w:p>
            <w:pPr>
              <w:spacing w:line="274"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2" w:right="83" w:firstLine="10"/>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政府生态环境主管部门责令改正，处二万元以上二十万元以下的罚</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款；拒不改正的，责令停产整治：</w:t>
            </w:r>
          </w:p>
          <w:p>
            <w:pPr>
              <w:ind w:left="17" w:right="14" w:hanging="1"/>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（六）工业生产、垃圾填埋或者其他活动中产生的可燃性气体未回收</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利用，不具备回收利用条件未进行防治污染处理，或者可燃性气体回</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收利用装置不能正常作业，未及时修复或者更新的。</w:t>
            </w:r>
          </w:p>
          <w:p>
            <w:pPr>
              <w:spacing w:line="273" w:lineRule="auto"/>
              <w:rPr>
                <w:rFonts w:ascii="Arial"/>
                <w:sz w:val="21"/>
              </w:rPr>
            </w:pPr>
            <w:r/>
          </w:p>
          <w:p>
            <w:pPr>
              <w:ind w:left="3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《河北省大气污染防治条例》</w:t>
            </w:r>
          </w:p>
          <w:p>
            <w:pPr>
              <w:ind w:left="25" w:right="14" w:firstLine="7"/>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违反本条例规定，有下列行为之一的，由县级以上人民</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政府环境保护主管部门责令改正，处二万元以上五万元以下罚款；情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节较重的，处五万元以上十万元以下罚款；情节严重的，处十万元以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上二十万元以下罚款；拒不改正的，责令停产整治或者报经有批准权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的人民政府批准，责令停业、关闭：</w:t>
            </w:r>
          </w:p>
          <w:p>
            <w:pPr>
              <w:ind w:left="17" w:right="14" w:hanging="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（三）工业生产、垃圾填埋或者其他活动中产生的可燃性气体未回收</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利用，不具备回收利用条件未进行防治污染处理，或者可燃性气体回</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收利用装置不能正常作业，未及时修复或者更新的；</w:t>
            </w:r>
          </w:p>
        </w:tc>
      </w:tr>
      <w:tr>
        <w:trPr>
          <w:trHeight w:val="635" w:hRule="atLeast"/>
        </w:trPr>
        <w:tc>
          <w:tcPr>
            <w:tcW w:w="4068" w:type="dxa"/>
            <w:vAlign w:val="top"/>
            <w:gridSpan w:val="3"/>
          </w:tcPr>
          <w:p>
            <w:pPr>
              <w:ind w:left="148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32" w:type="dxa"/>
            <w:vAlign w:val="top"/>
            <w:gridSpan w:val="2"/>
          </w:tcPr>
          <w:p>
            <w:pPr>
              <w:ind w:left="162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79"/>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68" w:type="dxa"/>
            <w:vAlign w:val="top"/>
          </w:tcPr>
          <w:p>
            <w:pPr>
              <w:ind w:left="504"/>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85" w:type="dxa"/>
            <w:vAlign w:val="top"/>
          </w:tcPr>
          <w:p>
            <w:pPr>
              <w:ind w:left="308" w:right="27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31" w:type="dxa"/>
            <w:vAlign w:val="top"/>
          </w:tcPr>
          <w:p>
            <w:pPr>
              <w:ind w:left="249"/>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0" w:hRule="atLeast"/>
        </w:trPr>
        <w:tc>
          <w:tcPr>
            <w:tcW w:w="1215" w:type="dxa"/>
            <w:vAlign w:val="top"/>
            <w:vMerge w:val="restart"/>
            <w:tcBorders>
              <w:bottom w:val="nil"/>
            </w:tcBorders>
          </w:tcPr>
          <w:p>
            <w:pPr>
              <w:spacing w:line="440" w:lineRule="auto"/>
              <w:rPr>
                <w:rFonts w:ascii="Arial"/>
                <w:sz w:val="21"/>
              </w:rPr>
            </w:pPr>
            <w:r/>
          </w:p>
          <w:p>
            <w:pPr>
              <w:ind w:left="258" w:right="125"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68"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85"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3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right="210" w:firstLine="8"/>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可燃性气体回收利用装置不</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能正常作业，未及时修复或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者更新的</w:t>
            </w:r>
          </w:p>
        </w:tc>
        <w:tc>
          <w:tcPr>
            <w:tcW w:w="1131" w:type="dxa"/>
            <w:vAlign w:val="top"/>
          </w:tcPr>
          <w:p>
            <w:pPr>
              <w:spacing w:line="278"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7" w:hRule="atLeast"/>
        </w:trPr>
        <w:tc>
          <w:tcPr>
            <w:tcW w:w="1215" w:type="dxa"/>
            <w:vAlign w:val="top"/>
            <w:vMerge w:val="continue"/>
            <w:tcBorders>
              <w:top w:val="nil"/>
            </w:tcBorders>
          </w:tcPr>
          <w:p>
            <w:pPr>
              <w:rPr>
                <w:rFonts w:ascii="Arial"/>
                <w:sz w:val="21"/>
              </w:rPr>
            </w:pPr>
            <w:r/>
          </w:p>
        </w:tc>
        <w:tc>
          <w:tcPr>
            <w:tcW w:w="1868" w:type="dxa"/>
            <w:vAlign w:val="top"/>
            <w:vMerge w:val="continue"/>
            <w:tcBorders>
              <w:top w:val="nil"/>
            </w:tcBorders>
          </w:tcPr>
          <w:p>
            <w:pPr>
              <w:rPr>
                <w:rFonts w:ascii="Arial"/>
                <w:sz w:val="21"/>
              </w:rPr>
            </w:pPr>
            <w:r/>
          </w:p>
        </w:tc>
        <w:tc>
          <w:tcPr>
            <w:tcW w:w="985" w:type="dxa"/>
            <w:vAlign w:val="top"/>
            <w:vMerge w:val="continue"/>
            <w:tcBorders>
              <w:top w:val="nil"/>
            </w:tcBorders>
          </w:tcPr>
          <w:p>
            <w:pPr>
              <w:rPr>
                <w:rFonts w:ascii="Arial"/>
                <w:sz w:val="21"/>
              </w:rPr>
            </w:pPr>
            <w:r/>
          </w:p>
        </w:tc>
        <w:tc>
          <w:tcPr>
            <w:tcW w:w="3201" w:type="dxa"/>
            <w:vAlign w:val="top"/>
          </w:tcPr>
          <w:p>
            <w:pPr>
              <w:ind w:left="135" w:right="210" w:hanging="16"/>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不具备回收利用条件未进行</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5"/>
              </w:rPr>
              <w:t>防治污染处理的</w:t>
            </w:r>
          </w:p>
        </w:tc>
        <w:tc>
          <w:tcPr>
            <w:tcW w:w="1131" w:type="dxa"/>
            <w:vAlign w:val="top"/>
          </w:tcPr>
          <w:p>
            <w:pPr>
              <w:ind w:left="16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107"/>
          <w:pgSz w:w="11905" w:h="16839"/>
          <w:pgMar w:top="1431" w:right="1750" w:bottom="1156" w:left="1749" w:header="0" w:footer="994" w:gutter="0"/>
        </w:sectPr>
        <w:rPr/>
      </w:pPr>
    </w:p>
    <w:p>
      <w:pPr>
        <w:spacing w:before="92"/>
        <w:rPr/>
      </w:pPr>
      <w:r/>
    </w:p>
    <w:p>
      <w:pPr>
        <w:spacing w:before="91"/>
        <w:rPr/>
      </w:pPr>
      <w:r/>
    </w:p>
    <w:tbl>
      <w:tblPr>
        <w:tblStyle w:val="TableNormal"/>
        <w:tblW w:w="84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68"/>
        <w:gridCol w:w="985"/>
        <w:gridCol w:w="3201"/>
        <w:gridCol w:w="1131"/>
      </w:tblGrid>
      <w:tr>
        <w:trPr>
          <w:trHeight w:val="324" w:hRule="atLeast"/>
        </w:trPr>
        <w:tc>
          <w:tcPr>
            <w:tcW w:w="1215" w:type="dxa"/>
            <w:vAlign w:val="top"/>
          </w:tcPr>
          <w:p>
            <w:pPr>
              <w:rPr>
                <w:rFonts w:ascii="Arial"/>
                <w:sz w:val="21"/>
              </w:rPr>
            </w:pPr>
            <w:r/>
          </w:p>
        </w:tc>
        <w:tc>
          <w:tcPr>
            <w:tcW w:w="1868" w:type="dxa"/>
            <w:vAlign w:val="top"/>
          </w:tcPr>
          <w:p>
            <w:pPr>
              <w:rPr>
                <w:rFonts w:ascii="Arial"/>
                <w:sz w:val="21"/>
              </w:rPr>
            </w:pPr>
            <w:r/>
          </w:p>
        </w:tc>
        <w:tc>
          <w:tcPr>
            <w:tcW w:w="985" w:type="dxa"/>
            <w:vAlign w:val="top"/>
          </w:tcPr>
          <w:p>
            <w:pPr>
              <w:rPr>
                <w:rFonts w:ascii="Arial"/>
                <w:sz w:val="21"/>
              </w:rPr>
            </w:pPr>
            <w:r/>
          </w:p>
        </w:tc>
        <w:tc>
          <w:tcPr>
            <w:tcW w:w="3201" w:type="dxa"/>
            <w:vAlign w:val="top"/>
          </w:tcPr>
          <w:p>
            <w:pPr>
              <w:ind w:left="12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可燃性气体未回收利用的</w:t>
            </w:r>
          </w:p>
        </w:tc>
        <w:tc>
          <w:tcPr>
            <w:tcW w:w="1131" w:type="dxa"/>
            <w:vAlign w:val="top"/>
          </w:tcPr>
          <w:p>
            <w:pPr>
              <w:ind w:left="12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9" w:hRule="atLeast"/>
        </w:trPr>
        <w:tc>
          <w:tcPr>
            <w:tcW w:w="1215" w:type="dxa"/>
            <w:vAlign w:val="top"/>
            <w:vMerge w:val="restart"/>
            <w:tcBorders>
              <w:bottom w:val="nil"/>
            </w:tcBorders>
          </w:tcPr>
          <w:p>
            <w:pPr>
              <w:spacing w:line="445"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68" w:type="dxa"/>
            <w:vAlign w:val="top"/>
            <w:vMerge w:val="restart"/>
            <w:tcBorders>
              <w:bottom w:val="nil"/>
            </w:tcBorders>
          </w:tcPr>
          <w:p>
            <w:pPr>
              <w:spacing w:line="289" w:lineRule="auto"/>
              <w:rPr>
                <w:rFonts w:ascii="Arial"/>
                <w:sz w:val="21"/>
              </w:rPr>
            </w:pPr>
            <w:r/>
          </w:p>
          <w:p>
            <w:pPr>
              <w:ind w:left="826" w:right="21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85" w:type="dxa"/>
            <w:vAlign w:val="top"/>
            <w:vMerge w:val="restart"/>
            <w:tcBorders>
              <w:bottom w:val="nil"/>
            </w:tcBorders>
          </w:tcPr>
          <w:p>
            <w:pPr>
              <w:spacing w:line="446" w:lineRule="auto"/>
              <w:rPr>
                <w:rFonts w:ascii="Arial"/>
                <w:sz w:val="21"/>
              </w:rPr>
            </w:pPr>
            <w:r/>
          </w:p>
          <w:p>
            <w:pPr>
              <w:ind w:left="3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31" w:type="dxa"/>
            <w:vAlign w:val="top"/>
          </w:tcPr>
          <w:p>
            <w:pPr>
              <w:ind w:left="46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215" w:type="dxa"/>
            <w:vAlign w:val="top"/>
            <w:vMerge w:val="continue"/>
            <w:tcBorders>
              <w:top w:val="nil"/>
              <w:bottom w:val="nil"/>
            </w:tcBorders>
          </w:tcPr>
          <w:p>
            <w:pPr>
              <w:rPr>
                <w:rFonts w:ascii="Arial"/>
                <w:sz w:val="21"/>
              </w:rPr>
            </w:pPr>
            <w:r/>
          </w:p>
        </w:tc>
        <w:tc>
          <w:tcPr>
            <w:tcW w:w="1868" w:type="dxa"/>
            <w:vAlign w:val="top"/>
            <w:vMerge w:val="continue"/>
            <w:tcBorders>
              <w:top w:val="nil"/>
              <w:bottom w:val="nil"/>
            </w:tcBorders>
          </w:tcPr>
          <w:p>
            <w:pPr>
              <w:rPr>
                <w:rFonts w:ascii="Arial"/>
                <w:sz w:val="21"/>
              </w:rPr>
            </w:pPr>
            <w:r/>
          </w:p>
        </w:tc>
        <w:tc>
          <w:tcPr>
            <w:tcW w:w="985" w:type="dxa"/>
            <w:vAlign w:val="top"/>
            <w:vMerge w:val="continue"/>
            <w:tcBorders>
              <w:top w:val="nil"/>
              <w:bottom w:val="nil"/>
            </w:tcBorders>
          </w:tcPr>
          <w:p>
            <w:pPr>
              <w:rPr>
                <w:rFonts w:ascii="Arial"/>
                <w:sz w:val="21"/>
              </w:rPr>
            </w:pPr>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31" w:type="dxa"/>
            <w:vAlign w:val="top"/>
          </w:tcPr>
          <w:p>
            <w:pPr>
              <w:ind w:left="40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68" w:type="dxa"/>
            <w:vAlign w:val="top"/>
            <w:vMerge w:val="continue"/>
            <w:tcBorders>
              <w:top w:val="nil"/>
              <w:bottom w:val="nil"/>
            </w:tcBorders>
          </w:tcPr>
          <w:p>
            <w:pPr>
              <w:rPr>
                <w:rFonts w:ascii="Arial"/>
                <w:sz w:val="21"/>
              </w:rPr>
            </w:pPr>
            <w:r/>
          </w:p>
        </w:tc>
        <w:tc>
          <w:tcPr>
            <w:tcW w:w="985" w:type="dxa"/>
            <w:vAlign w:val="top"/>
            <w:vMerge w:val="continue"/>
            <w:tcBorders>
              <w:top w:val="nil"/>
              <w:bottom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31" w:type="dxa"/>
            <w:vAlign w:val="top"/>
          </w:tcPr>
          <w:p>
            <w:pPr>
              <w:ind w:left="40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68" w:type="dxa"/>
            <w:vAlign w:val="top"/>
            <w:vMerge w:val="continue"/>
            <w:tcBorders>
              <w:top w:val="nil"/>
            </w:tcBorders>
          </w:tcPr>
          <w:p>
            <w:pPr>
              <w:rPr>
                <w:rFonts w:ascii="Arial"/>
                <w:sz w:val="21"/>
              </w:rPr>
            </w:pPr>
            <w:r/>
          </w:p>
        </w:tc>
        <w:tc>
          <w:tcPr>
            <w:tcW w:w="985"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31" w:type="dxa"/>
            <w:vAlign w:val="top"/>
          </w:tcPr>
          <w:p>
            <w:pPr>
              <w:ind w:left="40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1"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68" w:type="dxa"/>
            <w:vAlign w:val="top"/>
            <w:vMerge w:val="restart"/>
            <w:tcBorders>
              <w:bottom w:val="nil"/>
            </w:tcBorders>
          </w:tcPr>
          <w:p>
            <w:pPr>
              <w:spacing w:line="442" w:lineRule="auto"/>
              <w:rPr>
                <w:rFonts w:ascii="Arial"/>
                <w:sz w:val="21"/>
              </w:rPr>
            </w:pPr>
            <w:r/>
          </w:p>
          <w:p>
            <w:pPr>
              <w:ind w:left="22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85" w:type="dxa"/>
            <w:vAlign w:val="top"/>
            <w:vMerge w:val="restart"/>
            <w:tcBorders>
              <w:bottom w:val="nil"/>
            </w:tcBorders>
          </w:tcPr>
          <w:p>
            <w:pPr>
              <w:spacing w:line="441" w:lineRule="auto"/>
              <w:rPr>
                <w:rFonts w:ascii="Arial"/>
                <w:sz w:val="21"/>
              </w:rPr>
            </w:pPr>
            <w:r/>
          </w:p>
          <w:p>
            <w:pPr>
              <w:ind w:left="33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31" w:type="dxa"/>
            <w:vAlign w:val="top"/>
          </w:tcPr>
          <w:p>
            <w:pPr>
              <w:ind w:left="4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215" w:type="dxa"/>
            <w:vAlign w:val="top"/>
            <w:vMerge w:val="continue"/>
            <w:tcBorders>
              <w:top w:val="nil"/>
              <w:bottom w:val="nil"/>
            </w:tcBorders>
          </w:tcPr>
          <w:p>
            <w:pPr>
              <w:rPr>
                <w:rFonts w:ascii="Arial"/>
                <w:sz w:val="21"/>
              </w:rPr>
            </w:pPr>
            <w:r/>
          </w:p>
        </w:tc>
        <w:tc>
          <w:tcPr>
            <w:tcW w:w="1868" w:type="dxa"/>
            <w:vAlign w:val="top"/>
            <w:vMerge w:val="continue"/>
            <w:tcBorders>
              <w:top w:val="nil"/>
              <w:bottom w:val="nil"/>
            </w:tcBorders>
          </w:tcPr>
          <w:p>
            <w:pPr>
              <w:rPr>
                <w:rFonts w:ascii="Arial"/>
                <w:sz w:val="21"/>
              </w:rPr>
            </w:pPr>
            <w:r/>
          </w:p>
        </w:tc>
        <w:tc>
          <w:tcPr>
            <w:tcW w:w="985" w:type="dxa"/>
            <w:vAlign w:val="top"/>
            <w:vMerge w:val="continue"/>
            <w:tcBorders>
              <w:top w:val="nil"/>
              <w:bottom w:val="nil"/>
            </w:tcBorders>
          </w:tcPr>
          <w:p>
            <w:pPr>
              <w:rPr>
                <w:rFonts w:ascii="Arial"/>
                <w:sz w:val="21"/>
              </w:rPr>
            </w:pPr>
            <w:r/>
          </w:p>
        </w:tc>
        <w:tc>
          <w:tcPr>
            <w:tcW w:w="3201" w:type="dxa"/>
            <w:vAlign w:val="top"/>
          </w:tcPr>
          <w:p>
            <w:pPr>
              <w:ind w:left="122" w:right="21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31" w:type="dxa"/>
            <w:vAlign w:val="top"/>
          </w:tcPr>
          <w:p>
            <w:pPr>
              <w:ind w:left="286"/>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68" w:type="dxa"/>
            <w:vAlign w:val="top"/>
            <w:vMerge w:val="continue"/>
            <w:tcBorders>
              <w:top w:val="nil"/>
            </w:tcBorders>
          </w:tcPr>
          <w:p>
            <w:pPr>
              <w:rPr>
                <w:rFonts w:ascii="Arial"/>
                <w:sz w:val="21"/>
              </w:rPr>
            </w:pPr>
            <w:r/>
          </w:p>
        </w:tc>
        <w:tc>
          <w:tcPr>
            <w:tcW w:w="985"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31"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4" w:right="12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68" w:type="dxa"/>
            <w:vAlign w:val="top"/>
            <w:vMerge w:val="restart"/>
            <w:tcBorders>
              <w:bottom w:val="nil"/>
            </w:tcBorders>
          </w:tcPr>
          <w:p>
            <w:pPr>
              <w:ind w:left="696" w:right="21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85" w:type="dxa"/>
            <w:vAlign w:val="top"/>
            <w:vMerge w:val="restart"/>
            <w:tcBorders>
              <w:bottom w:val="nil"/>
            </w:tcBorders>
          </w:tcPr>
          <w:p>
            <w:pPr>
              <w:ind w:left="335"/>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31" w:type="dxa"/>
            <w:vAlign w:val="top"/>
          </w:tcPr>
          <w:p>
            <w:pPr>
              <w:ind w:left="2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68" w:type="dxa"/>
            <w:vAlign w:val="top"/>
            <w:vMerge w:val="continue"/>
            <w:tcBorders>
              <w:top w:val="nil"/>
            </w:tcBorders>
          </w:tcPr>
          <w:p>
            <w:pPr>
              <w:rPr>
                <w:rFonts w:ascii="Arial"/>
                <w:sz w:val="21"/>
              </w:rPr>
            </w:pPr>
            <w:r/>
          </w:p>
        </w:tc>
        <w:tc>
          <w:tcPr>
            <w:tcW w:w="9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31" w:type="dxa"/>
            <w:vAlign w:val="top"/>
          </w:tcPr>
          <w:p>
            <w:pPr>
              <w:ind w:left="46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4" w:hRule="atLeast"/>
        </w:trPr>
        <w:tc>
          <w:tcPr>
            <w:tcW w:w="1215" w:type="dxa"/>
            <w:vAlign w:val="top"/>
            <w:vMerge w:val="restart"/>
            <w:tcBorders>
              <w:bottom w:val="nil"/>
            </w:tcBorders>
          </w:tcPr>
          <w:p>
            <w:pPr>
              <w:ind w:left="127" w:right="125" w:firstLine="9"/>
              <w:spacing w:before="19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68" w:type="dxa"/>
            <w:vAlign w:val="top"/>
            <w:vMerge w:val="restart"/>
            <w:tcBorders>
              <w:bottom w:val="nil"/>
            </w:tcBorders>
          </w:tcPr>
          <w:p>
            <w:pPr>
              <w:ind w:left="216"/>
              <w:spacing w:before="19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7"/>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85" w:type="dxa"/>
            <w:vAlign w:val="top"/>
            <w:vMerge w:val="restart"/>
            <w:tcBorders>
              <w:bottom w:val="nil"/>
            </w:tcBorders>
          </w:tcPr>
          <w:p>
            <w:pPr>
              <w:spacing w:line="434" w:lineRule="auto"/>
              <w:rPr>
                <w:rFonts w:ascii="Arial"/>
                <w:sz w:val="21"/>
              </w:rPr>
            </w:pPr>
            <w:r/>
          </w:p>
          <w:p>
            <w:pPr>
              <w:ind w:left="3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9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31" w:type="dxa"/>
            <w:vAlign w:val="top"/>
          </w:tcPr>
          <w:p>
            <w:pPr>
              <w:ind w:left="253"/>
              <w:spacing w:before="19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68" w:type="dxa"/>
            <w:vAlign w:val="top"/>
            <w:vMerge w:val="continue"/>
            <w:tcBorders>
              <w:top w:val="nil"/>
            </w:tcBorders>
          </w:tcPr>
          <w:p>
            <w:pPr>
              <w:rPr>
                <w:rFonts w:ascii="Arial"/>
                <w:sz w:val="21"/>
              </w:rPr>
            </w:pPr>
            <w:r/>
          </w:p>
        </w:tc>
        <w:tc>
          <w:tcPr>
            <w:tcW w:w="985" w:type="dxa"/>
            <w:vAlign w:val="top"/>
            <w:vMerge w:val="continue"/>
            <w:tcBorders>
              <w:top w:val="nil"/>
            </w:tcBorders>
          </w:tcPr>
          <w:p>
            <w:pPr>
              <w:rPr>
                <w:rFonts w:ascii="Arial"/>
                <w:sz w:val="21"/>
              </w:rPr>
            </w:pPr>
            <w:r/>
          </w:p>
        </w:tc>
        <w:tc>
          <w:tcPr>
            <w:tcW w:w="3201" w:type="dxa"/>
            <w:vAlign w:val="top"/>
          </w:tcPr>
          <w:p>
            <w:pPr>
              <w:ind w:left="135" w:right="210"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31" w:type="dxa"/>
            <w:vAlign w:val="top"/>
          </w:tcPr>
          <w:p>
            <w:pPr>
              <w:ind w:left="46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08"/>
          <w:pgSz w:w="11905" w:h="16839"/>
          <w:pgMar w:top="1431" w:right="1750" w:bottom="1156" w:left="1749"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1028"/>
        <w:gridCol w:w="3201"/>
        <w:gridCol w:w="1235"/>
      </w:tblGrid>
      <w:tr>
        <w:trPr>
          <w:trHeight w:val="720" w:hRule="atLeast"/>
        </w:trPr>
        <w:tc>
          <w:tcPr>
            <w:tcW w:w="8504" w:type="dxa"/>
            <w:vAlign w:val="top"/>
            <w:gridSpan w:val="5"/>
          </w:tcPr>
          <w:p>
            <w:pPr>
              <w:ind w:left="250"/>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89" w:type="dxa"/>
            <w:vAlign w:val="top"/>
            <w:gridSpan w:val="4"/>
          </w:tcPr>
          <w:p>
            <w:pPr>
              <w:ind w:left="3537"/>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46</w:t>
            </w:r>
          </w:p>
        </w:tc>
      </w:tr>
      <w:tr>
        <w:trPr>
          <w:trHeight w:val="665" w:hRule="atLeast"/>
        </w:trPr>
        <w:tc>
          <w:tcPr>
            <w:tcW w:w="1215" w:type="dxa"/>
            <w:vAlign w:val="top"/>
          </w:tcPr>
          <w:p>
            <w:pPr>
              <w:ind w:left="56"/>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89" w:type="dxa"/>
            <w:vAlign w:val="top"/>
            <w:gridSpan w:val="4"/>
          </w:tcPr>
          <w:p>
            <w:pPr>
              <w:ind w:left="35"/>
              <w:spacing w:before="21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生产超过污染物排放标准的机动车、非道路移动机</w:t>
            </w:r>
            <w:r>
              <w:rPr>
                <w:rFonts w:ascii="FangSong_GB2312" w:hAnsi="FangSong_GB2312" w:eastAsia="FangSong_GB2312" w:cs="FangSong_GB2312"/>
                <w:sz w:val="24"/>
                <w:szCs w:val="24"/>
                <w:spacing w:val="-2"/>
              </w:rPr>
              <w:t>械的</w:t>
            </w:r>
          </w:p>
        </w:tc>
      </w:tr>
      <w:tr>
        <w:trPr>
          <w:trHeight w:val="3813" w:hRule="atLeast"/>
        </w:trPr>
        <w:tc>
          <w:tcPr>
            <w:tcW w:w="1215" w:type="dxa"/>
            <w:vAlign w:val="top"/>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89"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7" w:right="2" w:firstLine="4"/>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机动车船、非道路移动机械不得超过标准排放大气污染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物。</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禁止生产、进口或者销售大气污染物排放超过标准的</w:t>
            </w:r>
            <w:r>
              <w:rPr>
                <w:rFonts w:ascii="FangSong_GB2312" w:hAnsi="FangSong_GB2312" w:eastAsia="FangSong_GB2312" w:cs="FangSong_GB2312"/>
                <w:sz w:val="24"/>
                <w:szCs w:val="24"/>
                <w:spacing w:val="-3"/>
              </w:rPr>
              <w:t>机动车船、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非道路移动机械。</w:t>
            </w:r>
          </w:p>
          <w:p>
            <w:pPr>
              <w:spacing w:line="272"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18" w:right="66" w:firstLine="14"/>
              <w:spacing w:before="35"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违反本法规定，生产超过污</w:t>
            </w:r>
            <w:r>
              <w:rPr>
                <w:rFonts w:ascii="FangSong_GB2312" w:hAnsi="FangSong_GB2312" w:eastAsia="FangSong_GB2312" w:cs="FangSong_GB2312"/>
                <w:sz w:val="24"/>
                <w:szCs w:val="24"/>
                <w:spacing w:val="-2"/>
              </w:rPr>
              <w:t>染物排放标准的机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动车、非道路移动机械的，由省级以上人民政府</w:t>
            </w:r>
            <w:r>
              <w:rPr>
                <w:rFonts w:ascii="FangSong_GB2312" w:hAnsi="FangSong_GB2312" w:eastAsia="FangSong_GB2312" w:cs="FangSong_GB2312"/>
                <w:sz w:val="24"/>
                <w:szCs w:val="24"/>
                <w:spacing w:val="-1"/>
              </w:rPr>
              <w:t>生态环境主管部门责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令改正，没收违法所得，并处货值金额一倍以上</w:t>
            </w:r>
            <w:r>
              <w:rPr>
                <w:rFonts w:ascii="FangSong_GB2312" w:hAnsi="FangSong_GB2312" w:eastAsia="FangSong_GB2312" w:cs="FangSong_GB2312"/>
                <w:sz w:val="24"/>
                <w:szCs w:val="24"/>
                <w:spacing w:val="-1"/>
              </w:rPr>
              <w:t>三倍以下的罚款，没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收销毁无法达到污染物排放标准的机动车、非道</w:t>
            </w:r>
            <w:r>
              <w:rPr>
                <w:rFonts w:ascii="FangSong_GB2312" w:hAnsi="FangSong_GB2312" w:eastAsia="FangSong_GB2312" w:cs="FangSong_GB2312"/>
                <w:sz w:val="24"/>
                <w:szCs w:val="24"/>
                <w:spacing w:val="-1"/>
              </w:rPr>
              <w:t>路移动机械；拒不改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正的，责令停产整治，并由国务院机动车生产主</w:t>
            </w:r>
            <w:r>
              <w:rPr>
                <w:rFonts w:ascii="FangSong_GB2312" w:hAnsi="FangSong_GB2312" w:eastAsia="FangSong_GB2312" w:cs="FangSong_GB2312"/>
                <w:sz w:val="24"/>
                <w:szCs w:val="24"/>
                <w:spacing w:val="-1"/>
              </w:rPr>
              <w:t>管部门责令停止生产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该车型。</w:t>
            </w:r>
          </w:p>
        </w:tc>
      </w:tr>
      <w:tr>
        <w:trPr>
          <w:trHeight w:val="635" w:hRule="atLeast"/>
        </w:trPr>
        <w:tc>
          <w:tcPr>
            <w:tcW w:w="4068" w:type="dxa"/>
            <w:vAlign w:val="top"/>
            <w:gridSpan w:val="3"/>
          </w:tcPr>
          <w:p>
            <w:pPr>
              <w:ind w:left="148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36" w:type="dxa"/>
            <w:vAlign w:val="top"/>
            <w:gridSpan w:val="2"/>
          </w:tcPr>
          <w:p>
            <w:pPr>
              <w:ind w:left="1676"/>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25" w:type="dxa"/>
            <w:vAlign w:val="top"/>
          </w:tcPr>
          <w:p>
            <w:pPr>
              <w:ind w:left="482"/>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28" w:type="dxa"/>
            <w:vAlign w:val="top"/>
          </w:tcPr>
          <w:p>
            <w:pPr>
              <w:ind w:left="331" w:right="29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35" w:type="dxa"/>
            <w:vAlign w:val="top"/>
          </w:tcPr>
          <w:p>
            <w:pPr>
              <w:ind w:left="301"/>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215"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ind w:left="260" w:right="125"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25"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0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2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4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2" w:right="211" w:firstLine="17"/>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生产超过污染物排放标准的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机动车、非道路移动机械，</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但未流入市场的</w:t>
            </w:r>
          </w:p>
        </w:tc>
        <w:tc>
          <w:tcPr>
            <w:tcW w:w="1235" w:type="dxa"/>
            <w:vAlign w:val="top"/>
          </w:tcPr>
          <w:p>
            <w:pPr>
              <w:spacing w:line="277" w:lineRule="auto"/>
              <w:rPr>
                <w:rFonts w:ascii="Arial"/>
                <w:sz w:val="21"/>
              </w:rPr>
            </w:pPr>
            <w:r/>
          </w:p>
          <w:p>
            <w:pPr>
              <w:ind w:left="2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129"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12" w:right="211" w:firstLine="17"/>
              <w:spacing w:before="13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生产超过污染物排放标准的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机动车、非道路移动机械，</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流入市场</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50</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4"/>
              </w:rPr>
              <w:t>辆以下的</w:t>
            </w:r>
          </w:p>
        </w:tc>
        <w:tc>
          <w:tcPr>
            <w:tcW w:w="1235" w:type="dxa"/>
            <w:vAlign w:val="top"/>
          </w:tcPr>
          <w:p>
            <w:pPr>
              <w:spacing w:line="367" w:lineRule="auto"/>
              <w:rPr>
                <w:rFonts w:ascii="Arial"/>
                <w:sz w:val="21"/>
              </w:rPr>
            </w:pPr>
            <w:r/>
          </w:p>
          <w:p>
            <w:pPr>
              <w:ind w:left="2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12" w:right="211" w:firstLine="17"/>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生产超过污染物排放标准的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机动车、非道路移动机械，</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流入市场</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50</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4"/>
              </w:rPr>
              <w:t>辆以上的</w:t>
            </w:r>
          </w:p>
        </w:tc>
        <w:tc>
          <w:tcPr>
            <w:tcW w:w="1235" w:type="dxa"/>
            <w:vAlign w:val="top"/>
          </w:tcPr>
          <w:p>
            <w:pPr>
              <w:spacing w:line="277" w:lineRule="auto"/>
              <w:rPr>
                <w:rFonts w:ascii="Arial"/>
                <w:sz w:val="21"/>
              </w:rPr>
            </w:pPr>
            <w:r/>
          </w:p>
          <w:p>
            <w:pPr>
              <w:ind w:left="2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50"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25" w:type="dxa"/>
            <w:vAlign w:val="top"/>
            <w:vMerge w:val="restart"/>
            <w:tcBorders>
              <w:bottom w:val="nil"/>
            </w:tcBorders>
          </w:tcPr>
          <w:p>
            <w:pPr>
              <w:spacing w:line="297" w:lineRule="auto"/>
              <w:rPr>
                <w:rFonts w:ascii="Arial"/>
                <w:sz w:val="21"/>
              </w:rPr>
            </w:pPr>
            <w:r/>
          </w:p>
          <w:p>
            <w:pPr>
              <w:ind w:left="803" w:right="191"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28" w:type="dxa"/>
            <w:vAlign w:val="top"/>
            <w:vMerge w:val="restart"/>
            <w:tcBorders>
              <w:bottom w:val="nil"/>
            </w:tcBorders>
          </w:tcPr>
          <w:p>
            <w:pPr>
              <w:spacing w:line="450" w:lineRule="auto"/>
              <w:rPr>
                <w:rFonts w:ascii="Arial"/>
                <w:sz w:val="21"/>
              </w:rPr>
            </w:pPr>
            <w:r/>
          </w:p>
          <w:p>
            <w:pPr>
              <w:ind w:left="35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35" w:type="dxa"/>
            <w:vAlign w:val="top"/>
          </w:tcPr>
          <w:p>
            <w:pPr>
              <w:ind w:left="5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35" w:type="dxa"/>
            <w:vAlign w:val="top"/>
          </w:tcPr>
          <w:p>
            <w:pPr>
              <w:ind w:left="45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35" w:type="dxa"/>
            <w:vAlign w:val="top"/>
          </w:tcPr>
          <w:p>
            <w:pPr>
              <w:ind w:left="45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35" w:type="dxa"/>
            <w:vAlign w:val="top"/>
          </w:tcPr>
          <w:p>
            <w:pPr>
              <w:ind w:left="4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6"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25" w:type="dxa"/>
            <w:vAlign w:val="top"/>
            <w:vMerge w:val="restart"/>
            <w:tcBorders>
              <w:bottom w:val="nil"/>
            </w:tcBorders>
          </w:tcPr>
          <w:p>
            <w:pPr>
              <w:spacing w:line="447"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28" w:type="dxa"/>
            <w:vAlign w:val="top"/>
            <w:vMerge w:val="restart"/>
            <w:tcBorders>
              <w:bottom w:val="nil"/>
            </w:tcBorders>
          </w:tcPr>
          <w:p>
            <w:pPr>
              <w:spacing w:line="446" w:lineRule="auto"/>
              <w:rPr>
                <w:rFonts w:ascii="Arial"/>
                <w:sz w:val="21"/>
              </w:rPr>
            </w:pPr>
            <w:r/>
          </w:p>
          <w:p>
            <w:pPr>
              <w:ind w:left="3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35" w:type="dxa"/>
            <w:vAlign w:val="top"/>
          </w:tcPr>
          <w:p>
            <w:pPr>
              <w:ind w:left="5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35" w:type="dxa"/>
            <w:vAlign w:val="top"/>
          </w:tcPr>
          <w:p>
            <w:pPr>
              <w:ind w:left="338"/>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35" w:type="dxa"/>
            <w:vAlign w:val="top"/>
          </w:tcPr>
          <w:p>
            <w:pPr>
              <w:ind w:left="27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3" w:hRule="atLeast"/>
        </w:trPr>
        <w:tc>
          <w:tcPr>
            <w:tcW w:w="1215" w:type="dxa"/>
            <w:vAlign w:val="top"/>
          </w:tcPr>
          <w:p>
            <w:pPr>
              <w:ind w:left="141"/>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825" w:type="dxa"/>
            <w:vAlign w:val="top"/>
          </w:tcPr>
          <w:p>
            <w:pPr>
              <w:ind w:left="193"/>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1028" w:type="dxa"/>
            <w:vAlign w:val="top"/>
          </w:tcPr>
          <w:p>
            <w:pPr>
              <w:ind w:left="355"/>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35" w:type="dxa"/>
            <w:vAlign w:val="top"/>
          </w:tcPr>
          <w:p>
            <w:pPr>
              <w:ind w:left="278"/>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109"/>
          <w:pgSz w:w="11905" w:h="16839"/>
          <w:pgMar w:top="1431" w:right="1698" w:bottom="1156" w:left="1697"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1028"/>
        <w:gridCol w:w="3201"/>
        <w:gridCol w:w="1235"/>
      </w:tblGrid>
      <w:tr>
        <w:trPr>
          <w:trHeight w:val="323" w:hRule="atLeast"/>
        </w:trPr>
        <w:tc>
          <w:tcPr>
            <w:tcW w:w="1215" w:type="dxa"/>
            <w:vAlign w:val="top"/>
          </w:tcPr>
          <w:p>
            <w:pPr>
              <w:ind w:left="13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825" w:type="dxa"/>
            <w:vAlign w:val="top"/>
          </w:tcPr>
          <w:p>
            <w:pPr>
              <w:ind w:left="67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1028" w:type="dxa"/>
            <w:vAlign w:val="top"/>
          </w:tcPr>
          <w:p>
            <w:pPr>
              <w:rPr>
                <w:rFonts w:ascii="Arial"/>
                <w:sz w:val="21"/>
              </w:rPr>
            </w:pPr>
            <w:r/>
          </w:p>
        </w:tc>
        <w:tc>
          <w:tcPr>
            <w:tcW w:w="3201" w:type="dxa"/>
            <w:vAlign w:val="top"/>
          </w:tcPr>
          <w:p>
            <w:pPr>
              <w:ind w:left="12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35" w:type="dxa"/>
            <w:vAlign w:val="top"/>
          </w:tcPr>
          <w:p>
            <w:pPr>
              <w:ind w:left="520"/>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215" w:type="dxa"/>
            <w:vAlign w:val="top"/>
            <w:vMerge w:val="restart"/>
            <w:tcBorders>
              <w:bottom w:val="nil"/>
            </w:tcBorders>
          </w:tcPr>
          <w:p>
            <w:pPr>
              <w:ind w:left="126" w:right="125" w:firstLine="9"/>
              <w:spacing w:before="46"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25" w:type="dxa"/>
            <w:vAlign w:val="top"/>
            <w:vMerge w:val="restart"/>
            <w:tcBorders>
              <w:bottom w:val="nil"/>
            </w:tcBorders>
          </w:tcPr>
          <w:p>
            <w:pPr>
              <w:ind w:left="193"/>
              <w:spacing w:before="4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0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05"/>
              <w:spacing w:before="39"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28" w:type="dxa"/>
            <w:vAlign w:val="top"/>
            <w:vMerge w:val="restart"/>
            <w:tcBorders>
              <w:bottom w:val="nil"/>
            </w:tcBorders>
          </w:tcPr>
          <w:p>
            <w:pPr>
              <w:spacing w:line="280" w:lineRule="auto"/>
              <w:rPr>
                <w:rFonts w:ascii="Arial"/>
                <w:sz w:val="21"/>
              </w:rPr>
            </w:pPr>
            <w:r/>
          </w:p>
          <w:p>
            <w:pPr>
              <w:ind w:left="35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35" w:type="dxa"/>
            <w:vAlign w:val="top"/>
          </w:tcPr>
          <w:p>
            <w:pPr>
              <w:ind w:left="252"/>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34" w:right="211"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35" w:type="dxa"/>
            <w:vAlign w:val="top"/>
          </w:tcPr>
          <w:p>
            <w:pPr>
              <w:ind w:left="52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10"/>
          <w:pgSz w:w="11905" w:h="16839"/>
          <w:pgMar w:top="1431" w:right="1698" w:bottom="1156" w:left="1697"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36"/>
        <w:gridCol w:w="1017"/>
        <w:gridCol w:w="3201"/>
        <w:gridCol w:w="1235"/>
      </w:tblGrid>
      <w:tr>
        <w:trPr>
          <w:trHeight w:val="720" w:hRule="atLeast"/>
        </w:trPr>
        <w:tc>
          <w:tcPr>
            <w:tcW w:w="8504" w:type="dxa"/>
            <w:vAlign w:val="top"/>
            <w:gridSpan w:val="5"/>
          </w:tcPr>
          <w:p>
            <w:pPr>
              <w:ind w:left="250"/>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89" w:type="dxa"/>
            <w:vAlign w:val="top"/>
            <w:gridSpan w:val="4"/>
          </w:tcPr>
          <w:p>
            <w:pPr>
              <w:ind w:left="3537"/>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47</w:t>
            </w:r>
          </w:p>
        </w:tc>
      </w:tr>
      <w:tr>
        <w:trPr>
          <w:trHeight w:val="716" w:hRule="atLeast"/>
        </w:trPr>
        <w:tc>
          <w:tcPr>
            <w:tcW w:w="1215" w:type="dxa"/>
            <w:vAlign w:val="top"/>
          </w:tcPr>
          <w:p>
            <w:pPr>
              <w:ind w:left="56"/>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89" w:type="dxa"/>
            <w:vAlign w:val="top"/>
            <w:gridSpan w:val="4"/>
          </w:tcPr>
          <w:p>
            <w:pPr>
              <w:ind w:left="52" w:hanging="34"/>
              <w:spacing w:before="7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机动车、非道路移动机械生产企业对发动机、污染控制装置弄虚作假、</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4"/>
              </w:rPr>
              <w:t>以次充好，冒充排放检验合格产品出厂销售的</w:t>
            </w:r>
          </w:p>
        </w:tc>
      </w:tr>
      <w:tr>
        <w:trPr>
          <w:trHeight w:val="5073" w:hRule="atLeast"/>
        </w:trPr>
        <w:tc>
          <w:tcPr>
            <w:tcW w:w="1215"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89"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1" w:right="13" w:firstLine="11"/>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第五十二条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机动车、非道路移动机械生产企业应当对新生产的</w:t>
            </w:r>
            <w:r>
              <w:rPr>
                <w:rFonts w:ascii="FangSong_GB2312" w:hAnsi="FangSong_GB2312" w:eastAsia="FangSong_GB2312" w:cs="FangSong_GB2312"/>
                <w:sz w:val="24"/>
                <w:szCs w:val="24"/>
                <w:spacing w:val="-4"/>
              </w:rPr>
              <w:t>机动车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和非道路移动机械进行排放检验。经检验合格的，方可出厂销售。检</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验信息应当向社会公开。</w:t>
            </w:r>
          </w:p>
          <w:p>
            <w:pPr>
              <w:ind w:left="23" w:right="73" w:firstLine="484"/>
              <w:spacing w:before="30"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省级以上人民政府环境保护主管部门可以通过现场检查、抽样检</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测等方式，加强对新生产、销售机动车和非道路移动机械大气污染物</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排放状况的监督检查。工业、质量监督、工商行政管理等有关部门予</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以配合。</w:t>
            </w:r>
          </w:p>
          <w:p>
            <w:pPr>
              <w:spacing w:line="26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16" w:right="68" w:firstLine="16"/>
              <w:spacing w:before="34"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违反本法规定，机动车、非道路移动机械</w:t>
            </w:r>
            <w:r>
              <w:rPr>
                <w:rFonts w:ascii="FangSong_GB2312" w:hAnsi="FangSong_GB2312" w:eastAsia="FangSong_GB2312" w:cs="FangSong_GB2312"/>
                <w:sz w:val="24"/>
                <w:szCs w:val="24"/>
                <w:spacing w:val="-2"/>
              </w:rPr>
              <w:t>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企业对发动机、污染控制装置弄虚作假、以次充好，</w:t>
            </w:r>
            <w:r>
              <w:rPr>
                <w:rFonts w:ascii="FangSong_GB2312" w:hAnsi="FangSong_GB2312" w:eastAsia="FangSong_GB2312" w:cs="FangSong_GB2312"/>
                <w:sz w:val="24"/>
                <w:szCs w:val="24"/>
                <w:spacing w:val="-1"/>
              </w:rPr>
              <w:t>冒充排放检验合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格产品出厂销售的，由省级以上人民政府环境保护主</w:t>
            </w:r>
            <w:r>
              <w:rPr>
                <w:rFonts w:ascii="FangSong_GB2312" w:hAnsi="FangSong_GB2312" w:eastAsia="FangSong_GB2312" w:cs="FangSong_GB2312"/>
                <w:sz w:val="24"/>
                <w:szCs w:val="24"/>
                <w:spacing w:val="-1"/>
              </w:rPr>
              <w:t>管部门责令停产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整治，没收违法所得，并处货值金额一倍以上三倍以</w:t>
            </w:r>
            <w:r>
              <w:rPr>
                <w:rFonts w:ascii="FangSong_GB2312" w:hAnsi="FangSong_GB2312" w:eastAsia="FangSong_GB2312" w:cs="FangSong_GB2312"/>
                <w:sz w:val="24"/>
                <w:szCs w:val="24"/>
                <w:spacing w:val="-1"/>
              </w:rPr>
              <w:t>下的罚款，没收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销毁无法达到污染物排放标准的机动车、非道路移动</w:t>
            </w:r>
            <w:r>
              <w:rPr>
                <w:rFonts w:ascii="FangSong_GB2312" w:hAnsi="FangSong_GB2312" w:eastAsia="FangSong_GB2312" w:cs="FangSong_GB2312"/>
                <w:sz w:val="24"/>
                <w:szCs w:val="24"/>
                <w:spacing w:val="-1"/>
              </w:rPr>
              <w:t>机械，并由国务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院机动车生产主管部门责令停止生产该车型。</w:t>
            </w:r>
          </w:p>
        </w:tc>
      </w:tr>
      <w:tr>
        <w:trPr>
          <w:trHeight w:val="635" w:hRule="atLeast"/>
        </w:trPr>
        <w:tc>
          <w:tcPr>
            <w:tcW w:w="4068" w:type="dxa"/>
            <w:vAlign w:val="top"/>
            <w:gridSpan w:val="3"/>
          </w:tcPr>
          <w:p>
            <w:pPr>
              <w:ind w:left="148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36" w:type="dxa"/>
            <w:vAlign w:val="top"/>
            <w:gridSpan w:val="2"/>
          </w:tcPr>
          <w:p>
            <w:pPr>
              <w:ind w:left="1676"/>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36" w:type="dxa"/>
            <w:vAlign w:val="top"/>
          </w:tcPr>
          <w:p>
            <w:pPr>
              <w:ind w:left="487"/>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17" w:type="dxa"/>
            <w:vAlign w:val="top"/>
          </w:tcPr>
          <w:p>
            <w:pPr>
              <w:ind w:left="325" w:right="285"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35" w:type="dxa"/>
            <w:vAlign w:val="top"/>
          </w:tcPr>
          <w:p>
            <w:pPr>
              <w:ind w:left="301"/>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215"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ind w:left="260" w:right="125" w:hanging="125"/>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0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17"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34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6" w:right="211" w:hanging="16"/>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销售弄虚作假、以次充好，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冒充排放检验合格产品的发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动机、污染控制装置数量在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6"/>
              </w:rPr>
              <w:t>辆以内的</w:t>
            </w:r>
          </w:p>
        </w:tc>
        <w:tc>
          <w:tcPr>
            <w:tcW w:w="1235" w:type="dxa"/>
            <w:vAlign w:val="top"/>
          </w:tcPr>
          <w:p>
            <w:pPr>
              <w:spacing w:line="432" w:lineRule="auto"/>
              <w:rPr>
                <w:rFonts w:ascii="Arial"/>
                <w:sz w:val="21"/>
              </w:rPr>
            </w:pPr>
            <w:r/>
          </w:p>
          <w:p>
            <w:pPr>
              <w:ind w:left="2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1264" w:hRule="atLeast"/>
        </w:trPr>
        <w:tc>
          <w:tcPr>
            <w:tcW w:w="1215" w:type="dxa"/>
            <w:vAlign w:val="top"/>
            <w:vMerge w:val="continue"/>
            <w:tcBorders>
              <w:top w:val="nil"/>
            </w:tcBorders>
          </w:tcPr>
          <w:p>
            <w:pPr>
              <w:rPr>
                <w:rFonts w:ascii="Arial"/>
                <w:sz w:val="21"/>
              </w:rPr>
            </w:pPr>
            <w:r/>
          </w:p>
        </w:tc>
        <w:tc>
          <w:tcPr>
            <w:tcW w:w="1836"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3201" w:type="dxa"/>
            <w:vAlign w:val="top"/>
          </w:tcPr>
          <w:p>
            <w:pPr>
              <w:ind w:left="126" w:right="211" w:hanging="16"/>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销售弄虚作假、以次充好，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冒充排放检验合格产品的发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动机、污染控制装置数量在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6"/>
              </w:rPr>
              <w:t>辆以上的</w:t>
            </w:r>
          </w:p>
        </w:tc>
        <w:tc>
          <w:tcPr>
            <w:tcW w:w="1235" w:type="dxa"/>
            <w:vAlign w:val="top"/>
          </w:tcPr>
          <w:p>
            <w:pPr>
              <w:spacing w:line="433" w:lineRule="auto"/>
              <w:rPr>
                <w:rFonts w:ascii="Arial"/>
                <w:sz w:val="21"/>
              </w:rPr>
            </w:pPr>
            <w:r/>
          </w:p>
          <w:p>
            <w:pPr>
              <w:ind w:left="2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50"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36" w:type="dxa"/>
            <w:vAlign w:val="top"/>
            <w:vMerge w:val="restart"/>
            <w:tcBorders>
              <w:bottom w:val="nil"/>
            </w:tcBorders>
          </w:tcPr>
          <w:p>
            <w:pPr>
              <w:spacing w:line="294" w:lineRule="auto"/>
              <w:rPr>
                <w:rFonts w:ascii="Arial"/>
                <w:sz w:val="21"/>
              </w:rPr>
            </w:pPr>
            <w:r/>
          </w:p>
          <w:p>
            <w:pPr>
              <w:ind w:left="808" w:right="197"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17" w:type="dxa"/>
            <w:vAlign w:val="top"/>
            <w:vMerge w:val="restart"/>
            <w:tcBorders>
              <w:bottom w:val="nil"/>
            </w:tcBorders>
          </w:tcPr>
          <w:p>
            <w:pPr>
              <w:spacing w:line="450" w:lineRule="auto"/>
              <w:rPr>
                <w:rFonts w:ascii="Arial"/>
                <w:sz w:val="21"/>
              </w:rPr>
            </w:pPr>
            <w:r/>
          </w:p>
          <w:p>
            <w:pPr>
              <w:ind w:left="34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35" w:type="dxa"/>
            <w:vAlign w:val="top"/>
          </w:tcPr>
          <w:p>
            <w:pPr>
              <w:ind w:left="5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36" w:type="dxa"/>
            <w:vAlign w:val="top"/>
            <w:vMerge w:val="continue"/>
            <w:tcBorders>
              <w:top w:val="nil"/>
              <w:bottom w:val="nil"/>
            </w:tcBorders>
          </w:tcPr>
          <w:p>
            <w:pPr>
              <w:rPr>
                <w:rFonts w:ascii="Arial"/>
                <w:sz w:val="21"/>
              </w:rPr>
            </w:pPr>
            <w:r/>
          </w:p>
        </w:tc>
        <w:tc>
          <w:tcPr>
            <w:tcW w:w="1017"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35" w:type="dxa"/>
            <w:vAlign w:val="top"/>
          </w:tcPr>
          <w:p>
            <w:pPr>
              <w:ind w:left="45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36" w:type="dxa"/>
            <w:vAlign w:val="top"/>
            <w:vMerge w:val="continue"/>
            <w:tcBorders>
              <w:top w:val="nil"/>
              <w:bottom w:val="nil"/>
            </w:tcBorders>
          </w:tcPr>
          <w:p>
            <w:pPr>
              <w:rPr>
                <w:rFonts w:ascii="Arial"/>
                <w:sz w:val="21"/>
              </w:rPr>
            </w:pPr>
            <w:r/>
          </w:p>
        </w:tc>
        <w:tc>
          <w:tcPr>
            <w:tcW w:w="1017" w:type="dxa"/>
            <w:vAlign w:val="top"/>
            <w:vMerge w:val="continue"/>
            <w:tcBorders>
              <w:top w:val="nil"/>
              <w:bottom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35" w:type="dxa"/>
            <w:vAlign w:val="top"/>
          </w:tcPr>
          <w:p>
            <w:pPr>
              <w:ind w:left="45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36"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35" w:type="dxa"/>
            <w:vAlign w:val="top"/>
          </w:tcPr>
          <w:p>
            <w:pPr>
              <w:ind w:left="45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ind w:left="135"/>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36" w:type="dxa"/>
            <w:vAlign w:val="top"/>
            <w:vMerge w:val="restart"/>
            <w:tcBorders>
              <w:bottom w:val="nil"/>
            </w:tcBorders>
          </w:tcPr>
          <w:p>
            <w:pPr>
              <w:ind w:left="229"/>
              <w:spacing w:before="205"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17" w:type="dxa"/>
            <w:vAlign w:val="top"/>
            <w:vMerge w:val="restart"/>
            <w:tcBorders>
              <w:bottom w:val="nil"/>
            </w:tcBorders>
          </w:tcPr>
          <w:p>
            <w:pPr>
              <w:ind w:left="349"/>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35" w:type="dxa"/>
            <w:vAlign w:val="top"/>
          </w:tcPr>
          <w:p>
            <w:pPr>
              <w:ind w:left="5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215" w:type="dxa"/>
            <w:vAlign w:val="top"/>
            <w:vMerge w:val="continue"/>
            <w:tcBorders>
              <w:top w:val="nil"/>
            </w:tcBorders>
          </w:tcPr>
          <w:p>
            <w:pPr>
              <w:rPr>
                <w:rFonts w:ascii="Arial"/>
                <w:sz w:val="21"/>
              </w:rPr>
            </w:pPr>
            <w:r/>
          </w:p>
        </w:tc>
        <w:tc>
          <w:tcPr>
            <w:tcW w:w="1836"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3201" w:type="dxa"/>
            <w:vAlign w:val="top"/>
          </w:tcPr>
          <w:p>
            <w:pPr>
              <w:ind w:left="121"/>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235" w:type="dxa"/>
            <w:vAlign w:val="top"/>
          </w:tcPr>
          <w:p>
            <w:pPr>
              <w:ind w:left="338"/>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111"/>
          <w:pgSz w:w="11905" w:h="16839"/>
          <w:pgMar w:top="1431" w:right="1698" w:bottom="1156" w:left="1697" w:header="0" w:footer="994" w:gutter="0"/>
        </w:sectPr>
        <w:rPr/>
      </w:pPr>
    </w:p>
    <w:p>
      <w:pPr>
        <w:spacing w:before="92"/>
        <w:rPr/>
      </w:pPr>
      <w:r/>
    </w:p>
    <w:p>
      <w:pPr>
        <w:spacing w:before="91"/>
        <w:rPr/>
      </w:pPr>
      <w:r/>
    </w:p>
    <w:tbl>
      <w:tblPr>
        <w:tblStyle w:val="TableNormal"/>
        <w:tblW w:w="85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36"/>
        <w:gridCol w:w="1017"/>
        <w:gridCol w:w="3201"/>
        <w:gridCol w:w="1235"/>
      </w:tblGrid>
      <w:tr>
        <w:trPr>
          <w:trHeight w:val="324" w:hRule="atLeast"/>
        </w:trPr>
        <w:tc>
          <w:tcPr>
            <w:tcW w:w="1215" w:type="dxa"/>
            <w:vAlign w:val="top"/>
            <w:vMerge w:val="restart"/>
            <w:tcBorders>
              <w:bottom w:val="nil"/>
            </w:tcBorders>
          </w:tcPr>
          <w:p>
            <w:pPr>
              <w:rPr>
                <w:rFonts w:ascii="Arial"/>
                <w:sz w:val="21"/>
              </w:rPr>
            </w:pPr>
            <w:r/>
          </w:p>
        </w:tc>
        <w:tc>
          <w:tcPr>
            <w:tcW w:w="1836" w:type="dxa"/>
            <w:vAlign w:val="top"/>
            <w:vMerge w:val="restart"/>
            <w:tcBorders>
              <w:bottom w:val="nil"/>
            </w:tcBorders>
          </w:tcPr>
          <w:p>
            <w:pPr>
              <w:rPr>
                <w:rFonts w:ascii="Arial"/>
                <w:sz w:val="21"/>
              </w:rPr>
            </w:pPr>
            <w:r/>
          </w:p>
        </w:tc>
        <w:tc>
          <w:tcPr>
            <w:tcW w:w="1017" w:type="dxa"/>
            <w:vAlign w:val="top"/>
            <w:vMerge w:val="restart"/>
            <w:tcBorders>
              <w:bottom w:val="nil"/>
            </w:tcBorders>
          </w:tcPr>
          <w:p>
            <w:pPr>
              <w:rPr>
                <w:rFonts w:ascii="Arial"/>
                <w:sz w:val="21"/>
              </w:rPr>
            </w:pPr>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235" w:type="dxa"/>
            <w:vAlign w:val="top"/>
          </w:tcPr>
          <w:p>
            <w:pPr>
              <w:rPr>
                <w:rFonts w:ascii="Arial"/>
                <w:sz w:val="21"/>
              </w:rPr>
            </w:pPr>
            <w:r/>
          </w:p>
        </w:tc>
      </w:tr>
      <w:tr>
        <w:trPr>
          <w:trHeight w:val="319" w:hRule="atLeast"/>
        </w:trPr>
        <w:tc>
          <w:tcPr>
            <w:tcW w:w="1215" w:type="dxa"/>
            <w:vAlign w:val="top"/>
            <w:vMerge w:val="continue"/>
            <w:tcBorders>
              <w:top w:val="nil"/>
            </w:tcBorders>
          </w:tcPr>
          <w:p>
            <w:pPr>
              <w:rPr>
                <w:rFonts w:ascii="Arial"/>
                <w:sz w:val="21"/>
              </w:rPr>
            </w:pPr>
            <w:r/>
          </w:p>
        </w:tc>
        <w:tc>
          <w:tcPr>
            <w:tcW w:w="1836"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3201"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35" w:type="dxa"/>
            <w:vAlign w:val="top"/>
          </w:tcPr>
          <w:p>
            <w:pPr>
              <w:ind w:left="27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215" w:type="dxa"/>
            <w:vAlign w:val="top"/>
            <w:vMerge w:val="restart"/>
            <w:tcBorders>
              <w:bottom w:val="nil"/>
            </w:tcBorders>
          </w:tcPr>
          <w:p>
            <w:pPr>
              <w:ind w:left="134" w:right="125"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36" w:type="dxa"/>
            <w:vAlign w:val="top"/>
            <w:vMerge w:val="restart"/>
            <w:tcBorders>
              <w:bottom w:val="nil"/>
            </w:tcBorders>
          </w:tcPr>
          <w:p>
            <w:pPr>
              <w:ind w:left="678" w:right="197"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17" w:type="dxa"/>
            <w:vAlign w:val="top"/>
            <w:vMerge w:val="restart"/>
            <w:tcBorders>
              <w:bottom w:val="nil"/>
            </w:tcBorders>
          </w:tcPr>
          <w:p>
            <w:pPr>
              <w:ind w:left="349"/>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35" w:type="dxa"/>
            <w:vAlign w:val="top"/>
          </w:tcPr>
          <w:p>
            <w:pPr>
              <w:ind w:left="27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215" w:type="dxa"/>
            <w:vAlign w:val="top"/>
            <w:vMerge w:val="continue"/>
            <w:tcBorders>
              <w:top w:val="nil"/>
            </w:tcBorders>
          </w:tcPr>
          <w:p>
            <w:pPr>
              <w:rPr>
                <w:rFonts w:ascii="Arial"/>
                <w:sz w:val="21"/>
              </w:rPr>
            </w:pPr>
            <w:r/>
          </w:p>
        </w:tc>
        <w:tc>
          <w:tcPr>
            <w:tcW w:w="1836"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3201" w:type="dxa"/>
            <w:vAlign w:val="top"/>
          </w:tcPr>
          <w:p>
            <w:pPr>
              <w:ind w:left="124"/>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35" w:type="dxa"/>
            <w:vAlign w:val="top"/>
          </w:tcPr>
          <w:p>
            <w:pPr>
              <w:ind w:left="520"/>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22" w:hRule="atLeast"/>
        </w:trPr>
        <w:tc>
          <w:tcPr>
            <w:tcW w:w="1215" w:type="dxa"/>
            <w:vAlign w:val="top"/>
            <w:vMerge w:val="restart"/>
            <w:tcBorders>
              <w:bottom w:val="nil"/>
            </w:tcBorders>
          </w:tcPr>
          <w:p>
            <w:pPr>
              <w:ind w:left="126" w:right="125" w:firstLine="9"/>
              <w:spacing w:before="100"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36" w:type="dxa"/>
            <w:vAlign w:val="top"/>
            <w:vMerge w:val="restart"/>
            <w:tcBorders>
              <w:bottom w:val="nil"/>
            </w:tcBorders>
          </w:tcPr>
          <w:p>
            <w:pPr>
              <w:ind w:left="198"/>
              <w:spacing w:before="9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10"/>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10"/>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17" w:type="dxa"/>
            <w:vAlign w:val="top"/>
            <w:vMerge w:val="restart"/>
            <w:tcBorders>
              <w:bottom w:val="nil"/>
            </w:tcBorders>
          </w:tcPr>
          <w:p>
            <w:pPr>
              <w:spacing w:line="334" w:lineRule="auto"/>
              <w:rPr>
                <w:rFonts w:ascii="Arial"/>
                <w:sz w:val="21"/>
              </w:rPr>
            </w:pPr>
            <w:r/>
          </w:p>
          <w:p>
            <w:pPr>
              <w:ind w:left="34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9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35" w:type="dxa"/>
            <w:vAlign w:val="top"/>
          </w:tcPr>
          <w:p>
            <w:pPr>
              <w:ind w:left="252"/>
              <w:spacing w:before="9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36"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35" w:type="dxa"/>
            <w:vAlign w:val="top"/>
          </w:tcPr>
          <w:p>
            <w:pPr>
              <w:ind w:left="5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12"/>
          <w:pgSz w:w="11905" w:h="16839"/>
          <w:pgMar w:top="1431" w:right="1698" w:bottom="1156" w:left="1697" w:header="0" w:footer="994" w:gutter="0"/>
        </w:sectPr>
        <w:rPr/>
      </w:pPr>
    </w:p>
    <w:p>
      <w:pPr>
        <w:spacing w:before="4"/>
        <w:rPr/>
      </w:pPr>
      <w:r/>
    </w:p>
    <w:p>
      <w:pPr>
        <w:spacing w:before="4"/>
        <w:rPr/>
      </w:pPr>
      <w:r/>
    </w:p>
    <w:p>
      <w:pPr>
        <w:spacing w:before="4"/>
        <w:rPr/>
      </w:pPr>
      <w:r/>
    </w:p>
    <w:p>
      <w:pPr>
        <w:spacing w:before="3"/>
        <w:rPr/>
      </w:pPr>
      <w:r/>
    </w:p>
    <w:tbl>
      <w:tblPr>
        <w:tblStyle w:val="TableNormal"/>
        <w:tblW w:w="842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2"/>
        <w:gridCol w:w="1889"/>
        <w:gridCol w:w="792"/>
        <w:gridCol w:w="3201"/>
        <w:gridCol w:w="1151"/>
      </w:tblGrid>
      <w:tr>
        <w:trPr>
          <w:trHeight w:val="720" w:hRule="atLeast"/>
        </w:trPr>
        <w:tc>
          <w:tcPr>
            <w:tcW w:w="8420" w:type="dxa"/>
            <w:vAlign w:val="top"/>
            <w:gridSpan w:val="6"/>
          </w:tcPr>
          <w:p>
            <w:pPr>
              <w:ind w:left="20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3"/>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05" w:type="dxa"/>
            <w:vAlign w:val="top"/>
            <w:gridSpan w:val="5"/>
          </w:tcPr>
          <w:p>
            <w:pPr>
              <w:ind w:left="3495"/>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48</w:t>
            </w:r>
          </w:p>
        </w:tc>
      </w:tr>
      <w:tr>
        <w:trPr>
          <w:trHeight w:val="715" w:hRule="atLeast"/>
        </w:trPr>
        <w:tc>
          <w:tcPr>
            <w:tcW w:w="1215" w:type="dxa"/>
            <w:vAlign w:val="top"/>
          </w:tcPr>
          <w:p>
            <w:pPr>
              <w:ind w:left="58"/>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05" w:type="dxa"/>
            <w:vAlign w:val="top"/>
            <w:gridSpan w:val="5"/>
          </w:tcPr>
          <w:p>
            <w:pPr>
              <w:ind w:left="29" w:right="14" w:hanging="1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机动车生产、进口企业未按照规定向社会公布其生产、进口机</w:t>
            </w:r>
            <w:r>
              <w:rPr>
                <w:rFonts w:ascii="FangSong_GB2312" w:hAnsi="FangSong_GB2312" w:eastAsia="FangSong_GB2312" w:cs="FangSong_GB2312"/>
                <w:sz w:val="24"/>
                <w:szCs w:val="24"/>
                <w:spacing w:val="-2"/>
              </w:rPr>
              <w:t>动车车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型的排放检验信息或者污染控制技术信息的</w:t>
            </w:r>
          </w:p>
        </w:tc>
      </w:tr>
      <w:tr>
        <w:trPr>
          <w:trHeight w:val="3184" w:hRule="atLeast"/>
        </w:trPr>
        <w:tc>
          <w:tcPr>
            <w:tcW w:w="1215"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05" w:type="dxa"/>
            <w:vAlign w:val="top"/>
            <w:gridSpan w:val="5"/>
          </w:tcPr>
          <w:p>
            <w:pPr>
              <w:ind w:left="34"/>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1" w:right="14" w:firstLine="19"/>
              <w:spacing w:before="36"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第五十五条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机动车生产、进口企业应当向社会公</w:t>
            </w:r>
            <w:r>
              <w:rPr>
                <w:rFonts w:ascii="FangSong_GB2312" w:hAnsi="FangSong_GB2312" w:eastAsia="FangSong_GB2312" w:cs="FangSong_GB2312"/>
                <w:sz w:val="24"/>
                <w:szCs w:val="24"/>
                <w:spacing w:val="-3"/>
              </w:rPr>
              <w:t>布其生产、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进口机动车车型的排放检验信息、污染控制技术信息和有关维修技术</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信息。</w:t>
            </w:r>
          </w:p>
          <w:p>
            <w:pPr>
              <w:spacing w:line="263"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1" w:right="14" w:firstLine="9"/>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第一百一十一条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违反本法规定，机动</w:t>
            </w:r>
            <w:r>
              <w:rPr>
                <w:rFonts w:ascii="FangSong_GB2312" w:hAnsi="FangSong_GB2312" w:eastAsia="FangSong_GB2312" w:cs="FangSong_GB2312"/>
                <w:sz w:val="24"/>
                <w:szCs w:val="24"/>
                <w:spacing w:val="-3"/>
              </w:rPr>
              <w:t>车生产、进口企业未按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照规定向社会公布其生产、进口机动车车型的排放</w:t>
            </w:r>
            <w:r>
              <w:rPr>
                <w:rFonts w:ascii="FangSong_GB2312" w:hAnsi="FangSong_GB2312" w:eastAsia="FangSong_GB2312" w:cs="FangSong_GB2312"/>
                <w:sz w:val="24"/>
                <w:szCs w:val="24"/>
                <w:spacing w:val="-2"/>
              </w:rPr>
              <w:t>检验信息或者污染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控制技术信息的，由省级以上人民政府环境保护主</w:t>
            </w:r>
            <w:r>
              <w:rPr>
                <w:rFonts w:ascii="FangSong_GB2312" w:hAnsi="FangSong_GB2312" w:eastAsia="FangSong_GB2312" w:cs="FangSong_GB2312"/>
                <w:sz w:val="24"/>
                <w:szCs w:val="24"/>
                <w:spacing w:val="-2"/>
              </w:rPr>
              <w:t>管部门责令改正，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处五万元以上五十万元以下的罚款。</w:t>
            </w:r>
          </w:p>
        </w:tc>
      </w:tr>
      <w:tr>
        <w:trPr>
          <w:trHeight w:val="635" w:hRule="atLeast"/>
        </w:trPr>
        <w:tc>
          <w:tcPr>
            <w:tcW w:w="4068" w:type="dxa"/>
            <w:vAlign w:val="top"/>
            <w:gridSpan w:val="4"/>
          </w:tcPr>
          <w:p>
            <w:pPr>
              <w:ind w:left="1482"/>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2" w:type="dxa"/>
            <w:vAlign w:val="top"/>
            <w:gridSpan w:val="2"/>
          </w:tcPr>
          <w:p>
            <w:pPr>
              <w:ind w:left="163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gridSpan w:val="2"/>
          </w:tcPr>
          <w:p>
            <w:pPr>
              <w:ind w:left="466"/>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1" w:type="dxa"/>
            <w:vAlign w:val="top"/>
          </w:tcPr>
          <w:p>
            <w:pPr>
              <w:ind w:left="259"/>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387" w:type="dxa"/>
            <w:vAlign w:val="top"/>
            <w:gridSpan w:val="2"/>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345" w:right="210"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5"/>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未按规定向社会公开其生</w:t>
            </w:r>
          </w:p>
          <w:p>
            <w:pPr>
              <w:ind w:left="108" w:right="209" w:firstLine="7"/>
              <w:spacing w:before="3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产、进口机动车车型的排放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检验信息或者污染控制技术</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信息的</w:t>
            </w:r>
          </w:p>
        </w:tc>
        <w:tc>
          <w:tcPr>
            <w:tcW w:w="1151" w:type="dxa"/>
            <w:vAlign w:val="top"/>
          </w:tcPr>
          <w:p>
            <w:pPr>
              <w:spacing w:line="433"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209" w:firstLine="1"/>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未向社会公开其生产、进</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6"/>
              </w:rPr>
              <w:t>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机动车车型的排放检验信息</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或者污染控制技术信息的</w:t>
            </w:r>
          </w:p>
        </w:tc>
        <w:tc>
          <w:tcPr>
            <w:tcW w:w="1151" w:type="dxa"/>
            <w:vAlign w:val="top"/>
          </w:tcPr>
          <w:p>
            <w:pPr>
              <w:spacing w:line="278" w:lineRule="auto"/>
              <w:rPr>
                <w:rFonts w:ascii="Arial"/>
                <w:sz w:val="21"/>
              </w:rPr>
            </w:pPr>
            <w:r/>
          </w:p>
          <w:p>
            <w:pPr>
              <w:ind w:left="17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387" w:type="dxa"/>
            <w:vAlign w:val="top"/>
            <w:gridSpan w:val="2"/>
            <w:vMerge w:val="restart"/>
            <w:tcBorders>
              <w:bottom w:val="nil"/>
            </w:tcBorders>
          </w:tcPr>
          <w:p>
            <w:pPr>
              <w:spacing w:line="448"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37"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1" w:type="dxa"/>
            <w:vAlign w:val="top"/>
          </w:tcPr>
          <w:p>
            <w:pPr>
              <w:ind w:left="4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1" w:type="dxa"/>
            <w:vAlign w:val="top"/>
          </w:tcPr>
          <w:p>
            <w:pPr>
              <w:ind w:left="41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1" w:type="dxa"/>
            <w:vAlign w:val="top"/>
          </w:tcPr>
          <w:p>
            <w:pPr>
              <w:ind w:left="41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1" w:type="dxa"/>
            <w:vAlign w:val="top"/>
          </w:tcPr>
          <w:p>
            <w:pPr>
              <w:ind w:left="4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gridSpan w:val="2"/>
            <w:vMerge w:val="restart"/>
            <w:tcBorders>
              <w:bottom w:val="nil"/>
            </w:tcBorders>
          </w:tcPr>
          <w:p>
            <w:pPr>
              <w:spacing w:line="444"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51" w:type="dxa"/>
            <w:vAlign w:val="top"/>
          </w:tcPr>
          <w:p>
            <w:pPr>
              <w:ind w:left="4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51" w:type="dxa"/>
            <w:vAlign w:val="top"/>
          </w:tcPr>
          <w:p>
            <w:pPr>
              <w:ind w:left="29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1" w:type="dxa"/>
            <w:vAlign w:val="top"/>
          </w:tcPr>
          <w:p>
            <w:pPr>
              <w:ind w:left="2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87" w:type="dxa"/>
            <w:vAlign w:val="top"/>
            <w:gridSpan w:val="2"/>
            <w:vMerge w:val="restart"/>
            <w:tcBorders>
              <w:bottom w:val="nil"/>
            </w:tcBorders>
          </w:tcPr>
          <w:p>
            <w:pPr>
              <w:ind w:left="221" w:right="210"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1" w:type="dxa"/>
            <w:vAlign w:val="top"/>
          </w:tcPr>
          <w:p>
            <w:pPr>
              <w:ind w:left="23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1" w:type="dxa"/>
            <w:vAlign w:val="top"/>
          </w:tcPr>
          <w:p>
            <w:pPr>
              <w:ind w:left="4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7" w:hRule="atLeast"/>
        </w:trPr>
        <w:tc>
          <w:tcPr>
            <w:tcW w:w="1387" w:type="dxa"/>
            <w:vAlign w:val="top"/>
            <w:gridSpan w:val="2"/>
          </w:tcPr>
          <w:p>
            <w:pPr>
              <w:ind w:left="223"/>
              <w:spacing w:before="19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p>
        </w:tc>
        <w:tc>
          <w:tcPr>
            <w:tcW w:w="1889" w:type="dxa"/>
            <w:vAlign w:val="top"/>
          </w:tcPr>
          <w:p>
            <w:pPr>
              <w:ind w:left="227"/>
              <w:spacing w:before="19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92" w:type="dxa"/>
            <w:vAlign w:val="top"/>
          </w:tcPr>
          <w:p>
            <w:pPr>
              <w:ind w:left="230"/>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1" w:type="dxa"/>
            <w:vAlign w:val="top"/>
          </w:tcPr>
          <w:p>
            <w:pPr>
              <w:ind w:left="251"/>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13"/>
          <w:pgSz w:w="11905" w:h="16839"/>
          <w:pgMar w:top="1431" w:right="1740" w:bottom="1156" w:left="1739" w:header="0" w:footer="994" w:gutter="0"/>
        </w:sectPr>
        <w:rPr/>
      </w:pPr>
    </w:p>
    <w:p>
      <w:pPr>
        <w:spacing w:before="92"/>
        <w:rPr/>
      </w:pPr>
      <w:r/>
    </w:p>
    <w:p>
      <w:pPr>
        <w:spacing w:before="91"/>
        <w:rPr/>
      </w:pPr>
      <w:r/>
    </w:p>
    <w:tbl>
      <w:tblPr>
        <w:tblStyle w:val="TableNormal"/>
        <w:tblW w:w="842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201"/>
        <w:gridCol w:w="1151"/>
      </w:tblGrid>
      <w:tr>
        <w:trPr>
          <w:trHeight w:val="639" w:hRule="atLeast"/>
        </w:trPr>
        <w:tc>
          <w:tcPr>
            <w:tcW w:w="1387" w:type="dxa"/>
            <w:vAlign w:val="top"/>
          </w:tcPr>
          <w:p>
            <w:pPr>
              <w:ind w:left="214" w:right="210" w:firstLine="11"/>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tcPr>
          <w:p>
            <w:pPr>
              <w:ind w:left="838" w:right="222"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92" w:type="dxa"/>
            <w:vAlign w:val="top"/>
          </w:tcPr>
          <w:p>
            <w:pPr>
              <w:rPr>
                <w:rFonts w:ascii="Arial"/>
                <w:sz w:val="21"/>
              </w:rPr>
            </w:pPr>
            <w:r/>
          </w:p>
        </w:tc>
        <w:tc>
          <w:tcPr>
            <w:tcW w:w="3201" w:type="dxa"/>
            <w:vAlign w:val="top"/>
          </w:tcPr>
          <w:p>
            <w:pPr>
              <w:ind w:left="115"/>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151" w:type="dxa"/>
            <w:vAlign w:val="top"/>
          </w:tcPr>
          <w:p>
            <w:pPr>
              <w:ind w:left="47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14"/>
          <w:pgSz w:w="11905" w:h="16839"/>
          <w:pgMar w:top="1431" w:right="1740" w:bottom="1156" w:left="1739" w:header="0" w:footer="994" w:gutter="0"/>
        </w:sectPr>
        <w:rPr/>
      </w:pPr>
    </w:p>
    <w:p>
      <w:pPr>
        <w:spacing w:before="4"/>
        <w:rPr/>
      </w:pPr>
      <w:r/>
    </w:p>
    <w:p>
      <w:pPr>
        <w:spacing w:before="4"/>
        <w:rPr/>
      </w:pPr>
      <w:r/>
    </w:p>
    <w:p>
      <w:pPr>
        <w:spacing w:before="4"/>
        <w:rPr/>
      </w:pPr>
      <w:r/>
    </w:p>
    <w:p>
      <w:pPr>
        <w:spacing w:before="3"/>
        <w:rPr/>
      </w:pPr>
      <w:r/>
    </w:p>
    <w:tbl>
      <w:tblPr>
        <w:tblStyle w:val="TableNormal"/>
        <w:tblW w:w="841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2061"/>
        <w:gridCol w:w="792"/>
        <w:gridCol w:w="3201"/>
        <w:gridCol w:w="1143"/>
      </w:tblGrid>
      <w:tr>
        <w:trPr>
          <w:trHeight w:val="720" w:hRule="atLeast"/>
        </w:trPr>
        <w:tc>
          <w:tcPr>
            <w:tcW w:w="8412" w:type="dxa"/>
            <w:vAlign w:val="top"/>
            <w:gridSpan w:val="5"/>
          </w:tcPr>
          <w:p>
            <w:pPr>
              <w:ind w:left="17"/>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1"/>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97" w:type="dxa"/>
            <w:vAlign w:val="top"/>
            <w:gridSpan w:val="4"/>
          </w:tcPr>
          <w:p>
            <w:pPr>
              <w:ind w:left="3491"/>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49</w:t>
            </w:r>
          </w:p>
        </w:tc>
      </w:tr>
      <w:tr>
        <w:trPr>
          <w:trHeight w:val="664" w:hRule="atLeast"/>
        </w:trPr>
        <w:tc>
          <w:tcPr>
            <w:tcW w:w="1215" w:type="dxa"/>
            <w:vAlign w:val="top"/>
          </w:tcPr>
          <w:p>
            <w:pPr>
              <w:ind w:left="56"/>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97" w:type="dxa"/>
            <w:vAlign w:val="top"/>
            <w:gridSpan w:val="4"/>
          </w:tcPr>
          <w:p>
            <w:pPr>
              <w:ind w:left="34" w:right="15" w:hanging="15"/>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未密闭煤炭、煤矸石、煤渣、煤灰、水泥、石灰、石膏、砂土等易产</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生扬尘的物料的</w:t>
            </w:r>
          </w:p>
        </w:tc>
      </w:tr>
      <w:tr>
        <w:trPr>
          <w:trHeight w:val="3498" w:hRule="atLeast"/>
        </w:trPr>
        <w:tc>
          <w:tcPr>
            <w:tcW w:w="1215"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97" w:type="dxa"/>
            <w:vAlign w:val="top"/>
            <w:gridSpan w:val="4"/>
          </w:tcPr>
          <w:p>
            <w:pPr>
              <w:ind w:left="34"/>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7" w:firstLine="14"/>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第七十二条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b/>
                <w:bCs/>
                <w:spacing w:val="-6"/>
              </w:rPr>
              <w:t>第一款</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贮存煤炭、煤矸石、煤渣、煤灰、水泥、石灰、</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3"/>
              </w:rPr>
              <w:t>石膏、砂土等易产生扬尘的物料应当密闭；不能密</w:t>
            </w:r>
            <w:r>
              <w:rPr>
                <w:rFonts w:ascii="FangSong_GB2312" w:hAnsi="FangSong_GB2312" w:eastAsia="FangSong_GB2312" w:cs="FangSong_GB2312"/>
                <w:sz w:val="24"/>
                <w:szCs w:val="24"/>
                <w:spacing w:val="-4"/>
              </w:rPr>
              <w:t>闭的，应当设置不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低于堆放物高度的严密围挡，并采取有效覆盖措施防治扬尘</w:t>
            </w:r>
            <w:r>
              <w:rPr>
                <w:rFonts w:ascii="FangSong_GB2312" w:hAnsi="FangSong_GB2312" w:eastAsia="FangSong_GB2312" w:cs="FangSong_GB2312"/>
                <w:sz w:val="24"/>
                <w:szCs w:val="24"/>
                <w:spacing w:val="-3"/>
              </w:rPr>
              <w:t>污染。</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52" w:right="15" w:hanging="20"/>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w:t>
            </w:r>
            <w:r>
              <w:rPr>
                <w:rFonts w:ascii="FangSong_GB2312" w:hAnsi="FangSong_GB2312" w:eastAsia="FangSong_GB2312" w:cs="FangSong_GB2312"/>
                <w:sz w:val="24"/>
                <w:szCs w:val="24"/>
                <w:spacing w:val="-2"/>
              </w:rPr>
              <w:t>级以上人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民政府生态环境等主管部门按照职责责令改正，处一万元以上十万元</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以下的罚款；拒不改正的，责令停工整治或者停业整治：</w:t>
            </w:r>
          </w:p>
          <w:p>
            <w:pPr>
              <w:ind w:left="30" w:right="15" w:hanging="15"/>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（一）未密闭煤炭、煤矸石、煤渣、煤灰、水</w:t>
            </w:r>
            <w:r>
              <w:rPr>
                <w:rFonts w:ascii="FangSong_GB2312" w:hAnsi="FangSong_GB2312" w:eastAsia="FangSong_GB2312" w:cs="FangSong_GB2312"/>
                <w:sz w:val="24"/>
                <w:szCs w:val="24"/>
                <w:spacing w:val="-2"/>
              </w:rPr>
              <w:t>泥、石灰、石膏、砂土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等易产生扬尘的物料的；</w:t>
            </w:r>
          </w:p>
        </w:tc>
      </w:tr>
      <w:tr>
        <w:trPr>
          <w:trHeight w:val="635" w:hRule="atLeast"/>
        </w:trPr>
        <w:tc>
          <w:tcPr>
            <w:tcW w:w="4068" w:type="dxa"/>
            <w:vAlign w:val="top"/>
            <w:gridSpan w:val="3"/>
          </w:tcPr>
          <w:p>
            <w:pPr>
              <w:ind w:left="148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4" w:type="dxa"/>
            <w:vAlign w:val="top"/>
            <w:gridSpan w:val="2"/>
          </w:tcPr>
          <w:p>
            <w:pPr>
              <w:ind w:left="1630"/>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61" w:type="dxa"/>
            <w:vAlign w:val="top"/>
          </w:tcPr>
          <w:p>
            <w:pPr>
              <w:ind w:left="599"/>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7"/>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3" w:type="dxa"/>
            <w:vAlign w:val="top"/>
          </w:tcPr>
          <w:p>
            <w:pPr>
              <w:ind w:left="255"/>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24" w:hRule="atLeast"/>
        </w:trPr>
        <w:tc>
          <w:tcPr>
            <w:tcW w:w="1215" w:type="dxa"/>
            <w:vAlign w:val="top"/>
            <w:vMerge w:val="restart"/>
            <w:tcBorders>
              <w:bottom w:val="nil"/>
            </w:tcBorders>
          </w:tcPr>
          <w:p>
            <w:pPr>
              <w:ind w:left="259" w:right="123" w:hanging="122"/>
              <w:spacing w:before="9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61" w:type="dxa"/>
            <w:vAlign w:val="top"/>
            <w:vMerge w:val="restart"/>
            <w:tcBorders>
              <w:bottom w:val="nil"/>
            </w:tcBorders>
          </w:tcPr>
          <w:p>
            <w:pPr>
              <w:ind w:left="317"/>
              <w:spacing w:before="2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ind w:left="230"/>
              <w:spacing w:before="25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2"/>
              <w:spacing w:before="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密闭不严的</w:t>
            </w:r>
          </w:p>
        </w:tc>
        <w:tc>
          <w:tcPr>
            <w:tcW w:w="1143" w:type="dxa"/>
            <w:vAlign w:val="top"/>
          </w:tcPr>
          <w:p>
            <w:pPr>
              <w:ind w:left="232"/>
              <w:spacing w:before="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露天堆放的</w:t>
            </w:r>
          </w:p>
        </w:tc>
        <w:tc>
          <w:tcPr>
            <w:tcW w:w="1143" w:type="dxa"/>
            <w:vAlign w:val="top"/>
          </w:tcPr>
          <w:p>
            <w:pPr>
              <w:ind w:left="1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8" w:lineRule="auto"/>
              <w:rPr>
                <w:rFonts w:ascii="Arial"/>
                <w:sz w:val="21"/>
              </w:rPr>
            </w:pPr>
            <w:r/>
          </w:p>
          <w:p>
            <w:pPr>
              <w:ind w:left="13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61" w:type="dxa"/>
            <w:vAlign w:val="top"/>
            <w:vMerge w:val="restart"/>
            <w:tcBorders>
              <w:bottom w:val="nil"/>
            </w:tcBorders>
          </w:tcPr>
          <w:p>
            <w:pPr>
              <w:spacing w:line="448" w:lineRule="auto"/>
              <w:rPr>
                <w:rFonts w:ascii="Arial"/>
                <w:sz w:val="21"/>
              </w:rPr>
            </w:pPr>
            <w:r/>
          </w:p>
          <w:p>
            <w:pPr>
              <w:ind w:left="21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2" w:type="dxa"/>
            <w:vAlign w:val="top"/>
            <w:vMerge w:val="restart"/>
            <w:tcBorders>
              <w:bottom w:val="nil"/>
            </w:tcBorders>
          </w:tcPr>
          <w:p>
            <w:pPr>
              <w:spacing w:line="448"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3" w:type="dxa"/>
            <w:vAlign w:val="top"/>
          </w:tcPr>
          <w:p>
            <w:pPr>
              <w:ind w:left="47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3" w:type="dxa"/>
            <w:vAlign w:val="top"/>
          </w:tcPr>
          <w:p>
            <w:pPr>
              <w:ind w:left="4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3" w:type="dxa"/>
            <w:vAlign w:val="top"/>
          </w:tcPr>
          <w:p>
            <w:pPr>
              <w:ind w:left="4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3" w:type="dxa"/>
            <w:vAlign w:val="top"/>
          </w:tcPr>
          <w:p>
            <w:pPr>
              <w:ind w:left="40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4" w:lineRule="auto"/>
              <w:rPr>
                <w:rFonts w:ascii="Arial"/>
                <w:sz w:val="21"/>
              </w:rPr>
            </w:pPr>
            <w:r/>
          </w:p>
          <w:p>
            <w:pPr>
              <w:ind w:left="13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61"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4"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3" w:type="dxa"/>
            <w:vAlign w:val="top"/>
          </w:tcPr>
          <w:p>
            <w:pPr>
              <w:ind w:left="47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2061"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3" w:type="dxa"/>
            <w:vAlign w:val="top"/>
          </w:tcPr>
          <w:p>
            <w:pPr>
              <w:ind w:left="29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3" w:type="dxa"/>
            <w:vAlign w:val="top"/>
          </w:tcPr>
          <w:p>
            <w:pPr>
              <w:ind w:left="22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6" w:right="123"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61" w:type="dxa"/>
            <w:vAlign w:val="top"/>
            <w:vMerge w:val="restart"/>
            <w:tcBorders>
              <w:bottom w:val="nil"/>
            </w:tcBorders>
          </w:tcPr>
          <w:p>
            <w:pPr>
              <w:ind w:left="914" w:right="190" w:hanging="723"/>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792" w:type="dxa"/>
            <w:vAlign w:val="top"/>
            <w:vMerge w:val="restart"/>
            <w:tcBorders>
              <w:bottom w:val="nil"/>
            </w:tcBorders>
          </w:tcPr>
          <w:p>
            <w:pPr>
              <w:ind w:left="23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3" w:type="dxa"/>
            <w:vAlign w:val="top"/>
          </w:tcPr>
          <w:p>
            <w:pPr>
              <w:ind w:left="2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3" w:type="dxa"/>
            <w:vAlign w:val="top"/>
          </w:tcPr>
          <w:p>
            <w:pPr>
              <w:ind w:left="47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87" w:hRule="atLeast"/>
        </w:trPr>
        <w:tc>
          <w:tcPr>
            <w:tcW w:w="1215" w:type="dxa"/>
            <w:vAlign w:val="top"/>
            <w:vMerge w:val="restart"/>
            <w:tcBorders>
              <w:bottom w:val="nil"/>
            </w:tcBorders>
          </w:tcPr>
          <w:p>
            <w:pPr>
              <w:ind w:left="128" w:right="123" w:firstLine="9"/>
              <w:spacing w:before="130"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61" w:type="dxa"/>
            <w:vAlign w:val="top"/>
            <w:vMerge w:val="restart"/>
            <w:tcBorders>
              <w:bottom w:val="nil"/>
            </w:tcBorders>
          </w:tcPr>
          <w:p>
            <w:pPr>
              <w:ind w:left="322" w:right="190" w:hanging="131"/>
              <w:spacing w:before="28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792" w:type="dxa"/>
            <w:vAlign w:val="top"/>
            <w:vMerge w:val="restart"/>
            <w:tcBorders>
              <w:bottom w:val="nil"/>
            </w:tcBorders>
          </w:tcPr>
          <w:p>
            <w:pPr>
              <w:spacing w:line="365"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6"/>
              <w:spacing w:before="12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3" w:type="dxa"/>
            <w:vAlign w:val="top"/>
          </w:tcPr>
          <w:p>
            <w:pPr>
              <w:ind w:left="252"/>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2061"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right="211"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43" w:type="dxa"/>
            <w:vAlign w:val="top"/>
          </w:tcPr>
          <w:p>
            <w:pPr>
              <w:ind w:left="47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15"/>
          <w:pgSz w:w="11905" w:h="16839"/>
          <w:pgMar w:top="1431" w:right="1744" w:bottom="1156" w:left="1743" w:header="0" w:footer="994" w:gutter="0"/>
        </w:sectPr>
        <w:rPr/>
      </w:pPr>
    </w:p>
    <w:p>
      <w:pPr>
        <w:spacing w:before="92"/>
        <w:rPr/>
      </w:pPr>
      <w:r/>
    </w:p>
    <w:p>
      <w:pPr>
        <w:spacing w:before="91"/>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79"/>
        <w:gridCol w:w="974"/>
        <w:gridCol w:w="3201"/>
        <w:gridCol w:w="1178"/>
      </w:tblGrid>
      <w:tr>
        <w:trPr>
          <w:trHeight w:val="720" w:hRule="atLeast"/>
        </w:trPr>
        <w:tc>
          <w:tcPr>
            <w:tcW w:w="8447" w:type="dxa"/>
            <w:vAlign w:val="top"/>
            <w:gridSpan w:val="5"/>
          </w:tcPr>
          <w:p>
            <w:pPr>
              <w:ind w:left="221"/>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32" w:type="dxa"/>
            <w:vAlign w:val="top"/>
            <w:gridSpan w:val="4"/>
          </w:tcPr>
          <w:p>
            <w:pPr>
              <w:ind w:left="3512"/>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50</w:t>
            </w:r>
          </w:p>
        </w:tc>
      </w:tr>
      <w:tr>
        <w:trPr>
          <w:trHeight w:val="762" w:hRule="atLeast"/>
        </w:trPr>
        <w:tc>
          <w:tcPr>
            <w:tcW w:w="1215" w:type="dxa"/>
            <w:vAlign w:val="top"/>
          </w:tcPr>
          <w:p>
            <w:pPr>
              <w:ind w:left="56"/>
              <w:spacing w:before="24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32" w:type="dxa"/>
            <w:vAlign w:val="top"/>
            <w:gridSpan w:val="4"/>
          </w:tcPr>
          <w:p>
            <w:pPr>
              <w:ind w:left="22" w:right="16" w:firstLine="1"/>
              <w:spacing w:before="10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对不能密闭的易产生扬尘的物料，未设置不低于堆放物高度的严密围</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挡，或者未采取有效覆盖措施防治扬尘污染的</w:t>
            </w:r>
          </w:p>
        </w:tc>
      </w:tr>
      <w:tr>
        <w:trPr>
          <w:trHeight w:val="3498" w:hRule="atLeast"/>
        </w:trPr>
        <w:tc>
          <w:tcPr>
            <w:tcW w:w="1215"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32"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8" w:right="16" w:firstLine="14"/>
              <w:spacing w:before="4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贮存煤炭、煤矸石、</w:t>
            </w:r>
            <w:r>
              <w:rPr>
                <w:rFonts w:ascii="FangSong_GB2312" w:hAnsi="FangSong_GB2312" w:eastAsia="FangSong_GB2312" w:cs="FangSong_GB2312"/>
                <w:sz w:val="24"/>
                <w:szCs w:val="24"/>
                <w:spacing w:val="-2"/>
              </w:rPr>
              <w:t>煤渣、煤灰、水泥、石灰、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石膏、砂土等易产生扬尘的物料应当密闭；不能</w:t>
            </w:r>
            <w:r>
              <w:rPr>
                <w:rFonts w:ascii="FangSong_GB2312" w:hAnsi="FangSong_GB2312" w:eastAsia="FangSong_GB2312" w:cs="FangSong_GB2312"/>
                <w:sz w:val="24"/>
                <w:szCs w:val="24"/>
                <w:spacing w:val="-1"/>
              </w:rPr>
              <w:t>密闭的，应当设置不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低于堆放物高度的严密围挡，并采取有效覆盖</w:t>
            </w:r>
            <w:r>
              <w:rPr>
                <w:rFonts w:ascii="FangSong_GB2312" w:hAnsi="FangSong_GB2312" w:eastAsia="FangSong_GB2312" w:cs="FangSong_GB2312"/>
                <w:sz w:val="24"/>
                <w:szCs w:val="24"/>
                <w:spacing w:val="-1"/>
              </w:rPr>
              <w:t>措施防治扬尘污染。</w:t>
            </w:r>
          </w:p>
          <w:p>
            <w:pPr>
              <w:spacing w:line="27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52" w:right="16" w:hanging="20"/>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w:t>
            </w:r>
            <w:r>
              <w:rPr>
                <w:rFonts w:ascii="FangSong_GB2312" w:hAnsi="FangSong_GB2312" w:eastAsia="FangSong_GB2312" w:cs="FangSong_GB2312"/>
                <w:sz w:val="24"/>
                <w:szCs w:val="24"/>
                <w:spacing w:val="-2"/>
              </w:rPr>
              <w:t>级以上人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民政府生态环境等主管部门按照职责责令改正，处一万元以上十万元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以下的罚款；拒不改正的，责令停工整治或者停业整治：</w:t>
            </w:r>
          </w:p>
          <w:p>
            <w:pPr>
              <w:ind w:left="15" w:right="16"/>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（二）对不能密闭的易产生扬尘的物料，未设置不低</w:t>
            </w:r>
            <w:r>
              <w:rPr>
                <w:rFonts w:ascii="FangSong_GB2312" w:hAnsi="FangSong_GB2312" w:eastAsia="FangSong_GB2312" w:cs="FangSong_GB2312"/>
                <w:sz w:val="24"/>
                <w:szCs w:val="24"/>
                <w:spacing w:val="-1"/>
              </w:rPr>
              <w:t>于堆放物高度的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严密围挡，或者未采取有效覆盖措施防治扬尘污染的；</w:t>
            </w:r>
          </w:p>
        </w:tc>
      </w:tr>
      <w:tr>
        <w:trPr>
          <w:trHeight w:val="635" w:hRule="atLeast"/>
        </w:trPr>
        <w:tc>
          <w:tcPr>
            <w:tcW w:w="4068" w:type="dxa"/>
            <w:vAlign w:val="top"/>
            <w:gridSpan w:val="3"/>
          </w:tcPr>
          <w:p>
            <w:pPr>
              <w:ind w:left="148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9" w:type="dxa"/>
            <w:vAlign w:val="top"/>
            <w:gridSpan w:val="2"/>
          </w:tcPr>
          <w:p>
            <w:pPr>
              <w:ind w:left="164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79" w:type="dxa"/>
            <w:vAlign w:val="top"/>
          </w:tcPr>
          <w:p>
            <w:pPr>
              <w:ind w:left="508"/>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74" w:type="dxa"/>
            <w:vAlign w:val="top"/>
          </w:tcPr>
          <w:p>
            <w:pPr>
              <w:ind w:left="303" w:right="26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8" w:type="dxa"/>
            <w:vAlign w:val="top"/>
          </w:tcPr>
          <w:p>
            <w:pPr>
              <w:ind w:left="272"/>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282" w:lineRule="auto"/>
              <w:rPr>
                <w:rFonts w:ascii="Arial"/>
                <w:sz w:val="21"/>
              </w:rPr>
            </w:pPr>
            <w:r/>
          </w:p>
          <w:p>
            <w:pPr>
              <w:ind w:left="260" w:right="126"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79" w:type="dxa"/>
            <w:vAlign w:val="top"/>
            <w:vMerge w:val="restart"/>
            <w:tcBorders>
              <w:bottom w:val="nil"/>
            </w:tcBorders>
          </w:tcPr>
          <w:p>
            <w:pPr>
              <w:spacing w:line="440" w:lineRule="auto"/>
              <w:rPr>
                <w:rFonts w:ascii="Arial"/>
                <w:sz w:val="21"/>
              </w:rPr>
            </w:pPr>
            <w:r/>
          </w:p>
          <w:p>
            <w:pPr>
              <w:ind w:left="22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74" w:type="dxa"/>
            <w:vAlign w:val="top"/>
            <w:vMerge w:val="restart"/>
            <w:tcBorders>
              <w:bottom w:val="nil"/>
            </w:tcBorders>
          </w:tcPr>
          <w:p>
            <w:pPr>
              <w:spacing w:line="440" w:lineRule="auto"/>
              <w:rPr>
                <w:rFonts w:ascii="Arial"/>
                <w:sz w:val="21"/>
              </w:rPr>
            </w:pPr>
            <w:r/>
          </w:p>
          <w:p>
            <w:pPr>
              <w:ind w:left="3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0" w:right="270" w:firstLine="33"/>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已采取防治扬尘污染措施，</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效果不佳的</w:t>
            </w:r>
          </w:p>
        </w:tc>
        <w:tc>
          <w:tcPr>
            <w:tcW w:w="1178" w:type="dxa"/>
            <w:vAlign w:val="top"/>
          </w:tcPr>
          <w:p>
            <w:pPr>
              <w:ind w:left="25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15" w:right="211" w:firstLine="1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完全未采取防治扬尘污染措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施的</w:t>
            </w:r>
          </w:p>
        </w:tc>
        <w:tc>
          <w:tcPr>
            <w:tcW w:w="1178" w:type="dxa"/>
            <w:vAlign w:val="top"/>
          </w:tcPr>
          <w:p>
            <w:pPr>
              <w:ind w:left="18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79" w:type="dxa"/>
            <w:vAlign w:val="top"/>
            <w:vMerge w:val="restart"/>
            <w:tcBorders>
              <w:bottom w:val="nil"/>
            </w:tcBorders>
          </w:tcPr>
          <w:p>
            <w:pPr>
              <w:spacing w:line="295" w:lineRule="auto"/>
              <w:rPr>
                <w:rFonts w:ascii="Arial"/>
                <w:sz w:val="21"/>
              </w:rPr>
            </w:pPr>
            <w:r/>
          </w:p>
          <w:p>
            <w:pPr>
              <w:ind w:left="830" w:right="219"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74" w:type="dxa"/>
            <w:vAlign w:val="top"/>
            <w:vMerge w:val="restart"/>
            <w:tcBorders>
              <w:bottom w:val="nil"/>
            </w:tcBorders>
          </w:tcPr>
          <w:p>
            <w:pPr>
              <w:spacing w:line="449" w:lineRule="auto"/>
              <w:rPr>
                <w:rFonts w:ascii="Arial"/>
                <w:sz w:val="21"/>
              </w:rPr>
            </w:pPr>
            <w:r/>
          </w:p>
          <w:p>
            <w:pPr>
              <w:ind w:left="3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8" w:type="dxa"/>
            <w:vAlign w:val="top"/>
          </w:tcPr>
          <w:p>
            <w:pPr>
              <w:ind w:left="48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8" w:type="dxa"/>
            <w:vAlign w:val="top"/>
          </w:tcPr>
          <w:p>
            <w:pPr>
              <w:ind w:left="4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8" w:type="dxa"/>
            <w:vAlign w:val="top"/>
          </w:tcPr>
          <w:p>
            <w:pPr>
              <w:ind w:left="4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8" w:type="dxa"/>
            <w:vAlign w:val="top"/>
          </w:tcPr>
          <w:p>
            <w:pPr>
              <w:ind w:left="4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79"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74" w:type="dxa"/>
            <w:vAlign w:val="top"/>
            <w:vMerge w:val="restart"/>
            <w:tcBorders>
              <w:bottom w:val="nil"/>
            </w:tcBorders>
          </w:tcPr>
          <w:p>
            <w:pPr>
              <w:spacing w:line="445" w:lineRule="auto"/>
              <w:rPr>
                <w:rFonts w:ascii="Arial"/>
                <w:sz w:val="21"/>
              </w:rPr>
            </w:pPr>
            <w:r/>
          </w:p>
          <w:p>
            <w:pPr>
              <w:ind w:left="3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8" w:type="dxa"/>
            <w:vAlign w:val="top"/>
          </w:tcPr>
          <w:p>
            <w:pPr>
              <w:ind w:left="4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974"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78" w:type="dxa"/>
            <w:vAlign w:val="top"/>
          </w:tcPr>
          <w:p>
            <w:pPr>
              <w:ind w:left="31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8" w:type="dxa"/>
            <w:vAlign w:val="top"/>
          </w:tcPr>
          <w:p>
            <w:pPr>
              <w:ind w:left="24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3" w:right="126"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79" w:type="dxa"/>
            <w:vAlign w:val="top"/>
            <w:vMerge w:val="restart"/>
            <w:tcBorders>
              <w:bottom w:val="nil"/>
            </w:tcBorders>
          </w:tcPr>
          <w:p>
            <w:pPr>
              <w:ind w:left="700" w:right="219"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74" w:type="dxa"/>
            <w:vAlign w:val="top"/>
            <w:vMerge w:val="restart"/>
            <w:tcBorders>
              <w:bottom w:val="nil"/>
            </w:tcBorders>
          </w:tcPr>
          <w:p>
            <w:pPr>
              <w:ind w:left="328"/>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8" w:type="dxa"/>
            <w:vAlign w:val="top"/>
          </w:tcPr>
          <w:p>
            <w:pPr>
              <w:ind w:left="25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8" w:type="dxa"/>
            <w:vAlign w:val="top"/>
          </w:tcPr>
          <w:p>
            <w:pPr>
              <w:ind w:left="4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98" w:hRule="atLeast"/>
        </w:trPr>
        <w:tc>
          <w:tcPr>
            <w:tcW w:w="1215" w:type="dxa"/>
            <w:vAlign w:val="top"/>
            <w:vMerge w:val="restart"/>
            <w:tcBorders>
              <w:bottom w:val="nil"/>
            </w:tcBorders>
          </w:tcPr>
          <w:p>
            <w:pPr>
              <w:ind w:left="126" w:right="126" w:firstLine="9"/>
              <w:spacing w:before="13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79" w:type="dxa"/>
            <w:vAlign w:val="top"/>
            <w:vMerge w:val="restart"/>
            <w:tcBorders>
              <w:bottom w:val="nil"/>
            </w:tcBorders>
          </w:tcPr>
          <w:p>
            <w:pPr>
              <w:ind w:left="220"/>
              <w:spacing w:before="13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1"/>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1"/>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74" w:type="dxa"/>
            <w:vAlign w:val="top"/>
            <w:vMerge w:val="restart"/>
            <w:tcBorders>
              <w:bottom w:val="nil"/>
            </w:tcBorders>
          </w:tcPr>
          <w:p>
            <w:pPr>
              <w:spacing w:line="373" w:lineRule="auto"/>
              <w:rPr>
                <w:rFonts w:ascii="Arial"/>
                <w:sz w:val="21"/>
              </w:rPr>
            </w:pPr>
            <w:r/>
          </w:p>
          <w:p>
            <w:pPr>
              <w:ind w:left="3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3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78" w:type="dxa"/>
            <w:vAlign w:val="top"/>
          </w:tcPr>
          <w:p>
            <w:pPr>
              <w:ind w:left="252"/>
              <w:spacing w:before="13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974" w:type="dxa"/>
            <w:vAlign w:val="top"/>
            <w:vMerge w:val="continue"/>
            <w:tcBorders>
              <w:top w:val="nil"/>
            </w:tcBorders>
          </w:tcPr>
          <w:p>
            <w:pPr>
              <w:rPr>
                <w:rFonts w:ascii="Arial"/>
                <w:sz w:val="21"/>
              </w:rPr>
            </w:pPr>
            <w:r/>
          </w:p>
        </w:tc>
        <w:tc>
          <w:tcPr>
            <w:tcW w:w="3201" w:type="dxa"/>
            <w:vAlign w:val="top"/>
          </w:tcPr>
          <w:p>
            <w:pPr>
              <w:ind w:left="134" w:right="21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78" w:type="dxa"/>
            <w:vAlign w:val="top"/>
          </w:tcPr>
          <w:p>
            <w:pPr>
              <w:ind w:left="49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16"/>
          <w:pgSz w:w="11905" w:h="16839"/>
          <w:pgMar w:top="1431" w:right="1726" w:bottom="1156" w:left="1726" w:header="0" w:footer="994" w:gutter="0"/>
        </w:sectPr>
        <w:rPr/>
      </w:pPr>
    </w:p>
    <w:p>
      <w:pPr>
        <w:spacing w:before="92"/>
        <w:rPr/>
      </w:pPr>
      <w:r/>
    </w:p>
    <w:p>
      <w:pPr>
        <w:spacing w:before="91"/>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90"/>
        <w:gridCol w:w="963"/>
        <w:gridCol w:w="3201"/>
        <w:gridCol w:w="1178"/>
      </w:tblGrid>
      <w:tr>
        <w:trPr>
          <w:trHeight w:val="720" w:hRule="atLeast"/>
        </w:trPr>
        <w:tc>
          <w:tcPr>
            <w:tcW w:w="8447" w:type="dxa"/>
            <w:vAlign w:val="top"/>
            <w:gridSpan w:val="5"/>
          </w:tcPr>
          <w:p>
            <w:pPr>
              <w:ind w:left="221"/>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32" w:type="dxa"/>
            <w:vAlign w:val="top"/>
            <w:gridSpan w:val="4"/>
          </w:tcPr>
          <w:p>
            <w:pPr>
              <w:ind w:left="3512"/>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51</w:t>
            </w:r>
          </w:p>
        </w:tc>
      </w:tr>
      <w:tr>
        <w:trPr>
          <w:trHeight w:val="664" w:hRule="atLeast"/>
        </w:trPr>
        <w:tc>
          <w:tcPr>
            <w:tcW w:w="1215" w:type="dxa"/>
            <w:vAlign w:val="top"/>
          </w:tcPr>
          <w:p>
            <w:pPr>
              <w:ind w:left="5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32" w:type="dxa"/>
            <w:vAlign w:val="top"/>
            <w:gridSpan w:val="4"/>
          </w:tcPr>
          <w:p>
            <w:pPr>
              <w:ind w:left="19"/>
              <w:spacing w:before="21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装卸物料未采取密闭或者喷淋等方式控制扬尘排放的</w:t>
            </w:r>
          </w:p>
        </w:tc>
      </w:tr>
      <w:tr>
        <w:trPr>
          <w:trHeight w:val="2925" w:hRule="atLeast"/>
        </w:trPr>
        <w:tc>
          <w:tcPr>
            <w:tcW w:w="1215"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32" w:type="dxa"/>
            <w:vAlign w:val="top"/>
            <w:gridSpan w:val="4"/>
          </w:tcPr>
          <w:p>
            <w:pPr>
              <w:ind w:left="35"/>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30" w:right="254" w:firstLine="1"/>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装卸物料应当采取密闭或者喷淋等方式防治扬尘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污染。</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52" w:right="16" w:hanging="20"/>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w:t>
            </w:r>
            <w:r>
              <w:rPr>
                <w:rFonts w:ascii="FangSong_GB2312" w:hAnsi="FangSong_GB2312" w:eastAsia="FangSong_GB2312" w:cs="FangSong_GB2312"/>
                <w:sz w:val="24"/>
                <w:szCs w:val="24"/>
                <w:spacing w:val="-2"/>
              </w:rPr>
              <w:t>级以上人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民政府生态环境等主管部门按照职责责令改正，处一万元以上十万元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以下的罚款；拒不改正的，责令停工整治或者停业整治：</w:t>
            </w:r>
          </w:p>
          <w:p>
            <w:pPr>
              <w:ind w:left="15"/>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（三）装卸物料未采取密闭或者喷淋等方式控</w:t>
            </w:r>
            <w:r>
              <w:rPr>
                <w:rFonts w:ascii="FangSong_GB2312" w:hAnsi="FangSong_GB2312" w:eastAsia="FangSong_GB2312" w:cs="FangSong_GB2312"/>
                <w:sz w:val="24"/>
                <w:szCs w:val="24"/>
                <w:spacing w:val="-1"/>
              </w:rPr>
              <w:t>制扬尘排放的；</w:t>
            </w:r>
          </w:p>
        </w:tc>
      </w:tr>
      <w:tr>
        <w:trPr>
          <w:trHeight w:val="634" w:hRule="atLeast"/>
        </w:trPr>
        <w:tc>
          <w:tcPr>
            <w:tcW w:w="4068" w:type="dxa"/>
            <w:vAlign w:val="top"/>
            <w:gridSpan w:val="3"/>
          </w:tcPr>
          <w:p>
            <w:pPr>
              <w:ind w:left="148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9" w:type="dxa"/>
            <w:vAlign w:val="top"/>
            <w:gridSpan w:val="2"/>
          </w:tcPr>
          <w:p>
            <w:pPr>
              <w:ind w:left="164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90" w:type="dxa"/>
            <w:vAlign w:val="top"/>
          </w:tcPr>
          <w:p>
            <w:pPr>
              <w:ind w:left="515"/>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63" w:type="dxa"/>
            <w:vAlign w:val="top"/>
          </w:tcPr>
          <w:p>
            <w:pPr>
              <w:ind w:left="297" w:right="25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8" w:type="dxa"/>
            <w:vAlign w:val="top"/>
          </w:tcPr>
          <w:p>
            <w:pPr>
              <w:ind w:left="272"/>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282" w:lineRule="auto"/>
              <w:rPr>
                <w:rFonts w:ascii="Arial"/>
                <w:sz w:val="21"/>
              </w:rPr>
            </w:pPr>
            <w:r/>
          </w:p>
          <w:p>
            <w:pPr>
              <w:ind w:left="260" w:right="126"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90" w:type="dxa"/>
            <w:vAlign w:val="top"/>
            <w:vMerge w:val="restart"/>
            <w:tcBorders>
              <w:bottom w:val="nil"/>
            </w:tcBorders>
          </w:tcPr>
          <w:p>
            <w:pPr>
              <w:spacing w:line="440"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63" w:type="dxa"/>
            <w:vAlign w:val="top"/>
            <w:vMerge w:val="restart"/>
            <w:tcBorders>
              <w:bottom w:val="nil"/>
            </w:tcBorders>
          </w:tcPr>
          <w:p>
            <w:pPr>
              <w:spacing w:line="440" w:lineRule="auto"/>
              <w:rPr>
                <w:rFonts w:ascii="Arial"/>
                <w:sz w:val="21"/>
              </w:rPr>
            </w:pPr>
            <w:r/>
          </w:p>
          <w:p>
            <w:pPr>
              <w:ind w:left="31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0" w:right="270" w:firstLine="33"/>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已采取控制扬尘污染措施，</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效果不佳的</w:t>
            </w:r>
          </w:p>
        </w:tc>
        <w:tc>
          <w:tcPr>
            <w:tcW w:w="1178" w:type="dxa"/>
            <w:vAlign w:val="top"/>
          </w:tcPr>
          <w:p>
            <w:pPr>
              <w:ind w:left="25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15" w:right="211" w:firstLine="1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完全未采取控制扬尘污染措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施的</w:t>
            </w:r>
          </w:p>
        </w:tc>
        <w:tc>
          <w:tcPr>
            <w:tcW w:w="1178" w:type="dxa"/>
            <w:vAlign w:val="top"/>
          </w:tcPr>
          <w:p>
            <w:pPr>
              <w:ind w:left="18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90" w:type="dxa"/>
            <w:vAlign w:val="top"/>
            <w:vMerge w:val="restart"/>
            <w:tcBorders>
              <w:bottom w:val="nil"/>
            </w:tcBorders>
          </w:tcPr>
          <w:p>
            <w:pPr>
              <w:spacing w:line="293" w:lineRule="auto"/>
              <w:rPr>
                <w:rFonts w:ascii="Arial"/>
                <w:sz w:val="21"/>
              </w:rPr>
            </w:pPr>
            <w:r/>
          </w:p>
          <w:p>
            <w:pPr>
              <w:ind w:left="837" w:right="22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63" w:type="dxa"/>
            <w:vAlign w:val="top"/>
            <w:vMerge w:val="restart"/>
            <w:tcBorders>
              <w:bottom w:val="nil"/>
            </w:tcBorders>
          </w:tcPr>
          <w:p>
            <w:pPr>
              <w:spacing w:line="449" w:lineRule="auto"/>
              <w:rPr>
                <w:rFonts w:ascii="Arial"/>
                <w:sz w:val="21"/>
              </w:rPr>
            </w:pPr>
            <w:r/>
          </w:p>
          <w:p>
            <w:pPr>
              <w:ind w:left="3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8" w:type="dxa"/>
            <w:vAlign w:val="top"/>
          </w:tcPr>
          <w:p>
            <w:pPr>
              <w:ind w:left="48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8" w:type="dxa"/>
            <w:vAlign w:val="top"/>
          </w:tcPr>
          <w:p>
            <w:pPr>
              <w:ind w:left="4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8" w:type="dxa"/>
            <w:vAlign w:val="top"/>
          </w:tcPr>
          <w:p>
            <w:pPr>
              <w:ind w:left="4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8" w:type="dxa"/>
            <w:vAlign w:val="top"/>
          </w:tcPr>
          <w:p>
            <w:pPr>
              <w:ind w:left="4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90"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63" w:type="dxa"/>
            <w:vAlign w:val="top"/>
            <w:vMerge w:val="restart"/>
            <w:tcBorders>
              <w:bottom w:val="nil"/>
            </w:tcBorders>
          </w:tcPr>
          <w:p>
            <w:pPr>
              <w:spacing w:line="445" w:lineRule="auto"/>
              <w:rPr>
                <w:rFonts w:ascii="Arial"/>
                <w:sz w:val="21"/>
              </w:rPr>
            </w:pPr>
            <w:r/>
          </w:p>
          <w:p>
            <w:pPr>
              <w:ind w:left="3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8" w:type="dxa"/>
            <w:vAlign w:val="top"/>
          </w:tcPr>
          <w:p>
            <w:pPr>
              <w:ind w:left="4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78" w:type="dxa"/>
            <w:vAlign w:val="top"/>
          </w:tcPr>
          <w:p>
            <w:pPr>
              <w:ind w:left="31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8" w:type="dxa"/>
            <w:vAlign w:val="top"/>
          </w:tcPr>
          <w:p>
            <w:pPr>
              <w:ind w:left="24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3" w:right="126"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90" w:type="dxa"/>
            <w:vAlign w:val="top"/>
            <w:vMerge w:val="restart"/>
            <w:tcBorders>
              <w:bottom w:val="nil"/>
            </w:tcBorders>
          </w:tcPr>
          <w:p>
            <w:pPr>
              <w:ind w:left="707" w:right="22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63" w:type="dxa"/>
            <w:vAlign w:val="top"/>
            <w:vMerge w:val="restart"/>
            <w:tcBorders>
              <w:bottom w:val="nil"/>
            </w:tcBorders>
          </w:tcPr>
          <w:p>
            <w:pPr>
              <w:ind w:left="324"/>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8" w:type="dxa"/>
            <w:vAlign w:val="top"/>
          </w:tcPr>
          <w:p>
            <w:pPr>
              <w:ind w:left="25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8" w:type="dxa"/>
            <w:vAlign w:val="top"/>
          </w:tcPr>
          <w:p>
            <w:pPr>
              <w:ind w:left="4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65" w:hRule="atLeast"/>
        </w:trPr>
        <w:tc>
          <w:tcPr>
            <w:tcW w:w="1215" w:type="dxa"/>
            <w:vAlign w:val="top"/>
            <w:vMerge w:val="restart"/>
            <w:tcBorders>
              <w:bottom w:val="nil"/>
            </w:tcBorders>
          </w:tcPr>
          <w:p>
            <w:pPr>
              <w:ind w:left="126" w:right="126" w:firstLine="9"/>
              <w:spacing w:before="119"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90" w:type="dxa"/>
            <w:vAlign w:val="top"/>
            <w:vMerge w:val="restart"/>
            <w:tcBorders>
              <w:bottom w:val="nil"/>
            </w:tcBorders>
          </w:tcPr>
          <w:p>
            <w:pPr>
              <w:ind w:left="227"/>
              <w:spacing w:before="11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63" w:type="dxa"/>
            <w:vAlign w:val="top"/>
            <w:vMerge w:val="restart"/>
            <w:tcBorders>
              <w:bottom w:val="nil"/>
            </w:tcBorders>
          </w:tcPr>
          <w:p>
            <w:pPr>
              <w:spacing w:line="356" w:lineRule="auto"/>
              <w:rPr>
                <w:rFonts w:ascii="Arial"/>
                <w:sz w:val="21"/>
              </w:rPr>
            </w:pPr>
            <w:r/>
          </w:p>
          <w:p>
            <w:pPr>
              <w:ind w:left="3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1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78" w:type="dxa"/>
            <w:vAlign w:val="top"/>
          </w:tcPr>
          <w:p>
            <w:pPr>
              <w:ind w:left="252"/>
              <w:spacing w:before="11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34" w:right="21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78" w:type="dxa"/>
            <w:vAlign w:val="top"/>
          </w:tcPr>
          <w:p>
            <w:pPr>
              <w:ind w:left="4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17"/>
          <w:pgSz w:w="11905" w:h="16839"/>
          <w:pgMar w:top="1431" w:right="1726" w:bottom="1156" w:left="1726" w:header="0" w:footer="994" w:gutter="0"/>
        </w:sectPr>
        <w:rPr/>
      </w:pPr>
    </w:p>
    <w:p>
      <w:pPr>
        <w:spacing w:before="92"/>
        <w:rPr/>
      </w:pPr>
      <w:r/>
    </w:p>
    <w:p>
      <w:pPr>
        <w:spacing w:before="91"/>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90"/>
        <w:gridCol w:w="963"/>
        <w:gridCol w:w="3201"/>
        <w:gridCol w:w="1178"/>
      </w:tblGrid>
      <w:tr>
        <w:trPr>
          <w:trHeight w:val="720" w:hRule="atLeast"/>
        </w:trPr>
        <w:tc>
          <w:tcPr>
            <w:tcW w:w="8447" w:type="dxa"/>
            <w:vAlign w:val="top"/>
            <w:gridSpan w:val="5"/>
          </w:tcPr>
          <w:p>
            <w:pPr>
              <w:ind w:left="221"/>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32" w:type="dxa"/>
            <w:vAlign w:val="top"/>
            <w:gridSpan w:val="4"/>
          </w:tcPr>
          <w:p>
            <w:pPr>
              <w:ind w:left="3512"/>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52</w:t>
            </w:r>
          </w:p>
        </w:tc>
      </w:tr>
      <w:tr>
        <w:trPr>
          <w:trHeight w:val="664" w:hRule="atLeast"/>
        </w:trPr>
        <w:tc>
          <w:tcPr>
            <w:tcW w:w="1215" w:type="dxa"/>
            <w:vAlign w:val="top"/>
          </w:tcPr>
          <w:p>
            <w:pPr>
              <w:ind w:left="5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32" w:type="dxa"/>
            <w:vAlign w:val="top"/>
            <w:gridSpan w:val="4"/>
          </w:tcPr>
          <w:p>
            <w:pPr>
              <w:ind w:left="17"/>
              <w:spacing w:before="213"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存放煤炭、煤矸石、煤渣、煤灰等物料，未采取防燃措施的</w:t>
            </w:r>
          </w:p>
        </w:tc>
      </w:tr>
      <w:tr>
        <w:trPr>
          <w:trHeight w:val="2869" w:hRule="atLeast"/>
        </w:trPr>
        <w:tc>
          <w:tcPr>
            <w:tcW w:w="1215" w:type="dxa"/>
            <w:vAlign w:val="top"/>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32" w:type="dxa"/>
            <w:vAlign w:val="top"/>
            <w:gridSpan w:val="4"/>
          </w:tcPr>
          <w:p>
            <w:pPr>
              <w:ind w:left="35"/>
              <w:spacing w:before="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49" w:right="14" w:hanging="17"/>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单位存放煤炭、煤矸石、煤渣、煤灰等物料</w:t>
            </w:r>
            <w:r>
              <w:rPr>
                <w:rFonts w:ascii="FangSong_GB2312" w:hAnsi="FangSong_GB2312" w:eastAsia="FangSong_GB2312" w:cs="FangSong_GB2312"/>
                <w:sz w:val="24"/>
                <w:szCs w:val="24"/>
                <w:spacing w:val="-2"/>
              </w:rPr>
              <w:t>，应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当采取防燃措施，防止大气污染。</w:t>
            </w:r>
          </w:p>
          <w:p>
            <w:pPr>
              <w:spacing w:line="27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52" w:right="16" w:hanging="20"/>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w:t>
            </w:r>
            <w:r>
              <w:rPr>
                <w:rFonts w:ascii="FangSong_GB2312" w:hAnsi="FangSong_GB2312" w:eastAsia="FangSong_GB2312" w:cs="FangSong_GB2312"/>
                <w:sz w:val="24"/>
                <w:szCs w:val="24"/>
                <w:spacing w:val="-2"/>
              </w:rPr>
              <w:t>级以上人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民政府生态环境等主管部门按照职责责令改正，处一万元以上十万元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以下的罚款；拒不改正的，责令停工整治或者停业整治：</w:t>
            </w:r>
          </w:p>
          <w:p>
            <w:pPr>
              <w:ind w:left="15"/>
              <w:spacing w:before="3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（四）存放煤炭、煤矸石、煤渣、煤灰等物料，未采</w:t>
            </w:r>
            <w:r>
              <w:rPr>
                <w:rFonts w:ascii="FangSong_GB2312" w:hAnsi="FangSong_GB2312" w:eastAsia="FangSong_GB2312" w:cs="FangSong_GB2312"/>
                <w:sz w:val="24"/>
                <w:szCs w:val="24"/>
                <w:spacing w:val="-1"/>
              </w:rPr>
              <w:t>取防燃措施的；</w:t>
            </w:r>
          </w:p>
        </w:tc>
      </w:tr>
      <w:tr>
        <w:trPr>
          <w:trHeight w:val="634" w:hRule="atLeast"/>
        </w:trPr>
        <w:tc>
          <w:tcPr>
            <w:tcW w:w="4068" w:type="dxa"/>
            <w:vAlign w:val="top"/>
            <w:gridSpan w:val="3"/>
          </w:tcPr>
          <w:p>
            <w:pPr>
              <w:ind w:left="148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9" w:type="dxa"/>
            <w:vAlign w:val="top"/>
            <w:gridSpan w:val="2"/>
          </w:tcPr>
          <w:p>
            <w:pPr>
              <w:ind w:left="164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90" w:type="dxa"/>
            <w:vAlign w:val="top"/>
          </w:tcPr>
          <w:p>
            <w:pPr>
              <w:ind w:left="515"/>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63" w:type="dxa"/>
            <w:vAlign w:val="top"/>
          </w:tcPr>
          <w:p>
            <w:pPr>
              <w:ind w:left="297" w:right="25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8" w:type="dxa"/>
            <w:vAlign w:val="top"/>
          </w:tcPr>
          <w:p>
            <w:pPr>
              <w:ind w:left="272"/>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ind w:left="260" w:right="126" w:hanging="125"/>
              <w:spacing w:before="28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90" w:type="dxa"/>
            <w:vAlign w:val="top"/>
            <w:vMerge w:val="restart"/>
            <w:tcBorders>
              <w:bottom w:val="nil"/>
            </w:tcBorders>
          </w:tcPr>
          <w:p>
            <w:pPr>
              <w:spacing w:line="367"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63" w:type="dxa"/>
            <w:vAlign w:val="top"/>
            <w:vMerge w:val="restart"/>
            <w:tcBorders>
              <w:bottom w:val="nil"/>
            </w:tcBorders>
          </w:tcPr>
          <w:p>
            <w:pPr>
              <w:spacing w:line="367" w:lineRule="auto"/>
              <w:rPr>
                <w:rFonts w:ascii="Arial"/>
                <w:sz w:val="21"/>
              </w:rPr>
            </w:pPr>
            <w:r/>
          </w:p>
          <w:p>
            <w:pPr>
              <w:ind w:left="31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4" w:right="211" w:firstLine="1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已采取防燃措施，效果不佳</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rPr>
              <w:t>的</w:t>
            </w:r>
          </w:p>
        </w:tc>
        <w:tc>
          <w:tcPr>
            <w:tcW w:w="1178" w:type="dxa"/>
            <w:vAlign w:val="top"/>
          </w:tcPr>
          <w:p>
            <w:pPr>
              <w:ind w:left="25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9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27"/>
              <w:spacing w:before="12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完全未采取防燃措施的</w:t>
            </w:r>
          </w:p>
        </w:tc>
        <w:tc>
          <w:tcPr>
            <w:tcW w:w="1178" w:type="dxa"/>
            <w:vAlign w:val="top"/>
          </w:tcPr>
          <w:p>
            <w:pPr>
              <w:ind w:left="186"/>
              <w:spacing w:before="12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8"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90" w:type="dxa"/>
            <w:vAlign w:val="top"/>
            <w:vMerge w:val="restart"/>
            <w:tcBorders>
              <w:bottom w:val="nil"/>
            </w:tcBorders>
          </w:tcPr>
          <w:p>
            <w:pPr>
              <w:spacing w:line="292" w:lineRule="auto"/>
              <w:rPr>
                <w:rFonts w:ascii="Arial"/>
                <w:sz w:val="21"/>
              </w:rPr>
            </w:pPr>
            <w:r/>
          </w:p>
          <w:p>
            <w:pPr>
              <w:ind w:left="837" w:right="22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63" w:type="dxa"/>
            <w:vAlign w:val="top"/>
            <w:vMerge w:val="restart"/>
            <w:tcBorders>
              <w:bottom w:val="nil"/>
            </w:tcBorders>
          </w:tcPr>
          <w:p>
            <w:pPr>
              <w:spacing w:line="448" w:lineRule="auto"/>
              <w:rPr>
                <w:rFonts w:ascii="Arial"/>
                <w:sz w:val="21"/>
              </w:rPr>
            </w:pPr>
            <w:r/>
          </w:p>
          <w:p>
            <w:pPr>
              <w:ind w:left="3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8" w:type="dxa"/>
            <w:vAlign w:val="top"/>
          </w:tcPr>
          <w:p>
            <w:pPr>
              <w:ind w:left="48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8" w:type="dxa"/>
            <w:vAlign w:val="top"/>
          </w:tcPr>
          <w:p>
            <w:pPr>
              <w:ind w:left="4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8" w:type="dxa"/>
            <w:vAlign w:val="top"/>
          </w:tcPr>
          <w:p>
            <w:pPr>
              <w:ind w:left="4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8" w:type="dxa"/>
            <w:vAlign w:val="top"/>
          </w:tcPr>
          <w:p>
            <w:pPr>
              <w:ind w:left="4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4"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90"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63" w:type="dxa"/>
            <w:vAlign w:val="top"/>
            <w:vMerge w:val="restart"/>
            <w:tcBorders>
              <w:bottom w:val="nil"/>
            </w:tcBorders>
          </w:tcPr>
          <w:p>
            <w:pPr>
              <w:spacing w:line="444" w:lineRule="auto"/>
              <w:rPr>
                <w:rFonts w:ascii="Arial"/>
                <w:sz w:val="21"/>
              </w:rPr>
            </w:pPr>
            <w:r/>
          </w:p>
          <w:p>
            <w:pPr>
              <w:ind w:left="3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8" w:type="dxa"/>
            <w:vAlign w:val="top"/>
          </w:tcPr>
          <w:p>
            <w:pPr>
              <w:ind w:left="4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90" w:type="dxa"/>
            <w:vAlign w:val="top"/>
            <w:vMerge w:val="continue"/>
            <w:tcBorders>
              <w:top w:val="nil"/>
              <w:bottom w:val="nil"/>
            </w:tcBorders>
          </w:tcPr>
          <w:p>
            <w:pPr>
              <w:rPr>
                <w:rFonts w:ascii="Arial"/>
                <w:sz w:val="21"/>
              </w:rPr>
            </w:pPr>
            <w:r/>
          </w:p>
        </w:tc>
        <w:tc>
          <w:tcPr>
            <w:tcW w:w="963"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78" w:type="dxa"/>
            <w:vAlign w:val="top"/>
          </w:tcPr>
          <w:p>
            <w:pPr>
              <w:ind w:left="31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8" w:type="dxa"/>
            <w:vAlign w:val="top"/>
          </w:tcPr>
          <w:p>
            <w:pPr>
              <w:ind w:left="24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3" w:right="126"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90" w:type="dxa"/>
            <w:vAlign w:val="top"/>
            <w:vMerge w:val="restart"/>
            <w:tcBorders>
              <w:bottom w:val="nil"/>
            </w:tcBorders>
          </w:tcPr>
          <w:p>
            <w:pPr>
              <w:ind w:left="707" w:right="223"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63" w:type="dxa"/>
            <w:vAlign w:val="top"/>
            <w:vMerge w:val="restart"/>
            <w:tcBorders>
              <w:bottom w:val="nil"/>
            </w:tcBorders>
          </w:tcPr>
          <w:p>
            <w:pPr>
              <w:ind w:left="324"/>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8" w:type="dxa"/>
            <w:vAlign w:val="top"/>
          </w:tcPr>
          <w:p>
            <w:pPr>
              <w:ind w:left="25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8" w:type="dxa"/>
            <w:vAlign w:val="top"/>
          </w:tcPr>
          <w:p>
            <w:pPr>
              <w:ind w:left="4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08" w:hRule="atLeast"/>
        </w:trPr>
        <w:tc>
          <w:tcPr>
            <w:tcW w:w="1215" w:type="dxa"/>
            <w:vAlign w:val="top"/>
            <w:vMerge w:val="restart"/>
            <w:tcBorders>
              <w:bottom w:val="nil"/>
            </w:tcBorders>
          </w:tcPr>
          <w:p>
            <w:pPr>
              <w:ind w:left="126" w:right="126" w:firstLine="9"/>
              <w:spacing w:before="143"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90" w:type="dxa"/>
            <w:vAlign w:val="top"/>
            <w:vMerge w:val="restart"/>
            <w:tcBorders>
              <w:bottom w:val="nil"/>
            </w:tcBorders>
          </w:tcPr>
          <w:p>
            <w:pPr>
              <w:ind w:left="227"/>
              <w:spacing w:before="1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63" w:type="dxa"/>
            <w:vAlign w:val="top"/>
            <w:vMerge w:val="restart"/>
            <w:tcBorders>
              <w:bottom w:val="nil"/>
            </w:tcBorders>
          </w:tcPr>
          <w:p>
            <w:pPr>
              <w:spacing w:line="377" w:lineRule="auto"/>
              <w:rPr>
                <w:rFonts w:ascii="Arial"/>
                <w:sz w:val="21"/>
              </w:rPr>
            </w:pPr>
            <w:r/>
          </w:p>
          <w:p>
            <w:pPr>
              <w:ind w:left="3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78" w:type="dxa"/>
            <w:vAlign w:val="top"/>
          </w:tcPr>
          <w:p>
            <w:pPr>
              <w:ind w:left="252"/>
              <w:spacing w:before="1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90"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3201" w:type="dxa"/>
            <w:vAlign w:val="top"/>
          </w:tcPr>
          <w:p>
            <w:pPr>
              <w:ind w:left="134" w:right="21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78" w:type="dxa"/>
            <w:vAlign w:val="top"/>
          </w:tcPr>
          <w:p>
            <w:pPr>
              <w:ind w:left="49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18"/>
          <w:pgSz w:w="11905" w:h="16839"/>
          <w:pgMar w:top="1431" w:right="1726" w:bottom="1156" w:left="1726"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7232"/>
      </w:tblGrid>
      <w:tr>
        <w:trPr>
          <w:trHeight w:val="720" w:hRule="atLeast"/>
        </w:trPr>
        <w:tc>
          <w:tcPr>
            <w:tcW w:w="8447" w:type="dxa"/>
            <w:vAlign w:val="top"/>
            <w:gridSpan w:val="2"/>
          </w:tcPr>
          <w:p>
            <w:pPr>
              <w:ind w:left="221"/>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704" w:hRule="atLeast"/>
        </w:trPr>
        <w:tc>
          <w:tcPr>
            <w:tcW w:w="1215" w:type="dxa"/>
            <w:vAlign w:val="top"/>
          </w:tcPr>
          <w:p>
            <w:pPr>
              <w:ind w:left="331"/>
              <w:spacing w:before="21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32" w:type="dxa"/>
            <w:vAlign w:val="top"/>
          </w:tcPr>
          <w:p>
            <w:pPr>
              <w:ind w:left="3512"/>
              <w:spacing w:before="26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53</w:t>
            </w:r>
          </w:p>
        </w:tc>
      </w:tr>
      <w:tr>
        <w:trPr>
          <w:trHeight w:val="665" w:hRule="atLeast"/>
        </w:trPr>
        <w:tc>
          <w:tcPr>
            <w:tcW w:w="1215" w:type="dxa"/>
            <w:vAlign w:val="top"/>
          </w:tcPr>
          <w:p>
            <w:pPr>
              <w:ind w:left="56"/>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32" w:type="dxa"/>
            <w:vAlign w:val="top"/>
          </w:tcPr>
          <w:p>
            <w:pPr>
              <w:ind w:left="23"/>
              <w:spacing w:before="21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码头、矿山、填埋场和消纳场未采取有效措施防治扬尘污染的</w:t>
            </w:r>
          </w:p>
        </w:tc>
      </w:tr>
      <w:tr>
        <w:trPr>
          <w:trHeight w:val="10428" w:hRule="atLeast"/>
        </w:trPr>
        <w:tc>
          <w:tcPr>
            <w:tcW w:w="1215" w:type="dxa"/>
            <w:vAlign w:val="top"/>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32" w:type="dxa"/>
            <w:vAlign w:val="top"/>
          </w:tcPr>
          <w:p>
            <w:pPr>
              <w:ind w:left="35"/>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7" w:firstLine="4"/>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8"/>
              </w:rPr>
              <w:t>第七十二条</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8"/>
              </w:rPr>
              <w:t>第二款</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8"/>
              </w:rPr>
              <w:t>码头、矿山、填埋场和消纳场应当实施分区</w:t>
            </w:r>
            <w:r>
              <w:rPr>
                <w:rFonts w:ascii="FangSong_GB2312" w:hAnsi="FangSong_GB2312" w:eastAsia="FangSong_GB2312" w:cs="FangSong_GB2312"/>
                <w:sz w:val="24"/>
                <w:szCs w:val="24"/>
                <w:spacing w:val="-9"/>
              </w:rPr>
              <w:t>作业，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并采取有效措施防治扬尘污染。</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《河北省扬尘污染防治办法》</w:t>
            </w:r>
          </w:p>
          <w:p>
            <w:pPr>
              <w:ind w:left="32"/>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码头堆放、装卸和运输作业，应当符合下列防尘要</w:t>
            </w:r>
            <w:r>
              <w:rPr>
                <w:rFonts w:ascii="FangSong_GB2312" w:hAnsi="FangSong_GB2312" w:eastAsia="FangSong_GB2312" w:cs="FangSong_GB2312"/>
                <w:sz w:val="24"/>
                <w:szCs w:val="24"/>
                <w:spacing w:val="-2"/>
              </w:rPr>
              <w:t>求：</w:t>
            </w:r>
          </w:p>
          <w:p>
            <w:pPr>
              <w:ind w:left="30" w:right="16" w:firstLine="46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（一）主干道及辅助道路应当铺装或者硬化，采</w:t>
            </w:r>
            <w:r>
              <w:rPr>
                <w:rFonts w:ascii="FangSong_GB2312" w:hAnsi="FangSong_GB2312" w:eastAsia="FangSong_GB2312" w:cs="FangSong_GB2312"/>
                <w:sz w:val="24"/>
                <w:szCs w:val="24"/>
                <w:spacing w:val="-1"/>
              </w:rPr>
              <w:t>用湿式机械化清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扫方式及时清除散落物料，并采取洒水等防尘措施；</w:t>
            </w:r>
          </w:p>
          <w:p>
            <w:pPr>
              <w:ind w:left="22" w:right="16" w:firstLine="472"/>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（二）露天堆场设置高于堆存物料的围挡、防风</w:t>
            </w:r>
            <w:r>
              <w:rPr>
                <w:rFonts w:ascii="FangSong_GB2312" w:hAnsi="FangSong_GB2312" w:eastAsia="FangSong_GB2312" w:cs="FangSong_GB2312"/>
                <w:sz w:val="24"/>
                <w:szCs w:val="24"/>
                <w:spacing w:val="-1"/>
              </w:rPr>
              <w:t>网等设施，并采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取遮盖、喷淋等防尘措施；</w:t>
            </w:r>
          </w:p>
          <w:p>
            <w:pPr>
              <w:ind w:left="23" w:right="16" w:firstLine="47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（三）堆料、取料和卸船（车）、装船（车）作</w:t>
            </w:r>
            <w:r>
              <w:rPr>
                <w:rFonts w:ascii="FangSong_GB2312" w:hAnsi="FangSong_GB2312" w:eastAsia="FangSong_GB2312" w:cs="FangSong_GB2312"/>
                <w:sz w:val="24"/>
                <w:szCs w:val="24"/>
                <w:spacing w:val="-1"/>
              </w:rPr>
              <w:t>业，应当降低落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料高度，采取湿式作业，保证喷淋喷雾设施有效覆盖起尘范围；</w:t>
            </w:r>
          </w:p>
          <w:p>
            <w:pPr>
              <w:ind w:left="49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（四）物料传送皮带应当采取密闭、吸尘等防尘措施；</w:t>
            </w:r>
          </w:p>
          <w:p>
            <w:pPr>
              <w:ind w:left="19" w:right="16" w:firstLine="475"/>
              <w:spacing w:before="4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（五）翻车机房、卸车坑道、码头面、转运站应</w:t>
            </w:r>
            <w:r>
              <w:rPr>
                <w:rFonts w:ascii="FangSong_GB2312" w:hAnsi="FangSong_GB2312" w:eastAsia="FangSong_GB2312" w:cs="FangSong_GB2312"/>
                <w:sz w:val="24"/>
                <w:szCs w:val="24"/>
                <w:spacing w:val="-1"/>
              </w:rPr>
              <w:t>当设置水力冲洗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设备或者真空清扫设施，保持地面整洁；</w:t>
            </w:r>
          </w:p>
          <w:p>
            <w:pPr>
              <w:spacing w:before="37" w:line="214" w:lineRule="auto"/>
              <w:jc w:val="right"/>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（六）在出口设置运输车辆清洗设施，车辆冲洗干净后方可驶出；</w:t>
            </w:r>
          </w:p>
          <w:p>
            <w:pPr>
              <w:ind w:left="32" w:right="790" w:firstLine="463"/>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（七）法律、法规、规章规定的其他扬尘污染防治措施。</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矿产资源开采、加工，应当符合下列</w:t>
            </w:r>
            <w:r>
              <w:rPr>
                <w:rFonts w:ascii="FangSong_GB2312" w:hAnsi="FangSong_GB2312" w:eastAsia="FangSong_GB2312" w:cs="FangSong_GB2312"/>
                <w:sz w:val="24"/>
                <w:szCs w:val="24"/>
                <w:spacing w:val="-2"/>
              </w:rPr>
              <w:t>防尘要求：</w:t>
            </w:r>
          </w:p>
          <w:p>
            <w:pPr>
              <w:ind w:left="30" w:right="16" w:firstLine="46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（一）勘探、采矿及选矿作业中所用设备应当配</w:t>
            </w:r>
            <w:r>
              <w:rPr>
                <w:rFonts w:ascii="FangSong_GB2312" w:hAnsi="FangSong_GB2312" w:eastAsia="FangSong_GB2312" w:cs="FangSong_GB2312"/>
                <w:sz w:val="24"/>
                <w:szCs w:val="24"/>
                <w:spacing w:val="-1"/>
              </w:rPr>
              <w:t>备粉尘收集等降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尘设施；</w:t>
            </w:r>
          </w:p>
          <w:p>
            <w:pPr>
              <w:ind w:left="25" w:right="16" w:firstLine="469"/>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（二）开采区域内的道路以及开采区到加工区、</w:t>
            </w:r>
            <w:r>
              <w:rPr>
                <w:rFonts w:ascii="FangSong_GB2312" w:hAnsi="FangSong_GB2312" w:eastAsia="FangSong_GB2312" w:cs="FangSong_GB2312"/>
                <w:sz w:val="24"/>
                <w:szCs w:val="24"/>
                <w:spacing w:val="-1"/>
              </w:rPr>
              <w:t>废料堆场、公路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路网的运输通道，应当进行硬化，并采取洒水等防尘措施；</w:t>
            </w:r>
          </w:p>
          <w:p>
            <w:pPr>
              <w:ind w:left="41" w:right="16" w:firstLine="454"/>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（三）排岩优先采取外围排岩作业方式，作业时</w:t>
            </w:r>
            <w:r>
              <w:rPr>
                <w:rFonts w:ascii="FangSong_GB2312" w:hAnsi="FangSong_GB2312" w:eastAsia="FangSong_GB2312" w:cs="FangSong_GB2312"/>
                <w:sz w:val="24"/>
                <w:szCs w:val="24"/>
                <w:spacing w:val="-1"/>
              </w:rPr>
              <w:t>采取湿法喷淋等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防尘措施；</w:t>
            </w:r>
          </w:p>
          <w:p>
            <w:pPr>
              <w:ind w:left="45" w:right="16" w:firstLine="450"/>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（四）尾矿库、排土场、排岩场应当采取喷洒覆</w:t>
            </w:r>
            <w:r>
              <w:rPr>
                <w:rFonts w:ascii="FangSong_GB2312" w:hAnsi="FangSong_GB2312" w:eastAsia="FangSong_GB2312" w:cs="FangSong_GB2312"/>
                <w:sz w:val="24"/>
                <w:szCs w:val="24"/>
                <w:spacing w:val="-1"/>
              </w:rPr>
              <w:t>盖剂、覆盖防尘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网、绿化、复垦等防尘措施；</w:t>
            </w:r>
          </w:p>
          <w:p>
            <w:pPr>
              <w:ind w:left="27" w:right="16" w:firstLine="468"/>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（五）对停用的采矿、采砂、采石和其他矿产、</w:t>
            </w:r>
            <w:r>
              <w:rPr>
                <w:rFonts w:ascii="FangSong_GB2312" w:hAnsi="FangSong_GB2312" w:eastAsia="FangSong_GB2312" w:cs="FangSong_GB2312"/>
                <w:sz w:val="24"/>
                <w:szCs w:val="24"/>
                <w:spacing w:val="-1"/>
              </w:rPr>
              <w:t>取土用地，应当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制定落实生态修复计划，及时恢复生态植被；</w:t>
            </w:r>
          </w:p>
          <w:p>
            <w:pPr>
              <w:ind w:left="495"/>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（六）矿产资源加工应当采用防尘、除尘措施；</w:t>
            </w:r>
          </w:p>
          <w:p>
            <w:pPr>
              <w:ind w:left="27" w:right="14" w:firstLine="468"/>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（七）矿产资源开采、加工作业区应当同步安装</w:t>
            </w:r>
            <w:r>
              <w:rPr>
                <w:rFonts w:ascii="FangSong_GB2312" w:hAnsi="FangSong_GB2312" w:eastAsia="FangSong_GB2312" w:cs="FangSong_GB2312"/>
                <w:sz w:val="24"/>
                <w:szCs w:val="24"/>
                <w:spacing w:val="-1"/>
              </w:rPr>
              <w:t>视频监控设备和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扬尘污染物在线监测设备，并与生态环境主管部门及其他负有扬尘污</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染防治监督管理职责的部门的监控设备联网</w:t>
            </w:r>
            <w:r>
              <w:rPr>
                <w:rFonts w:ascii="FangSong_GB2312" w:hAnsi="FangSong_GB2312" w:eastAsia="FangSong_GB2312" w:cs="FangSong_GB2312"/>
                <w:sz w:val="24"/>
                <w:szCs w:val="24"/>
                <w:spacing w:val="-5"/>
              </w:rPr>
              <w:t>，保证系统正常运行,发生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故障应当在二十四小时内修复；</w:t>
            </w:r>
          </w:p>
        </w:tc>
      </w:tr>
    </w:tbl>
    <w:p>
      <w:pPr>
        <w:pStyle w:val="BodyText"/>
        <w:rPr/>
      </w:pPr>
      <w:r/>
    </w:p>
    <w:p>
      <w:pPr>
        <w:sectPr>
          <w:footerReference w:type="default" r:id="rId119"/>
          <w:pgSz w:w="11905" w:h="16839"/>
          <w:pgMar w:top="1431" w:right="1726" w:bottom="1156" w:left="1726" w:header="0" w:footer="994" w:gutter="0"/>
        </w:sectPr>
        <w:rPr/>
      </w:pPr>
    </w:p>
    <w:p>
      <w:pPr>
        <w:spacing w:before="92"/>
        <w:rPr/>
      </w:pPr>
      <w:r/>
    </w:p>
    <w:p>
      <w:pPr>
        <w:spacing w:before="91"/>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50"/>
        <w:gridCol w:w="1103"/>
        <w:gridCol w:w="3201"/>
        <w:gridCol w:w="1178"/>
      </w:tblGrid>
      <w:tr>
        <w:trPr>
          <w:trHeight w:val="4133" w:hRule="atLeast"/>
        </w:trPr>
        <w:tc>
          <w:tcPr>
            <w:tcW w:w="1215" w:type="dxa"/>
            <w:vAlign w:val="top"/>
          </w:tcPr>
          <w:p>
            <w:pPr>
              <w:rPr>
                <w:rFonts w:ascii="Arial"/>
                <w:sz w:val="21"/>
              </w:rPr>
            </w:pPr>
            <w:r/>
          </w:p>
        </w:tc>
        <w:tc>
          <w:tcPr>
            <w:tcW w:w="7232" w:type="dxa"/>
            <w:vAlign w:val="top"/>
            <w:gridSpan w:val="4"/>
          </w:tcPr>
          <w:p>
            <w:pPr>
              <w:ind w:left="495"/>
              <w:spacing w:before="5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（八）法律、法规、规章规定的其他扬尘污染防治措施。</w:t>
            </w:r>
          </w:p>
          <w:p>
            <w:pPr>
              <w:spacing w:line="270" w:lineRule="auto"/>
              <w:rPr>
                <w:rFonts w:ascii="Arial"/>
                <w:sz w:val="21"/>
              </w:rPr>
            </w:pPr>
            <w:r/>
          </w:p>
          <w:p>
            <w:pPr>
              <w:ind w:left="3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《中华人民共和国大气污染防治法》</w:t>
            </w:r>
          </w:p>
          <w:p>
            <w:pPr>
              <w:ind w:left="52" w:right="16" w:hanging="20"/>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w:t>
            </w:r>
            <w:r>
              <w:rPr>
                <w:rFonts w:ascii="FangSong_GB2312" w:hAnsi="FangSong_GB2312" w:eastAsia="FangSong_GB2312" w:cs="FangSong_GB2312"/>
                <w:sz w:val="24"/>
                <w:szCs w:val="24"/>
                <w:spacing w:val="-2"/>
              </w:rPr>
              <w:t>级以上人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民政府生态环境等主管部门按照职责责令改正，处一万元以上十万元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以下的罚款；拒不改正的，责令停工整治或者停业整治：</w:t>
            </w:r>
          </w:p>
          <w:p>
            <w:pPr>
              <w:spacing w:before="35" w:line="214" w:lineRule="auto"/>
              <w:jc w:val="right"/>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（五）码头、矿山、填埋场和消纳场未采取有效措施防治扬尘污染的；</w:t>
            </w:r>
          </w:p>
          <w:p>
            <w:pPr>
              <w:spacing w:line="273"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《河北省扬尘污染防治办法》</w:t>
            </w:r>
          </w:p>
          <w:p>
            <w:pPr>
              <w:ind w:left="30" w:right="16" w:firstLine="1"/>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违反本办法规定，建设施工、物料堆放、码头作业、矿产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资源开采和加工未依法采取有效措施防治扬尘污染的，由监督管理部</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门责令改正，处一万元以上三万元以下罚款；情节较重的，处三万元</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以上十万元以下罚款；拒不改正的，责令其停工停产整治。</w:t>
            </w:r>
          </w:p>
        </w:tc>
      </w:tr>
      <w:tr>
        <w:trPr>
          <w:trHeight w:val="634" w:hRule="atLeast"/>
        </w:trPr>
        <w:tc>
          <w:tcPr>
            <w:tcW w:w="4068" w:type="dxa"/>
            <w:vAlign w:val="top"/>
            <w:gridSpan w:val="3"/>
          </w:tcPr>
          <w:p>
            <w:pPr>
              <w:ind w:left="1481"/>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9" w:type="dxa"/>
            <w:vAlign w:val="top"/>
            <w:gridSpan w:val="2"/>
          </w:tcPr>
          <w:p>
            <w:pPr>
              <w:ind w:left="1647"/>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215" w:type="dxa"/>
            <w:vAlign w:val="top"/>
          </w:tcPr>
          <w:p>
            <w:pPr>
              <w:ind w:left="38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50" w:type="dxa"/>
            <w:vAlign w:val="top"/>
          </w:tcPr>
          <w:p>
            <w:pPr>
              <w:ind w:left="446"/>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103" w:type="dxa"/>
            <w:vAlign w:val="top"/>
          </w:tcPr>
          <w:p>
            <w:pPr>
              <w:ind w:left="367" w:right="329"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8" w:type="dxa"/>
            <w:vAlign w:val="top"/>
          </w:tcPr>
          <w:p>
            <w:pPr>
              <w:ind w:left="272"/>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215" w:type="dxa"/>
            <w:vAlign w:val="top"/>
            <w:vMerge w:val="restart"/>
            <w:tcBorders>
              <w:bottom w:val="nil"/>
            </w:tcBorders>
          </w:tcPr>
          <w:p>
            <w:pPr>
              <w:spacing w:line="281" w:lineRule="auto"/>
              <w:rPr>
                <w:rFonts w:ascii="Arial"/>
                <w:sz w:val="21"/>
              </w:rPr>
            </w:pPr>
            <w:r/>
          </w:p>
          <w:p>
            <w:pPr>
              <w:ind w:left="260" w:right="126"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50" w:type="dxa"/>
            <w:vAlign w:val="top"/>
            <w:vMerge w:val="restart"/>
            <w:tcBorders>
              <w:bottom w:val="nil"/>
            </w:tcBorders>
          </w:tcPr>
          <w:p>
            <w:pPr>
              <w:spacing w:line="439" w:lineRule="auto"/>
              <w:rPr>
                <w:rFonts w:ascii="Arial"/>
                <w:sz w:val="21"/>
              </w:rPr>
            </w:pPr>
            <w:r/>
          </w:p>
          <w:p>
            <w:pPr>
              <w:ind w:left="16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103" w:type="dxa"/>
            <w:vAlign w:val="top"/>
            <w:vMerge w:val="restart"/>
            <w:tcBorders>
              <w:bottom w:val="nil"/>
            </w:tcBorders>
          </w:tcPr>
          <w:p>
            <w:pPr>
              <w:spacing w:line="439" w:lineRule="auto"/>
              <w:rPr>
                <w:rFonts w:ascii="Arial"/>
                <w:sz w:val="21"/>
              </w:rPr>
            </w:pPr>
            <w:r/>
          </w:p>
          <w:p>
            <w:pPr>
              <w:ind w:left="38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0" w:right="270" w:firstLine="33"/>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已采取防治扬尘污染措施，</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效果不佳的</w:t>
            </w:r>
          </w:p>
        </w:tc>
        <w:tc>
          <w:tcPr>
            <w:tcW w:w="1178" w:type="dxa"/>
            <w:vAlign w:val="top"/>
          </w:tcPr>
          <w:p>
            <w:pPr>
              <w:ind w:left="25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201" w:type="dxa"/>
            <w:vAlign w:val="top"/>
          </w:tcPr>
          <w:p>
            <w:pPr>
              <w:ind w:left="115" w:right="211" w:firstLine="1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完全未采取防治扬尘污染措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施的</w:t>
            </w:r>
          </w:p>
        </w:tc>
        <w:tc>
          <w:tcPr>
            <w:tcW w:w="1178" w:type="dxa"/>
            <w:vAlign w:val="top"/>
          </w:tcPr>
          <w:p>
            <w:pPr>
              <w:ind w:left="18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50" w:type="dxa"/>
            <w:vAlign w:val="top"/>
            <w:vMerge w:val="restart"/>
            <w:tcBorders>
              <w:bottom w:val="nil"/>
            </w:tcBorders>
          </w:tcPr>
          <w:p>
            <w:pPr>
              <w:spacing w:line="296" w:lineRule="auto"/>
              <w:rPr>
                <w:rFonts w:ascii="Arial"/>
                <w:sz w:val="21"/>
              </w:rPr>
            </w:pPr>
            <w:r/>
          </w:p>
          <w:p>
            <w:pPr>
              <w:ind w:left="765" w:right="155"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103" w:type="dxa"/>
            <w:vAlign w:val="top"/>
            <w:vMerge w:val="restart"/>
            <w:tcBorders>
              <w:bottom w:val="nil"/>
            </w:tcBorders>
          </w:tcPr>
          <w:p>
            <w:pPr>
              <w:spacing w:line="449" w:lineRule="auto"/>
              <w:rPr>
                <w:rFonts w:ascii="Arial"/>
                <w:sz w:val="21"/>
              </w:rPr>
            </w:pPr>
            <w:r/>
          </w:p>
          <w:p>
            <w:pPr>
              <w:ind w:left="38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8" w:type="dxa"/>
            <w:vAlign w:val="top"/>
          </w:tcPr>
          <w:p>
            <w:pPr>
              <w:ind w:left="48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1103"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8" w:type="dxa"/>
            <w:vAlign w:val="top"/>
          </w:tcPr>
          <w:p>
            <w:pPr>
              <w:ind w:left="4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1103"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8" w:type="dxa"/>
            <w:vAlign w:val="top"/>
          </w:tcPr>
          <w:p>
            <w:pPr>
              <w:ind w:left="4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201"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8" w:type="dxa"/>
            <w:vAlign w:val="top"/>
          </w:tcPr>
          <w:p>
            <w:pPr>
              <w:ind w:left="4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50" w:type="dxa"/>
            <w:vAlign w:val="top"/>
            <w:vMerge w:val="restart"/>
            <w:tcBorders>
              <w:bottom w:val="nil"/>
            </w:tcBorders>
          </w:tcPr>
          <w:p>
            <w:pPr>
              <w:spacing w:line="446" w:lineRule="auto"/>
              <w:rPr>
                <w:rFonts w:ascii="Arial"/>
                <w:sz w:val="21"/>
              </w:rPr>
            </w:pPr>
            <w:r/>
          </w:p>
          <w:p>
            <w:pPr>
              <w:ind w:left="15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103" w:type="dxa"/>
            <w:vAlign w:val="top"/>
            <w:vMerge w:val="restart"/>
            <w:tcBorders>
              <w:bottom w:val="nil"/>
            </w:tcBorders>
          </w:tcPr>
          <w:p>
            <w:pPr>
              <w:spacing w:line="445" w:lineRule="auto"/>
              <w:rPr>
                <w:rFonts w:ascii="Arial"/>
                <w:sz w:val="21"/>
              </w:rPr>
            </w:pPr>
            <w:r/>
          </w:p>
          <w:p>
            <w:pPr>
              <w:ind w:left="39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8" w:type="dxa"/>
            <w:vAlign w:val="top"/>
          </w:tcPr>
          <w:p>
            <w:pPr>
              <w:ind w:left="4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1103"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78" w:type="dxa"/>
            <w:vAlign w:val="top"/>
          </w:tcPr>
          <w:p>
            <w:pPr>
              <w:ind w:left="31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8" w:type="dxa"/>
            <w:vAlign w:val="top"/>
          </w:tcPr>
          <w:p>
            <w:pPr>
              <w:ind w:left="24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3" w:right="126"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50" w:type="dxa"/>
            <w:vAlign w:val="top"/>
            <w:vMerge w:val="restart"/>
            <w:tcBorders>
              <w:bottom w:val="nil"/>
            </w:tcBorders>
          </w:tcPr>
          <w:p>
            <w:pPr>
              <w:ind w:left="635" w:right="155"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103" w:type="dxa"/>
            <w:vAlign w:val="top"/>
            <w:vMerge w:val="restart"/>
            <w:tcBorders>
              <w:bottom w:val="nil"/>
            </w:tcBorders>
          </w:tcPr>
          <w:p>
            <w:pPr>
              <w:ind w:left="392"/>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8" w:type="dxa"/>
            <w:vAlign w:val="top"/>
          </w:tcPr>
          <w:p>
            <w:pPr>
              <w:ind w:left="25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8" w:type="dxa"/>
            <w:vAlign w:val="top"/>
          </w:tcPr>
          <w:p>
            <w:pPr>
              <w:ind w:left="4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19" w:hRule="atLeast"/>
        </w:trPr>
        <w:tc>
          <w:tcPr>
            <w:tcW w:w="1215" w:type="dxa"/>
            <w:vAlign w:val="top"/>
            <w:vMerge w:val="restart"/>
            <w:tcBorders>
              <w:bottom w:val="nil"/>
            </w:tcBorders>
          </w:tcPr>
          <w:p>
            <w:pPr>
              <w:ind w:left="126" w:right="126" w:firstLine="9"/>
              <w:spacing w:before="14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50" w:type="dxa"/>
            <w:vAlign w:val="top"/>
            <w:vMerge w:val="restart"/>
            <w:tcBorders>
              <w:bottom w:val="nil"/>
            </w:tcBorders>
          </w:tcPr>
          <w:p>
            <w:pPr>
              <w:ind w:left="155"/>
              <w:spacing w:before="14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66"/>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6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103" w:type="dxa"/>
            <w:vAlign w:val="top"/>
            <w:vMerge w:val="restart"/>
            <w:tcBorders>
              <w:bottom w:val="nil"/>
            </w:tcBorders>
          </w:tcPr>
          <w:p>
            <w:pPr>
              <w:spacing w:line="382" w:lineRule="auto"/>
              <w:rPr>
                <w:rFonts w:ascii="Arial"/>
                <w:sz w:val="21"/>
              </w:rPr>
            </w:pPr>
            <w:r/>
          </w:p>
          <w:p>
            <w:pPr>
              <w:ind w:left="38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78" w:type="dxa"/>
            <w:vAlign w:val="top"/>
          </w:tcPr>
          <w:p>
            <w:pPr>
              <w:ind w:left="252"/>
              <w:spacing w:before="1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201" w:type="dxa"/>
            <w:vAlign w:val="top"/>
          </w:tcPr>
          <w:p>
            <w:pPr>
              <w:ind w:left="134" w:right="211"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78" w:type="dxa"/>
            <w:vAlign w:val="top"/>
          </w:tcPr>
          <w:p>
            <w:pPr>
              <w:ind w:left="49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0"/>
          <w:pgSz w:w="11905" w:h="16839"/>
          <w:pgMar w:top="1431" w:right="1726" w:bottom="1156" w:left="1726"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15"/>
        <w:gridCol w:w="1038"/>
        <w:gridCol w:w="3201"/>
        <w:gridCol w:w="1178"/>
      </w:tblGrid>
      <w:tr>
        <w:trPr>
          <w:trHeight w:val="720" w:hRule="atLeast"/>
        </w:trPr>
        <w:tc>
          <w:tcPr>
            <w:tcW w:w="8447" w:type="dxa"/>
            <w:vAlign w:val="top"/>
            <w:gridSpan w:val="5"/>
          </w:tcPr>
          <w:p>
            <w:pPr>
              <w:ind w:left="221"/>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32" w:type="dxa"/>
            <w:vAlign w:val="top"/>
            <w:gridSpan w:val="4"/>
          </w:tcPr>
          <w:p>
            <w:pPr>
              <w:ind w:left="3512"/>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54</w:t>
            </w:r>
          </w:p>
        </w:tc>
      </w:tr>
      <w:tr>
        <w:trPr>
          <w:trHeight w:val="979" w:hRule="atLeast"/>
        </w:trPr>
        <w:tc>
          <w:tcPr>
            <w:tcW w:w="1215" w:type="dxa"/>
            <w:vAlign w:val="top"/>
          </w:tcPr>
          <w:p>
            <w:pPr>
              <w:spacing w:line="256" w:lineRule="auto"/>
              <w:rPr>
                <w:rFonts w:ascii="Arial"/>
                <w:sz w:val="21"/>
              </w:rPr>
            </w:pPr>
            <w:r/>
          </w:p>
          <w:p>
            <w:pPr>
              <w:ind w:left="5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32" w:type="dxa"/>
            <w:vAlign w:val="top"/>
            <w:gridSpan w:val="4"/>
          </w:tcPr>
          <w:p>
            <w:pPr>
              <w:ind w:left="19" w:right="16" w:firstLine="2"/>
              <w:spacing w:before="55"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排放有毒有害大气污染物名录中所列有毒有害大气污染物的企业事业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rPr>
              <w:t>单位，未按照规定建设环境风险预警体系或</w:t>
            </w:r>
            <w:r>
              <w:rPr>
                <w:rFonts w:ascii="FangSong_GB2312" w:hAnsi="FangSong_GB2312" w:eastAsia="FangSong_GB2312" w:cs="FangSong_GB2312"/>
                <w:sz w:val="24"/>
                <w:szCs w:val="24"/>
                <w:spacing w:val="-1"/>
              </w:rPr>
              <w:t>者对排放口和周边环境进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行定期监测、排查环境安全隐患并采取有效措施防范环境风险的</w:t>
            </w:r>
          </w:p>
        </w:tc>
      </w:tr>
      <w:tr>
        <w:trPr>
          <w:trHeight w:val="4443" w:hRule="atLeast"/>
        </w:trPr>
        <w:tc>
          <w:tcPr>
            <w:tcW w:w="1215"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32"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32"/>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排放前款规定名录中所列有毒有</w:t>
            </w:r>
            <w:r>
              <w:rPr>
                <w:rFonts w:ascii="FangSong_GB2312" w:hAnsi="FangSong_GB2312" w:eastAsia="FangSong_GB2312" w:cs="FangSong_GB2312"/>
                <w:sz w:val="24"/>
                <w:szCs w:val="24"/>
                <w:spacing w:val="-2"/>
              </w:rPr>
              <w:t>害大气污染物</w:t>
            </w:r>
          </w:p>
          <w:p>
            <w:pPr>
              <w:ind w:left="22" w:firstLine="17"/>
              <w:spacing w:before="3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的企业事业单位，应当按照国家有关规定建设环境风险预警体系，对</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8"/>
              </w:rPr>
              <w:t>排放口和周边环境进行定期监测，评估环境风险，排查环境安全隐患，</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3"/>
              </w:rPr>
              <w:t>并采取有效措施防范环境风险。</w:t>
            </w:r>
          </w:p>
          <w:p>
            <w:pPr>
              <w:spacing w:line="274"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52" w:right="16" w:hanging="20"/>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w:t>
            </w:r>
            <w:r>
              <w:rPr>
                <w:rFonts w:ascii="FangSong_GB2312" w:hAnsi="FangSong_GB2312" w:eastAsia="FangSong_GB2312" w:cs="FangSong_GB2312"/>
                <w:sz w:val="24"/>
                <w:szCs w:val="24"/>
                <w:spacing w:val="-2"/>
              </w:rPr>
              <w:t>级以上人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民政府生态环境等主管部门按照职责责令改正，处一万元以上十万元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以下的罚款；拒不改正的，责令停工整治或者停业整治：</w:t>
            </w:r>
          </w:p>
          <w:p>
            <w:pPr>
              <w:ind w:left="19" w:right="14" w:hanging="4"/>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（六）排放有毒有害大气污染物名录中所列有毒有害大气污</w:t>
            </w:r>
            <w:r>
              <w:rPr>
                <w:rFonts w:ascii="FangSong_GB2312" w:hAnsi="FangSong_GB2312" w:eastAsia="FangSong_GB2312" w:cs="FangSong_GB2312"/>
                <w:sz w:val="24"/>
                <w:szCs w:val="24"/>
                <w:spacing w:val="-1"/>
              </w:rPr>
              <w:t>染物的企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业事业单位，未按照规定建设环境风险预警</w:t>
            </w:r>
            <w:r>
              <w:rPr>
                <w:rFonts w:ascii="FangSong_GB2312" w:hAnsi="FangSong_GB2312" w:eastAsia="FangSong_GB2312" w:cs="FangSong_GB2312"/>
                <w:sz w:val="24"/>
                <w:szCs w:val="24"/>
                <w:spacing w:val="-1"/>
              </w:rPr>
              <w:t>体系或者对排放口和周边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环境进行定期监测、排查环境安全隐患并采</w:t>
            </w:r>
            <w:r>
              <w:rPr>
                <w:rFonts w:ascii="FangSong_GB2312" w:hAnsi="FangSong_GB2312" w:eastAsia="FangSong_GB2312" w:cs="FangSong_GB2312"/>
                <w:sz w:val="24"/>
                <w:szCs w:val="24"/>
                <w:spacing w:val="-1"/>
              </w:rPr>
              <w:t>取有效措施防范环境风险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的；</w:t>
            </w:r>
          </w:p>
        </w:tc>
      </w:tr>
      <w:tr>
        <w:trPr>
          <w:trHeight w:val="635" w:hRule="atLeast"/>
        </w:trPr>
        <w:tc>
          <w:tcPr>
            <w:tcW w:w="4068" w:type="dxa"/>
            <w:vAlign w:val="top"/>
            <w:gridSpan w:val="3"/>
          </w:tcPr>
          <w:p>
            <w:pPr>
              <w:ind w:left="148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9" w:type="dxa"/>
            <w:vAlign w:val="top"/>
            <w:gridSpan w:val="2"/>
          </w:tcPr>
          <w:p>
            <w:pPr>
              <w:ind w:left="164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15" w:type="dxa"/>
            <w:vAlign w:val="top"/>
          </w:tcPr>
          <w:p>
            <w:pPr>
              <w:ind w:left="477"/>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38" w:type="dxa"/>
            <w:vAlign w:val="top"/>
          </w:tcPr>
          <w:p>
            <w:pPr>
              <w:ind w:left="336" w:right="295"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8" w:type="dxa"/>
            <w:vAlign w:val="top"/>
          </w:tcPr>
          <w:p>
            <w:pPr>
              <w:ind w:left="272"/>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437" w:lineRule="auto"/>
              <w:rPr>
                <w:rFonts w:ascii="Arial"/>
                <w:sz w:val="21"/>
              </w:rPr>
            </w:pPr>
            <w:r/>
          </w:p>
          <w:p>
            <w:pPr>
              <w:ind w:left="260" w:right="126" w:hanging="125"/>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15"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19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38"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35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2" w:right="211" w:hanging="1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未采取有效措施防范环境风</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5"/>
              </w:rPr>
              <w:t>险的</w:t>
            </w:r>
          </w:p>
        </w:tc>
        <w:tc>
          <w:tcPr>
            <w:tcW w:w="1178" w:type="dxa"/>
            <w:vAlign w:val="top"/>
          </w:tcPr>
          <w:p>
            <w:pPr>
              <w:ind w:left="25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215" w:type="dxa"/>
            <w:vAlign w:val="top"/>
            <w:vMerge w:val="continue"/>
            <w:tcBorders>
              <w:top w:val="nil"/>
            </w:tcBorders>
          </w:tcPr>
          <w:p>
            <w:pPr>
              <w:rPr>
                <w:rFonts w:ascii="Arial"/>
                <w:sz w:val="21"/>
              </w:rPr>
            </w:pPr>
            <w:r/>
          </w:p>
        </w:tc>
        <w:tc>
          <w:tcPr>
            <w:tcW w:w="1815" w:type="dxa"/>
            <w:vAlign w:val="top"/>
            <w:vMerge w:val="continue"/>
            <w:tcBorders>
              <w:top w:val="nil"/>
            </w:tcBorders>
          </w:tcPr>
          <w:p>
            <w:pPr>
              <w:rPr>
                <w:rFonts w:ascii="Arial"/>
                <w:sz w:val="21"/>
              </w:rPr>
            </w:pPr>
            <w:r/>
          </w:p>
        </w:tc>
        <w:tc>
          <w:tcPr>
            <w:tcW w:w="1038" w:type="dxa"/>
            <w:vAlign w:val="top"/>
            <w:vMerge w:val="continue"/>
            <w:tcBorders>
              <w:top w:val="nil"/>
            </w:tcBorders>
          </w:tcPr>
          <w:p>
            <w:pPr>
              <w:rPr>
                <w:rFonts w:ascii="Arial"/>
                <w:sz w:val="21"/>
              </w:rPr>
            </w:pPr>
            <w:r/>
          </w:p>
        </w:tc>
        <w:tc>
          <w:tcPr>
            <w:tcW w:w="3201" w:type="dxa"/>
            <w:vAlign w:val="top"/>
          </w:tcPr>
          <w:p>
            <w:pPr>
              <w:ind w:left="119" w:right="211" w:hanging="5"/>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未建设预警体系或对排放</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6"/>
              </w:rPr>
              <w:t>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和周边环境定期监测、排查</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安全隐患的</w:t>
            </w:r>
          </w:p>
        </w:tc>
        <w:tc>
          <w:tcPr>
            <w:tcW w:w="1178" w:type="dxa"/>
            <w:vAlign w:val="top"/>
          </w:tcPr>
          <w:p>
            <w:pPr>
              <w:spacing w:line="276" w:lineRule="auto"/>
              <w:rPr>
                <w:rFonts w:ascii="Arial"/>
                <w:sz w:val="21"/>
              </w:rPr>
            </w:pPr>
            <w:r/>
          </w:p>
          <w:p>
            <w:pPr>
              <w:ind w:left="18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15" w:type="dxa"/>
            <w:vAlign w:val="top"/>
            <w:vMerge w:val="restart"/>
            <w:tcBorders>
              <w:bottom w:val="nil"/>
            </w:tcBorders>
          </w:tcPr>
          <w:p>
            <w:pPr>
              <w:spacing w:line="296" w:lineRule="auto"/>
              <w:rPr>
                <w:rFonts w:ascii="Arial"/>
                <w:sz w:val="21"/>
              </w:rPr>
            </w:pPr>
            <w:r/>
          </w:p>
          <w:p>
            <w:pPr>
              <w:ind w:left="798" w:right="186"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38" w:type="dxa"/>
            <w:vAlign w:val="top"/>
            <w:vMerge w:val="restart"/>
            <w:tcBorders>
              <w:bottom w:val="nil"/>
            </w:tcBorders>
          </w:tcPr>
          <w:p>
            <w:pPr>
              <w:spacing w:line="449" w:lineRule="auto"/>
              <w:rPr>
                <w:rFonts w:ascii="Arial"/>
                <w:sz w:val="21"/>
              </w:rPr>
            </w:pPr>
            <w:r/>
          </w:p>
          <w:p>
            <w:pPr>
              <w:ind w:left="3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8" w:type="dxa"/>
            <w:vAlign w:val="top"/>
          </w:tcPr>
          <w:p>
            <w:pPr>
              <w:ind w:left="48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15" w:type="dxa"/>
            <w:vAlign w:val="top"/>
            <w:vMerge w:val="continue"/>
            <w:tcBorders>
              <w:top w:val="nil"/>
              <w:bottom w:val="nil"/>
            </w:tcBorders>
          </w:tcPr>
          <w:p>
            <w:pPr>
              <w:rPr>
                <w:rFonts w:ascii="Arial"/>
                <w:sz w:val="21"/>
              </w:rPr>
            </w:pPr>
            <w:r/>
          </w:p>
        </w:tc>
        <w:tc>
          <w:tcPr>
            <w:tcW w:w="1038"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8" w:type="dxa"/>
            <w:vAlign w:val="top"/>
          </w:tcPr>
          <w:p>
            <w:pPr>
              <w:ind w:left="4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15" w:type="dxa"/>
            <w:vAlign w:val="top"/>
            <w:vMerge w:val="continue"/>
            <w:tcBorders>
              <w:top w:val="nil"/>
              <w:bottom w:val="nil"/>
            </w:tcBorders>
          </w:tcPr>
          <w:p>
            <w:pPr>
              <w:rPr>
                <w:rFonts w:ascii="Arial"/>
                <w:sz w:val="21"/>
              </w:rPr>
            </w:pPr>
            <w:r/>
          </w:p>
        </w:tc>
        <w:tc>
          <w:tcPr>
            <w:tcW w:w="1038"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8" w:type="dxa"/>
            <w:vAlign w:val="top"/>
          </w:tcPr>
          <w:p>
            <w:pPr>
              <w:ind w:left="4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15" w:type="dxa"/>
            <w:vAlign w:val="top"/>
            <w:vMerge w:val="continue"/>
            <w:tcBorders>
              <w:top w:val="nil"/>
            </w:tcBorders>
          </w:tcPr>
          <w:p>
            <w:pPr>
              <w:rPr>
                <w:rFonts w:ascii="Arial"/>
                <w:sz w:val="21"/>
              </w:rPr>
            </w:pPr>
            <w:r/>
          </w:p>
        </w:tc>
        <w:tc>
          <w:tcPr>
            <w:tcW w:w="1038" w:type="dxa"/>
            <w:vAlign w:val="top"/>
            <w:vMerge w:val="continue"/>
            <w:tcBorders>
              <w:top w:val="nil"/>
            </w:tcBorders>
          </w:tcPr>
          <w:p>
            <w:pPr>
              <w:rPr>
                <w:rFonts w:ascii="Arial"/>
                <w:sz w:val="21"/>
              </w:rPr>
            </w:pPr>
            <w:r/>
          </w:p>
        </w:tc>
        <w:tc>
          <w:tcPr>
            <w:tcW w:w="3201"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8" w:type="dxa"/>
            <w:vAlign w:val="top"/>
          </w:tcPr>
          <w:p>
            <w:pPr>
              <w:ind w:left="4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15" w:type="dxa"/>
            <w:vAlign w:val="top"/>
            <w:vMerge w:val="restart"/>
            <w:tcBorders>
              <w:bottom w:val="nil"/>
            </w:tcBorders>
          </w:tcPr>
          <w:p>
            <w:pPr>
              <w:spacing w:line="446"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38" w:type="dxa"/>
            <w:vAlign w:val="top"/>
            <w:vMerge w:val="restart"/>
            <w:tcBorders>
              <w:bottom w:val="nil"/>
            </w:tcBorders>
          </w:tcPr>
          <w:p>
            <w:pPr>
              <w:spacing w:line="445" w:lineRule="auto"/>
              <w:rPr>
                <w:rFonts w:ascii="Arial"/>
                <w:sz w:val="21"/>
              </w:rPr>
            </w:pPr>
            <w:r/>
          </w:p>
          <w:p>
            <w:pPr>
              <w:ind w:left="36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8" w:type="dxa"/>
            <w:vAlign w:val="top"/>
          </w:tcPr>
          <w:p>
            <w:pPr>
              <w:ind w:left="4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15" w:type="dxa"/>
            <w:vAlign w:val="top"/>
            <w:vMerge w:val="continue"/>
            <w:tcBorders>
              <w:top w:val="nil"/>
              <w:bottom w:val="nil"/>
            </w:tcBorders>
          </w:tcPr>
          <w:p>
            <w:pPr>
              <w:rPr>
                <w:rFonts w:ascii="Arial"/>
                <w:sz w:val="21"/>
              </w:rPr>
            </w:pPr>
            <w:r/>
          </w:p>
        </w:tc>
        <w:tc>
          <w:tcPr>
            <w:tcW w:w="1038"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78" w:type="dxa"/>
            <w:vAlign w:val="top"/>
          </w:tcPr>
          <w:p>
            <w:pPr>
              <w:ind w:left="31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215" w:type="dxa"/>
            <w:vAlign w:val="top"/>
            <w:vMerge w:val="continue"/>
            <w:tcBorders>
              <w:top w:val="nil"/>
            </w:tcBorders>
          </w:tcPr>
          <w:p>
            <w:pPr>
              <w:rPr>
                <w:rFonts w:ascii="Arial"/>
                <w:sz w:val="21"/>
              </w:rPr>
            </w:pPr>
            <w:r/>
          </w:p>
        </w:tc>
        <w:tc>
          <w:tcPr>
            <w:tcW w:w="1815" w:type="dxa"/>
            <w:vAlign w:val="top"/>
            <w:vMerge w:val="continue"/>
            <w:tcBorders>
              <w:top w:val="nil"/>
            </w:tcBorders>
          </w:tcPr>
          <w:p>
            <w:pPr>
              <w:rPr>
                <w:rFonts w:ascii="Arial"/>
                <w:sz w:val="21"/>
              </w:rPr>
            </w:pPr>
            <w:r/>
          </w:p>
        </w:tc>
        <w:tc>
          <w:tcPr>
            <w:tcW w:w="1038" w:type="dxa"/>
            <w:vAlign w:val="top"/>
            <w:vMerge w:val="continue"/>
            <w:tcBorders>
              <w:top w:val="nil"/>
            </w:tcBorders>
          </w:tcPr>
          <w:p>
            <w:pPr>
              <w:rPr>
                <w:rFonts w:ascii="Arial"/>
                <w:sz w:val="21"/>
              </w:rPr>
            </w:pPr>
            <w:r/>
          </w:p>
        </w:tc>
        <w:tc>
          <w:tcPr>
            <w:tcW w:w="3201" w:type="dxa"/>
            <w:vAlign w:val="top"/>
          </w:tcPr>
          <w:p>
            <w:pPr>
              <w:ind w:left="125"/>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8" w:type="dxa"/>
            <w:vAlign w:val="top"/>
          </w:tcPr>
          <w:p>
            <w:pPr>
              <w:ind w:left="248"/>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121"/>
          <w:pgSz w:w="11905" w:h="16839"/>
          <w:pgMar w:top="1431" w:right="1726" w:bottom="1156" w:left="1726" w:header="0" w:footer="994" w:gutter="0"/>
        </w:sectPr>
        <w:rPr/>
      </w:pPr>
    </w:p>
    <w:p>
      <w:pPr>
        <w:spacing w:before="92"/>
        <w:rPr/>
      </w:pPr>
      <w:r/>
    </w:p>
    <w:p>
      <w:pPr>
        <w:spacing w:before="91"/>
        <w:rPr/>
      </w:pPr>
      <w:r/>
    </w:p>
    <w:tbl>
      <w:tblPr>
        <w:tblStyle w:val="TableNormal"/>
        <w:tblW w:w="84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15"/>
        <w:gridCol w:w="1038"/>
        <w:gridCol w:w="3201"/>
        <w:gridCol w:w="1178"/>
      </w:tblGrid>
      <w:tr>
        <w:trPr>
          <w:trHeight w:val="323" w:hRule="atLeast"/>
        </w:trPr>
        <w:tc>
          <w:tcPr>
            <w:tcW w:w="1215" w:type="dxa"/>
            <w:vAlign w:val="top"/>
            <w:vMerge w:val="restart"/>
            <w:tcBorders>
              <w:bottom w:val="nil"/>
            </w:tcBorders>
          </w:tcPr>
          <w:p>
            <w:pPr>
              <w:ind w:left="133" w:right="126" w:firstLine="7"/>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15" w:type="dxa"/>
            <w:vAlign w:val="top"/>
            <w:vMerge w:val="restart"/>
            <w:tcBorders>
              <w:bottom w:val="nil"/>
            </w:tcBorders>
          </w:tcPr>
          <w:p>
            <w:pPr>
              <w:ind w:left="668" w:right="186" w:hanging="480"/>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38" w:type="dxa"/>
            <w:vAlign w:val="top"/>
            <w:vMerge w:val="restart"/>
            <w:tcBorders>
              <w:bottom w:val="nil"/>
            </w:tcBorders>
          </w:tcPr>
          <w:p>
            <w:pPr>
              <w:ind w:left="360"/>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8" w:type="dxa"/>
            <w:vAlign w:val="top"/>
          </w:tcPr>
          <w:p>
            <w:pPr>
              <w:ind w:left="432"/>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215" w:type="dxa"/>
            <w:vAlign w:val="top"/>
            <w:vMerge w:val="continue"/>
            <w:tcBorders>
              <w:top w:val="nil"/>
            </w:tcBorders>
          </w:tcPr>
          <w:p>
            <w:pPr>
              <w:rPr>
                <w:rFonts w:ascii="Arial"/>
                <w:sz w:val="21"/>
              </w:rPr>
            </w:pPr>
            <w:r/>
          </w:p>
        </w:tc>
        <w:tc>
          <w:tcPr>
            <w:tcW w:w="1815" w:type="dxa"/>
            <w:vAlign w:val="top"/>
            <w:vMerge w:val="continue"/>
            <w:tcBorders>
              <w:top w:val="nil"/>
            </w:tcBorders>
          </w:tcPr>
          <w:p>
            <w:pPr>
              <w:rPr>
                <w:rFonts w:ascii="Arial"/>
                <w:sz w:val="21"/>
              </w:rPr>
            </w:pPr>
            <w:r/>
          </w:p>
        </w:tc>
        <w:tc>
          <w:tcPr>
            <w:tcW w:w="1038" w:type="dxa"/>
            <w:vAlign w:val="top"/>
            <w:vMerge w:val="continue"/>
            <w:tcBorders>
              <w:top w:val="nil"/>
            </w:tcBorders>
          </w:tcPr>
          <w:p>
            <w:pPr>
              <w:rPr>
                <w:rFonts w:ascii="Arial"/>
                <w:sz w:val="21"/>
              </w:rPr>
            </w:pPr>
            <w:r/>
          </w:p>
        </w:tc>
        <w:tc>
          <w:tcPr>
            <w:tcW w:w="3201" w:type="dxa"/>
            <w:vAlign w:val="top"/>
          </w:tcPr>
          <w:p>
            <w:pPr>
              <w:ind w:left="12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8" w:type="dxa"/>
            <w:vAlign w:val="top"/>
          </w:tcPr>
          <w:p>
            <w:pPr>
              <w:ind w:left="49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47" w:hRule="atLeast"/>
        </w:trPr>
        <w:tc>
          <w:tcPr>
            <w:tcW w:w="1215" w:type="dxa"/>
            <w:vAlign w:val="top"/>
            <w:vMerge w:val="restart"/>
            <w:tcBorders>
              <w:bottom w:val="nil"/>
            </w:tcBorders>
          </w:tcPr>
          <w:p>
            <w:pPr>
              <w:ind w:left="126" w:right="126" w:firstLine="9"/>
              <w:spacing w:before="59"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15" w:type="dxa"/>
            <w:vAlign w:val="top"/>
            <w:vMerge w:val="restart"/>
            <w:tcBorders>
              <w:bottom w:val="nil"/>
            </w:tcBorders>
          </w:tcPr>
          <w:p>
            <w:pPr>
              <w:ind w:left="188"/>
              <w:spacing w:before="5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00"/>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00"/>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38" w:type="dxa"/>
            <w:vAlign w:val="top"/>
            <w:vMerge w:val="restart"/>
            <w:tcBorders>
              <w:bottom w:val="nil"/>
            </w:tcBorders>
          </w:tcPr>
          <w:p>
            <w:pPr>
              <w:spacing w:line="296" w:lineRule="auto"/>
              <w:rPr>
                <w:rFonts w:ascii="Arial"/>
                <w:sz w:val="21"/>
              </w:rPr>
            </w:pPr>
            <w:r/>
          </w:p>
          <w:p>
            <w:pPr>
              <w:ind w:left="3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78" w:type="dxa"/>
            <w:vAlign w:val="top"/>
          </w:tcPr>
          <w:p>
            <w:pPr>
              <w:ind w:left="252"/>
              <w:spacing w:before="54"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215" w:type="dxa"/>
            <w:vAlign w:val="top"/>
            <w:vMerge w:val="continue"/>
            <w:tcBorders>
              <w:top w:val="nil"/>
            </w:tcBorders>
          </w:tcPr>
          <w:p>
            <w:pPr>
              <w:rPr>
                <w:rFonts w:ascii="Arial"/>
                <w:sz w:val="21"/>
              </w:rPr>
            </w:pPr>
            <w:r/>
          </w:p>
        </w:tc>
        <w:tc>
          <w:tcPr>
            <w:tcW w:w="1815" w:type="dxa"/>
            <w:vAlign w:val="top"/>
            <w:vMerge w:val="continue"/>
            <w:tcBorders>
              <w:top w:val="nil"/>
            </w:tcBorders>
          </w:tcPr>
          <w:p>
            <w:pPr>
              <w:rPr>
                <w:rFonts w:ascii="Arial"/>
                <w:sz w:val="21"/>
              </w:rPr>
            </w:pPr>
            <w:r/>
          </w:p>
        </w:tc>
        <w:tc>
          <w:tcPr>
            <w:tcW w:w="1038" w:type="dxa"/>
            <w:vAlign w:val="top"/>
            <w:vMerge w:val="continue"/>
            <w:tcBorders>
              <w:top w:val="nil"/>
            </w:tcBorders>
          </w:tcPr>
          <w:p>
            <w:pPr>
              <w:rPr>
                <w:rFonts w:ascii="Arial"/>
                <w:sz w:val="21"/>
              </w:rPr>
            </w:pPr>
            <w:r/>
          </w:p>
        </w:tc>
        <w:tc>
          <w:tcPr>
            <w:tcW w:w="3201" w:type="dxa"/>
            <w:vAlign w:val="top"/>
          </w:tcPr>
          <w:p>
            <w:pPr>
              <w:ind w:left="134" w:right="211" w:hanging="20"/>
              <w:spacing w:before="4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78" w:type="dxa"/>
            <w:vAlign w:val="top"/>
          </w:tcPr>
          <w:p>
            <w:pPr>
              <w:ind w:left="49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2"/>
          <w:pgSz w:w="11905" w:h="16839"/>
          <w:pgMar w:top="1431" w:right="1726" w:bottom="1156" w:left="1726" w:header="0" w:footer="994" w:gutter="0"/>
        </w:sectPr>
        <w:rPr/>
      </w:pPr>
    </w:p>
    <w:p>
      <w:pPr>
        <w:spacing w:before="4"/>
        <w:rPr/>
      </w:pPr>
      <w:r/>
    </w:p>
    <w:p>
      <w:pPr>
        <w:spacing w:before="4"/>
        <w:rPr/>
      </w:pPr>
      <w:r/>
    </w:p>
    <w:p>
      <w:pPr>
        <w:spacing w:before="4"/>
        <w:rPr/>
      </w:pPr>
      <w:r/>
    </w:p>
    <w:p>
      <w:pPr>
        <w:spacing w:before="3"/>
        <w:rPr/>
      </w:pPr>
      <w:r/>
    </w:p>
    <w:tbl>
      <w:tblPr>
        <w:tblStyle w:val="TableNormal"/>
        <w:tblW w:w="84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79"/>
        <w:gridCol w:w="813"/>
        <w:gridCol w:w="3362"/>
        <w:gridCol w:w="1131"/>
      </w:tblGrid>
      <w:tr>
        <w:trPr>
          <w:trHeight w:val="720" w:hRule="atLeast"/>
        </w:trPr>
        <w:tc>
          <w:tcPr>
            <w:tcW w:w="8400" w:type="dxa"/>
            <w:vAlign w:val="top"/>
            <w:gridSpan w:val="5"/>
          </w:tcPr>
          <w:p>
            <w:pPr>
              <w:ind w:left="19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2"/>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85" w:type="dxa"/>
            <w:vAlign w:val="top"/>
            <w:gridSpan w:val="4"/>
          </w:tcPr>
          <w:p>
            <w:pPr>
              <w:ind w:left="3489"/>
              <w:spacing w:before="246" w:line="18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55</w:t>
            </w:r>
          </w:p>
        </w:tc>
      </w:tr>
      <w:tr>
        <w:trPr>
          <w:trHeight w:val="979" w:hRule="atLeast"/>
        </w:trPr>
        <w:tc>
          <w:tcPr>
            <w:tcW w:w="1215" w:type="dxa"/>
            <w:vAlign w:val="top"/>
          </w:tcPr>
          <w:p>
            <w:pPr>
              <w:spacing w:line="258" w:lineRule="auto"/>
              <w:rPr>
                <w:rFonts w:ascii="Arial"/>
                <w:sz w:val="21"/>
              </w:rPr>
            </w:pPr>
            <w:r/>
          </w:p>
          <w:p>
            <w:pPr>
              <w:ind w:left="5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85" w:type="dxa"/>
            <w:vAlign w:val="top"/>
            <w:gridSpan w:val="4"/>
          </w:tcPr>
          <w:p>
            <w:pPr>
              <w:ind w:left="18" w:right="14" w:firstLine="31"/>
              <w:spacing w:before="58"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向大气排放持久性有机污染物的企业事业单位和其他生产经营者以</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及废弃物焚烧设施的运营单位，未按照国家有关规定采取有利于减少</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持久性有机污染物排放的技术方法和工艺，配备净化装置的</w:t>
            </w:r>
          </w:p>
        </w:tc>
      </w:tr>
      <w:tr>
        <w:trPr>
          <w:trHeight w:val="4128" w:hRule="atLeast"/>
        </w:trPr>
        <w:tc>
          <w:tcPr>
            <w:tcW w:w="1215"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85" w:type="dxa"/>
            <w:vAlign w:val="top"/>
            <w:gridSpan w:val="4"/>
          </w:tcPr>
          <w:p>
            <w:pPr>
              <w:ind w:left="36"/>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0" w:right="14"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第七十九条</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3"/>
              </w:rPr>
              <w:t>向大气排放持久性有机污染物的企业事业单位和其他生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产经营者以及废弃物焚烧设施的运营单位，应当按照国家有关规定，</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采取有利于减少持久性有机污染物排放的技术方法和工艺，配备有效</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的净化装置，实现达标排放。</w:t>
            </w:r>
          </w:p>
          <w:p>
            <w:pPr>
              <w:spacing w:line="273"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53" w:right="14" w:hanging="20"/>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w:t>
            </w:r>
            <w:r>
              <w:rPr>
                <w:rFonts w:ascii="FangSong_GB2312" w:hAnsi="FangSong_GB2312" w:eastAsia="FangSong_GB2312" w:cs="FangSong_GB2312"/>
                <w:sz w:val="24"/>
                <w:szCs w:val="24"/>
                <w:spacing w:val="-2"/>
              </w:rPr>
              <w:t>由县级以上人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民政府生态环境等主管部门按照职责责令改正，处一万元以上十万元</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以下的罚款；拒不改正的，责令停工整治或者停业整治：</w:t>
            </w:r>
          </w:p>
          <w:p>
            <w:pPr>
              <w:ind w:left="18" w:right="14" w:hanging="2"/>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（七）向大气排放持久性有机污染物的企业事业单位和其他生产经营</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者以及废弃物焚烧设施的运营单位，未按照国家有关规定采取有利于</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rPr>
              <w:t>减少持久性有机污染物排放的技术方法和工艺</w:t>
            </w:r>
            <w:r>
              <w:rPr>
                <w:rFonts w:ascii="FangSong_GB2312" w:hAnsi="FangSong_GB2312" w:eastAsia="FangSong_GB2312" w:cs="FangSong_GB2312"/>
                <w:sz w:val="24"/>
                <w:szCs w:val="24"/>
                <w:spacing w:val="-1"/>
              </w:rPr>
              <w:t>，配备净化装置的；</w:t>
            </w:r>
          </w:p>
        </w:tc>
      </w:tr>
      <w:tr>
        <w:trPr>
          <w:trHeight w:val="635" w:hRule="atLeast"/>
        </w:trPr>
        <w:tc>
          <w:tcPr>
            <w:tcW w:w="3907" w:type="dxa"/>
            <w:vAlign w:val="top"/>
            <w:gridSpan w:val="3"/>
          </w:tcPr>
          <w:p>
            <w:pPr>
              <w:ind w:left="140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93" w:type="dxa"/>
            <w:vAlign w:val="top"/>
            <w:gridSpan w:val="2"/>
          </w:tcPr>
          <w:p>
            <w:pPr>
              <w:ind w:left="170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7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79" w:type="dxa"/>
            <w:vAlign w:val="top"/>
          </w:tcPr>
          <w:p>
            <w:pPr>
              <w:ind w:left="509"/>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813" w:type="dxa"/>
            <w:vAlign w:val="top"/>
          </w:tcPr>
          <w:p>
            <w:pPr>
              <w:ind w:left="222" w:right="18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62" w:type="dxa"/>
            <w:vAlign w:val="top"/>
          </w:tcPr>
          <w:p>
            <w:pPr>
              <w:ind w:left="1470"/>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31" w:type="dxa"/>
            <w:vAlign w:val="top"/>
          </w:tcPr>
          <w:p>
            <w:pPr>
              <w:ind w:left="249"/>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ind w:left="258" w:right="125"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79" w:type="dxa"/>
            <w:vAlign w:val="top"/>
            <w:vMerge w:val="restart"/>
            <w:tcBorders>
              <w:bottom w:val="nil"/>
            </w:tcBorders>
          </w:tcPr>
          <w:p>
            <w:pPr>
              <w:spacing w:line="359" w:lineRule="auto"/>
              <w:rPr>
                <w:rFonts w:ascii="Arial"/>
                <w:sz w:val="21"/>
              </w:rPr>
            </w:pPr>
            <w:r/>
          </w:p>
          <w:p>
            <w:pPr>
              <w:ind w:left="22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813" w:type="dxa"/>
            <w:vAlign w:val="top"/>
            <w:vMerge w:val="restart"/>
            <w:tcBorders>
              <w:bottom w:val="nil"/>
            </w:tcBorders>
          </w:tcPr>
          <w:p>
            <w:pPr>
              <w:spacing w:line="359" w:lineRule="auto"/>
              <w:rPr>
                <w:rFonts w:ascii="Arial"/>
                <w:sz w:val="21"/>
              </w:rPr>
            </w:pPr>
            <w:r/>
          </w:p>
          <w:p>
            <w:pPr>
              <w:ind w:left="24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62" w:type="dxa"/>
            <w:vAlign w:val="top"/>
          </w:tcPr>
          <w:p>
            <w:pPr>
              <w:ind w:left="115" w:right="13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未完全按照国家规定采取相关</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措施的</w:t>
            </w:r>
          </w:p>
        </w:tc>
        <w:tc>
          <w:tcPr>
            <w:tcW w:w="1131" w:type="dxa"/>
            <w:vAlign w:val="top"/>
          </w:tcPr>
          <w:p>
            <w:pPr>
              <w:ind w:left="22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7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813" w:type="dxa"/>
            <w:vAlign w:val="top"/>
            <w:vMerge w:val="continue"/>
            <w:tcBorders>
              <w:top w:val="nil"/>
            </w:tcBorders>
          </w:tcPr>
          <w:p>
            <w:pPr>
              <w:rPr>
                <w:rFonts w:ascii="Arial"/>
                <w:sz w:val="21"/>
              </w:rPr>
            </w:pPr>
            <w:r/>
          </w:p>
        </w:tc>
        <w:tc>
          <w:tcPr>
            <w:tcW w:w="3362" w:type="dxa"/>
            <w:vAlign w:val="top"/>
          </w:tcPr>
          <w:p>
            <w:pPr>
              <w:ind w:left="128"/>
              <w:spacing w:before="11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完全没有采取污染防治措施</w:t>
            </w:r>
          </w:p>
        </w:tc>
        <w:tc>
          <w:tcPr>
            <w:tcW w:w="1131" w:type="dxa"/>
            <w:vAlign w:val="top"/>
          </w:tcPr>
          <w:p>
            <w:pPr>
              <w:ind w:left="166"/>
              <w:spacing w:before="11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restart"/>
            <w:tcBorders>
              <w:bottom w:val="nil"/>
            </w:tcBorders>
          </w:tcPr>
          <w:p>
            <w:pPr>
              <w:ind w:left="227"/>
              <w:spacing w:before="2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排污企业性质</w:t>
            </w:r>
          </w:p>
        </w:tc>
        <w:tc>
          <w:tcPr>
            <w:tcW w:w="813" w:type="dxa"/>
            <w:vAlign w:val="top"/>
            <w:vMerge w:val="restart"/>
            <w:tcBorders>
              <w:bottom w:val="nil"/>
            </w:tcBorders>
          </w:tcPr>
          <w:p>
            <w:pPr>
              <w:ind w:left="241"/>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62" w:type="dxa"/>
            <w:vAlign w:val="top"/>
          </w:tcPr>
          <w:p>
            <w:pPr>
              <w:ind w:left="1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一般排污单位</w:t>
            </w:r>
          </w:p>
        </w:tc>
        <w:tc>
          <w:tcPr>
            <w:tcW w:w="1131" w:type="dxa"/>
            <w:vAlign w:val="top"/>
          </w:tcPr>
          <w:p>
            <w:pPr>
              <w:ind w:left="2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813" w:type="dxa"/>
            <w:vAlign w:val="top"/>
            <w:vMerge w:val="continue"/>
            <w:tcBorders>
              <w:top w:val="nil"/>
            </w:tcBorders>
          </w:tcPr>
          <w:p>
            <w:pPr>
              <w:rPr>
                <w:rFonts w:ascii="Arial"/>
                <w:sz w:val="21"/>
              </w:rPr>
            </w:pPr>
            <w:r/>
          </w:p>
        </w:tc>
        <w:tc>
          <w:tcPr>
            <w:tcW w:w="3362"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重点排污单位</w:t>
            </w:r>
          </w:p>
        </w:tc>
        <w:tc>
          <w:tcPr>
            <w:tcW w:w="1131" w:type="dxa"/>
            <w:vAlign w:val="top"/>
          </w:tcPr>
          <w:p>
            <w:pPr>
              <w:ind w:left="16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215" w:type="dxa"/>
            <w:vAlign w:val="top"/>
            <w:vMerge w:val="restart"/>
            <w:tcBorders>
              <w:bottom w:val="nil"/>
            </w:tcBorders>
          </w:tcPr>
          <w:p>
            <w:pPr>
              <w:spacing w:line="44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79" w:type="dxa"/>
            <w:vAlign w:val="top"/>
            <w:vMerge w:val="restart"/>
            <w:tcBorders>
              <w:bottom w:val="nil"/>
            </w:tcBorders>
          </w:tcPr>
          <w:p>
            <w:pPr>
              <w:spacing w:line="292" w:lineRule="auto"/>
              <w:rPr>
                <w:rFonts w:ascii="Arial"/>
                <w:sz w:val="21"/>
              </w:rPr>
            </w:pPr>
            <w:r/>
          </w:p>
          <w:p>
            <w:pPr>
              <w:ind w:left="831" w:right="218"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813" w:type="dxa"/>
            <w:vAlign w:val="top"/>
            <w:vMerge w:val="restart"/>
            <w:tcBorders>
              <w:bottom w:val="nil"/>
            </w:tcBorders>
          </w:tcPr>
          <w:p>
            <w:pPr>
              <w:spacing w:line="448" w:lineRule="auto"/>
              <w:rPr>
                <w:rFonts w:ascii="Arial"/>
                <w:sz w:val="21"/>
              </w:rPr>
            </w:pPr>
            <w:r/>
          </w:p>
          <w:p>
            <w:pPr>
              <w:ind w:left="24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62"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31" w:type="dxa"/>
            <w:vAlign w:val="top"/>
          </w:tcPr>
          <w:p>
            <w:pPr>
              <w:ind w:left="46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813" w:type="dxa"/>
            <w:vAlign w:val="top"/>
            <w:vMerge w:val="continue"/>
            <w:tcBorders>
              <w:top w:val="nil"/>
              <w:bottom w:val="nil"/>
            </w:tcBorders>
          </w:tcPr>
          <w:p>
            <w:pPr>
              <w:rPr>
                <w:rFonts w:ascii="Arial"/>
                <w:sz w:val="21"/>
              </w:rPr>
            </w:pPr>
            <w:r/>
          </w:p>
        </w:tc>
        <w:tc>
          <w:tcPr>
            <w:tcW w:w="3362"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31" w:type="dxa"/>
            <w:vAlign w:val="top"/>
          </w:tcPr>
          <w:p>
            <w:pPr>
              <w:ind w:left="4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813" w:type="dxa"/>
            <w:vAlign w:val="top"/>
            <w:vMerge w:val="continue"/>
            <w:tcBorders>
              <w:top w:val="nil"/>
              <w:bottom w:val="nil"/>
            </w:tcBorders>
          </w:tcPr>
          <w:p>
            <w:pPr>
              <w:rPr>
                <w:rFonts w:ascii="Arial"/>
                <w:sz w:val="21"/>
              </w:rPr>
            </w:pPr>
            <w:r/>
          </w:p>
        </w:tc>
        <w:tc>
          <w:tcPr>
            <w:tcW w:w="3362"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31" w:type="dxa"/>
            <w:vAlign w:val="top"/>
          </w:tcPr>
          <w:p>
            <w:pPr>
              <w:ind w:left="4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813" w:type="dxa"/>
            <w:vAlign w:val="top"/>
            <w:vMerge w:val="continue"/>
            <w:tcBorders>
              <w:top w:val="nil"/>
            </w:tcBorders>
          </w:tcPr>
          <w:p>
            <w:pPr>
              <w:rPr>
                <w:rFonts w:ascii="Arial"/>
                <w:sz w:val="21"/>
              </w:rPr>
            </w:pPr>
            <w:r/>
          </w:p>
        </w:tc>
        <w:tc>
          <w:tcPr>
            <w:tcW w:w="3362"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31" w:type="dxa"/>
            <w:vAlign w:val="top"/>
          </w:tcPr>
          <w:p>
            <w:pPr>
              <w:ind w:left="40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4"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79" w:type="dxa"/>
            <w:vAlign w:val="top"/>
            <w:vMerge w:val="restart"/>
            <w:tcBorders>
              <w:bottom w:val="nil"/>
            </w:tcBorders>
          </w:tcPr>
          <w:p>
            <w:pPr>
              <w:spacing w:line="445" w:lineRule="auto"/>
              <w:rPr>
                <w:rFonts w:ascii="Arial"/>
                <w:sz w:val="21"/>
              </w:rPr>
            </w:pPr>
            <w:r/>
          </w:p>
          <w:p>
            <w:pPr>
              <w:ind w:left="221"/>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813" w:type="dxa"/>
            <w:vAlign w:val="top"/>
            <w:vMerge w:val="restart"/>
            <w:tcBorders>
              <w:bottom w:val="nil"/>
            </w:tcBorders>
          </w:tcPr>
          <w:p>
            <w:pPr>
              <w:spacing w:line="444" w:lineRule="auto"/>
              <w:rPr>
                <w:rFonts w:ascii="Arial"/>
                <w:sz w:val="21"/>
              </w:rPr>
            </w:pPr>
            <w:r/>
          </w:p>
          <w:p>
            <w:pPr>
              <w:ind w:left="24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62"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31" w:type="dxa"/>
            <w:vAlign w:val="top"/>
          </w:tcPr>
          <w:p>
            <w:pPr>
              <w:ind w:left="46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79" w:type="dxa"/>
            <w:vAlign w:val="top"/>
            <w:vMerge w:val="continue"/>
            <w:tcBorders>
              <w:top w:val="nil"/>
              <w:bottom w:val="nil"/>
            </w:tcBorders>
          </w:tcPr>
          <w:p>
            <w:pPr>
              <w:rPr>
                <w:rFonts w:ascii="Arial"/>
                <w:sz w:val="21"/>
              </w:rPr>
            </w:pPr>
            <w:r/>
          </w:p>
        </w:tc>
        <w:tc>
          <w:tcPr>
            <w:tcW w:w="813" w:type="dxa"/>
            <w:vAlign w:val="top"/>
            <w:vMerge w:val="continue"/>
            <w:tcBorders>
              <w:top w:val="nil"/>
              <w:bottom w:val="nil"/>
            </w:tcBorders>
          </w:tcPr>
          <w:p>
            <w:pPr>
              <w:rPr>
                <w:rFonts w:ascii="Arial"/>
                <w:sz w:val="21"/>
              </w:rPr>
            </w:pPr>
            <w:r/>
          </w:p>
        </w:tc>
        <w:tc>
          <w:tcPr>
            <w:tcW w:w="3362" w:type="dxa"/>
            <w:vAlign w:val="top"/>
          </w:tcPr>
          <w:p>
            <w:pPr>
              <w:ind w:left="130" w:right="131"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131" w:type="dxa"/>
            <w:vAlign w:val="top"/>
          </w:tcPr>
          <w:p>
            <w:pPr>
              <w:ind w:left="28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813" w:type="dxa"/>
            <w:vAlign w:val="top"/>
            <w:vMerge w:val="continue"/>
            <w:tcBorders>
              <w:top w:val="nil"/>
            </w:tcBorders>
          </w:tcPr>
          <w:p>
            <w:pPr>
              <w:rPr>
                <w:rFonts w:ascii="Arial"/>
                <w:sz w:val="21"/>
              </w:rPr>
            </w:pPr>
            <w:r/>
          </w:p>
        </w:tc>
        <w:tc>
          <w:tcPr>
            <w:tcW w:w="3362"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31"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4" w:right="125" w:firstLine="7"/>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79" w:type="dxa"/>
            <w:vAlign w:val="top"/>
            <w:vMerge w:val="restart"/>
            <w:tcBorders>
              <w:bottom w:val="nil"/>
            </w:tcBorders>
          </w:tcPr>
          <w:p>
            <w:pPr>
              <w:ind w:left="701" w:right="218" w:hanging="480"/>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813" w:type="dxa"/>
            <w:vAlign w:val="top"/>
            <w:vMerge w:val="restart"/>
            <w:tcBorders>
              <w:bottom w:val="nil"/>
            </w:tcBorders>
          </w:tcPr>
          <w:p>
            <w:pPr>
              <w:ind w:left="24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62"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31" w:type="dxa"/>
            <w:vAlign w:val="top"/>
          </w:tcPr>
          <w:p>
            <w:pPr>
              <w:ind w:left="2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813" w:type="dxa"/>
            <w:vAlign w:val="top"/>
            <w:vMerge w:val="continue"/>
            <w:tcBorders>
              <w:top w:val="nil"/>
            </w:tcBorders>
          </w:tcPr>
          <w:p>
            <w:pPr>
              <w:rPr>
                <w:rFonts w:ascii="Arial"/>
                <w:sz w:val="21"/>
              </w:rPr>
            </w:pPr>
            <w:r/>
          </w:p>
        </w:tc>
        <w:tc>
          <w:tcPr>
            <w:tcW w:w="3362" w:type="dxa"/>
            <w:vAlign w:val="top"/>
          </w:tcPr>
          <w:p>
            <w:pPr>
              <w:ind w:left="125"/>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31" w:type="dxa"/>
            <w:vAlign w:val="top"/>
          </w:tcPr>
          <w:p>
            <w:pPr>
              <w:ind w:left="468"/>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3"/>
          <w:pgSz w:w="11905" w:h="16839"/>
          <w:pgMar w:top="1431" w:right="1750" w:bottom="1156" w:left="1749" w:header="0" w:footer="994" w:gutter="0"/>
        </w:sectPr>
        <w:rPr/>
      </w:pPr>
    </w:p>
    <w:p>
      <w:pPr>
        <w:spacing w:before="92"/>
        <w:rPr/>
      </w:pPr>
      <w:r/>
    </w:p>
    <w:p>
      <w:pPr>
        <w:spacing w:before="91"/>
        <w:rPr/>
      </w:pPr>
      <w:r/>
    </w:p>
    <w:tbl>
      <w:tblPr>
        <w:tblStyle w:val="TableNormal"/>
        <w:tblW w:w="84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79"/>
        <w:gridCol w:w="813"/>
        <w:gridCol w:w="3362"/>
        <w:gridCol w:w="1131"/>
      </w:tblGrid>
      <w:tr>
        <w:trPr>
          <w:trHeight w:val="511" w:hRule="atLeast"/>
        </w:trPr>
        <w:tc>
          <w:tcPr>
            <w:tcW w:w="1215" w:type="dxa"/>
            <w:vAlign w:val="top"/>
            <w:vMerge w:val="restart"/>
            <w:tcBorders>
              <w:bottom w:val="nil"/>
            </w:tcBorders>
          </w:tcPr>
          <w:p>
            <w:pPr>
              <w:ind w:left="127" w:right="125" w:firstLine="9"/>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79" w:type="dxa"/>
            <w:vAlign w:val="top"/>
            <w:vMerge w:val="restart"/>
            <w:tcBorders>
              <w:bottom w:val="nil"/>
            </w:tcBorders>
          </w:tcPr>
          <w:p>
            <w:pPr>
              <w:ind w:left="221"/>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2"/>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2"/>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813" w:type="dxa"/>
            <w:vAlign w:val="top"/>
            <w:vMerge w:val="restart"/>
            <w:tcBorders>
              <w:bottom w:val="nil"/>
            </w:tcBorders>
          </w:tcPr>
          <w:p>
            <w:pPr>
              <w:spacing w:line="279" w:lineRule="auto"/>
              <w:rPr>
                <w:rFonts w:ascii="Arial"/>
                <w:sz w:val="21"/>
              </w:rPr>
            </w:pPr>
            <w:r/>
          </w:p>
          <w:p>
            <w:pPr>
              <w:ind w:left="24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62" w:type="dxa"/>
            <w:vAlign w:val="top"/>
          </w:tcPr>
          <w:p>
            <w:pPr>
              <w:ind w:left="118"/>
              <w:spacing w:before="1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31" w:type="dxa"/>
            <w:vAlign w:val="top"/>
          </w:tcPr>
          <w:p>
            <w:pPr>
              <w:ind w:left="253"/>
              <w:spacing w:before="1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38" w:hRule="atLeast"/>
        </w:trPr>
        <w:tc>
          <w:tcPr>
            <w:tcW w:w="1215" w:type="dxa"/>
            <w:vAlign w:val="top"/>
            <w:vMerge w:val="continue"/>
            <w:tcBorders>
              <w:top w:val="nil"/>
            </w:tcBorders>
          </w:tcPr>
          <w:p>
            <w:pPr>
              <w:rPr>
                <w:rFonts w:ascii="Arial"/>
                <w:sz w:val="21"/>
              </w:rPr>
            </w:pPr>
            <w:r/>
          </w:p>
        </w:tc>
        <w:tc>
          <w:tcPr>
            <w:tcW w:w="1879" w:type="dxa"/>
            <w:vAlign w:val="top"/>
            <w:vMerge w:val="continue"/>
            <w:tcBorders>
              <w:top w:val="nil"/>
            </w:tcBorders>
          </w:tcPr>
          <w:p>
            <w:pPr>
              <w:rPr>
                <w:rFonts w:ascii="Arial"/>
                <w:sz w:val="21"/>
              </w:rPr>
            </w:pPr>
            <w:r/>
          </w:p>
        </w:tc>
        <w:tc>
          <w:tcPr>
            <w:tcW w:w="813" w:type="dxa"/>
            <w:vAlign w:val="top"/>
            <w:vMerge w:val="continue"/>
            <w:tcBorders>
              <w:top w:val="nil"/>
            </w:tcBorders>
          </w:tcPr>
          <w:p>
            <w:pPr>
              <w:rPr>
                <w:rFonts w:ascii="Arial"/>
                <w:sz w:val="21"/>
              </w:rPr>
            </w:pPr>
            <w:r/>
          </w:p>
        </w:tc>
        <w:tc>
          <w:tcPr>
            <w:tcW w:w="3362" w:type="dxa"/>
            <w:vAlign w:val="top"/>
          </w:tcPr>
          <w:p>
            <w:pPr>
              <w:ind w:left="115"/>
              <w:spacing w:before="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131" w:type="dxa"/>
            <w:vAlign w:val="top"/>
          </w:tcPr>
          <w:p>
            <w:pPr>
              <w:ind w:left="468"/>
              <w:spacing w:before="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4"/>
          <w:pgSz w:w="11905" w:h="16839"/>
          <w:pgMar w:top="1431" w:right="1750" w:bottom="1156" w:left="1749" w:header="0" w:footer="994" w:gutter="0"/>
        </w:sectPr>
        <w:rPr/>
      </w:pPr>
    </w:p>
    <w:p>
      <w:pPr>
        <w:spacing w:before="47"/>
        <w:rPr/>
      </w:pPr>
      <w:r/>
    </w:p>
    <w:p>
      <w:pPr>
        <w:spacing w:before="46"/>
        <w:rPr/>
      </w:pPr>
      <w:r/>
    </w:p>
    <w:tbl>
      <w:tblPr>
        <w:tblStyle w:val="TableNormal"/>
        <w:tblW w:w="84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50"/>
        <w:gridCol w:w="953"/>
        <w:gridCol w:w="3351"/>
        <w:gridCol w:w="1201"/>
      </w:tblGrid>
      <w:tr>
        <w:trPr>
          <w:trHeight w:val="774" w:hRule="atLeast"/>
        </w:trPr>
        <w:tc>
          <w:tcPr>
            <w:tcW w:w="8470" w:type="dxa"/>
            <w:vAlign w:val="top"/>
            <w:gridSpan w:val="5"/>
          </w:tcPr>
          <w:p>
            <w:pPr>
              <w:ind w:left="233"/>
              <w:spacing w:before="145" w:line="230"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55" w:type="dxa"/>
            <w:vAlign w:val="top"/>
            <w:gridSpan w:val="4"/>
          </w:tcPr>
          <w:p>
            <w:pPr>
              <w:ind w:left="3524"/>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56</w:t>
            </w:r>
          </w:p>
        </w:tc>
      </w:tr>
      <w:tr>
        <w:trPr>
          <w:trHeight w:val="664" w:hRule="atLeast"/>
        </w:trPr>
        <w:tc>
          <w:tcPr>
            <w:tcW w:w="1215" w:type="dxa"/>
            <w:vAlign w:val="top"/>
          </w:tcPr>
          <w:p>
            <w:pPr>
              <w:ind w:left="5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55" w:type="dxa"/>
            <w:vAlign w:val="top"/>
            <w:gridSpan w:val="4"/>
          </w:tcPr>
          <w:p>
            <w:pPr>
              <w:ind w:left="19"/>
              <w:spacing w:before="21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未采取措施防止排放恶臭气体的</w:t>
            </w:r>
          </w:p>
        </w:tc>
      </w:tr>
      <w:tr>
        <w:trPr>
          <w:trHeight w:val="4128" w:hRule="atLeast"/>
        </w:trPr>
        <w:tc>
          <w:tcPr>
            <w:tcW w:w="1215"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55" w:type="dxa"/>
            <w:vAlign w:val="top"/>
            <w:gridSpan w:val="4"/>
          </w:tcPr>
          <w:p>
            <w:pPr>
              <w:ind w:left="35"/>
              <w:spacing w:before="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31" w:right="15"/>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第七十五条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畜禽养殖场、养殖小区应当及时对污水</w:t>
            </w:r>
            <w:r>
              <w:rPr>
                <w:rFonts w:ascii="FangSong_GB2312" w:hAnsi="FangSong_GB2312" w:eastAsia="FangSong_GB2312" w:cs="FangSong_GB2312"/>
                <w:sz w:val="24"/>
                <w:szCs w:val="24"/>
                <w:spacing w:val="-5"/>
              </w:rPr>
              <w:t>、畜禽粪便和尸体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等进行收集、贮存、清运和无害化处理，防止排放恶臭气体。</w:t>
            </w:r>
          </w:p>
          <w:p>
            <w:pPr>
              <w:spacing w:line="275" w:lineRule="auto"/>
              <w:rPr>
                <w:rFonts w:ascii="Arial"/>
                <w:sz w:val="21"/>
              </w:rPr>
            </w:pPr>
            <w:r/>
          </w:p>
          <w:p>
            <w:pPr>
              <w:ind w:left="21" w:right="39" w:firstLine="10"/>
              <w:spacing w:before="7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企业事业单位和其他生产经营者在生产经营活动中产生恶</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臭气体的，应当科学选址，设置合理的防护距离，并安装净化装置或</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者采取其他措施，防止排放恶臭气体。</w:t>
            </w:r>
          </w:p>
          <w:p>
            <w:pPr>
              <w:spacing w:line="27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2.《中华人民共和国大气污染防治法》</w:t>
            </w:r>
          </w:p>
          <w:p>
            <w:pPr>
              <w:ind w:left="24" w:right="15" w:firstLine="7"/>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第一百一十七条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违反本法规定，有下列行为之一的，由县级以上人民</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政府生态环境等主管部门按照职责责令改正，处一万元以上十万元以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下的罚款；拒不改正的，责令停工整治或者停业整治：</w:t>
            </w:r>
          </w:p>
          <w:p>
            <w:pPr>
              <w:ind w:left="15"/>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（八）未采取措施防止排放恶臭气体的。</w:t>
            </w:r>
          </w:p>
        </w:tc>
      </w:tr>
      <w:tr>
        <w:trPr>
          <w:trHeight w:val="635" w:hRule="atLeast"/>
        </w:trPr>
        <w:tc>
          <w:tcPr>
            <w:tcW w:w="3918" w:type="dxa"/>
            <w:vAlign w:val="top"/>
            <w:gridSpan w:val="3"/>
          </w:tcPr>
          <w:p>
            <w:pPr>
              <w:ind w:left="1406"/>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52" w:type="dxa"/>
            <w:vAlign w:val="top"/>
            <w:gridSpan w:val="2"/>
          </w:tcPr>
          <w:p>
            <w:pPr>
              <w:ind w:left="173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50" w:type="dxa"/>
            <w:vAlign w:val="top"/>
          </w:tcPr>
          <w:p>
            <w:pPr>
              <w:ind w:left="446"/>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53" w:type="dxa"/>
            <w:vAlign w:val="top"/>
          </w:tcPr>
          <w:p>
            <w:pPr>
              <w:ind w:left="293" w:right="25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51" w:type="dxa"/>
            <w:vAlign w:val="top"/>
          </w:tcPr>
          <w:p>
            <w:pPr>
              <w:ind w:left="1463"/>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01" w:type="dxa"/>
            <w:vAlign w:val="top"/>
          </w:tcPr>
          <w:p>
            <w:pPr>
              <w:ind w:left="28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15" w:type="dxa"/>
            <w:vAlign w:val="top"/>
            <w:vMerge w:val="restart"/>
            <w:tcBorders>
              <w:bottom w:val="nil"/>
            </w:tcBorders>
          </w:tcPr>
          <w:p>
            <w:pPr>
              <w:ind w:left="260" w:right="126" w:hanging="125"/>
              <w:spacing w:before="27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50" w:type="dxa"/>
            <w:vAlign w:val="top"/>
            <w:vMerge w:val="restart"/>
            <w:tcBorders>
              <w:bottom w:val="nil"/>
            </w:tcBorders>
          </w:tcPr>
          <w:p>
            <w:pPr>
              <w:spacing w:line="357" w:lineRule="auto"/>
              <w:rPr>
                <w:rFonts w:ascii="Arial"/>
                <w:sz w:val="21"/>
              </w:rPr>
            </w:pPr>
            <w:r/>
          </w:p>
          <w:p>
            <w:pPr>
              <w:ind w:left="16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53" w:type="dxa"/>
            <w:vAlign w:val="top"/>
            <w:vMerge w:val="restart"/>
            <w:tcBorders>
              <w:bottom w:val="nil"/>
            </w:tcBorders>
          </w:tcPr>
          <w:p>
            <w:pPr>
              <w:spacing w:line="358" w:lineRule="auto"/>
              <w:rPr>
                <w:rFonts w:ascii="Arial"/>
                <w:sz w:val="21"/>
              </w:rPr>
            </w:pPr>
            <w:r/>
          </w:p>
          <w:p>
            <w:pPr>
              <w:ind w:left="31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351" w:type="dxa"/>
            <w:vAlign w:val="top"/>
          </w:tcPr>
          <w:p>
            <w:pPr>
              <w:ind w:left="135" w:right="120" w:hanging="1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没有按要求采取污染防治措施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rPr>
              <w:t>的</w:t>
            </w:r>
          </w:p>
        </w:tc>
        <w:tc>
          <w:tcPr>
            <w:tcW w:w="1201" w:type="dxa"/>
            <w:vAlign w:val="top"/>
          </w:tcPr>
          <w:p>
            <w:pPr>
              <w:ind w:left="26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7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351" w:type="dxa"/>
            <w:vAlign w:val="top"/>
          </w:tcPr>
          <w:p>
            <w:pPr>
              <w:ind w:left="128"/>
              <w:spacing w:before="11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完全没有采取污染防治措施的</w:t>
            </w:r>
          </w:p>
        </w:tc>
        <w:tc>
          <w:tcPr>
            <w:tcW w:w="1201" w:type="dxa"/>
            <w:vAlign w:val="top"/>
          </w:tcPr>
          <w:p>
            <w:pPr>
              <w:ind w:left="196"/>
              <w:spacing w:before="11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50" w:type="dxa"/>
            <w:vAlign w:val="top"/>
            <w:vMerge w:val="restart"/>
            <w:tcBorders>
              <w:bottom w:val="nil"/>
            </w:tcBorders>
          </w:tcPr>
          <w:p>
            <w:pPr>
              <w:spacing w:line="296" w:lineRule="auto"/>
              <w:rPr>
                <w:rFonts w:ascii="Arial"/>
                <w:sz w:val="21"/>
              </w:rPr>
            </w:pPr>
            <w:r/>
          </w:p>
          <w:p>
            <w:pPr>
              <w:ind w:left="765" w:right="155"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53" w:type="dxa"/>
            <w:vAlign w:val="top"/>
            <w:vMerge w:val="restart"/>
            <w:tcBorders>
              <w:bottom w:val="nil"/>
            </w:tcBorders>
          </w:tcPr>
          <w:p>
            <w:pPr>
              <w:spacing w:line="449" w:lineRule="auto"/>
              <w:rPr>
                <w:rFonts w:ascii="Arial"/>
                <w:sz w:val="21"/>
              </w:rPr>
            </w:pPr>
            <w:r/>
          </w:p>
          <w:p>
            <w:pPr>
              <w:ind w:left="31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51"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01" w:type="dxa"/>
            <w:vAlign w:val="top"/>
          </w:tcPr>
          <w:p>
            <w:pPr>
              <w:ind w:left="49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35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01" w:type="dxa"/>
            <w:vAlign w:val="top"/>
          </w:tcPr>
          <w:p>
            <w:pPr>
              <w:ind w:left="44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35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01" w:type="dxa"/>
            <w:vAlign w:val="top"/>
          </w:tcPr>
          <w:p>
            <w:pPr>
              <w:ind w:left="44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35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01" w:type="dxa"/>
            <w:vAlign w:val="top"/>
          </w:tcPr>
          <w:p>
            <w:pPr>
              <w:ind w:left="43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50" w:type="dxa"/>
            <w:vAlign w:val="top"/>
            <w:vMerge w:val="restart"/>
            <w:tcBorders>
              <w:bottom w:val="nil"/>
            </w:tcBorders>
          </w:tcPr>
          <w:p>
            <w:pPr>
              <w:spacing w:line="446" w:lineRule="auto"/>
              <w:rPr>
                <w:rFonts w:ascii="Arial"/>
                <w:sz w:val="21"/>
              </w:rPr>
            </w:pPr>
            <w:r/>
          </w:p>
          <w:p>
            <w:pPr>
              <w:ind w:left="15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53" w:type="dxa"/>
            <w:vAlign w:val="top"/>
            <w:vMerge w:val="restart"/>
            <w:tcBorders>
              <w:bottom w:val="nil"/>
            </w:tcBorders>
          </w:tcPr>
          <w:p>
            <w:pPr>
              <w:spacing w:line="445" w:lineRule="auto"/>
              <w:rPr>
                <w:rFonts w:ascii="Arial"/>
                <w:sz w:val="21"/>
              </w:rPr>
            </w:pPr>
            <w:r/>
          </w:p>
          <w:p>
            <w:pPr>
              <w:ind w:left="31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5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01" w:type="dxa"/>
            <w:vAlign w:val="top"/>
          </w:tcPr>
          <w:p>
            <w:pPr>
              <w:ind w:left="5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953" w:type="dxa"/>
            <w:vAlign w:val="top"/>
            <w:vMerge w:val="continue"/>
            <w:tcBorders>
              <w:top w:val="nil"/>
              <w:bottom w:val="nil"/>
            </w:tcBorders>
          </w:tcPr>
          <w:p>
            <w:pPr>
              <w:rPr>
                <w:rFonts w:ascii="Arial"/>
                <w:sz w:val="21"/>
              </w:rPr>
            </w:pPr>
            <w:r/>
          </w:p>
        </w:tc>
        <w:tc>
          <w:tcPr>
            <w:tcW w:w="3351" w:type="dxa"/>
            <w:vAlign w:val="top"/>
          </w:tcPr>
          <w:p>
            <w:pPr>
              <w:ind w:left="130" w:right="120"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201" w:type="dxa"/>
            <w:vAlign w:val="top"/>
          </w:tcPr>
          <w:p>
            <w:pPr>
              <w:ind w:left="32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35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01" w:type="dxa"/>
            <w:vAlign w:val="top"/>
          </w:tcPr>
          <w:p>
            <w:pPr>
              <w:ind w:left="25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3" w:right="126"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50" w:type="dxa"/>
            <w:vAlign w:val="top"/>
            <w:vMerge w:val="restart"/>
            <w:tcBorders>
              <w:bottom w:val="nil"/>
            </w:tcBorders>
          </w:tcPr>
          <w:p>
            <w:pPr>
              <w:ind w:left="635" w:right="155"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53" w:type="dxa"/>
            <w:vAlign w:val="top"/>
            <w:vMerge w:val="restart"/>
            <w:tcBorders>
              <w:bottom w:val="nil"/>
            </w:tcBorders>
          </w:tcPr>
          <w:p>
            <w:pPr>
              <w:ind w:left="317"/>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5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01" w:type="dxa"/>
            <w:vAlign w:val="top"/>
          </w:tcPr>
          <w:p>
            <w:pPr>
              <w:ind w:left="26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35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01" w:type="dxa"/>
            <w:vAlign w:val="top"/>
          </w:tcPr>
          <w:p>
            <w:pPr>
              <w:ind w:left="5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09" w:hRule="atLeast"/>
        </w:trPr>
        <w:tc>
          <w:tcPr>
            <w:tcW w:w="1215" w:type="dxa"/>
            <w:vAlign w:val="top"/>
            <w:vMerge w:val="restart"/>
            <w:tcBorders>
              <w:bottom w:val="nil"/>
            </w:tcBorders>
          </w:tcPr>
          <w:p>
            <w:pPr>
              <w:ind w:left="126" w:right="126" w:firstLine="9"/>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50" w:type="dxa"/>
            <w:vAlign w:val="top"/>
            <w:vMerge w:val="restart"/>
            <w:tcBorders>
              <w:bottom w:val="nil"/>
            </w:tcBorders>
          </w:tcPr>
          <w:p>
            <w:pPr>
              <w:ind w:left="155"/>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6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6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53" w:type="dxa"/>
            <w:vAlign w:val="top"/>
            <w:vMerge w:val="restart"/>
            <w:tcBorders>
              <w:bottom w:val="nil"/>
            </w:tcBorders>
          </w:tcPr>
          <w:p>
            <w:pPr>
              <w:spacing w:line="277" w:lineRule="auto"/>
              <w:rPr>
                <w:rFonts w:ascii="Arial"/>
                <w:sz w:val="21"/>
              </w:rPr>
            </w:pPr>
            <w:r/>
          </w:p>
          <w:p>
            <w:pPr>
              <w:ind w:left="31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51" w:type="dxa"/>
            <w:vAlign w:val="top"/>
          </w:tcPr>
          <w:p>
            <w:pPr>
              <w:ind w:left="118"/>
              <w:spacing w:before="1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01" w:type="dxa"/>
            <w:vAlign w:val="top"/>
          </w:tcPr>
          <w:p>
            <w:pPr>
              <w:ind w:left="252"/>
              <w:spacing w:before="1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40" w:hRule="atLeast"/>
        </w:trPr>
        <w:tc>
          <w:tcPr>
            <w:tcW w:w="1215"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953" w:type="dxa"/>
            <w:vAlign w:val="top"/>
            <w:vMerge w:val="continue"/>
            <w:tcBorders>
              <w:top w:val="nil"/>
            </w:tcBorders>
          </w:tcPr>
          <w:p>
            <w:pPr>
              <w:rPr>
                <w:rFonts w:ascii="Arial"/>
                <w:sz w:val="21"/>
              </w:rPr>
            </w:pPr>
            <w:r/>
          </w:p>
        </w:tc>
        <w:tc>
          <w:tcPr>
            <w:tcW w:w="3351" w:type="dxa"/>
            <w:vAlign w:val="top"/>
          </w:tcPr>
          <w:p>
            <w:pPr>
              <w:ind w:left="115"/>
              <w:spacing w:before="1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201" w:type="dxa"/>
            <w:vAlign w:val="top"/>
          </w:tcPr>
          <w:p>
            <w:pPr>
              <w:ind w:left="503"/>
              <w:spacing w:before="1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5"/>
          <w:pgSz w:w="11905" w:h="16839"/>
          <w:pgMar w:top="1431" w:right="1715" w:bottom="1156" w:left="1714" w:header="0" w:footer="994" w:gutter="0"/>
        </w:sectPr>
        <w:rPr/>
      </w:pPr>
    </w:p>
    <w:p>
      <w:pPr>
        <w:spacing w:line="122" w:lineRule="exact"/>
        <w:rPr/>
      </w:pPr>
      <w:r/>
    </w:p>
    <w:tbl>
      <w:tblPr>
        <w:tblStyle w:val="TableNormal"/>
        <w:tblW w:w="84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1028"/>
        <w:gridCol w:w="3201"/>
        <w:gridCol w:w="1201"/>
      </w:tblGrid>
      <w:tr>
        <w:trPr>
          <w:trHeight w:val="752" w:hRule="atLeast"/>
        </w:trPr>
        <w:tc>
          <w:tcPr>
            <w:tcW w:w="8470" w:type="dxa"/>
            <w:vAlign w:val="top"/>
            <w:gridSpan w:val="5"/>
          </w:tcPr>
          <w:p>
            <w:pPr>
              <w:ind w:left="15"/>
              <w:spacing w:before="133" w:line="230"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55" w:type="dxa"/>
            <w:vAlign w:val="top"/>
            <w:gridSpan w:val="4"/>
          </w:tcPr>
          <w:p>
            <w:pPr>
              <w:ind w:left="3524"/>
              <w:spacing w:before="245" w:line="18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57</w:t>
            </w:r>
          </w:p>
        </w:tc>
      </w:tr>
      <w:tr>
        <w:trPr>
          <w:trHeight w:val="715" w:hRule="atLeast"/>
        </w:trPr>
        <w:tc>
          <w:tcPr>
            <w:tcW w:w="1215" w:type="dxa"/>
            <w:vAlign w:val="top"/>
          </w:tcPr>
          <w:p>
            <w:pPr>
              <w:ind w:left="56"/>
              <w:spacing w:before="220"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55" w:type="dxa"/>
            <w:vAlign w:val="top"/>
            <w:gridSpan w:val="4"/>
          </w:tcPr>
          <w:p>
            <w:pPr>
              <w:ind w:left="30" w:right="39" w:hanging="5"/>
              <w:spacing w:before="8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从事服装干洗和机动车维修等服务活动，未设置异味和废气处理装置</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等污染防治设施并保持正常使用，影响周边环境的</w:t>
            </w:r>
          </w:p>
        </w:tc>
      </w:tr>
      <w:tr>
        <w:trPr>
          <w:trHeight w:val="3184" w:hRule="atLeast"/>
        </w:trPr>
        <w:tc>
          <w:tcPr>
            <w:tcW w:w="1215"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55"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7" w:right="15" w:firstLine="15"/>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第八十四条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从事服装干洗和机动车维修等服务活动</w:t>
            </w:r>
            <w:r>
              <w:rPr>
                <w:rFonts w:ascii="FangSong_GB2312" w:hAnsi="FangSong_GB2312" w:eastAsia="FangSong_GB2312" w:cs="FangSong_GB2312"/>
                <w:sz w:val="24"/>
                <w:szCs w:val="24"/>
                <w:spacing w:val="-5"/>
              </w:rPr>
              <w:t>的经营者，应当按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照国家有关标准或者要求设置异味和废气处理装置</w:t>
            </w:r>
            <w:r>
              <w:rPr>
                <w:rFonts w:ascii="FangSong_GB2312" w:hAnsi="FangSong_GB2312" w:eastAsia="FangSong_GB2312" w:cs="FangSong_GB2312"/>
                <w:sz w:val="24"/>
                <w:szCs w:val="24"/>
                <w:spacing w:val="-1"/>
              </w:rPr>
              <w:t>等污染防治设施并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保持正常使用，防止影响周边环境。</w:t>
            </w:r>
          </w:p>
          <w:p>
            <w:pPr>
              <w:spacing w:line="274"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《中华人民共和国大气污染防治法》</w:t>
            </w:r>
          </w:p>
          <w:p>
            <w:pPr>
              <w:ind w:left="27" w:firstLine="4"/>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第一百二十条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违反本法规定，从事服装干洗和机动车维修等服务活</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动，未设置异味和废气处理装置等污染防治设施并保持正常使</w:t>
            </w:r>
            <w:r>
              <w:rPr>
                <w:rFonts w:ascii="FangSong_GB2312" w:hAnsi="FangSong_GB2312" w:eastAsia="FangSong_GB2312" w:cs="FangSong_GB2312"/>
                <w:sz w:val="24"/>
                <w:szCs w:val="24"/>
                <w:spacing w:val="-3"/>
              </w:rPr>
              <w:t>用，影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响周边环境的，由县级以上地方人民政府生态环境主管部门责令改</w:t>
            </w:r>
            <w:r>
              <w:rPr>
                <w:rFonts w:ascii="FangSong_GB2312" w:hAnsi="FangSong_GB2312" w:eastAsia="FangSong_GB2312" w:cs="FangSong_GB2312"/>
                <w:sz w:val="24"/>
                <w:szCs w:val="24"/>
                <w:spacing w:val="-8"/>
              </w:rPr>
              <w:t>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处二千元以上二万元以下的罚款；拒不改正的，责令停业整</w:t>
            </w:r>
            <w:r>
              <w:rPr>
                <w:rFonts w:ascii="FangSong_GB2312" w:hAnsi="FangSong_GB2312" w:eastAsia="FangSong_GB2312" w:cs="FangSong_GB2312"/>
                <w:sz w:val="24"/>
                <w:szCs w:val="24"/>
                <w:spacing w:val="-3"/>
              </w:rPr>
              <w:t>治。</w:t>
            </w:r>
          </w:p>
        </w:tc>
      </w:tr>
      <w:tr>
        <w:trPr>
          <w:trHeight w:val="635" w:hRule="atLeast"/>
        </w:trPr>
        <w:tc>
          <w:tcPr>
            <w:tcW w:w="4068" w:type="dxa"/>
            <w:vAlign w:val="top"/>
            <w:gridSpan w:val="3"/>
          </w:tcPr>
          <w:p>
            <w:pPr>
              <w:ind w:left="148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2" w:type="dxa"/>
            <w:vAlign w:val="top"/>
            <w:gridSpan w:val="2"/>
          </w:tcPr>
          <w:p>
            <w:pPr>
              <w:ind w:left="1659"/>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25" w:type="dxa"/>
            <w:vAlign w:val="top"/>
          </w:tcPr>
          <w:p>
            <w:pPr>
              <w:ind w:left="48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28" w:type="dxa"/>
            <w:vAlign w:val="top"/>
          </w:tcPr>
          <w:p>
            <w:pPr>
              <w:ind w:left="331" w:right="29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01" w:type="dxa"/>
            <w:vAlign w:val="top"/>
          </w:tcPr>
          <w:p>
            <w:pPr>
              <w:ind w:left="284"/>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215" w:type="dxa"/>
            <w:vAlign w:val="top"/>
            <w:vMerge w:val="restart"/>
            <w:tcBorders>
              <w:bottom w:val="nil"/>
            </w:tcBorders>
          </w:tcPr>
          <w:p>
            <w:pPr>
              <w:spacing w:line="436" w:lineRule="auto"/>
              <w:rPr>
                <w:rFonts w:ascii="Arial"/>
                <w:sz w:val="21"/>
              </w:rPr>
            </w:pPr>
            <w:r/>
          </w:p>
          <w:p>
            <w:pPr>
              <w:ind w:left="260" w:right="126" w:hanging="125"/>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25"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20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28"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34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1" w:right="211" w:firstLine="3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已设置异味和废气处理装置</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等污染防治设施，但不能保</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3"/>
              </w:rPr>
              <w:t>证正常使用的</w:t>
            </w:r>
          </w:p>
        </w:tc>
        <w:tc>
          <w:tcPr>
            <w:tcW w:w="1201" w:type="dxa"/>
            <w:vAlign w:val="top"/>
          </w:tcPr>
          <w:p>
            <w:pPr>
              <w:spacing w:line="277" w:lineRule="auto"/>
              <w:rPr>
                <w:rFonts w:ascii="Arial"/>
                <w:sz w:val="21"/>
              </w:rPr>
            </w:pPr>
            <w:r/>
          </w:p>
          <w:p>
            <w:pPr>
              <w:ind w:left="26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5" w:right="211" w:hanging="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未设置异味和废气处理装置</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等污染防治设施的</w:t>
            </w:r>
          </w:p>
        </w:tc>
        <w:tc>
          <w:tcPr>
            <w:tcW w:w="1201" w:type="dxa"/>
            <w:vAlign w:val="top"/>
          </w:tcPr>
          <w:p>
            <w:pPr>
              <w:ind w:left="19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215" w:type="dxa"/>
            <w:vAlign w:val="top"/>
            <w:vMerge w:val="restart"/>
            <w:tcBorders>
              <w:bottom w:val="nil"/>
            </w:tcBorders>
          </w:tcPr>
          <w:p>
            <w:pPr>
              <w:spacing w:line="449"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25" w:type="dxa"/>
            <w:vAlign w:val="top"/>
            <w:vMerge w:val="restart"/>
            <w:tcBorders>
              <w:bottom w:val="nil"/>
            </w:tcBorders>
          </w:tcPr>
          <w:p>
            <w:pPr>
              <w:spacing w:line="293" w:lineRule="auto"/>
              <w:rPr>
                <w:rFonts w:ascii="Arial"/>
                <w:sz w:val="21"/>
              </w:rPr>
            </w:pPr>
            <w:r/>
          </w:p>
          <w:p>
            <w:pPr>
              <w:ind w:left="803" w:right="191"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28" w:type="dxa"/>
            <w:vAlign w:val="top"/>
            <w:vMerge w:val="restart"/>
            <w:tcBorders>
              <w:bottom w:val="nil"/>
            </w:tcBorders>
          </w:tcPr>
          <w:p>
            <w:pPr>
              <w:spacing w:line="449" w:lineRule="auto"/>
              <w:rPr>
                <w:rFonts w:ascii="Arial"/>
                <w:sz w:val="21"/>
              </w:rPr>
            </w:pPr>
            <w:r/>
          </w:p>
          <w:p>
            <w:pPr>
              <w:ind w:left="34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01" w:type="dxa"/>
            <w:vAlign w:val="top"/>
          </w:tcPr>
          <w:p>
            <w:pPr>
              <w:ind w:left="49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01" w:type="dxa"/>
            <w:vAlign w:val="top"/>
          </w:tcPr>
          <w:p>
            <w:pPr>
              <w:ind w:left="44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01" w:type="dxa"/>
            <w:vAlign w:val="top"/>
          </w:tcPr>
          <w:p>
            <w:pPr>
              <w:ind w:left="44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01" w:type="dxa"/>
            <w:vAlign w:val="top"/>
          </w:tcPr>
          <w:p>
            <w:pPr>
              <w:ind w:left="43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5"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25" w:type="dxa"/>
            <w:vAlign w:val="top"/>
            <w:vMerge w:val="restart"/>
            <w:tcBorders>
              <w:bottom w:val="nil"/>
            </w:tcBorders>
          </w:tcPr>
          <w:p>
            <w:pPr>
              <w:spacing w:line="445" w:lineRule="auto"/>
              <w:rPr>
                <w:rFonts w:ascii="Arial"/>
                <w:sz w:val="21"/>
              </w:rPr>
            </w:pPr>
            <w:r/>
          </w:p>
          <w:p>
            <w:pPr>
              <w:ind w:left="19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28" w:type="dxa"/>
            <w:vAlign w:val="top"/>
            <w:vMerge w:val="restart"/>
            <w:tcBorders>
              <w:bottom w:val="nil"/>
            </w:tcBorders>
          </w:tcPr>
          <w:p>
            <w:pPr>
              <w:spacing w:line="445" w:lineRule="auto"/>
              <w:rPr>
                <w:rFonts w:ascii="Arial"/>
                <w:sz w:val="21"/>
              </w:rPr>
            </w:pPr>
            <w:r/>
          </w:p>
          <w:p>
            <w:pPr>
              <w:ind w:left="3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01" w:type="dxa"/>
            <w:vAlign w:val="top"/>
          </w:tcPr>
          <w:p>
            <w:pPr>
              <w:ind w:left="5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01" w:type="dxa"/>
            <w:vAlign w:val="top"/>
          </w:tcPr>
          <w:p>
            <w:pPr>
              <w:ind w:left="32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01" w:type="dxa"/>
            <w:vAlign w:val="top"/>
          </w:tcPr>
          <w:p>
            <w:pPr>
              <w:ind w:left="25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15" w:type="dxa"/>
            <w:vAlign w:val="top"/>
            <w:vMerge w:val="restart"/>
            <w:tcBorders>
              <w:bottom w:val="nil"/>
            </w:tcBorders>
          </w:tcPr>
          <w:p>
            <w:pPr>
              <w:ind w:left="133" w:right="126"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25" w:type="dxa"/>
            <w:vAlign w:val="top"/>
            <w:vMerge w:val="restart"/>
            <w:tcBorders>
              <w:bottom w:val="nil"/>
            </w:tcBorders>
          </w:tcPr>
          <w:p>
            <w:pPr>
              <w:ind w:left="673" w:right="191"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28" w:type="dxa"/>
            <w:vAlign w:val="top"/>
            <w:vMerge w:val="restart"/>
            <w:tcBorders>
              <w:bottom w:val="nil"/>
            </w:tcBorders>
          </w:tcPr>
          <w:p>
            <w:pPr>
              <w:ind w:left="355"/>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01" w:type="dxa"/>
            <w:vAlign w:val="top"/>
          </w:tcPr>
          <w:p>
            <w:pPr>
              <w:ind w:left="26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01" w:type="dxa"/>
            <w:vAlign w:val="top"/>
          </w:tcPr>
          <w:p>
            <w:pPr>
              <w:ind w:left="5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09" w:hRule="atLeast"/>
        </w:trPr>
        <w:tc>
          <w:tcPr>
            <w:tcW w:w="1215" w:type="dxa"/>
            <w:vAlign w:val="top"/>
            <w:vMerge w:val="restart"/>
            <w:tcBorders>
              <w:bottom w:val="nil"/>
            </w:tcBorders>
          </w:tcPr>
          <w:p>
            <w:pPr>
              <w:ind w:left="126" w:right="126" w:firstLine="9"/>
              <w:spacing w:before="144"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25" w:type="dxa"/>
            <w:vAlign w:val="top"/>
            <w:vMerge w:val="restart"/>
            <w:tcBorders>
              <w:bottom w:val="nil"/>
            </w:tcBorders>
          </w:tcPr>
          <w:p>
            <w:pPr>
              <w:ind w:left="193"/>
              <w:spacing w:before="1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0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05"/>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1028" w:type="dxa"/>
            <w:vAlign w:val="top"/>
            <w:vMerge w:val="restart"/>
            <w:tcBorders>
              <w:bottom w:val="nil"/>
            </w:tcBorders>
          </w:tcPr>
          <w:p>
            <w:pPr>
              <w:spacing w:line="377" w:lineRule="auto"/>
              <w:rPr>
                <w:rFonts w:ascii="Arial"/>
                <w:sz w:val="21"/>
              </w:rPr>
            </w:pPr>
            <w:r/>
          </w:p>
          <w:p>
            <w:pPr>
              <w:ind w:left="34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01" w:type="dxa"/>
            <w:vAlign w:val="top"/>
          </w:tcPr>
          <w:p>
            <w:pPr>
              <w:ind w:left="252"/>
              <w:spacing w:before="1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34" w:right="211"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01" w:type="dxa"/>
            <w:vAlign w:val="top"/>
          </w:tcPr>
          <w:p>
            <w:pPr>
              <w:ind w:left="50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6"/>
          <w:pgSz w:w="11905" w:h="16839"/>
          <w:pgMar w:top="1431" w:right="1715" w:bottom="1156" w:left="1714" w:header="0" w:footer="994" w:gutter="0"/>
        </w:sectPr>
        <w:rPr/>
      </w:pPr>
    </w:p>
    <w:p>
      <w:pPr>
        <w:spacing w:before="92"/>
        <w:rPr/>
      </w:pPr>
      <w:r/>
    </w:p>
    <w:p>
      <w:pPr>
        <w:spacing w:before="91"/>
        <w:rPr/>
      </w:pPr>
      <w:r/>
    </w:p>
    <w:tbl>
      <w:tblPr>
        <w:tblStyle w:val="TableNormal"/>
        <w:tblW w:w="84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825"/>
        <w:gridCol w:w="1028"/>
        <w:gridCol w:w="3201"/>
        <w:gridCol w:w="1201"/>
      </w:tblGrid>
      <w:tr>
        <w:trPr>
          <w:trHeight w:val="752" w:hRule="atLeast"/>
        </w:trPr>
        <w:tc>
          <w:tcPr>
            <w:tcW w:w="8470" w:type="dxa"/>
            <w:vAlign w:val="top"/>
            <w:gridSpan w:val="5"/>
          </w:tcPr>
          <w:p>
            <w:pPr>
              <w:ind w:left="233"/>
              <w:spacing w:before="134" w:line="230"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15" w:type="dxa"/>
            <w:vAlign w:val="top"/>
          </w:tcPr>
          <w:p>
            <w:pPr>
              <w:ind w:left="331"/>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55" w:type="dxa"/>
            <w:vAlign w:val="top"/>
            <w:gridSpan w:val="4"/>
          </w:tcPr>
          <w:p>
            <w:pPr>
              <w:ind w:left="3524"/>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58</w:t>
            </w:r>
          </w:p>
        </w:tc>
      </w:tr>
      <w:tr>
        <w:trPr>
          <w:trHeight w:val="715" w:hRule="atLeast"/>
        </w:trPr>
        <w:tc>
          <w:tcPr>
            <w:tcW w:w="1215" w:type="dxa"/>
            <w:vAlign w:val="top"/>
          </w:tcPr>
          <w:p>
            <w:pPr>
              <w:ind w:left="56"/>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55" w:type="dxa"/>
            <w:vAlign w:val="top"/>
            <w:gridSpan w:val="4"/>
          </w:tcPr>
          <w:p>
            <w:pPr>
              <w:ind w:left="22"/>
              <w:spacing w:before="2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造成大气污染事故的</w:t>
            </w:r>
          </w:p>
        </w:tc>
      </w:tr>
      <w:tr>
        <w:trPr>
          <w:trHeight w:val="2554" w:hRule="atLeast"/>
        </w:trPr>
        <w:tc>
          <w:tcPr>
            <w:tcW w:w="1215"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55"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22" w:right="15" w:firstLine="9"/>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第一百二十二条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违反本法规定，造成大气污染事故的，由县级以上人</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民政府生态环境主管部门依照本条第二款的规定处以罚款；对直接负</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责的主管人员和其他直接责任人员可以处上一年度从本企业事业单位</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取得收入百分之五十以下的罚款。</w:t>
            </w:r>
          </w:p>
          <w:p>
            <w:pPr>
              <w:ind w:left="20" w:right="39" w:firstLine="3"/>
              <w:spacing w:before="34"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对造成一般或者较大大气污染事故的，按照污染事故造成直接损失的</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一倍以上三倍以下计算罚款；对造成重大或者特大大气污染事故的，</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按照污染事故造成的直接损失的三倍以上五倍以下计算罚款。</w:t>
            </w:r>
          </w:p>
        </w:tc>
      </w:tr>
      <w:tr>
        <w:trPr>
          <w:trHeight w:val="634" w:hRule="atLeast"/>
        </w:trPr>
        <w:tc>
          <w:tcPr>
            <w:tcW w:w="4068" w:type="dxa"/>
            <w:vAlign w:val="top"/>
            <w:gridSpan w:val="3"/>
          </w:tcPr>
          <w:p>
            <w:pPr>
              <w:ind w:left="148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2" w:type="dxa"/>
            <w:vAlign w:val="top"/>
            <w:gridSpan w:val="2"/>
          </w:tcPr>
          <w:p>
            <w:pPr>
              <w:ind w:left="1659"/>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15" w:type="dxa"/>
            <w:vAlign w:val="top"/>
          </w:tcPr>
          <w:p>
            <w:pPr>
              <w:ind w:left="380"/>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25" w:type="dxa"/>
            <w:vAlign w:val="top"/>
          </w:tcPr>
          <w:p>
            <w:pPr>
              <w:ind w:left="482"/>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28" w:type="dxa"/>
            <w:vAlign w:val="top"/>
          </w:tcPr>
          <w:p>
            <w:pPr>
              <w:ind w:left="331" w:right="29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01" w:type="dxa"/>
            <w:vAlign w:val="top"/>
          </w:tcPr>
          <w:p>
            <w:pPr>
              <w:ind w:left="284"/>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92" w:hRule="atLeast"/>
        </w:trPr>
        <w:tc>
          <w:tcPr>
            <w:tcW w:w="1215"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ind w:left="260" w:right="126"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2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0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28"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35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60%</w:t>
            </w:r>
          </w:p>
        </w:tc>
        <w:tc>
          <w:tcPr>
            <w:tcW w:w="3201" w:type="dxa"/>
            <w:vAlign w:val="top"/>
          </w:tcPr>
          <w:p>
            <w:pPr>
              <w:ind w:left="117"/>
              <w:spacing w:before="12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造成一般大气污染事故的</w:t>
            </w:r>
          </w:p>
        </w:tc>
        <w:tc>
          <w:tcPr>
            <w:tcW w:w="1201" w:type="dxa"/>
            <w:vAlign w:val="top"/>
          </w:tcPr>
          <w:p>
            <w:pPr>
              <w:ind w:left="261"/>
              <w:spacing w:before="13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7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17"/>
              <w:spacing w:before="11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造成较大大气污染事故的</w:t>
            </w:r>
          </w:p>
        </w:tc>
        <w:tc>
          <w:tcPr>
            <w:tcW w:w="1201" w:type="dxa"/>
            <w:vAlign w:val="top"/>
          </w:tcPr>
          <w:p>
            <w:pPr>
              <w:ind w:left="196"/>
              <w:spacing w:before="11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7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17"/>
              <w:spacing w:before="11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造成重大大气污染事故的</w:t>
            </w:r>
          </w:p>
        </w:tc>
        <w:tc>
          <w:tcPr>
            <w:tcW w:w="1201" w:type="dxa"/>
            <w:vAlign w:val="top"/>
          </w:tcPr>
          <w:p>
            <w:pPr>
              <w:ind w:left="205"/>
              <w:spacing w:before="11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47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17"/>
              <w:spacing w:before="11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造成特大大气污染事故的</w:t>
            </w:r>
          </w:p>
        </w:tc>
        <w:tc>
          <w:tcPr>
            <w:tcW w:w="1201" w:type="dxa"/>
            <w:vAlign w:val="top"/>
          </w:tcPr>
          <w:p>
            <w:pPr>
              <w:ind w:left="195"/>
              <w:spacing w:before="11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41%-60%</w:t>
            </w:r>
          </w:p>
        </w:tc>
      </w:tr>
      <w:tr>
        <w:trPr>
          <w:trHeight w:val="320" w:hRule="atLeast"/>
        </w:trPr>
        <w:tc>
          <w:tcPr>
            <w:tcW w:w="1215" w:type="dxa"/>
            <w:vAlign w:val="top"/>
            <w:vMerge w:val="restart"/>
            <w:tcBorders>
              <w:bottom w:val="nil"/>
            </w:tcBorders>
          </w:tcPr>
          <w:p>
            <w:pPr>
              <w:spacing w:line="450"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25" w:type="dxa"/>
            <w:vAlign w:val="top"/>
            <w:vMerge w:val="restart"/>
            <w:tcBorders>
              <w:bottom w:val="nil"/>
            </w:tcBorders>
          </w:tcPr>
          <w:p>
            <w:pPr>
              <w:spacing w:line="292" w:lineRule="auto"/>
              <w:rPr>
                <w:rFonts w:ascii="Arial"/>
                <w:sz w:val="21"/>
              </w:rPr>
            </w:pPr>
            <w:r/>
          </w:p>
          <w:p>
            <w:pPr>
              <w:ind w:left="803" w:right="191"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28" w:type="dxa"/>
            <w:vAlign w:val="top"/>
            <w:vMerge w:val="restart"/>
            <w:tcBorders>
              <w:bottom w:val="nil"/>
            </w:tcBorders>
          </w:tcPr>
          <w:p>
            <w:pPr>
              <w:spacing w:line="450" w:lineRule="auto"/>
              <w:rPr>
                <w:rFonts w:ascii="Arial"/>
                <w:sz w:val="21"/>
              </w:rPr>
            </w:pPr>
            <w:r/>
          </w:p>
          <w:p>
            <w:pPr>
              <w:ind w:left="34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01" w:type="dxa"/>
            <w:vAlign w:val="top"/>
          </w:tcPr>
          <w:p>
            <w:pPr>
              <w:ind w:left="49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01" w:type="dxa"/>
            <w:vAlign w:val="top"/>
          </w:tcPr>
          <w:p>
            <w:pPr>
              <w:ind w:left="44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01" w:type="dxa"/>
            <w:vAlign w:val="top"/>
          </w:tcPr>
          <w:p>
            <w:pPr>
              <w:ind w:left="44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3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01" w:type="dxa"/>
            <w:vAlign w:val="top"/>
          </w:tcPr>
          <w:p>
            <w:pPr>
              <w:ind w:left="43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5" w:type="dxa"/>
            <w:vAlign w:val="top"/>
            <w:vMerge w:val="restart"/>
            <w:tcBorders>
              <w:bottom w:val="nil"/>
            </w:tcBorders>
          </w:tcPr>
          <w:p>
            <w:pPr>
              <w:spacing w:line="444"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25" w:type="dxa"/>
            <w:vAlign w:val="top"/>
            <w:vMerge w:val="restart"/>
            <w:tcBorders>
              <w:bottom w:val="nil"/>
            </w:tcBorders>
          </w:tcPr>
          <w:p>
            <w:pPr>
              <w:spacing w:line="444" w:lineRule="auto"/>
              <w:rPr>
                <w:rFonts w:ascii="Arial"/>
                <w:sz w:val="21"/>
              </w:rPr>
            </w:pPr>
            <w:r/>
          </w:p>
          <w:p>
            <w:pPr>
              <w:ind w:left="19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28" w:type="dxa"/>
            <w:vAlign w:val="top"/>
            <w:vMerge w:val="restart"/>
            <w:tcBorders>
              <w:bottom w:val="nil"/>
            </w:tcBorders>
          </w:tcPr>
          <w:p>
            <w:pPr>
              <w:spacing w:line="444" w:lineRule="auto"/>
              <w:rPr>
                <w:rFonts w:ascii="Arial"/>
                <w:sz w:val="21"/>
              </w:rPr>
            </w:pPr>
            <w:r/>
          </w:p>
          <w:p>
            <w:pPr>
              <w:ind w:left="3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01" w:type="dxa"/>
            <w:vAlign w:val="top"/>
          </w:tcPr>
          <w:p>
            <w:pPr>
              <w:ind w:left="5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15" w:type="dxa"/>
            <w:vAlign w:val="top"/>
            <w:vMerge w:val="continue"/>
            <w:tcBorders>
              <w:top w:val="nil"/>
              <w:bottom w:val="nil"/>
            </w:tcBorders>
          </w:tcPr>
          <w:p>
            <w:pPr>
              <w:rPr>
                <w:rFonts w:ascii="Arial"/>
                <w:sz w:val="21"/>
              </w:rPr>
            </w:pPr>
            <w:r/>
          </w:p>
        </w:tc>
        <w:tc>
          <w:tcPr>
            <w:tcW w:w="1825" w:type="dxa"/>
            <w:vAlign w:val="top"/>
            <w:vMerge w:val="continue"/>
            <w:tcBorders>
              <w:top w:val="nil"/>
              <w:bottom w:val="nil"/>
            </w:tcBorders>
          </w:tcPr>
          <w:p>
            <w:pPr>
              <w:rPr>
                <w:rFonts w:ascii="Arial"/>
                <w:sz w:val="21"/>
              </w:rPr>
            </w:pPr>
            <w:r/>
          </w:p>
        </w:tc>
        <w:tc>
          <w:tcPr>
            <w:tcW w:w="1028"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01" w:type="dxa"/>
            <w:vAlign w:val="top"/>
          </w:tcPr>
          <w:p>
            <w:pPr>
              <w:ind w:left="32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01" w:type="dxa"/>
            <w:vAlign w:val="top"/>
          </w:tcPr>
          <w:p>
            <w:pPr>
              <w:ind w:left="25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5" w:hRule="atLeast"/>
        </w:trPr>
        <w:tc>
          <w:tcPr>
            <w:tcW w:w="1215" w:type="dxa"/>
            <w:vAlign w:val="top"/>
            <w:vMerge w:val="restart"/>
            <w:tcBorders>
              <w:bottom w:val="nil"/>
            </w:tcBorders>
          </w:tcPr>
          <w:p>
            <w:pPr>
              <w:ind w:left="133" w:right="126" w:firstLine="7"/>
              <w:spacing w:before="10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25" w:type="dxa"/>
            <w:vAlign w:val="top"/>
            <w:vMerge w:val="restart"/>
            <w:tcBorders>
              <w:bottom w:val="nil"/>
            </w:tcBorders>
          </w:tcPr>
          <w:p>
            <w:pPr>
              <w:ind w:left="673" w:right="191" w:hanging="480"/>
              <w:spacing w:before="10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28" w:type="dxa"/>
            <w:vAlign w:val="top"/>
            <w:vMerge w:val="restart"/>
            <w:tcBorders>
              <w:bottom w:val="nil"/>
            </w:tcBorders>
          </w:tcPr>
          <w:p>
            <w:pPr>
              <w:ind w:left="355"/>
              <w:spacing w:before="26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6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01" w:type="dxa"/>
            <w:vAlign w:val="top"/>
          </w:tcPr>
          <w:p>
            <w:pPr>
              <w:ind w:left="261"/>
              <w:spacing w:before="60"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5" w:hRule="atLeast"/>
        </w:trPr>
        <w:tc>
          <w:tcPr>
            <w:tcW w:w="1215"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028" w:type="dxa"/>
            <w:vAlign w:val="top"/>
            <w:vMerge w:val="continue"/>
            <w:tcBorders>
              <w:top w:val="nil"/>
            </w:tcBorders>
          </w:tcPr>
          <w:p>
            <w:pPr>
              <w:rPr>
                <w:rFonts w:ascii="Arial"/>
                <w:sz w:val="21"/>
              </w:rPr>
            </w:pPr>
            <w:r/>
          </w:p>
        </w:tc>
        <w:tc>
          <w:tcPr>
            <w:tcW w:w="3201" w:type="dxa"/>
            <w:vAlign w:val="top"/>
          </w:tcPr>
          <w:p>
            <w:pPr>
              <w:ind w:left="124"/>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01" w:type="dxa"/>
            <w:vAlign w:val="top"/>
          </w:tcPr>
          <w:p>
            <w:pPr>
              <w:ind w:left="503"/>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7"/>
          <w:pgSz w:w="11905" w:h="16839"/>
          <w:pgMar w:top="1431" w:right="1715" w:bottom="1156" w:left="1714" w:header="0" w:footer="994" w:gutter="0"/>
        </w:sectPr>
        <w:rPr/>
      </w:pPr>
    </w:p>
    <w:p>
      <w:pPr>
        <w:spacing w:before="18"/>
        <w:rPr/>
      </w:pPr>
      <w:r/>
    </w:p>
    <w:p>
      <w:pPr>
        <w:spacing w:before="18"/>
        <w:rPr/>
      </w:pPr>
      <w:r/>
    </w:p>
    <w:p>
      <w:pPr>
        <w:spacing w:before="18"/>
        <w:rPr/>
      </w:pPr>
      <w:r/>
    </w:p>
    <w:p>
      <w:pPr>
        <w:spacing w:before="18"/>
        <w:rPr/>
      </w:pPr>
      <w:r/>
    </w:p>
    <w:p>
      <w:pPr>
        <w:spacing w:before="17"/>
        <w:rPr/>
      </w:pPr>
      <w:r/>
    </w:p>
    <w:p>
      <w:pPr>
        <w:spacing w:before="17"/>
        <w:rPr/>
      </w:pPr>
      <w:r/>
    </w:p>
    <w:tbl>
      <w:tblPr>
        <w:tblStyle w:val="TableNormal"/>
        <w:tblW w:w="84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3"/>
        <w:gridCol w:w="1889"/>
        <w:gridCol w:w="792"/>
        <w:gridCol w:w="3466"/>
        <w:gridCol w:w="1144"/>
      </w:tblGrid>
      <w:tr>
        <w:trPr>
          <w:trHeight w:val="720" w:hRule="atLeast"/>
        </w:trPr>
        <w:tc>
          <w:tcPr>
            <w:tcW w:w="8494" w:type="dxa"/>
            <w:vAlign w:val="top"/>
            <w:gridSpan w:val="5"/>
          </w:tcPr>
          <w:p>
            <w:pPr>
              <w:ind w:left="246"/>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203" w:type="dxa"/>
            <w:vAlign w:val="top"/>
          </w:tcPr>
          <w:p>
            <w:pPr>
              <w:ind w:left="325"/>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91" w:type="dxa"/>
            <w:vAlign w:val="top"/>
            <w:gridSpan w:val="4"/>
          </w:tcPr>
          <w:p>
            <w:pPr>
              <w:ind w:left="3541"/>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59</w:t>
            </w:r>
          </w:p>
        </w:tc>
      </w:tr>
      <w:tr>
        <w:trPr>
          <w:trHeight w:val="715" w:hRule="atLeast"/>
        </w:trPr>
        <w:tc>
          <w:tcPr>
            <w:tcW w:w="1203" w:type="dxa"/>
            <w:vAlign w:val="top"/>
          </w:tcPr>
          <w:p>
            <w:pPr>
              <w:ind w:left="50"/>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91" w:type="dxa"/>
            <w:vAlign w:val="top"/>
            <w:gridSpan w:val="4"/>
          </w:tcPr>
          <w:p>
            <w:pPr>
              <w:ind w:left="16" w:right="74" w:firstLine="14"/>
              <w:spacing w:before="7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重点用车单位注册车辆二十辆以上，注册车辆年度排放检验不合格比</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例超过百分之十的</w:t>
            </w:r>
          </w:p>
        </w:tc>
      </w:tr>
      <w:tr>
        <w:trPr>
          <w:trHeight w:val="2121" w:hRule="atLeast"/>
        </w:trPr>
        <w:tc>
          <w:tcPr>
            <w:tcW w:w="1203"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57"/>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91" w:type="dxa"/>
            <w:vAlign w:val="top"/>
            <w:gridSpan w:val="4"/>
          </w:tcPr>
          <w:p>
            <w:pPr>
              <w:ind w:left="35"/>
              <w:spacing w:before="1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《河北省机动车和非道路移动机械排放污染防治条例》</w:t>
            </w:r>
          </w:p>
          <w:p>
            <w:pPr>
              <w:ind w:left="29" w:right="14" w:firstLine="2"/>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违反本条例规定，重点用车单位有下列情形</w:t>
            </w:r>
            <w:r>
              <w:rPr>
                <w:rFonts w:ascii="FangSong_GB2312" w:hAnsi="FangSong_GB2312" w:eastAsia="FangSong_GB2312" w:cs="FangSong_GB2312"/>
                <w:sz w:val="24"/>
                <w:szCs w:val="24"/>
                <w:spacing w:val="-2"/>
              </w:rPr>
              <w:t>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的，由生态环境主管部门责令改正，处一万元以上三万元以下的罚款;</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情节严重的，处三万元以上五万元以下的罚款：</w:t>
            </w:r>
          </w:p>
          <w:p>
            <w:pPr>
              <w:ind w:left="19" w:right="74" w:hanging="3"/>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（一）本单位注册车辆二十辆以上，在一个自然年内经</w:t>
            </w:r>
            <w:r>
              <w:rPr>
                <w:rFonts w:ascii="FangSong_GB2312" w:hAnsi="FangSong_GB2312" w:eastAsia="FangSong_GB2312" w:cs="FangSong_GB2312"/>
                <w:sz w:val="24"/>
                <w:szCs w:val="24"/>
                <w:spacing w:val="-1"/>
              </w:rPr>
              <w:t>排放检验不合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格的车辆数量超过注册车辆数量百分之十的；</w:t>
            </w:r>
          </w:p>
        </w:tc>
      </w:tr>
      <w:tr>
        <w:trPr>
          <w:trHeight w:val="635" w:hRule="atLeast"/>
        </w:trPr>
        <w:tc>
          <w:tcPr>
            <w:tcW w:w="3884" w:type="dxa"/>
            <w:vAlign w:val="top"/>
            <w:gridSpan w:val="3"/>
          </w:tcPr>
          <w:p>
            <w:pPr>
              <w:ind w:left="139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610" w:type="dxa"/>
            <w:vAlign w:val="top"/>
            <w:gridSpan w:val="2"/>
          </w:tcPr>
          <w:p>
            <w:pPr>
              <w:ind w:left="176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203" w:type="dxa"/>
            <w:vAlign w:val="top"/>
          </w:tcPr>
          <w:p>
            <w:pPr>
              <w:ind w:left="374"/>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66" w:type="dxa"/>
            <w:vAlign w:val="top"/>
          </w:tcPr>
          <w:p>
            <w:pPr>
              <w:ind w:left="1522"/>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4" w:type="dxa"/>
            <w:vAlign w:val="top"/>
          </w:tcPr>
          <w:p>
            <w:pPr>
              <w:ind w:left="256"/>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203"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ind w:left="253" w:right="118"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2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70%</w:t>
            </w:r>
          </w:p>
        </w:tc>
        <w:tc>
          <w:tcPr>
            <w:tcW w:w="3466" w:type="dxa"/>
            <w:vAlign w:val="top"/>
          </w:tcPr>
          <w:p>
            <w:pPr>
              <w:ind w:left="115" w:right="236"/>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排放检验不合格车辆数超过注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册车辆</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4"/>
              </w:rPr>
              <w:t>10%-20%</w:t>
            </w:r>
          </w:p>
        </w:tc>
        <w:tc>
          <w:tcPr>
            <w:tcW w:w="1144" w:type="dxa"/>
            <w:vAlign w:val="top"/>
          </w:tcPr>
          <w:p>
            <w:pPr>
              <w:ind w:left="234"/>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203"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466" w:type="dxa"/>
            <w:vAlign w:val="top"/>
          </w:tcPr>
          <w:p>
            <w:pPr>
              <w:ind w:left="115" w:right="236"/>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排放检验不合格车辆数超过注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册车辆</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3"/>
              </w:rPr>
              <w:t>20%-30%</w:t>
            </w:r>
          </w:p>
        </w:tc>
        <w:tc>
          <w:tcPr>
            <w:tcW w:w="1144" w:type="dxa"/>
            <w:vAlign w:val="top"/>
          </w:tcPr>
          <w:p>
            <w:pPr>
              <w:ind w:left="17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634" w:hRule="atLeast"/>
        </w:trPr>
        <w:tc>
          <w:tcPr>
            <w:tcW w:w="1203"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466" w:type="dxa"/>
            <w:vAlign w:val="top"/>
          </w:tcPr>
          <w:p>
            <w:pPr>
              <w:ind w:left="115" w:right="236"/>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排放检验不合格车辆数超过注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册车辆</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3"/>
              </w:rPr>
              <w:t>30%-40%，情节较重的</w:t>
            </w:r>
          </w:p>
        </w:tc>
        <w:tc>
          <w:tcPr>
            <w:tcW w:w="1144" w:type="dxa"/>
            <w:vAlign w:val="top"/>
          </w:tcPr>
          <w:p>
            <w:pPr>
              <w:ind w:left="177"/>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635" w:hRule="atLeast"/>
        </w:trPr>
        <w:tc>
          <w:tcPr>
            <w:tcW w:w="1203"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466" w:type="dxa"/>
            <w:vAlign w:val="top"/>
          </w:tcPr>
          <w:p>
            <w:pPr>
              <w:ind w:left="115" w:right="10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排放检验不合格车辆数超过注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册车辆</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6"/>
              </w:rPr>
              <w:t>40%及以上，情节严重的</w:t>
            </w:r>
          </w:p>
        </w:tc>
        <w:tc>
          <w:tcPr>
            <w:tcW w:w="1144" w:type="dxa"/>
            <w:vAlign w:val="top"/>
          </w:tcPr>
          <w:p>
            <w:pPr>
              <w:ind w:left="17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51%-70%</w:t>
            </w:r>
          </w:p>
        </w:tc>
      </w:tr>
      <w:tr>
        <w:trPr>
          <w:trHeight w:val="320" w:hRule="atLeast"/>
        </w:trPr>
        <w:tc>
          <w:tcPr>
            <w:tcW w:w="1203" w:type="dxa"/>
            <w:vAlign w:val="top"/>
            <w:vMerge w:val="restart"/>
            <w:tcBorders>
              <w:bottom w:val="nil"/>
            </w:tcBorders>
          </w:tcPr>
          <w:p>
            <w:pPr>
              <w:spacing w:line="444" w:lineRule="auto"/>
              <w:rPr>
                <w:rFonts w:ascii="Arial"/>
                <w:sz w:val="21"/>
              </w:rPr>
            </w:pPr>
            <w:r/>
          </w:p>
          <w:p>
            <w:pPr>
              <w:ind w:left="13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30"/>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4"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66"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4" w:type="dxa"/>
            <w:vAlign w:val="top"/>
          </w:tcPr>
          <w:p>
            <w:pPr>
              <w:ind w:left="47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203"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466" w:type="dxa"/>
            <w:vAlign w:val="top"/>
          </w:tcPr>
          <w:p>
            <w:pPr>
              <w:ind w:left="129" w:right="236"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144" w:type="dxa"/>
            <w:vAlign w:val="top"/>
          </w:tcPr>
          <w:p>
            <w:pPr>
              <w:ind w:left="29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203"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466"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4"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203" w:type="dxa"/>
            <w:vAlign w:val="top"/>
            <w:vMerge w:val="restart"/>
            <w:tcBorders>
              <w:bottom w:val="nil"/>
            </w:tcBorders>
          </w:tcPr>
          <w:p>
            <w:pPr>
              <w:ind w:left="129" w:right="118"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4"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66" w:type="dxa"/>
            <w:vAlign w:val="top"/>
          </w:tcPr>
          <w:p>
            <w:pPr>
              <w:ind w:left="1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4" w:type="dxa"/>
            <w:vAlign w:val="top"/>
          </w:tcPr>
          <w:p>
            <w:pPr>
              <w:ind w:left="23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03"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466"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4" w:type="dxa"/>
            <w:vAlign w:val="top"/>
          </w:tcPr>
          <w:p>
            <w:pPr>
              <w:ind w:left="47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7" w:hRule="atLeast"/>
        </w:trPr>
        <w:tc>
          <w:tcPr>
            <w:tcW w:w="1203" w:type="dxa"/>
            <w:vAlign w:val="top"/>
            <w:vMerge w:val="restart"/>
            <w:tcBorders>
              <w:bottom w:val="nil"/>
            </w:tcBorders>
          </w:tcPr>
          <w:p>
            <w:pPr>
              <w:ind w:left="122" w:right="118" w:firstLine="9"/>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5"/>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79"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66" w:type="dxa"/>
            <w:vAlign w:val="top"/>
          </w:tcPr>
          <w:p>
            <w:pPr>
              <w:ind w:left="116"/>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4" w:type="dxa"/>
            <w:vAlign w:val="top"/>
          </w:tcPr>
          <w:p>
            <w:pPr>
              <w:ind w:left="251"/>
              <w:spacing w:before="8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552" w:hRule="atLeast"/>
        </w:trPr>
        <w:tc>
          <w:tcPr>
            <w:tcW w:w="1203"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466" w:type="dxa"/>
            <w:vAlign w:val="top"/>
          </w:tcPr>
          <w:p>
            <w:pPr>
              <w:ind w:left="113"/>
              <w:spacing w:before="15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未造成社会影响或生态破坏的</w:t>
            </w:r>
          </w:p>
        </w:tc>
        <w:tc>
          <w:tcPr>
            <w:tcW w:w="1144" w:type="dxa"/>
            <w:vAlign w:val="top"/>
          </w:tcPr>
          <w:p>
            <w:pPr>
              <w:ind w:left="475"/>
              <w:spacing w:before="15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8"/>
          <w:pgSz w:w="11905" w:h="16839"/>
          <w:pgMar w:top="1431" w:right="1694" w:bottom="1156" w:left="171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2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201"/>
        <w:gridCol w:w="1151"/>
      </w:tblGrid>
      <w:tr>
        <w:trPr>
          <w:trHeight w:val="720" w:hRule="atLeast"/>
        </w:trPr>
        <w:tc>
          <w:tcPr>
            <w:tcW w:w="8420" w:type="dxa"/>
            <w:vAlign w:val="top"/>
            <w:gridSpan w:val="5"/>
          </w:tcPr>
          <w:p>
            <w:pPr>
              <w:ind w:left="20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87" w:type="dxa"/>
            <w:vAlign w:val="top"/>
          </w:tcPr>
          <w:p>
            <w:pPr>
              <w:ind w:left="417"/>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33" w:type="dxa"/>
            <w:vAlign w:val="top"/>
            <w:gridSpan w:val="4"/>
          </w:tcPr>
          <w:p>
            <w:pPr>
              <w:ind w:left="3412"/>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60</w:t>
            </w:r>
          </w:p>
        </w:tc>
      </w:tr>
      <w:tr>
        <w:trPr>
          <w:trHeight w:val="715" w:hRule="atLeast"/>
        </w:trPr>
        <w:tc>
          <w:tcPr>
            <w:tcW w:w="1387" w:type="dxa"/>
            <w:vAlign w:val="top"/>
          </w:tcPr>
          <w:p>
            <w:pPr>
              <w:ind w:left="142"/>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33" w:type="dxa"/>
            <w:vAlign w:val="top"/>
            <w:gridSpan w:val="4"/>
          </w:tcPr>
          <w:p>
            <w:pPr>
              <w:ind w:left="29" w:right="57"/>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重点用车单位同一辆车因不符合排放标准在一个自然年内受到罚款</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处罚五次以上的</w:t>
            </w:r>
          </w:p>
        </w:tc>
      </w:tr>
      <w:tr>
        <w:trPr>
          <w:trHeight w:val="2136" w:hRule="atLeast"/>
        </w:trPr>
        <w:tc>
          <w:tcPr>
            <w:tcW w:w="1387"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14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33" w:type="dxa"/>
            <w:vAlign w:val="top"/>
            <w:gridSpan w:val="4"/>
          </w:tcPr>
          <w:p>
            <w:pPr>
              <w:ind w:left="34"/>
              <w:spacing w:before="1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《河北省机动车和非道路移动机械排放污染防治条例》</w:t>
            </w:r>
          </w:p>
          <w:p>
            <w:pPr>
              <w:ind w:left="32" w:right="52"/>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违反本条例规定，重点用车单位有下列情形之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一的，由生态环境主管部门责令改正，处一万元以上三万元以下的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罚款;情节严重的，处三万元以上五万元以下的罚款：</w:t>
            </w:r>
          </w:p>
          <w:p>
            <w:pPr>
              <w:ind w:left="29" w:right="57" w:hanging="14"/>
              <w:spacing w:before="3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（二）本单位注册的同一辆车因不符合排放标准在一</w:t>
            </w:r>
            <w:r>
              <w:rPr>
                <w:rFonts w:ascii="FangSong_GB2312" w:hAnsi="FangSong_GB2312" w:eastAsia="FangSong_GB2312" w:cs="FangSong_GB2312"/>
                <w:sz w:val="24"/>
                <w:szCs w:val="24"/>
                <w:spacing w:val="-1"/>
              </w:rPr>
              <w:t>个自然年内受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到罚款处罚五次以上的。</w:t>
            </w:r>
          </w:p>
        </w:tc>
      </w:tr>
      <w:tr>
        <w:trPr>
          <w:trHeight w:val="635" w:hRule="atLeast"/>
        </w:trPr>
        <w:tc>
          <w:tcPr>
            <w:tcW w:w="4068" w:type="dxa"/>
            <w:vAlign w:val="top"/>
            <w:gridSpan w:val="3"/>
          </w:tcPr>
          <w:p>
            <w:pPr>
              <w:ind w:left="1482"/>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2" w:type="dxa"/>
            <w:vAlign w:val="top"/>
            <w:gridSpan w:val="2"/>
          </w:tcPr>
          <w:p>
            <w:pPr>
              <w:ind w:left="1634"/>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6"/>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1" w:type="dxa"/>
            <w:vAlign w:val="top"/>
          </w:tcPr>
          <w:p>
            <w:pPr>
              <w:ind w:left="259"/>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387" w:type="dxa"/>
            <w:vAlign w:val="top"/>
            <w:vMerge w:val="restart"/>
            <w:tcBorders>
              <w:bottom w:val="nil"/>
            </w:tcBorders>
          </w:tcPr>
          <w:p>
            <w:pPr>
              <w:spacing w:line="296" w:lineRule="auto"/>
              <w:rPr>
                <w:rFonts w:ascii="Arial"/>
                <w:sz w:val="21"/>
              </w:rPr>
            </w:pPr>
            <w:r/>
          </w:p>
          <w:p>
            <w:pPr>
              <w:spacing w:line="296" w:lineRule="auto"/>
              <w:rPr>
                <w:rFonts w:ascii="Arial"/>
                <w:sz w:val="21"/>
              </w:rPr>
            </w:pPr>
            <w:r/>
          </w:p>
          <w:p>
            <w:pPr>
              <w:ind w:left="345" w:right="210"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70%</w:t>
            </w:r>
          </w:p>
        </w:tc>
        <w:tc>
          <w:tcPr>
            <w:tcW w:w="3201" w:type="dxa"/>
            <w:vAlign w:val="top"/>
          </w:tcPr>
          <w:p>
            <w:pPr>
              <w:ind w:left="118" w:right="209" w:firstLine="21"/>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同一辆车因不符合排放标准</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在一个自然年内受到罚款处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9"/>
              </w:rPr>
              <w:t>罚</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5-8</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9"/>
              </w:rPr>
              <w:t>次的</w:t>
            </w:r>
          </w:p>
        </w:tc>
        <w:tc>
          <w:tcPr>
            <w:tcW w:w="1151" w:type="dxa"/>
            <w:vAlign w:val="top"/>
          </w:tcPr>
          <w:p>
            <w:pPr>
              <w:spacing w:line="276"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1%-35%</w:t>
            </w:r>
          </w:p>
        </w:tc>
      </w:tr>
      <w:tr>
        <w:trPr>
          <w:trHeight w:val="94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right="209" w:firstLine="21"/>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同一辆车因不符合排放标准</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在一个自然年内受到罚款处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9"/>
              </w:rPr>
              <w:t>罚</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8</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9"/>
              </w:rPr>
              <w:t>次以上的</w:t>
            </w:r>
          </w:p>
        </w:tc>
        <w:tc>
          <w:tcPr>
            <w:tcW w:w="1151" w:type="dxa"/>
            <w:vAlign w:val="top"/>
          </w:tcPr>
          <w:p>
            <w:pPr>
              <w:spacing w:line="277" w:lineRule="auto"/>
              <w:rPr>
                <w:rFonts w:ascii="Arial"/>
                <w:sz w:val="21"/>
              </w:rPr>
            </w:pPr>
            <w:r/>
          </w:p>
          <w:p>
            <w:pPr>
              <w:ind w:left="18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36%-70%</w:t>
            </w:r>
          </w:p>
        </w:tc>
      </w:tr>
      <w:tr>
        <w:trPr>
          <w:trHeight w:val="320" w:hRule="atLeast"/>
        </w:trPr>
        <w:tc>
          <w:tcPr>
            <w:tcW w:w="1387" w:type="dxa"/>
            <w:vAlign w:val="top"/>
            <w:vMerge w:val="restart"/>
            <w:tcBorders>
              <w:bottom w:val="nil"/>
            </w:tcBorders>
          </w:tcPr>
          <w:p>
            <w:pPr>
              <w:spacing w:line="445"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6"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51" w:type="dxa"/>
            <w:vAlign w:val="top"/>
          </w:tcPr>
          <w:p>
            <w:pPr>
              <w:ind w:left="47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51" w:type="dxa"/>
            <w:vAlign w:val="top"/>
          </w:tcPr>
          <w:p>
            <w:pPr>
              <w:ind w:left="29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1" w:type="dxa"/>
            <w:vAlign w:val="top"/>
          </w:tcPr>
          <w:p>
            <w:pPr>
              <w:ind w:left="2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87" w:type="dxa"/>
            <w:vAlign w:val="top"/>
            <w:vMerge w:val="restart"/>
            <w:tcBorders>
              <w:bottom w:val="nil"/>
            </w:tcBorders>
          </w:tcPr>
          <w:p>
            <w:pPr>
              <w:ind w:left="221" w:right="210"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1" w:type="dxa"/>
            <w:vAlign w:val="top"/>
          </w:tcPr>
          <w:p>
            <w:pPr>
              <w:ind w:left="23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1" w:type="dxa"/>
            <w:vAlign w:val="top"/>
          </w:tcPr>
          <w:p>
            <w:pPr>
              <w:ind w:left="47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43" w:hRule="atLeast"/>
        </w:trPr>
        <w:tc>
          <w:tcPr>
            <w:tcW w:w="1387" w:type="dxa"/>
            <w:vAlign w:val="top"/>
            <w:vMerge w:val="restart"/>
            <w:tcBorders>
              <w:bottom w:val="nil"/>
            </w:tcBorders>
          </w:tcPr>
          <w:p>
            <w:pPr>
              <w:ind w:left="214" w:right="210" w:firstLine="9"/>
              <w:spacing w:before="60"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7"/>
              <w:spacing w:before="6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9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8"/>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1" w:type="dxa"/>
            <w:vAlign w:val="top"/>
          </w:tcPr>
          <w:p>
            <w:pPr>
              <w:ind w:left="251"/>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1" w:type="dxa"/>
            <w:vAlign w:val="top"/>
          </w:tcPr>
          <w:p>
            <w:pPr>
              <w:ind w:left="478"/>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29"/>
          <w:pgSz w:w="11905" w:h="16839"/>
          <w:pgMar w:top="1431" w:right="1740" w:bottom="1156" w:left="1739" w:header="0" w:footer="994" w:gutter="0"/>
        </w:sectPr>
        <w:rPr/>
      </w:pPr>
    </w:p>
    <w:p>
      <w:pPr>
        <w:spacing w:before="4"/>
        <w:rPr/>
      </w:pPr>
      <w:r/>
    </w:p>
    <w:p>
      <w:pPr>
        <w:spacing w:before="4"/>
        <w:rPr/>
      </w:pPr>
      <w:r/>
    </w:p>
    <w:p>
      <w:pPr>
        <w:spacing w:before="4"/>
        <w:rPr/>
      </w:pPr>
      <w:r/>
    </w:p>
    <w:p>
      <w:pPr>
        <w:spacing w:before="3"/>
        <w:rPr/>
      </w:pPr>
      <w:r/>
    </w:p>
    <w:tbl>
      <w:tblPr>
        <w:tblStyle w:val="TableNormal"/>
        <w:tblW w:w="842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280"/>
        <w:gridCol w:w="1072"/>
      </w:tblGrid>
      <w:tr>
        <w:trPr>
          <w:trHeight w:val="720" w:hRule="atLeast"/>
        </w:trPr>
        <w:tc>
          <w:tcPr>
            <w:tcW w:w="8420" w:type="dxa"/>
            <w:vAlign w:val="top"/>
            <w:gridSpan w:val="5"/>
          </w:tcPr>
          <w:p>
            <w:pPr>
              <w:ind w:left="20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87" w:type="dxa"/>
            <w:vAlign w:val="top"/>
          </w:tcPr>
          <w:p>
            <w:pPr>
              <w:ind w:left="417"/>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33" w:type="dxa"/>
            <w:vAlign w:val="top"/>
            <w:gridSpan w:val="4"/>
          </w:tcPr>
          <w:p>
            <w:pPr>
              <w:ind w:left="3412"/>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61</w:t>
            </w:r>
          </w:p>
        </w:tc>
      </w:tr>
      <w:tr>
        <w:trPr>
          <w:trHeight w:val="716" w:hRule="atLeast"/>
        </w:trPr>
        <w:tc>
          <w:tcPr>
            <w:tcW w:w="1387" w:type="dxa"/>
            <w:vAlign w:val="top"/>
          </w:tcPr>
          <w:p>
            <w:pPr>
              <w:ind w:left="142"/>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33" w:type="dxa"/>
            <w:vAlign w:val="top"/>
            <w:gridSpan w:val="4"/>
          </w:tcPr>
          <w:p>
            <w:pPr>
              <w:ind w:left="18" w:right="57" w:hanging="1"/>
              <w:spacing w:before="7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机动车排放检验机构未按照规定公开检验程序</w:t>
            </w:r>
            <w:r>
              <w:rPr>
                <w:rFonts w:ascii="FangSong_GB2312" w:hAnsi="FangSong_GB2312" w:eastAsia="FangSong_GB2312" w:cs="FangSong_GB2312"/>
                <w:sz w:val="24"/>
                <w:szCs w:val="24"/>
                <w:spacing w:val="-1"/>
              </w:rPr>
              <w:t>、检验方法、排放限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值的</w:t>
            </w:r>
          </w:p>
        </w:tc>
      </w:tr>
      <w:tr>
        <w:trPr>
          <w:trHeight w:val="3498" w:hRule="atLeast"/>
        </w:trPr>
        <w:tc>
          <w:tcPr>
            <w:tcW w:w="1387"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4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33" w:type="dxa"/>
            <w:vAlign w:val="top"/>
            <w:gridSpan w:val="4"/>
          </w:tcPr>
          <w:p>
            <w:pPr>
              <w:ind w:left="34"/>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《河北省机动车和非道路移动机械排放污染防治条例》</w:t>
            </w:r>
          </w:p>
          <w:p>
            <w:pPr>
              <w:ind w:left="14" w:right="52" w:firstLine="17"/>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机动车排放检验机构应当依法取得资质，接受生态环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境、市场监督管理等部门的监督管理，并遵守</w:t>
            </w:r>
            <w:r>
              <w:rPr>
                <w:rFonts w:ascii="FangSong_GB2312" w:hAnsi="FangSong_GB2312" w:eastAsia="FangSong_GB2312" w:cs="FangSong_GB2312"/>
                <w:sz w:val="24"/>
                <w:szCs w:val="24"/>
                <w:spacing w:val="-1"/>
              </w:rPr>
              <w:t>下列规定：</w:t>
            </w:r>
          </w:p>
          <w:p>
            <w:pPr>
              <w:ind w:left="47" w:right="57" w:hanging="32"/>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（二）公开检验程序、检验方法、排放限值、收费标</w:t>
            </w:r>
            <w:r>
              <w:rPr>
                <w:rFonts w:ascii="FangSong_GB2312" w:hAnsi="FangSong_GB2312" w:eastAsia="FangSong_GB2312" w:cs="FangSong_GB2312"/>
                <w:sz w:val="24"/>
                <w:szCs w:val="24"/>
                <w:spacing w:val="-1"/>
              </w:rPr>
              <w:t>准和监督投诉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3"/>
              </w:rPr>
              <w:t>电话；</w:t>
            </w:r>
          </w:p>
          <w:p>
            <w:pPr>
              <w:spacing w:line="272"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b/>
                <w:bCs/>
                <w:spacing w:val="-2"/>
              </w:rPr>
              <w:t>河北省机动车和非道路移动机械排放</w:t>
            </w:r>
            <w:r>
              <w:rPr>
                <w:rFonts w:ascii="FangSong_GB2312" w:hAnsi="FangSong_GB2312" w:eastAsia="FangSong_GB2312" w:cs="FangSong_GB2312"/>
                <w:sz w:val="24"/>
                <w:szCs w:val="24"/>
                <w:b/>
                <w:bCs/>
                <w:spacing w:val="-3"/>
              </w:rPr>
              <w:t>污染防治条例》</w:t>
            </w:r>
          </w:p>
          <w:p>
            <w:pPr>
              <w:ind w:left="34" w:right="52" w:hanging="2"/>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违反本条例规定，机动车排放检验机构有下列行为之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一的，由生态环境主管部门责令改正，按照下列规定处罚：</w:t>
            </w:r>
          </w:p>
          <w:p>
            <w:pPr>
              <w:ind w:left="28" w:right="117" w:hanging="13"/>
              <w:spacing w:before="3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（一）未按照规定公开检验程序、检验方法、排</w:t>
            </w:r>
            <w:r>
              <w:rPr>
                <w:rFonts w:ascii="FangSong_GB2312" w:hAnsi="FangSong_GB2312" w:eastAsia="FangSong_GB2312" w:cs="FangSong_GB2312"/>
                <w:sz w:val="24"/>
                <w:szCs w:val="24"/>
                <w:spacing w:val="-3"/>
              </w:rPr>
              <w:t>放限值等内容的，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处一千元以上五千元以下的罚款；</w:t>
            </w:r>
          </w:p>
        </w:tc>
      </w:tr>
      <w:tr>
        <w:trPr>
          <w:trHeight w:val="635" w:hRule="atLeast"/>
        </w:trPr>
        <w:tc>
          <w:tcPr>
            <w:tcW w:w="4068" w:type="dxa"/>
            <w:vAlign w:val="top"/>
            <w:gridSpan w:val="3"/>
          </w:tcPr>
          <w:p>
            <w:pPr>
              <w:ind w:left="1482"/>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2" w:type="dxa"/>
            <w:vAlign w:val="top"/>
            <w:gridSpan w:val="2"/>
          </w:tcPr>
          <w:p>
            <w:pPr>
              <w:ind w:left="163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6"/>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0" w:type="dxa"/>
            <w:vAlign w:val="top"/>
          </w:tcPr>
          <w:p>
            <w:pPr>
              <w:ind w:left="1427"/>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72" w:type="dxa"/>
            <w:vAlign w:val="top"/>
          </w:tcPr>
          <w:p>
            <w:pPr>
              <w:ind w:left="218"/>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387"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345" w:right="210"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2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80" w:type="dxa"/>
            <w:vAlign w:val="top"/>
          </w:tcPr>
          <w:p>
            <w:pPr>
              <w:ind w:left="115" w:right="104" w:hanging="3"/>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存在检验程序、检验方法、排</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放限值等部分内容未按规定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向社会公开的</w:t>
            </w:r>
          </w:p>
        </w:tc>
        <w:tc>
          <w:tcPr>
            <w:tcW w:w="1072" w:type="dxa"/>
            <w:vAlign w:val="top"/>
          </w:tcPr>
          <w:p>
            <w:pPr>
              <w:spacing w:line="277" w:lineRule="auto"/>
              <w:rPr>
                <w:rFonts w:ascii="Arial"/>
                <w:sz w:val="21"/>
              </w:rPr>
            </w:pPr>
            <w:r/>
          </w:p>
          <w:p>
            <w:pPr>
              <w:ind w:left="19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1%-25%</w:t>
            </w:r>
          </w:p>
        </w:tc>
      </w:tr>
      <w:tr>
        <w:trPr>
          <w:trHeight w:val="94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0" w:type="dxa"/>
            <w:vAlign w:val="top"/>
          </w:tcPr>
          <w:p>
            <w:pPr>
              <w:ind w:left="113" w:right="104" w:hanging="1"/>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检验程序、检验方法、排放限</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值等内容均未按规定向社会</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公开的</w:t>
            </w:r>
          </w:p>
        </w:tc>
        <w:tc>
          <w:tcPr>
            <w:tcW w:w="1072" w:type="dxa"/>
            <w:vAlign w:val="top"/>
          </w:tcPr>
          <w:p>
            <w:pPr>
              <w:spacing w:line="278" w:lineRule="auto"/>
              <w:rPr>
                <w:rFonts w:ascii="Arial"/>
                <w:sz w:val="21"/>
              </w:rPr>
            </w:pPr>
            <w:r/>
          </w:p>
          <w:p>
            <w:pPr>
              <w:ind w:left="1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26%-50%</w:t>
            </w:r>
          </w:p>
        </w:tc>
      </w:tr>
      <w:tr>
        <w:trPr>
          <w:trHeight w:val="320" w:hRule="atLeast"/>
        </w:trPr>
        <w:tc>
          <w:tcPr>
            <w:tcW w:w="1387" w:type="dxa"/>
            <w:vAlign w:val="top"/>
            <w:vMerge w:val="restart"/>
            <w:tcBorders>
              <w:bottom w:val="nil"/>
            </w:tcBorders>
          </w:tcPr>
          <w:p>
            <w:pPr>
              <w:spacing w:line="448"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37"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0"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7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80"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72" w:type="dxa"/>
            <w:vAlign w:val="top"/>
          </w:tcPr>
          <w:p>
            <w:pPr>
              <w:ind w:left="37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72" w:type="dxa"/>
            <w:vAlign w:val="top"/>
          </w:tcPr>
          <w:p>
            <w:pPr>
              <w:ind w:left="3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0"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72" w:type="dxa"/>
            <w:vAlign w:val="top"/>
          </w:tcPr>
          <w:p>
            <w:pPr>
              <w:ind w:left="37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vMerge w:val="restart"/>
            <w:tcBorders>
              <w:bottom w:val="nil"/>
            </w:tcBorders>
          </w:tcPr>
          <w:p>
            <w:pPr>
              <w:spacing w:line="444"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72" w:type="dxa"/>
            <w:vAlign w:val="top"/>
          </w:tcPr>
          <w:p>
            <w:pPr>
              <w:ind w:left="4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80" w:type="dxa"/>
            <w:vAlign w:val="top"/>
          </w:tcPr>
          <w:p>
            <w:pPr>
              <w:ind w:left="122" w:right="28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72" w:type="dxa"/>
            <w:vAlign w:val="top"/>
          </w:tcPr>
          <w:p>
            <w:pPr>
              <w:ind w:left="25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72" w:type="dxa"/>
            <w:vAlign w:val="top"/>
          </w:tcPr>
          <w:p>
            <w:pPr>
              <w:ind w:left="19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87" w:type="dxa"/>
            <w:vAlign w:val="top"/>
            <w:vMerge w:val="restart"/>
            <w:tcBorders>
              <w:bottom w:val="nil"/>
            </w:tcBorders>
          </w:tcPr>
          <w:p>
            <w:pPr>
              <w:ind w:left="221" w:right="210"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0"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72" w:type="dxa"/>
            <w:vAlign w:val="top"/>
          </w:tcPr>
          <w:p>
            <w:pPr>
              <w:ind w:left="19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0"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72" w:type="dxa"/>
            <w:vAlign w:val="top"/>
          </w:tcPr>
          <w:p>
            <w:pPr>
              <w:ind w:left="4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46" w:hRule="atLeast"/>
        </w:trPr>
        <w:tc>
          <w:tcPr>
            <w:tcW w:w="1387" w:type="dxa"/>
            <w:vAlign w:val="top"/>
            <w:vMerge w:val="restart"/>
            <w:tcBorders>
              <w:bottom w:val="nil"/>
            </w:tcBorders>
          </w:tcPr>
          <w:p>
            <w:pPr>
              <w:ind w:left="194" w:right="135" w:hanging="9"/>
              <w:spacing w:before="9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1"/>
                <w:w w:val="81"/>
              </w:rPr>
              <w:t>对社会影响或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22"/>
                <w:w w:val="81"/>
              </w:rPr>
              <w:t>生态破坏程度</w:t>
            </w:r>
          </w:p>
        </w:tc>
        <w:tc>
          <w:tcPr>
            <w:tcW w:w="1889" w:type="dxa"/>
            <w:vAlign w:val="top"/>
            <w:vMerge w:val="restart"/>
            <w:tcBorders>
              <w:bottom w:val="nil"/>
            </w:tcBorders>
          </w:tcPr>
          <w:p>
            <w:pPr>
              <w:ind w:left="448" w:right="104" w:hanging="303"/>
              <w:spacing w:before="9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4"/>
                <w:w w:val="95"/>
              </w:rPr>
              <w:t>是否造成社会影响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6"/>
              </w:rPr>
              <w:t>或生态破坏</w:t>
            </w:r>
          </w:p>
        </w:tc>
        <w:tc>
          <w:tcPr>
            <w:tcW w:w="792" w:type="dxa"/>
            <w:vAlign w:val="top"/>
            <w:vMerge w:val="restart"/>
            <w:tcBorders>
              <w:bottom w:val="nil"/>
            </w:tcBorders>
          </w:tcPr>
          <w:p>
            <w:pPr>
              <w:ind w:left="236"/>
              <w:spacing w:before="25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0" w:type="dxa"/>
            <w:vAlign w:val="top"/>
          </w:tcPr>
          <w:p>
            <w:pPr>
              <w:ind w:left="118"/>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72" w:type="dxa"/>
            <w:vAlign w:val="top"/>
          </w:tcPr>
          <w:p>
            <w:pPr>
              <w:ind w:left="251"/>
              <w:spacing w:before="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0" w:type="dxa"/>
            <w:vAlign w:val="top"/>
          </w:tcPr>
          <w:p>
            <w:pPr>
              <w:ind w:left="115"/>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8"/>
                <w:w w:val="97"/>
              </w:rPr>
              <w:t>未造成社会影响或生态破坏的</w:t>
            </w:r>
          </w:p>
        </w:tc>
        <w:tc>
          <w:tcPr>
            <w:tcW w:w="1072" w:type="dxa"/>
            <w:vAlign w:val="top"/>
          </w:tcPr>
          <w:p>
            <w:pPr>
              <w:ind w:left="440"/>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30"/>
          <w:pgSz w:w="11905" w:h="16839"/>
          <w:pgMar w:top="1431" w:right="1740" w:bottom="1156" w:left="1739" w:header="0" w:footer="994" w:gutter="0"/>
        </w:sectPr>
        <w:rPr/>
      </w:pPr>
    </w:p>
    <w:p>
      <w:pPr>
        <w:spacing w:before="4"/>
        <w:rPr/>
      </w:pPr>
      <w:r/>
    </w:p>
    <w:p>
      <w:pPr>
        <w:spacing w:before="4"/>
        <w:rPr/>
      </w:pPr>
      <w:r/>
    </w:p>
    <w:p>
      <w:pPr>
        <w:spacing w:before="4"/>
        <w:rPr/>
      </w:pPr>
      <w:r/>
    </w:p>
    <w:p>
      <w:pPr>
        <w:spacing w:before="3"/>
        <w:rPr/>
      </w:pPr>
      <w:r/>
    </w:p>
    <w:tbl>
      <w:tblPr>
        <w:tblStyle w:val="TableNormal"/>
        <w:tblW w:w="8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772"/>
        <w:gridCol w:w="794"/>
        <w:gridCol w:w="3388"/>
        <w:gridCol w:w="1099"/>
      </w:tblGrid>
      <w:tr>
        <w:trPr>
          <w:trHeight w:val="720" w:hRule="atLeast"/>
        </w:trPr>
        <w:tc>
          <w:tcPr>
            <w:tcW w:w="8440" w:type="dxa"/>
            <w:vAlign w:val="top"/>
            <w:gridSpan w:val="5"/>
          </w:tcPr>
          <w:p>
            <w:pPr>
              <w:ind w:left="17"/>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87" w:type="dxa"/>
            <w:vAlign w:val="top"/>
          </w:tcPr>
          <w:p>
            <w:pPr>
              <w:ind w:left="417"/>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53" w:type="dxa"/>
            <w:vAlign w:val="top"/>
            <w:gridSpan w:val="4"/>
          </w:tcPr>
          <w:p>
            <w:pPr>
              <w:ind w:left="3422"/>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62</w:t>
            </w:r>
          </w:p>
        </w:tc>
      </w:tr>
      <w:tr>
        <w:trPr>
          <w:trHeight w:val="716" w:hRule="atLeast"/>
        </w:trPr>
        <w:tc>
          <w:tcPr>
            <w:tcW w:w="1387" w:type="dxa"/>
            <w:vAlign w:val="top"/>
          </w:tcPr>
          <w:p>
            <w:pPr>
              <w:ind w:left="142"/>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53" w:type="dxa"/>
            <w:vAlign w:val="top"/>
            <w:gridSpan w:val="4"/>
          </w:tcPr>
          <w:p>
            <w:pPr>
              <w:ind w:left="25" w:right="77" w:hanging="7"/>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机动车排放检验机构未建立排放检验档案，按</w:t>
            </w:r>
            <w:r>
              <w:rPr>
                <w:rFonts w:ascii="FangSong_GB2312" w:hAnsi="FangSong_GB2312" w:eastAsia="FangSong_GB2312" w:cs="FangSong_GB2312"/>
                <w:sz w:val="24"/>
                <w:szCs w:val="24"/>
                <w:spacing w:val="-1"/>
              </w:rPr>
              <w:t>照相关规定期限保存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纸质档案、电子档案和历史检验视频的</w:t>
            </w:r>
          </w:p>
        </w:tc>
      </w:tr>
      <w:tr>
        <w:trPr>
          <w:trHeight w:val="3498" w:hRule="atLeast"/>
        </w:trPr>
        <w:tc>
          <w:tcPr>
            <w:tcW w:w="1387"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50"/>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53"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《河北省机动车和非道路移动机械排放污染防治条例》</w:t>
            </w:r>
          </w:p>
          <w:p>
            <w:pPr>
              <w:ind w:left="14" w:right="72" w:firstLine="17"/>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机动车排放检验机构应当依法取得资质，接受生态环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境、市场监督管理等部门的监督管理，并遵守</w:t>
            </w:r>
            <w:r>
              <w:rPr>
                <w:rFonts w:ascii="FangSong_GB2312" w:hAnsi="FangSong_GB2312" w:eastAsia="FangSong_GB2312" w:cs="FangSong_GB2312"/>
                <w:sz w:val="24"/>
                <w:szCs w:val="24"/>
                <w:spacing w:val="-1"/>
              </w:rPr>
              <w:t>下列规定：</w:t>
            </w:r>
          </w:p>
          <w:p>
            <w:pPr>
              <w:ind w:left="17" w:right="77" w:hanging="2"/>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（五）建立排放检验档案，按照相关规定期限保存</w:t>
            </w:r>
            <w:r>
              <w:rPr>
                <w:rFonts w:ascii="FangSong_GB2312" w:hAnsi="FangSong_GB2312" w:eastAsia="FangSong_GB2312" w:cs="FangSong_GB2312"/>
                <w:sz w:val="24"/>
                <w:szCs w:val="24"/>
                <w:spacing w:val="-1"/>
              </w:rPr>
              <w:t>纸质档案、电子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档案和历史检验视频；</w:t>
            </w:r>
          </w:p>
          <w:p>
            <w:pPr>
              <w:spacing w:line="27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b/>
                <w:bCs/>
                <w:spacing w:val="-2"/>
              </w:rPr>
              <w:t>河北省机动车和非道路移动机械排放</w:t>
            </w:r>
            <w:r>
              <w:rPr>
                <w:rFonts w:ascii="FangSong_GB2312" w:hAnsi="FangSong_GB2312" w:eastAsia="FangSong_GB2312" w:cs="FangSong_GB2312"/>
                <w:sz w:val="24"/>
                <w:szCs w:val="24"/>
                <w:b/>
                <w:bCs/>
                <w:spacing w:val="-3"/>
              </w:rPr>
              <w:t>污染防治条例》</w:t>
            </w:r>
          </w:p>
          <w:p>
            <w:pPr>
              <w:ind w:left="34" w:right="72" w:hanging="2"/>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违反本条例规定，机动车排放检验机构有下列行为之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一的，由生态环境主管部门责令改正，按照下列规定处罚：</w:t>
            </w:r>
          </w:p>
          <w:p>
            <w:pPr>
              <w:ind w:left="25" w:right="77" w:hanging="10"/>
              <w:spacing w:before="3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（二）未建立机动车排放检验档案，或者未保存纸</w:t>
            </w:r>
            <w:r>
              <w:rPr>
                <w:rFonts w:ascii="FangSong_GB2312" w:hAnsi="FangSong_GB2312" w:eastAsia="FangSong_GB2312" w:cs="FangSong_GB2312"/>
                <w:sz w:val="24"/>
                <w:szCs w:val="24"/>
                <w:spacing w:val="-1"/>
              </w:rPr>
              <w:t>质档案、电子档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案和历史检验视频的，处五千元以上二万元以下的罚款；</w:t>
            </w:r>
          </w:p>
        </w:tc>
      </w:tr>
      <w:tr>
        <w:trPr>
          <w:trHeight w:val="635" w:hRule="atLeast"/>
        </w:trPr>
        <w:tc>
          <w:tcPr>
            <w:tcW w:w="3953" w:type="dxa"/>
            <w:vAlign w:val="top"/>
            <w:gridSpan w:val="3"/>
          </w:tcPr>
          <w:p>
            <w:pPr>
              <w:ind w:left="142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87" w:type="dxa"/>
            <w:vAlign w:val="top"/>
            <w:gridSpan w:val="2"/>
          </w:tcPr>
          <w:p>
            <w:pPr>
              <w:ind w:left="170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6"/>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72" w:type="dxa"/>
            <w:vAlign w:val="top"/>
          </w:tcPr>
          <w:p>
            <w:pPr>
              <w:ind w:left="455"/>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4" w:type="dxa"/>
            <w:vAlign w:val="top"/>
          </w:tcPr>
          <w:p>
            <w:pPr>
              <w:ind w:left="213"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88" w:type="dxa"/>
            <w:vAlign w:val="top"/>
          </w:tcPr>
          <w:p>
            <w:pPr>
              <w:ind w:left="1483"/>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99" w:type="dxa"/>
            <w:vAlign w:val="top"/>
          </w:tcPr>
          <w:p>
            <w:pPr>
              <w:ind w:left="23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894" w:hRule="atLeast"/>
        </w:trPr>
        <w:tc>
          <w:tcPr>
            <w:tcW w:w="1387"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345" w:right="209"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7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17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4"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23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388" w:type="dxa"/>
            <w:vAlign w:val="top"/>
          </w:tcPr>
          <w:p>
            <w:pPr>
              <w:ind w:left="113"/>
              <w:spacing w:before="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机动车排放检验档案不完善，</w:t>
            </w:r>
          </w:p>
          <w:p>
            <w:pPr>
              <w:ind w:left="115" w:right="103"/>
              <w:spacing w:before="36"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未按照规定保存纸质档案、电</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子档案和历史检验视频的（纸</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质档保存</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6</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6"/>
              </w:rPr>
              <w:t>年、电子档保存</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年、监控视频保存</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12</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上）</w:t>
            </w:r>
          </w:p>
        </w:tc>
        <w:tc>
          <w:tcPr>
            <w:tcW w:w="109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1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1%-25%</w:t>
            </w:r>
          </w:p>
        </w:tc>
      </w:tr>
      <w:tr>
        <w:trPr>
          <w:trHeight w:val="949" w:hRule="atLeast"/>
        </w:trPr>
        <w:tc>
          <w:tcPr>
            <w:tcW w:w="1387"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794" w:type="dxa"/>
            <w:vAlign w:val="top"/>
            <w:vMerge w:val="continue"/>
            <w:tcBorders>
              <w:top w:val="nil"/>
            </w:tcBorders>
          </w:tcPr>
          <w:p>
            <w:pPr>
              <w:rPr>
                <w:rFonts w:ascii="Arial"/>
                <w:sz w:val="21"/>
              </w:rPr>
            </w:pPr>
            <w:r/>
          </w:p>
        </w:tc>
        <w:tc>
          <w:tcPr>
            <w:tcW w:w="3388" w:type="dxa"/>
            <w:vAlign w:val="top"/>
          </w:tcPr>
          <w:p>
            <w:pPr>
              <w:ind w:left="112" w:right="156" w:firstLine="2"/>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未建立排放检验档案，或者未</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保存纸质档案、电子档案和历</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史检验视频的</w:t>
            </w:r>
          </w:p>
        </w:tc>
        <w:tc>
          <w:tcPr>
            <w:tcW w:w="1099" w:type="dxa"/>
            <w:vAlign w:val="top"/>
          </w:tcPr>
          <w:p>
            <w:pPr>
              <w:spacing w:line="276" w:lineRule="auto"/>
              <w:rPr>
                <w:rFonts w:ascii="Arial"/>
                <w:sz w:val="21"/>
              </w:rPr>
            </w:pPr>
            <w:r/>
          </w:p>
          <w:p>
            <w:pPr>
              <w:ind w:left="14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26%-50%</w:t>
            </w:r>
          </w:p>
        </w:tc>
      </w:tr>
      <w:tr>
        <w:trPr>
          <w:trHeight w:val="320" w:hRule="atLeast"/>
        </w:trPr>
        <w:tc>
          <w:tcPr>
            <w:tcW w:w="1387" w:type="dxa"/>
            <w:vAlign w:val="top"/>
            <w:vMerge w:val="restart"/>
            <w:tcBorders>
              <w:bottom w:val="nil"/>
            </w:tcBorders>
          </w:tcPr>
          <w:p>
            <w:pPr>
              <w:spacing w:line="449"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72" w:type="dxa"/>
            <w:vAlign w:val="top"/>
            <w:vMerge w:val="restart"/>
            <w:tcBorders>
              <w:bottom w:val="nil"/>
            </w:tcBorders>
          </w:tcPr>
          <w:p>
            <w:pPr>
              <w:spacing w:line="296" w:lineRule="auto"/>
              <w:rPr>
                <w:rFonts w:ascii="Arial"/>
                <w:sz w:val="21"/>
              </w:rPr>
            </w:pPr>
            <w:r/>
          </w:p>
          <w:p>
            <w:pPr>
              <w:ind w:left="777" w:right="165"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4" w:type="dxa"/>
            <w:vAlign w:val="top"/>
            <w:vMerge w:val="restart"/>
            <w:tcBorders>
              <w:bottom w:val="nil"/>
            </w:tcBorders>
          </w:tcPr>
          <w:p>
            <w:pPr>
              <w:spacing w:line="449"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88"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99" w:type="dxa"/>
            <w:vAlign w:val="top"/>
          </w:tcPr>
          <w:p>
            <w:pPr>
              <w:ind w:left="44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vMerge w:val="continue"/>
            <w:tcBorders>
              <w:top w:val="nil"/>
              <w:bottom w:val="nil"/>
            </w:tcBorders>
          </w:tcPr>
          <w:p>
            <w:pPr>
              <w:rPr>
                <w:rFonts w:ascii="Arial"/>
                <w:sz w:val="21"/>
              </w:rPr>
            </w:pPr>
            <w:r/>
          </w:p>
        </w:tc>
        <w:tc>
          <w:tcPr>
            <w:tcW w:w="1772" w:type="dxa"/>
            <w:vAlign w:val="top"/>
            <w:vMerge w:val="continue"/>
            <w:tcBorders>
              <w:top w:val="nil"/>
              <w:bottom w:val="nil"/>
            </w:tcBorders>
          </w:tcPr>
          <w:p>
            <w:pPr>
              <w:rPr>
                <w:rFonts w:ascii="Arial"/>
                <w:sz w:val="21"/>
              </w:rPr>
            </w:pPr>
            <w:r/>
          </w:p>
        </w:tc>
        <w:tc>
          <w:tcPr>
            <w:tcW w:w="794" w:type="dxa"/>
            <w:vAlign w:val="top"/>
            <w:vMerge w:val="continue"/>
            <w:tcBorders>
              <w:top w:val="nil"/>
              <w:bottom w:val="nil"/>
            </w:tcBorders>
          </w:tcPr>
          <w:p>
            <w:pPr>
              <w:rPr>
                <w:rFonts w:ascii="Arial"/>
                <w:sz w:val="21"/>
              </w:rPr>
            </w:pPr>
            <w:r/>
          </w:p>
        </w:tc>
        <w:tc>
          <w:tcPr>
            <w:tcW w:w="3388"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99" w:type="dxa"/>
            <w:vAlign w:val="top"/>
          </w:tcPr>
          <w:p>
            <w:pPr>
              <w:ind w:left="39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vMerge w:val="continue"/>
            <w:tcBorders>
              <w:top w:val="nil"/>
              <w:bottom w:val="nil"/>
            </w:tcBorders>
          </w:tcPr>
          <w:p>
            <w:pPr>
              <w:rPr>
                <w:rFonts w:ascii="Arial"/>
                <w:sz w:val="21"/>
              </w:rPr>
            </w:pPr>
            <w:r/>
          </w:p>
        </w:tc>
        <w:tc>
          <w:tcPr>
            <w:tcW w:w="1772" w:type="dxa"/>
            <w:vAlign w:val="top"/>
            <w:vMerge w:val="continue"/>
            <w:tcBorders>
              <w:top w:val="nil"/>
              <w:bottom w:val="nil"/>
            </w:tcBorders>
          </w:tcPr>
          <w:p>
            <w:pPr>
              <w:rPr>
                <w:rFonts w:ascii="Arial"/>
                <w:sz w:val="21"/>
              </w:rPr>
            </w:pPr>
            <w:r/>
          </w:p>
        </w:tc>
        <w:tc>
          <w:tcPr>
            <w:tcW w:w="794" w:type="dxa"/>
            <w:vAlign w:val="top"/>
            <w:vMerge w:val="continue"/>
            <w:tcBorders>
              <w:top w:val="nil"/>
              <w:bottom w:val="nil"/>
            </w:tcBorders>
          </w:tcPr>
          <w:p>
            <w:pPr>
              <w:rPr>
                <w:rFonts w:ascii="Arial"/>
                <w:sz w:val="21"/>
              </w:rPr>
            </w:pPr>
            <w:r/>
          </w:p>
        </w:tc>
        <w:tc>
          <w:tcPr>
            <w:tcW w:w="3388"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99" w:type="dxa"/>
            <w:vAlign w:val="top"/>
          </w:tcPr>
          <w:p>
            <w:pPr>
              <w:ind w:left="3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794" w:type="dxa"/>
            <w:vAlign w:val="top"/>
            <w:vMerge w:val="continue"/>
            <w:tcBorders>
              <w:top w:val="nil"/>
            </w:tcBorders>
          </w:tcPr>
          <w:p>
            <w:pPr>
              <w:rPr>
                <w:rFonts w:ascii="Arial"/>
                <w:sz w:val="21"/>
              </w:rPr>
            </w:pPr>
            <w:r/>
          </w:p>
        </w:tc>
        <w:tc>
          <w:tcPr>
            <w:tcW w:w="3388"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99" w:type="dxa"/>
            <w:vAlign w:val="top"/>
          </w:tcPr>
          <w:p>
            <w:pPr>
              <w:ind w:left="38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vMerge w:val="restart"/>
            <w:tcBorders>
              <w:bottom w:val="nil"/>
            </w:tcBorders>
          </w:tcPr>
          <w:p>
            <w:pPr>
              <w:spacing w:line="445" w:lineRule="auto"/>
              <w:rPr>
                <w:rFonts w:ascii="Arial"/>
                <w:sz w:val="21"/>
              </w:rPr>
            </w:pPr>
            <w:r/>
          </w:p>
          <w:p>
            <w:pPr>
              <w:ind w:left="22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72" w:type="dxa"/>
            <w:vAlign w:val="top"/>
            <w:vMerge w:val="restart"/>
            <w:tcBorders>
              <w:bottom w:val="nil"/>
            </w:tcBorders>
          </w:tcPr>
          <w:p>
            <w:pPr>
              <w:spacing w:line="288" w:lineRule="auto"/>
              <w:rPr>
                <w:rFonts w:ascii="Arial"/>
                <w:sz w:val="21"/>
              </w:rPr>
            </w:pPr>
            <w:r/>
          </w:p>
          <w:p>
            <w:pPr>
              <w:ind w:left="596" w:right="582" w:hanging="367"/>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是否完成</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整改</w:t>
            </w:r>
          </w:p>
        </w:tc>
        <w:tc>
          <w:tcPr>
            <w:tcW w:w="794" w:type="dxa"/>
            <w:vAlign w:val="top"/>
            <w:vMerge w:val="restart"/>
            <w:tcBorders>
              <w:bottom w:val="nil"/>
            </w:tcBorders>
          </w:tcPr>
          <w:p>
            <w:pPr>
              <w:spacing w:line="445" w:lineRule="auto"/>
              <w:rPr>
                <w:rFonts w:ascii="Arial"/>
                <w:sz w:val="21"/>
              </w:rPr>
            </w:pPr>
            <w:r/>
          </w:p>
          <w:p>
            <w:pPr>
              <w:ind w:left="23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88"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99" w:type="dxa"/>
            <w:vAlign w:val="top"/>
          </w:tcPr>
          <w:p>
            <w:pPr>
              <w:ind w:left="45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87" w:type="dxa"/>
            <w:vAlign w:val="top"/>
            <w:vMerge w:val="continue"/>
            <w:tcBorders>
              <w:top w:val="nil"/>
              <w:bottom w:val="nil"/>
            </w:tcBorders>
          </w:tcPr>
          <w:p>
            <w:pPr>
              <w:rPr>
                <w:rFonts w:ascii="Arial"/>
                <w:sz w:val="21"/>
              </w:rPr>
            </w:pPr>
            <w:r/>
          </w:p>
        </w:tc>
        <w:tc>
          <w:tcPr>
            <w:tcW w:w="1772" w:type="dxa"/>
            <w:vAlign w:val="top"/>
            <w:vMerge w:val="continue"/>
            <w:tcBorders>
              <w:top w:val="nil"/>
              <w:bottom w:val="nil"/>
            </w:tcBorders>
          </w:tcPr>
          <w:p>
            <w:pPr>
              <w:rPr>
                <w:rFonts w:ascii="Arial"/>
                <w:sz w:val="21"/>
              </w:rPr>
            </w:pPr>
            <w:r/>
          </w:p>
        </w:tc>
        <w:tc>
          <w:tcPr>
            <w:tcW w:w="794" w:type="dxa"/>
            <w:vAlign w:val="top"/>
            <w:vMerge w:val="continue"/>
            <w:tcBorders>
              <w:top w:val="nil"/>
              <w:bottom w:val="nil"/>
            </w:tcBorders>
          </w:tcPr>
          <w:p>
            <w:pPr>
              <w:rPr>
                <w:rFonts w:ascii="Arial"/>
                <w:sz w:val="21"/>
              </w:rPr>
            </w:pPr>
            <w:r/>
          </w:p>
        </w:tc>
        <w:tc>
          <w:tcPr>
            <w:tcW w:w="3388" w:type="dxa"/>
            <w:vAlign w:val="top"/>
          </w:tcPr>
          <w:p>
            <w:pPr>
              <w:ind w:left="131" w:right="156"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99" w:type="dxa"/>
            <w:vAlign w:val="top"/>
          </w:tcPr>
          <w:p>
            <w:pPr>
              <w:ind w:left="27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87"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794" w:type="dxa"/>
            <w:vAlign w:val="top"/>
            <w:vMerge w:val="continue"/>
            <w:tcBorders>
              <w:top w:val="nil"/>
            </w:tcBorders>
          </w:tcPr>
          <w:p>
            <w:pPr>
              <w:rPr>
                <w:rFonts w:ascii="Arial"/>
                <w:sz w:val="21"/>
              </w:rPr>
            </w:pPr>
            <w:r/>
          </w:p>
        </w:tc>
        <w:tc>
          <w:tcPr>
            <w:tcW w:w="3388"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99" w:type="dxa"/>
            <w:vAlign w:val="top"/>
          </w:tcPr>
          <w:p>
            <w:pPr>
              <w:ind w:left="20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2" w:hRule="atLeast"/>
        </w:trPr>
        <w:tc>
          <w:tcPr>
            <w:tcW w:w="1387" w:type="dxa"/>
            <w:vAlign w:val="top"/>
          </w:tcPr>
          <w:p>
            <w:pPr>
              <w:ind w:left="229"/>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772" w:type="dxa"/>
            <w:vAlign w:val="top"/>
          </w:tcPr>
          <w:p>
            <w:pPr>
              <w:ind w:left="16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794" w:type="dxa"/>
            <w:vAlign w:val="top"/>
          </w:tcPr>
          <w:p>
            <w:pPr>
              <w:ind w:left="238"/>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88" w:type="dxa"/>
            <w:vAlign w:val="top"/>
          </w:tcPr>
          <w:p>
            <w:pPr>
              <w:ind w:left="12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99" w:type="dxa"/>
            <w:vAlign w:val="top"/>
          </w:tcPr>
          <w:p>
            <w:pPr>
              <w:ind w:left="21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131"/>
          <w:pgSz w:w="11905" w:h="16839"/>
          <w:pgMar w:top="1431" w:right="1730" w:bottom="1156" w:left="1729" w:header="0" w:footer="994" w:gutter="0"/>
        </w:sectPr>
        <w:rPr/>
      </w:pPr>
    </w:p>
    <w:p>
      <w:pPr>
        <w:spacing w:before="92"/>
        <w:rPr/>
      </w:pPr>
      <w:r/>
    </w:p>
    <w:p>
      <w:pPr>
        <w:spacing w:before="91"/>
        <w:rPr/>
      </w:pPr>
      <w:r/>
    </w:p>
    <w:tbl>
      <w:tblPr>
        <w:tblStyle w:val="TableNormal"/>
        <w:tblW w:w="8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772"/>
        <w:gridCol w:w="794"/>
        <w:gridCol w:w="3388"/>
        <w:gridCol w:w="1099"/>
      </w:tblGrid>
      <w:tr>
        <w:trPr>
          <w:trHeight w:val="323" w:hRule="atLeast"/>
        </w:trPr>
        <w:tc>
          <w:tcPr>
            <w:tcW w:w="1387" w:type="dxa"/>
            <w:vAlign w:val="top"/>
          </w:tcPr>
          <w:p>
            <w:pPr>
              <w:ind w:left="222"/>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772" w:type="dxa"/>
            <w:vAlign w:val="top"/>
          </w:tcPr>
          <w:p>
            <w:pPr>
              <w:ind w:left="648"/>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794" w:type="dxa"/>
            <w:vAlign w:val="top"/>
          </w:tcPr>
          <w:p>
            <w:pPr>
              <w:rPr>
                <w:rFonts w:ascii="Arial"/>
                <w:sz w:val="21"/>
              </w:rPr>
            </w:pPr>
            <w:r/>
          </w:p>
        </w:tc>
        <w:tc>
          <w:tcPr>
            <w:tcW w:w="3388" w:type="dxa"/>
            <w:vAlign w:val="top"/>
          </w:tcPr>
          <w:p>
            <w:pPr>
              <w:ind w:left="126"/>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99" w:type="dxa"/>
            <w:vAlign w:val="top"/>
          </w:tcPr>
          <w:p>
            <w:pPr>
              <w:ind w:left="452"/>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82" w:hRule="atLeast"/>
        </w:trPr>
        <w:tc>
          <w:tcPr>
            <w:tcW w:w="1387" w:type="dxa"/>
            <w:vAlign w:val="top"/>
            <w:vMerge w:val="restart"/>
            <w:tcBorders>
              <w:bottom w:val="nil"/>
            </w:tcBorders>
          </w:tcPr>
          <w:p>
            <w:pPr>
              <w:ind w:left="214" w:right="209" w:firstLine="9"/>
              <w:spacing w:before="40"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72" w:type="dxa"/>
            <w:vAlign w:val="top"/>
            <w:vMerge w:val="restart"/>
            <w:tcBorders>
              <w:bottom w:val="nil"/>
            </w:tcBorders>
          </w:tcPr>
          <w:p>
            <w:pPr>
              <w:ind w:left="167"/>
              <w:spacing w:before="4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7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78"/>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4" w:type="dxa"/>
            <w:vAlign w:val="top"/>
            <w:vMerge w:val="restart"/>
            <w:tcBorders>
              <w:bottom w:val="nil"/>
            </w:tcBorders>
          </w:tcPr>
          <w:p>
            <w:pPr>
              <w:spacing w:line="275" w:lineRule="auto"/>
              <w:rPr>
                <w:rFonts w:ascii="Arial"/>
                <w:sz w:val="21"/>
              </w:rPr>
            </w:pPr>
            <w:r/>
          </w:p>
          <w:p>
            <w:pPr>
              <w:ind w:left="23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88" w:type="dxa"/>
            <w:vAlign w:val="top"/>
          </w:tcPr>
          <w:p>
            <w:pPr>
              <w:ind w:left="118"/>
              <w:spacing w:before="12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99" w:type="dxa"/>
            <w:vAlign w:val="top"/>
          </w:tcPr>
          <w:p>
            <w:pPr>
              <w:ind w:left="210"/>
              <w:spacing w:before="12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64" w:hRule="atLeast"/>
        </w:trPr>
        <w:tc>
          <w:tcPr>
            <w:tcW w:w="1387" w:type="dxa"/>
            <w:vAlign w:val="top"/>
            <w:vMerge w:val="continue"/>
            <w:tcBorders>
              <w:top w:val="nil"/>
            </w:tcBorders>
          </w:tcPr>
          <w:p>
            <w:pPr>
              <w:rPr>
                <w:rFonts w:ascii="Arial"/>
                <w:sz w:val="21"/>
              </w:rPr>
            </w:pPr>
            <w:r/>
          </w:p>
        </w:tc>
        <w:tc>
          <w:tcPr>
            <w:tcW w:w="1772" w:type="dxa"/>
            <w:vAlign w:val="top"/>
            <w:vMerge w:val="continue"/>
            <w:tcBorders>
              <w:top w:val="nil"/>
            </w:tcBorders>
          </w:tcPr>
          <w:p>
            <w:pPr>
              <w:rPr>
                <w:rFonts w:ascii="Arial"/>
                <w:sz w:val="21"/>
              </w:rPr>
            </w:pPr>
            <w:r/>
          </w:p>
        </w:tc>
        <w:tc>
          <w:tcPr>
            <w:tcW w:w="794" w:type="dxa"/>
            <w:vAlign w:val="top"/>
            <w:vMerge w:val="continue"/>
            <w:tcBorders>
              <w:top w:val="nil"/>
            </w:tcBorders>
          </w:tcPr>
          <w:p>
            <w:pPr>
              <w:rPr>
                <w:rFonts w:ascii="Arial"/>
                <w:sz w:val="21"/>
              </w:rPr>
            </w:pPr>
            <w:r/>
          </w:p>
        </w:tc>
        <w:tc>
          <w:tcPr>
            <w:tcW w:w="3388" w:type="dxa"/>
            <w:vAlign w:val="top"/>
          </w:tcPr>
          <w:p>
            <w:pPr>
              <w:ind w:left="115"/>
              <w:spacing w:before="11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未造成社会影响或生态破坏的</w:t>
            </w:r>
          </w:p>
        </w:tc>
        <w:tc>
          <w:tcPr>
            <w:tcW w:w="1099" w:type="dxa"/>
            <w:vAlign w:val="top"/>
          </w:tcPr>
          <w:p>
            <w:pPr>
              <w:ind w:left="452"/>
              <w:spacing w:before="1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32"/>
          <w:pgSz w:w="11905" w:h="16839"/>
          <w:pgMar w:top="1431" w:right="1730" w:bottom="1156" w:left="1729" w:header="0" w:footer="994" w:gutter="0"/>
        </w:sectPr>
        <w:rPr/>
      </w:pPr>
    </w:p>
    <w:p>
      <w:pPr>
        <w:spacing w:before="4"/>
        <w:rPr/>
      </w:pPr>
      <w:r/>
    </w:p>
    <w:p>
      <w:pPr>
        <w:spacing w:before="4"/>
        <w:rPr/>
      </w:pPr>
      <w:r/>
    </w:p>
    <w:p>
      <w:pPr>
        <w:spacing w:before="4"/>
        <w:rPr/>
      </w:pPr>
      <w:r/>
    </w:p>
    <w:p>
      <w:pPr>
        <w:spacing w:before="3"/>
        <w:rPr/>
      </w:pPr>
      <w:r/>
    </w:p>
    <w:tbl>
      <w:tblPr>
        <w:tblStyle w:val="TableNormal"/>
        <w:tblW w:w="8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787"/>
        <w:gridCol w:w="894"/>
        <w:gridCol w:w="3258"/>
        <w:gridCol w:w="1114"/>
      </w:tblGrid>
      <w:tr>
        <w:trPr>
          <w:trHeight w:val="720" w:hRule="atLeast"/>
        </w:trPr>
        <w:tc>
          <w:tcPr>
            <w:tcW w:w="8440" w:type="dxa"/>
            <w:vAlign w:val="top"/>
            <w:gridSpan w:val="5"/>
          </w:tcPr>
          <w:p>
            <w:pPr>
              <w:ind w:left="17"/>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87" w:type="dxa"/>
            <w:vAlign w:val="top"/>
          </w:tcPr>
          <w:p>
            <w:pPr>
              <w:ind w:left="417"/>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53" w:type="dxa"/>
            <w:vAlign w:val="top"/>
            <w:gridSpan w:val="4"/>
          </w:tcPr>
          <w:p>
            <w:pPr>
              <w:ind w:left="3422"/>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63</w:t>
            </w:r>
          </w:p>
        </w:tc>
      </w:tr>
      <w:tr>
        <w:trPr>
          <w:trHeight w:val="716" w:hRule="atLeast"/>
        </w:trPr>
        <w:tc>
          <w:tcPr>
            <w:tcW w:w="1387" w:type="dxa"/>
            <w:vAlign w:val="top"/>
          </w:tcPr>
          <w:p>
            <w:pPr>
              <w:ind w:left="142"/>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53" w:type="dxa"/>
            <w:vAlign w:val="top"/>
            <w:gridSpan w:val="4"/>
          </w:tcPr>
          <w:p>
            <w:pPr>
              <w:ind w:left="20" w:right="77" w:hanging="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机动车排放检验机构未与生态环境主管部门联</w:t>
            </w:r>
            <w:r>
              <w:rPr>
                <w:rFonts w:ascii="FangSong_GB2312" w:hAnsi="FangSong_GB2312" w:eastAsia="FangSong_GB2312" w:cs="FangSong_GB2312"/>
                <w:sz w:val="24"/>
                <w:szCs w:val="24"/>
                <w:spacing w:val="-1"/>
              </w:rPr>
              <w:t>网，实时上传排放检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验数据、视频监控数据及其他相关管理数据和资料的</w:t>
            </w:r>
          </w:p>
        </w:tc>
      </w:tr>
      <w:tr>
        <w:trPr>
          <w:trHeight w:val="6017" w:hRule="atLeast"/>
        </w:trPr>
        <w:tc>
          <w:tcPr>
            <w:tcW w:w="1387"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150"/>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53"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7" w:right="77" w:firstLine="15"/>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第五十四条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机动车排放检验机构应当依法通过计量认证，</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rPr>
              <w:t>使用经依法检定合格的机动车排放检验设备，按</w:t>
            </w:r>
            <w:r>
              <w:rPr>
                <w:rFonts w:ascii="FangSong_GB2312" w:hAnsi="FangSong_GB2312" w:eastAsia="FangSong_GB2312" w:cs="FangSong_GB2312"/>
                <w:sz w:val="24"/>
                <w:szCs w:val="24"/>
                <w:spacing w:val="-1"/>
              </w:rPr>
              <w:t>照国务院生态环境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主管部门制定的规范，对机动车进行排放检验，</w:t>
            </w:r>
            <w:r>
              <w:rPr>
                <w:rFonts w:ascii="FangSong_GB2312" w:hAnsi="FangSong_GB2312" w:eastAsia="FangSong_GB2312" w:cs="FangSong_GB2312"/>
                <w:sz w:val="24"/>
                <w:szCs w:val="24"/>
                <w:spacing w:val="-1"/>
              </w:rPr>
              <w:t>并与生态环境主管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部门联网，实现检验数据实时共享。机动车排放</w:t>
            </w:r>
            <w:r>
              <w:rPr>
                <w:rFonts w:ascii="FangSong_GB2312" w:hAnsi="FangSong_GB2312" w:eastAsia="FangSong_GB2312" w:cs="FangSong_GB2312"/>
                <w:sz w:val="24"/>
                <w:szCs w:val="24"/>
                <w:spacing w:val="-1"/>
              </w:rPr>
              <w:t>检验机构及其负责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人对检验数据的真实性和准确性负责。</w:t>
            </w:r>
          </w:p>
          <w:p>
            <w:pPr>
              <w:spacing w:line="274"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《河北省机动车和非道路移动机械排放污染防治条例》</w:t>
            </w:r>
          </w:p>
          <w:p>
            <w:pPr>
              <w:ind w:left="14" w:right="77" w:firstLine="17"/>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第二十七条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机动车排放检验机构应当依法取得资质，接受生态环</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rPr>
              <w:t>境、市场监督管理等部门的监督管理，并遵守</w:t>
            </w:r>
            <w:r>
              <w:rPr>
                <w:rFonts w:ascii="FangSong_GB2312" w:hAnsi="FangSong_GB2312" w:eastAsia="FangSong_GB2312" w:cs="FangSong_GB2312"/>
                <w:sz w:val="24"/>
                <w:szCs w:val="24"/>
                <w:spacing w:val="-1"/>
              </w:rPr>
              <w:t>下列规定：</w:t>
            </w:r>
          </w:p>
          <w:p>
            <w:pPr>
              <w:ind w:left="22" w:right="77" w:hanging="7"/>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（四）与生态环境主管部门联网，实时上传排放检</w:t>
            </w:r>
            <w:r>
              <w:rPr>
                <w:rFonts w:ascii="FangSong_GB2312" w:hAnsi="FangSong_GB2312" w:eastAsia="FangSong_GB2312" w:cs="FangSong_GB2312"/>
                <w:sz w:val="24"/>
                <w:szCs w:val="24"/>
                <w:spacing w:val="-1"/>
              </w:rPr>
              <w:t>验数据、视频监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控数据及其他相关管理数据和资料；</w:t>
            </w:r>
          </w:p>
          <w:p>
            <w:pPr>
              <w:spacing w:line="270" w:lineRule="auto"/>
              <w:rPr>
                <w:rFonts w:ascii="Arial"/>
                <w:sz w:val="21"/>
              </w:rPr>
            </w:pPr>
            <w:r/>
          </w:p>
          <w:p>
            <w:pPr>
              <w:ind w:left="3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b/>
                <w:bCs/>
                <w:spacing w:val="-3"/>
              </w:rPr>
              <w:t>河北省机动车和非道路移动机械排放污染防治条例》</w:t>
            </w:r>
          </w:p>
          <w:p>
            <w:pPr>
              <w:ind w:left="34" w:right="77" w:hanging="2"/>
              <w:spacing w:before="4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第四十六条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违反本条例规定，机动车排放检验机构有下列行为之</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一的，由生态环境主管部门责令改正，按照下列规定处罚：</w:t>
            </w:r>
          </w:p>
          <w:p>
            <w:pPr>
              <w:ind w:left="28" w:hanging="13"/>
              <w:spacing w:before="3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（三）未与生态环境主管部门联网，或者未向生态环境主管部门实</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6"/>
              </w:rPr>
              <w:t>时上传排放检验数据、视频监控数据及其他相关管理数据和资</w:t>
            </w:r>
            <w:r>
              <w:rPr>
                <w:rFonts w:ascii="FangSong_GB2312" w:hAnsi="FangSong_GB2312" w:eastAsia="FangSong_GB2312" w:cs="FangSong_GB2312"/>
                <w:sz w:val="24"/>
                <w:szCs w:val="24"/>
                <w:spacing w:val="-7"/>
              </w:rPr>
              <w:t>料的，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处二万元以上五万元以下的罚款；</w:t>
            </w:r>
          </w:p>
        </w:tc>
      </w:tr>
      <w:tr>
        <w:trPr>
          <w:trHeight w:val="635" w:hRule="atLeast"/>
        </w:trPr>
        <w:tc>
          <w:tcPr>
            <w:tcW w:w="4068" w:type="dxa"/>
            <w:vAlign w:val="top"/>
            <w:gridSpan w:val="3"/>
          </w:tcPr>
          <w:p>
            <w:pPr>
              <w:ind w:left="148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2" w:type="dxa"/>
            <w:vAlign w:val="top"/>
            <w:gridSpan w:val="2"/>
          </w:tcPr>
          <w:p>
            <w:pPr>
              <w:ind w:left="164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6"/>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87" w:type="dxa"/>
            <w:vAlign w:val="top"/>
          </w:tcPr>
          <w:p>
            <w:pPr>
              <w:ind w:left="46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894" w:type="dxa"/>
            <w:vAlign w:val="top"/>
          </w:tcPr>
          <w:p>
            <w:pPr>
              <w:ind w:left="263" w:right="22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8" w:type="dxa"/>
            <w:vAlign w:val="top"/>
          </w:tcPr>
          <w:p>
            <w:pPr>
              <w:ind w:left="141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4" w:type="dxa"/>
            <w:vAlign w:val="top"/>
          </w:tcPr>
          <w:p>
            <w:pPr>
              <w:ind w:left="241"/>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387"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ind w:left="345" w:right="209"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87" w:type="dxa"/>
            <w:vAlign w:val="top"/>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18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894"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8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58" w:type="dxa"/>
            <w:vAlign w:val="top"/>
          </w:tcPr>
          <w:p>
            <w:pPr>
              <w:ind w:left="110" w:right="103" w:firstLine="34"/>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向生态环境主管部门实时上</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7"/>
              </w:rPr>
              <w:t>传的排放检验数据、视频监控</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数据及其他相关管理数据和</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资料不全的</w:t>
            </w:r>
          </w:p>
        </w:tc>
        <w:tc>
          <w:tcPr>
            <w:tcW w:w="1114" w:type="dxa"/>
            <w:vAlign w:val="top"/>
          </w:tcPr>
          <w:p>
            <w:pPr>
              <w:spacing w:line="433" w:lineRule="auto"/>
              <w:rPr>
                <w:rFonts w:ascii="Arial"/>
                <w:sz w:val="21"/>
              </w:rPr>
            </w:pPr>
            <w:r/>
          </w:p>
          <w:p>
            <w:pPr>
              <w:ind w:left="2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1%-25%</w:t>
            </w:r>
          </w:p>
        </w:tc>
      </w:tr>
      <w:tr>
        <w:trPr>
          <w:trHeight w:val="635" w:hRule="atLeast"/>
        </w:trPr>
        <w:tc>
          <w:tcPr>
            <w:tcW w:w="1387" w:type="dxa"/>
            <w:vAlign w:val="top"/>
            <w:vMerge w:val="continue"/>
            <w:tcBorders>
              <w:top w:val="nil"/>
            </w:tcBorders>
          </w:tcPr>
          <w:p>
            <w:pPr>
              <w:rPr>
                <w:rFonts w:ascii="Arial"/>
                <w:sz w:val="21"/>
              </w:rPr>
            </w:pPr>
            <w:r/>
          </w:p>
        </w:tc>
        <w:tc>
          <w:tcPr>
            <w:tcW w:w="1787" w:type="dxa"/>
            <w:vAlign w:val="top"/>
            <w:vMerge w:val="continue"/>
            <w:tcBorders>
              <w:top w:val="nil"/>
            </w:tcBorders>
          </w:tcPr>
          <w:p>
            <w:pPr>
              <w:rPr>
                <w:rFonts w:ascii="Arial"/>
                <w:sz w:val="21"/>
              </w:rPr>
            </w:pPr>
            <w:r/>
          </w:p>
        </w:tc>
        <w:tc>
          <w:tcPr>
            <w:tcW w:w="894" w:type="dxa"/>
            <w:vAlign w:val="top"/>
            <w:vMerge w:val="continue"/>
            <w:tcBorders>
              <w:top w:val="nil"/>
            </w:tcBorders>
          </w:tcPr>
          <w:p>
            <w:pPr>
              <w:rPr>
                <w:rFonts w:ascii="Arial"/>
                <w:sz w:val="21"/>
              </w:rPr>
            </w:pPr>
            <w:r/>
          </w:p>
        </w:tc>
        <w:tc>
          <w:tcPr>
            <w:tcW w:w="3258" w:type="dxa"/>
            <w:vAlign w:val="top"/>
          </w:tcPr>
          <w:p>
            <w:pPr>
              <w:ind w:left="135" w:right="266" w:hanging="2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未与生态环境主管部门联网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4" w:type="dxa"/>
            <w:vAlign w:val="top"/>
          </w:tcPr>
          <w:p>
            <w:pPr>
              <w:ind w:left="15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26%-50%</w:t>
            </w:r>
          </w:p>
        </w:tc>
      </w:tr>
      <w:tr>
        <w:trPr>
          <w:trHeight w:val="320" w:hRule="atLeast"/>
        </w:trPr>
        <w:tc>
          <w:tcPr>
            <w:tcW w:w="1387" w:type="dxa"/>
            <w:vAlign w:val="top"/>
            <w:vMerge w:val="restart"/>
            <w:tcBorders>
              <w:bottom w:val="nil"/>
            </w:tcBorders>
          </w:tcPr>
          <w:p>
            <w:pPr>
              <w:spacing w:line="448"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87" w:type="dxa"/>
            <w:vAlign w:val="top"/>
            <w:vMerge w:val="restart"/>
            <w:tcBorders>
              <w:bottom w:val="nil"/>
            </w:tcBorders>
          </w:tcPr>
          <w:p>
            <w:pPr>
              <w:spacing w:line="292" w:lineRule="auto"/>
              <w:rPr>
                <w:rFonts w:ascii="Arial"/>
                <w:sz w:val="21"/>
              </w:rPr>
            </w:pPr>
            <w:r/>
          </w:p>
          <w:p>
            <w:pPr>
              <w:ind w:left="784" w:right="17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894" w:type="dxa"/>
            <w:vAlign w:val="top"/>
            <w:vMerge w:val="restart"/>
            <w:tcBorders>
              <w:bottom w:val="nil"/>
            </w:tcBorders>
          </w:tcPr>
          <w:p>
            <w:pPr>
              <w:spacing w:line="449" w:lineRule="auto"/>
              <w:rPr>
                <w:rFonts w:ascii="Arial"/>
                <w:sz w:val="21"/>
              </w:rPr>
            </w:pPr>
            <w:r/>
          </w:p>
          <w:p>
            <w:pPr>
              <w:ind w:left="28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8"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4" w:type="dxa"/>
            <w:vAlign w:val="top"/>
          </w:tcPr>
          <w:p>
            <w:pPr>
              <w:ind w:left="45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vMerge w:val="continue"/>
            <w:tcBorders>
              <w:top w:val="nil"/>
              <w:bottom w:val="nil"/>
            </w:tcBorders>
          </w:tcPr>
          <w:p>
            <w:pPr>
              <w:rPr>
                <w:rFonts w:ascii="Arial"/>
                <w:sz w:val="21"/>
              </w:rPr>
            </w:pPr>
            <w:r/>
          </w:p>
        </w:tc>
        <w:tc>
          <w:tcPr>
            <w:tcW w:w="1787" w:type="dxa"/>
            <w:vAlign w:val="top"/>
            <w:vMerge w:val="continue"/>
            <w:tcBorders>
              <w:top w:val="nil"/>
              <w:bottom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3258"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4" w:type="dxa"/>
            <w:vAlign w:val="top"/>
          </w:tcPr>
          <w:p>
            <w:pPr>
              <w:ind w:left="39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vMerge w:val="continue"/>
            <w:tcBorders>
              <w:top w:val="nil"/>
              <w:bottom w:val="nil"/>
            </w:tcBorders>
          </w:tcPr>
          <w:p>
            <w:pPr>
              <w:rPr>
                <w:rFonts w:ascii="Arial"/>
                <w:sz w:val="21"/>
              </w:rPr>
            </w:pPr>
            <w:r/>
          </w:p>
        </w:tc>
        <w:tc>
          <w:tcPr>
            <w:tcW w:w="1787" w:type="dxa"/>
            <w:vAlign w:val="top"/>
            <w:vMerge w:val="continue"/>
            <w:tcBorders>
              <w:top w:val="nil"/>
              <w:bottom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3258"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4" w:type="dxa"/>
            <w:vAlign w:val="top"/>
          </w:tcPr>
          <w:p>
            <w:pPr>
              <w:ind w:left="39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2" w:hRule="atLeast"/>
        </w:trPr>
        <w:tc>
          <w:tcPr>
            <w:tcW w:w="1387" w:type="dxa"/>
            <w:vAlign w:val="top"/>
            <w:vMerge w:val="continue"/>
            <w:tcBorders>
              <w:top w:val="nil"/>
            </w:tcBorders>
          </w:tcPr>
          <w:p>
            <w:pPr>
              <w:rPr>
                <w:rFonts w:ascii="Arial"/>
                <w:sz w:val="21"/>
              </w:rPr>
            </w:pPr>
            <w:r/>
          </w:p>
        </w:tc>
        <w:tc>
          <w:tcPr>
            <w:tcW w:w="1787" w:type="dxa"/>
            <w:vAlign w:val="top"/>
            <w:vMerge w:val="continue"/>
            <w:tcBorders>
              <w:top w:val="nil"/>
            </w:tcBorders>
          </w:tcPr>
          <w:p>
            <w:pPr>
              <w:rPr>
                <w:rFonts w:ascii="Arial"/>
                <w:sz w:val="21"/>
              </w:rPr>
            </w:pPr>
            <w:r/>
          </w:p>
        </w:tc>
        <w:tc>
          <w:tcPr>
            <w:tcW w:w="894" w:type="dxa"/>
            <w:vAlign w:val="top"/>
            <w:vMerge w:val="continue"/>
            <w:tcBorders>
              <w:top w:val="nil"/>
            </w:tcBorders>
          </w:tcPr>
          <w:p>
            <w:pPr>
              <w:rPr>
                <w:rFonts w:ascii="Arial"/>
                <w:sz w:val="21"/>
              </w:rPr>
            </w:pPr>
            <w:r/>
          </w:p>
        </w:tc>
        <w:tc>
          <w:tcPr>
            <w:tcW w:w="3258" w:type="dxa"/>
            <w:vAlign w:val="top"/>
          </w:tcPr>
          <w:p>
            <w:pPr>
              <w:ind w:left="13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4" w:type="dxa"/>
            <w:vAlign w:val="top"/>
          </w:tcPr>
          <w:p>
            <w:pPr>
              <w:ind w:left="392"/>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bl>
    <w:p>
      <w:pPr>
        <w:pStyle w:val="BodyText"/>
        <w:rPr/>
      </w:pPr>
      <w:r/>
    </w:p>
    <w:p>
      <w:pPr>
        <w:sectPr>
          <w:footerReference w:type="default" r:id="rId133"/>
          <w:pgSz w:w="11905" w:h="16839"/>
          <w:pgMar w:top="1431" w:right="1730" w:bottom="1156" w:left="1729" w:header="0" w:footer="994" w:gutter="0"/>
        </w:sectPr>
        <w:rPr/>
      </w:pPr>
    </w:p>
    <w:p>
      <w:pPr>
        <w:spacing w:before="92"/>
        <w:rPr/>
      </w:pPr>
      <w:r/>
    </w:p>
    <w:p>
      <w:pPr>
        <w:spacing w:before="91"/>
        <w:rPr/>
      </w:pPr>
      <w:r/>
    </w:p>
    <w:tbl>
      <w:tblPr>
        <w:tblStyle w:val="TableNormal"/>
        <w:tblW w:w="8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787"/>
        <w:gridCol w:w="894"/>
        <w:gridCol w:w="3258"/>
        <w:gridCol w:w="1114"/>
      </w:tblGrid>
      <w:tr>
        <w:trPr>
          <w:trHeight w:val="324" w:hRule="atLeast"/>
        </w:trPr>
        <w:tc>
          <w:tcPr>
            <w:tcW w:w="1387" w:type="dxa"/>
            <w:vAlign w:val="top"/>
            <w:vMerge w:val="restart"/>
            <w:tcBorders>
              <w:bottom w:val="nil"/>
            </w:tcBorders>
          </w:tcPr>
          <w:p>
            <w:pPr>
              <w:spacing w:line="443" w:lineRule="auto"/>
              <w:rPr>
                <w:rFonts w:ascii="Arial"/>
                <w:sz w:val="21"/>
              </w:rPr>
            </w:pPr>
            <w:r/>
          </w:p>
          <w:p>
            <w:pPr>
              <w:ind w:left="22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87" w:type="dxa"/>
            <w:vAlign w:val="top"/>
            <w:vMerge w:val="restart"/>
            <w:tcBorders>
              <w:bottom w:val="nil"/>
            </w:tcBorders>
          </w:tcPr>
          <w:p>
            <w:pPr>
              <w:spacing w:line="444"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894" w:type="dxa"/>
            <w:vAlign w:val="top"/>
            <w:vMerge w:val="restart"/>
            <w:tcBorders>
              <w:bottom w:val="nil"/>
            </w:tcBorders>
          </w:tcPr>
          <w:p>
            <w:pPr>
              <w:spacing w:line="443" w:lineRule="auto"/>
              <w:rPr>
                <w:rFonts w:ascii="Arial"/>
                <w:sz w:val="21"/>
              </w:rPr>
            </w:pPr>
            <w:r/>
          </w:p>
          <w:p>
            <w:pPr>
              <w:ind w:left="28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8" w:type="dxa"/>
            <w:vAlign w:val="top"/>
          </w:tcPr>
          <w:p>
            <w:pPr>
              <w:ind w:left="11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4" w:type="dxa"/>
            <w:vAlign w:val="top"/>
          </w:tcPr>
          <w:p>
            <w:pPr>
              <w:ind w:left="46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387" w:type="dxa"/>
            <w:vAlign w:val="top"/>
            <w:vMerge w:val="continue"/>
            <w:tcBorders>
              <w:top w:val="nil"/>
              <w:bottom w:val="nil"/>
            </w:tcBorders>
          </w:tcPr>
          <w:p>
            <w:pPr>
              <w:rPr>
                <w:rFonts w:ascii="Arial"/>
                <w:sz w:val="21"/>
              </w:rPr>
            </w:pPr>
            <w:r/>
          </w:p>
        </w:tc>
        <w:tc>
          <w:tcPr>
            <w:tcW w:w="1787" w:type="dxa"/>
            <w:vAlign w:val="top"/>
            <w:vMerge w:val="continue"/>
            <w:tcBorders>
              <w:top w:val="nil"/>
              <w:bottom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3258" w:type="dxa"/>
            <w:vAlign w:val="top"/>
          </w:tcPr>
          <w:p>
            <w:pPr>
              <w:ind w:left="123" w:right="266"/>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4" w:type="dxa"/>
            <w:vAlign w:val="top"/>
          </w:tcPr>
          <w:p>
            <w:pPr>
              <w:ind w:left="278"/>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387" w:type="dxa"/>
            <w:vAlign w:val="top"/>
            <w:vMerge w:val="continue"/>
            <w:tcBorders>
              <w:top w:val="nil"/>
            </w:tcBorders>
          </w:tcPr>
          <w:p>
            <w:pPr>
              <w:rPr>
                <w:rFonts w:ascii="Arial"/>
                <w:sz w:val="21"/>
              </w:rPr>
            </w:pPr>
            <w:r/>
          </w:p>
        </w:tc>
        <w:tc>
          <w:tcPr>
            <w:tcW w:w="1787" w:type="dxa"/>
            <w:vAlign w:val="top"/>
            <w:vMerge w:val="continue"/>
            <w:tcBorders>
              <w:top w:val="nil"/>
            </w:tcBorders>
          </w:tcPr>
          <w:p>
            <w:pPr>
              <w:rPr>
                <w:rFonts w:ascii="Arial"/>
                <w:sz w:val="21"/>
              </w:rPr>
            </w:pPr>
            <w:r/>
          </w:p>
        </w:tc>
        <w:tc>
          <w:tcPr>
            <w:tcW w:w="894" w:type="dxa"/>
            <w:vAlign w:val="top"/>
            <w:vMerge w:val="continue"/>
            <w:tcBorders>
              <w:top w:val="nil"/>
            </w:tcBorders>
          </w:tcPr>
          <w:p>
            <w:pPr>
              <w:rPr>
                <w:rFonts w:ascii="Arial"/>
                <w:sz w:val="21"/>
              </w:rPr>
            </w:pPr>
            <w:r/>
          </w:p>
        </w:tc>
        <w:tc>
          <w:tcPr>
            <w:tcW w:w="3258" w:type="dxa"/>
            <w:vAlign w:val="top"/>
          </w:tcPr>
          <w:p>
            <w:pPr>
              <w:ind w:left="12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4" w:type="dxa"/>
            <w:vAlign w:val="top"/>
          </w:tcPr>
          <w:p>
            <w:pPr>
              <w:ind w:left="21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387" w:type="dxa"/>
            <w:vAlign w:val="top"/>
            <w:vMerge w:val="restart"/>
            <w:tcBorders>
              <w:bottom w:val="nil"/>
            </w:tcBorders>
          </w:tcPr>
          <w:p>
            <w:pPr>
              <w:ind w:left="222" w:right="209"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87" w:type="dxa"/>
            <w:vAlign w:val="top"/>
            <w:vMerge w:val="restart"/>
            <w:tcBorders>
              <w:bottom w:val="nil"/>
            </w:tcBorders>
          </w:tcPr>
          <w:p>
            <w:pPr>
              <w:ind w:left="654" w:right="172"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894" w:type="dxa"/>
            <w:vAlign w:val="top"/>
            <w:vMerge w:val="restart"/>
            <w:tcBorders>
              <w:bottom w:val="nil"/>
            </w:tcBorders>
          </w:tcPr>
          <w:p>
            <w:pPr>
              <w:ind w:left="288"/>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8" w:type="dxa"/>
            <w:vAlign w:val="top"/>
          </w:tcPr>
          <w:p>
            <w:pPr>
              <w:ind w:left="120"/>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4" w:type="dxa"/>
            <w:vAlign w:val="top"/>
          </w:tcPr>
          <w:p>
            <w:pPr>
              <w:ind w:left="218"/>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387" w:type="dxa"/>
            <w:vAlign w:val="top"/>
            <w:vMerge w:val="continue"/>
            <w:tcBorders>
              <w:top w:val="nil"/>
            </w:tcBorders>
          </w:tcPr>
          <w:p>
            <w:pPr>
              <w:rPr>
                <w:rFonts w:ascii="Arial"/>
                <w:sz w:val="21"/>
              </w:rPr>
            </w:pPr>
            <w:r/>
          </w:p>
        </w:tc>
        <w:tc>
          <w:tcPr>
            <w:tcW w:w="1787" w:type="dxa"/>
            <w:vAlign w:val="top"/>
            <w:vMerge w:val="continue"/>
            <w:tcBorders>
              <w:top w:val="nil"/>
            </w:tcBorders>
          </w:tcPr>
          <w:p>
            <w:pPr>
              <w:rPr>
                <w:rFonts w:ascii="Arial"/>
                <w:sz w:val="21"/>
              </w:rPr>
            </w:pPr>
            <w:r/>
          </w:p>
        </w:tc>
        <w:tc>
          <w:tcPr>
            <w:tcW w:w="894" w:type="dxa"/>
            <w:vAlign w:val="top"/>
            <w:vMerge w:val="continue"/>
            <w:tcBorders>
              <w:top w:val="nil"/>
            </w:tcBorders>
          </w:tcPr>
          <w:p>
            <w:pPr>
              <w:rPr>
                <w:rFonts w:ascii="Arial"/>
                <w:sz w:val="21"/>
              </w:rPr>
            </w:pPr>
            <w:r/>
          </w:p>
        </w:tc>
        <w:tc>
          <w:tcPr>
            <w:tcW w:w="3258" w:type="dxa"/>
            <w:vAlign w:val="top"/>
          </w:tcPr>
          <w:p>
            <w:pPr>
              <w:ind w:left="126"/>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4" w:type="dxa"/>
            <w:vAlign w:val="top"/>
          </w:tcPr>
          <w:p>
            <w:pPr>
              <w:ind w:left="460"/>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387" w:type="dxa"/>
            <w:vAlign w:val="top"/>
            <w:vMerge w:val="restart"/>
            <w:tcBorders>
              <w:bottom w:val="nil"/>
            </w:tcBorders>
          </w:tcPr>
          <w:p>
            <w:pPr>
              <w:ind w:left="214" w:right="209" w:firstLine="9"/>
              <w:spacing w:before="4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87" w:type="dxa"/>
            <w:vAlign w:val="top"/>
            <w:vMerge w:val="restart"/>
            <w:tcBorders>
              <w:bottom w:val="nil"/>
            </w:tcBorders>
          </w:tcPr>
          <w:p>
            <w:pPr>
              <w:ind w:left="174"/>
              <w:spacing w:before="4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8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86"/>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894" w:type="dxa"/>
            <w:vAlign w:val="top"/>
            <w:vMerge w:val="restart"/>
            <w:tcBorders>
              <w:bottom w:val="nil"/>
            </w:tcBorders>
          </w:tcPr>
          <w:p>
            <w:pPr>
              <w:spacing w:line="283" w:lineRule="auto"/>
              <w:rPr>
                <w:rFonts w:ascii="Arial"/>
                <w:sz w:val="21"/>
              </w:rPr>
            </w:pPr>
            <w:r/>
          </w:p>
          <w:p>
            <w:pPr>
              <w:ind w:left="28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8"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4" w:type="dxa"/>
            <w:vAlign w:val="top"/>
          </w:tcPr>
          <w:p>
            <w:pPr>
              <w:ind w:left="25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9" w:hRule="atLeast"/>
        </w:trPr>
        <w:tc>
          <w:tcPr>
            <w:tcW w:w="1387" w:type="dxa"/>
            <w:vAlign w:val="top"/>
            <w:vMerge w:val="continue"/>
            <w:tcBorders>
              <w:top w:val="nil"/>
            </w:tcBorders>
          </w:tcPr>
          <w:p>
            <w:pPr>
              <w:rPr>
                <w:rFonts w:ascii="Arial"/>
                <w:sz w:val="21"/>
              </w:rPr>
            </w:pPr>
            <w:r/>
          </w:p>
        </w:tc>
        <w:tc>
          <w:tcPr>
            <w:tcW w:w="1787" w:type="dxa"/>
            <w:vAlign w:val="top"/>
            <w:vMerge w:val="continue"/>
            <w:tcBorders>
              <w:top w:val="nil"/>
            </w:tcBorders>
          </w:tcPr>
          <w:p>
            <w:pPr>
              <w:rPr>
                <w:rFonts w:ascii="Arial"/>
                <w:sz w:val="21"/>
              </w:rPr>
            </w:pPr>
            <w:r/>
          </w:p>
        </w:tc>
        <w:tc>
          <w:tcPr>
            <w:tcW w:w="894" w:type="dxa"/>
            <w:vAlign w:val="top"/>
            <w:vMerge w:val="continue"/>
            <w:tcBorders>
              <w:top w:val="nil"/>
            </w:tcBorders>
          </w:tcPr>
          <w:p>
            <w:pPr>
              <w:rPr>
                <w:rFonts w:ascii="Arial"/>
                <w:sz w:val="21"/>
              </w:rPr>
            </w:pPr>
            <w:r/>
          </w:p>
        </w:tc>
        <w:tc>
          <w:tcPr>
            <w:tcW w:w="3258" w:type="dxa"/>
            <w:vAlign w:val="top"/>
          </w:tcPr>
          <w:p>
            <w:pPr>
              <w:ind w:left="135" w:right="266"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4" w:type="dxa"/>
            <w:vAlign w:val="top"/>
          </w:tcPr>
          <w:p>
            <w:pPr>
              <w:ind w:left="46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34"/>
          <w:pgSz w:w="11905" w:h="16839"/>
          <w:pgMar w:top="1431" w:right="1730" w:bottom="1156" w:left="1729" w:header="0" w:footer="994" w:gutter="0"/>
        </w:sectPr>
        <w:rPr/>
      </w:pPr>
    </w:p>
    <w:p>
      <w:pPr>
        <w:spacing w:before="4"/>
        <w:rPr/>
      </w:pPr>
      <w:r/>
    </w:p>
    <w:p>
      <w:pPr>
        <w:spacing w:before="4"/>
        <w:rPr/>
      </w:pPr>
      <w:r/>
    </w:p>
    <w:p>
      <w:pPr>
        <w:spacing w:before="4"/>
        <w:rPr/>
      </w:pPr>
      <w:r/>
    </w:p>
    <w:p>
      <w:pPr>
        <w:spacing w:before="3"/>
        <w:rPr/>
      </w:pPr>
      <w:r/>
    </w:p>
    <w:tbl>
      <w:tblPr>
        <w:tblStyle w:val="TableNormal"/>
        <w:tblW w:w="84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288"/>
        <w:gridCol w:w="1099"/>
      </w:tblGrid>
      <w:tr>
        <w:trPr>
          <w:trHeight w:val="720" w:hRule="atLeast"/>
        </w:trPr>
        <w:tc>
          <w:tcPr>
            <w:tcW w:w="8455" w:type="dxa"/>
            <w:vAlign w:val="top"/>
            <w:gridSpan w:val="5"/>
          </w:tcPr>
          <w:p>
            <w:pPr>
              <w:ind w:left="225"/>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87" w:type="dxa"/>
            <w:vAlign w:val="top"/>
          </w:tcPr>
          <w:p>
            <w:pPr>
              <w:ind w:left="417"/>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68" w:type="dxa"/>
            <w:vAlign w:val="top"/>
            <w:gridSpan w:val="4"/>
          </w:tcPr>
          <w:p>
            <w:pPr>
              <w:ind w:left="3429"/>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64</w:t>
            </w:r>
          </w:p>
        </w:tc>
      </w:tr>
      <w:tr>
        <w:trPr>
          <w:trHeight w:val="716" w:hRule="atLeast"/>
        </w:trPr>
        <w:tc>
          <w:tcPr>
            <w:tcW w:w="1387" w:type="dxa"/>
            <w:vAlign w:val="top"/>
          </w:tcPr>
          <w:p>
            <w:pPr>
              <w:ind w:left="142"/>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68" w:type="dxa"/>
            <w:vAlign w:val="top"/>
            <w:gridSpan w:val="4"/>
          </w:tcPr>
          <w:p>
            <w:pPr>
              <w:ind w:left="25" w:right="92" w:hanging="7"/>
              <w:spacing w:before="8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机动车排放检验机构未按照国家及本省规定的</w:t>
            </w:r>
            <w:r>
              <w:rPr>
                <w:rFonts w:ascii="FangSong_GB2312" w:hAnsi="FangSong_GB2312" w:eastAsia="FangSong_GB2312" w:cs="FangSong_GB2312"/>
                <w:sz w:val="24"/>
                <w:szCs w:val="24"/>
                <w:spacing w:val="-1"/>
              </w:rPr>
              <w:t>检验方法、技术规范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和排放标准进行排放检验的</w:t>
            </w:r>
          </w:p>
        </w:tc>
      </w:tr>
      <w:tr>
        <w:trPr>
          <w:trHeight w:val="3813" w:hRule="atLeast"/>
        </w:trPr>
        <w:tc>
          <w:tcPr>
            <w:tcW w:w="1387"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14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68" w:type="dxa"/>
            <w:vAlign w:val="top"/>
            <w:gridSpan w:val="4"/>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《河北省机动车和非道路移动机械排放污染防治条例》</w:t>
            </w:r>
          </w:p>
          <w:p>
            <w:pPr>
              <w:ind w:left="14" w:right="87" w:firstLine="17"/>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机动车排放检验机构应当依法取得资质，接受生态环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境、市场监督管理等部门的监督管理，并遵守</w:t>
            </w:r>
            <w:r>
              <w:rPr>
                <w:rFonts w:ascii="FangSong_GB2312" w:hAnsi="FangSong_GB2312" w:eastAsia="FangSong_GB2312" w:cs="FangSong_GB2312"/>
                <w:sz w:val="24"/>
                <w:szCs w:val="24"/>
                <w:spacing w:val="-1"/>
              </w:rPr>
              <w:t>下列规定：</w:t>
            </w:r>
          </w:p>
          <w:p>
            <w:pPr>
              <w:ind w:left="22" w:right="92" w:hanging="7"/>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（三）按照国家及本省规定的检验方法、技术规范</w:t>
            </w:r>
            <w:r>
              <w:rPr>
                <w:rFonts w:ascii="FangSong_GB2312" w:hAnsi="FangSong_GB2312" w:eastAsia="FangSong_GB2312" w:cs="FangSong_GB2312"/>
                <w:sz w:val="24"/>
                <w:szCs w:val="24"/>
                <w:spacing w:val="-1"/>
              </w:rPr>
              <w:t>和排放标准进行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排放检验，出具由生态环境主管部门统一编码的排放检验报告，不</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得出具虚假排放检验报告；</w:t>
            </w:r>
          </w:p>
          <w:p>
            <w:pPr>
              <w:spacing w:line="272"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b/>
                <w:bCs/>
                <w:spacing w:val="-2"/>
              </w:rPr>
              <w:t>河北省机动车和非道路移动机械排放</w:t>
            </w:r>
            <w:r>
              <w:rPr>
                <w:rFonts w:ascii="FangSong_GB2312" w:hAnsi="FangSong_GB2312" w:eastAsia="FangSong_GB2312" w:cs="FangSong_GB2312"/>
                <w:sz w:val="24"/>
                <w:szCs w:val="24"/>
                <w:b/>
                <w:bCs/>
                <w:spacing w:val="-3"/>
              </w:rPr>
              <w:t>污染防治条例》</w:t>
            </w:r>
          </w:p>
          <w:p>
            <w:pPr>
              <w:ind w:left="34" w:right="87" w:hanging="2"/>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违反本条例规定，机动车排放检验机构有下列行为之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一的，由生态环境主管部门责令改正，按照下列规定处罚：</w:t>
            </w:r>
          </w:p>
          <w:p>
            <w:pPr>
              <w:ind w:left="24" w:right="92" w:hanging="9"/>
              <w:spacing w:before="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（四）未按照国家及本省规定的排放检验方法、技</w:t>
            </w:r>
            <w:r>
              <w:rPr>
                <w:rFonts w:ascii="FangSong_GB2312" w:hAnsi="FangSong_GB2312" w:eastAsia="FangSong_GB2312" w:cs="FangSong_GB2312"/>
                <w:sz w:val="24"/>
                <w:szCs w:val="24"/>
                <w:spacing w:val="-1"/>
              </w:rPr>
              <w:t>术规范和排放标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准进行排放检验的，处十万元以上二十万元以下的罚款。</w:t>
            </w:r>
          </w:p>
        </w:tc>
      </w:tr>
      <w:tr>
        <w:trPr>
          <w:trHeight w:val="635" w:hRule="atLeast"/>
        </w:trPr>
        <w:tc>
          <w:tcPr>
            <w:tcW w:w="4068" w:type="dxa"/>
            <w:vAlign w:val="top"/>
            <w:gridSpan w:val="3"/>
          </w:tcPr>
          <w:p>
            <w:pPr>
              <w:ind w:left="1480"/>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87" w:type="dxa"/>
            <w:vAlign w:val="top"/>
            <w:gridSpan w:val="2"/>
          </w:tcPr>
          <w:p>
            <w:pPr>
              <w:ind w:left="1651"/>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6"/>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8" w:type="dxa"/>
            <w:vAlign w:val="top"/>
          </w:tcPr>
          <w:p>
            <w:pPr>
              <w:ind w:left="1432"/>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99" w:type="dxa"/>
            <w:vAlign w:val="top"/>
          </w:tcPr>
          <w:p>
            <w:pPr>
              <w:ind w:left="234"/>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387"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345" w:right="210"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60%</w:t>
            </w:r>
          </w:p>
        </w:tc>
        <w:tc>
          <w:tcPr>
            <w:tcW w:w="3288" w:type="dxa"/>
            <w:vAlign w:val="top"/>
          </w:tcPr>
          <w:p>
            <w:pPr>
              <w:ind w:left="115" w:right="105"/>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未按照规定的排放检验方法、</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技术规范和排放标准进行排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放检验</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6"/>
              </w:rPr>
              <w:t>辆以下的</w:t>
            </w:r>
          </w:p>
        </w:tc>
        <w:tc>
          <w:tcPr>
            <w:tcW w:w="1099" w:type="dxa"/>
            <w:vAlign w:val="top"/>
          </w:tcPr>
          <w:p>
            <w:pPr>
              <w:spacing w:line="276" w:lineRule="auto"/>
              <w:rPr>
                <w:rFonts w:ascii="Arial"/>
                <w:sz w:val="21"/>
              </w:rPr>
            </w:pPr>
            <w:r/>
          </w:p>
          <w:p>
            <w:pPr>
              <w:ind w:left="21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94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8" w:type="dxa"/>
            <w:vAlign w:val="top"/>
          </w:tcPr>
          <w:p>
            <w:pPr>
              <w:ind w:left="115" w:right="105"/>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未按照规定的排放检验方法、</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技术规范和排放标准进行排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放检验</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6"/>
              </w:rPr>
              <w:t>辆及以上的</w:t>
            </w:r>
          </w:p>
        </w:tc>
        <w:tc>
          <w:tcPr>
            <w:tcW w:w="1099" w:type="dxa"/>
            <w:vAlign w:val="top"/>
          </w:tcPr>
          <w:p>
            <w:pPr>
              <w:spacing w:line="277" w:lineRule="auto"/>
              <w:rPr>
                <w:rFonts w:ascii="Arial"/>
                <w:sz w:val="21"/>
              </w:rPr>
            </w:pPr>
            <w:r/>
          </w:p>
          <w:p>
            <w:pPr>
              <w:ind w:left="15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31%-60%</w:t>
            </w:r>
          </w:p>
        </w:tc>
      </w:tr>
      <w:tr>
        <w:trPr>
          <w:trHeight w:val="320" w:hRule="atLeast"/>
        </w:trPr>
        <w:tc>
          <w:tcPr>
            <w:tcW w:w="1387" w:type="dxa"/>
            <w:vAlign w:val="top"/>
            <w:vMerge w:val="restart"/>
            <w:tcBorders>
              <w:bottom w:val="nil"/>
            </w:tcBorders>
          </w:tcPr>
          <w:p>
            <w:pPr>
              <w:spacing w:line="450"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8" w:type="dxa"/>
            <w:vAlign w:val="top"/>
          </w:tcPr>
          <w:p>
            <w:pPr>
              <w:ind w:left="1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99" w:type="dxa"/>
            <w:vAlign w:val="top"/>
          </w:tcPr>
          <w:p>
            <w:pPr>
              <w:ind w:left="44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88"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99" w:type="dxa"/>
            <w:vAlign w:val="top"/>
          </w:tcPr>
          <w:p>
            <w:pPr>
              <w:ind w:left="3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88"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99" w:type="dxa"/>
            <w:vAlign w:val="top"/>
          </w:tcPr>
          <w:p>
            <w:pPr>
              <w:ind w:left="3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8"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99" w:type="dxa"/>
            <w:vAlign w:val="top"/>
          </w:tcPr>
          <w:p>
            <w:pPr>
              <w:ind w:left="38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vMerge w:val="restart"/>
            <w:tcBorders>
              <w:bottom w:val="nil"/>
            </w:tcBorders>
          </w:tcPr>
          <w:p>
            <w:pPr>
              <w:ind w:left="221" w:right="210"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8"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99" w:type="dxa"/>
            <w:vAlign w:val="top"/>
          </w:tcPr>
          <w:p>
            <w:pPr>
              <w:ind w:left="2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8"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99" w:type="dxa"/>
            <w:vAlign w:val="top"/>
          </w:tcPr>
          <w:p>
            <w:pPr>
              <w:ind w:left="45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6" w:hRule="atLeast"/>
        </w:trPr>
        <w:tc>
          <w:tcPr>
            <w:tcW w:w="1387" w:type="dxa"/>
            <w:vAlign w:val="top"/>
            <w:vMerge w:val="restart"/>
            <w:tcBorders>
              <w:bottom w:val="nil"/>
            </w:tcBorders>
          </w:tcPr>
          <w:p>
            <w:pPr>
              <w:ind w:left="214" w:right="210" w:firstLine="9"/>
              <w:spacing w:before="90"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7"/>
              <w:spacing w:before="9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5"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8" w:type="dxa"/>
            <w:vAlign w:val="top"/>
          </w:tcPr>
          <w:p>
            <w:pPr>
              <w:ind w:left="118"/>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99" w:type="dxa"/>
            <w:vAlign w:val="top"/>
          </w:tcPr>
          <w:p>
            <w:pPr>
              <w:ind w:left="253"/>
              <w:spacing w:before="8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88" w:type="dxa"/>
            <w:vAlign w:val="top"/>
          </w:tcPr>
          <w:p>
            <w:pPr>
              <w:ind w:left="135" w:right="296"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99" w:type="dxa"/>
            <w:vAlign w:val="top"/>
          </w:tcPr>
          <w:p>
            <w:pPr>
              <w:ind w:left="45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35"/>
          <w:pgSz w:w="11905" w:h="16839"/>
          <w:pgMar w:top="1431" w:right="1722" w:bottom="1156" w:left="1722" w:header="0" w:footer="994" w:gutter="0"/>
        </w:sectPr>
        <w:rPr/>
      </w:pPr>
    </w:p>
    <w:p>
      <w:pPr>
        <w:spacing w:before="92"/>
        <w:rPr/>
      </w:pPr>
      <w:r/>
    </w:p>
    <w:p>
      <w:pPr>
        <w:spacing w:before="91"/>
        <w:rPr/>
      </w:pPr>
      <w:r/>
    </w:p>
    <w:tbl>
      <w:tblPr>
        <w:tblStyle w:val="TableNormal"/>
        <w:tblW w:w="839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712"/>
        <w:gridCol w:w="809"/>
        <w:gridCol w:w="3358"/>
        <w:gridCol w:w="1129"/>
      </w:tblGrid>
      <w:tr>
        <w:trPr>
          <w:trHeight w:val="720" w:hRule="atLeast"/>
        </w:trPr>
        <w:tc>
          <w:tcPr>
            <w:tcW w:w="8395" w:type="dxa"/>
            <w:vAlign w:val="top"/>
            <w:gridSpan w:val="5"/>
          </w:tcPr>
          <w:p>
            <w:pPr>
              <w:ind w:left="195"/>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387" w:type="dxa"/>
            <w:vAlign w:val="top"/>
          </w:tcPr>
          <w:p>
            <w:pPr>
              <w:ind w:left="418"/>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8" w:type="dxa"/>
            <w:vAlign w:val="top"/>
            <w:gridSpan w:val="4"/>
          </w:tcPr>
          <w:p>
            <w:pPr>
              <w:ind w:left="3399"/>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65</w:t>
            </w:r>
          </w:p>
        </w:tc>
      </w:tr>
      <w:tr>
        <w:trPr>
          <w:trHeight w:val="715" w:hRule="atLeast"/>
        </w:trPr>
        <w:tc>
          <w:tcPr>
            <w:tcW w:w="1387" w:type="dxa"/>
            <w:vAlign w:val="top"/>
          </w:tcPr>
          <w:p>
            <w:pPr>
              <w:ind w:left="143"/>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8" w:type="dxa"/>
            <w:vAlign w:val="top"/>
            <w:gridSpan w:val="4"/>
          </w:tcPr>
          <w:p>
            <w:pPr>
              <w:ind w:left="19"/>
              <w:spacing w:before="2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机动车排放检验机构出具虚假排放检验报告的</w:t>
            </w:r>
          </w:p>
        </w:tc>
      </w:tr>
      <w:tr>
        <w:trPr>
          <w:trHeight w:val="7907" w:hRule="atLeast"/>
        </w:trPr>
        <w:tc>
          <w:tcPr>
            <w:tcW w:w="1387"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51"/>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8" w:type="dxa"/>
            <w:vAlign w:val="top"/>
            <w:gridSpan w:val="4"/>
          </w:tcPr>
          <w:p>
            <w:pPr>
              <w:ind w:left="36"/>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《中华人民共和国大气污染防治法》</w:t>
            </w:r>
          </w:p>
          <w:p>
            <w:pPr>
              <w:ind w:left="18" w:right="31" w:firstLine="15"/>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第五十四条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机动车排放检验机构应当依法通过计量认证，</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rPr>
              <w:t>使用经依法检定合格的机动车排放检验设备，按</w:t>
            </w:r>
            <w:r>
              <w:rPr>
                <w:rFonts w:ascii="FangSong_GB2312" w:hAnsi="FangSong_GB2312" w:eastAsia="FangSong_GB2312" w:cs="FangSong_GB2312"/>
                <w:sz w:val="24"/>
                <w:szCs w:val="24"/>
                <w:spacing w:val="-1"/>
              </w:rPr>
              <w:t>照国务院生态环境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主管部门制定的规范，对机动车进行排放检验，</w:t>
            </w:r>
            <w:r>
              <w:rPr>
                <w:rFonts w:ascii="FangSong_GB2312" w:hAnsi="FangSong_GB2312" w:eastAsia="FangSong_GB2312" w:cs="FangSong_GB2312"/>
                <w:sz w:val="24"/>
                <w:szCs w:val="24"/>
                <w:spacing w:val="-1"/>
              </w:rPr>
              <w:t>并与生态环境主管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部门联网，实现检验数据实时共享。机动车排放</w:t>
            </w:r>
            <w:r>
              <w:rPr>
                <w:rFonts w:ascii="FangSong_GB2312" w:hAnsi="FangSong_GB2312" w:eastAsia="FangSong_GB2312" w:cs="FangSong_GB2312"/>
                <w:sz w:val="24"/>
                <w:szCs w:val="24"/>
                <w:spacing w:val="-1"/>
              </w:rPr>
              <w:t>检验机构及其负责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人对检验数据的真实性和准确性负责。</w:t>
            </w:r>
          </w:p>
          <w:p>
            <w:pPr>
              <w:spacing w:line="274"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《河北省机动车和非道路移动机械排放污染防治条例》</w:t>
            </w:r>
          </w:p>
          <w:p>
            <w:pPr>
              <w:ind w:left="15" w:right="28" w:firstLine="17"/>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机动车排放检验机构应当依法取得资质，接受</w:t>
            </w:r>
            <w:r>
              <w:rPr>
                <w:rFonts w:ascii="FangSong_GB2312" w:hAnsi="FangSong_GB2312" w:eastAsia="FangSong_GB2312" w:cs="FangSong_GB2312"/>
                <w:sz w:val="24"/>
                <w:szCs w:val="24"/>
                <w:spacing w:val="-2"/>
              </w:rPr>
              <w:t>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境、市场监督管理等部门的监督管理，并遵守</w:t>
            </w:r>
            <w:r>
              <w:rPr>
                <w:rFonts w:ascii="FangSong_GB2312" w:hAnsi="FangSong_GB2312" w:eastAsia="FangSong_GB2312" w:cs="FangSong_GB2312"/>
                <w:sz w:val="24"/>
                <w:szCs w:val="24"/>
                <w:spacing w:val="-1"/>
              </w:rPr>
              <w:t>下列规定：</w:t>
            </w:r>
          </w:p>
          <w:p>
            <w:pPr>
              <w:ind w:left="23" w:right="31" w:hanging="7"/>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（三）按照国家及本省规定的检验方法、技术规范和</w:t>
            </w:r>
            <w:r>
              <w:rPr>
                <w:rFonts w:ascii="FangSong_GB2312" w:hAnsi="FangSong_GB2312" w:eastAsia="FangSong_GB2312" w:cs="FangSong_GB2312"/>
                <w:sz w:val="24"/>
                <w:szCs w:val="24"/>
                <w:spacing w:val="-1"/>
              </w:rPr>
              <w:t>排放标准进行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排放检验，出具由生态环境主管部门统一编码的排放检验报告，不</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得出具虚假排放检验报告；</w:t>
            </w:r>
          </w:p>
          <w:p>
            <w:pPr>
              <w:spacing w:line="269" w:lineRule="auto"/>
              <w:rPr>
                <w:rFonts w:ascii="Arial"/>
                <w:sz w:val="21"/>
              </w:rPr>
            </w:pPr>
            <w:r/>
          </w:p>
          <w:p>
            <w:pPr>
              <w:ind w:left="3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《中华人民共和国大气污染防治法》</w:t>
            </w:r>
          </w:p>
          <w:p>
            <w:pPr>
              <w:ind w:left="18"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第一百一十二条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违反本法规定，伪造机动车、非道路移动机械排放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检验结果或者出具虚假排放检验报告的，由县级以上人民政府生态</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7"/>
              </w:rPr>
              <w:t>环境主管部门没收违法所得，并处十万元以上五十万</w:t>
            </w:r>
            <w:r>
              <w:rPr>
                <w:rFonts w:ascii="FangSong_GB2312" w:hAnsi="FangSong_GB2312" w:eastAsia="FangSong_GB2312" w:cs="FangSong_GB2312"/>
                <w:sz w:val="24"/>
                <w:szCs w:val="24"/>
                <w:spacing w:val="-8"/>
              </w:rPr>
              <w:t>元以下的罚款；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情节严重的，由负责资质认定的部门取消其检验资格。</w:t>
            </w:r>
          </w:p>
          <w:p>
            <w:pPr>
              <w:spacing w:line="273" w:lineRule="auto"/>
              <w:rPr>
                <w:rFonts w:ascii="Arial"/>
                <w:sz w:val="21"/>
              </w:rPr>
            </w:pPr>
            <w:r/>
          </w:p>
          <w:p>
            <w:pPr>
              <w:ind w:left="2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4.《</w:t>
            </w:r>
            <w:r>
              <w:rPr>
                <w:rFonts w:ascii="FangSong_GB2312" w:hAnsi="FangSong_GB2312" w:eastAsia="FangSong_GB2312" w:cs="FangSong_GB2312"/>
                <w:sz w:val="24"/>
                <w:szCs w:val="24"/>
                <w:b/>
                <w:bCs/>
                <w:spacing w:val="-2"/>
              </w:rPr>
              <w:t>河北省机动车和非道路移动机械排放污</w:t>
            </w:r>
            <w:r>
              <w:rPr>
                <w:rFonts w:ascii="FangSong_GB2312" w:hAnsi="FangSong_GB2312" w:eastAsia="FangSong_GB2312" w:cs="FangSong_GB2312"/>
                <w:sz w:val="24"/>
                <w:szCs w:val="24"/>
                <w:b/>
                <w:bCs/>
                <w:spacing w:val="-3"/>
              </w:rPr>
              <w:t>染防治条例》</w:t>
            </w:r>
          </w:p>
          <w:p>
            <w:pPr>
              <w:ind w:left="15" w:right="14" w:firstLine="17"/>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第四十六条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第二款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违反本条例规定，机动车排放检验机构出具虚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rPr>
              <w:t>假排放检验报告的，由生态环境主管部门没收违法所得</w:t>
            </w:r>
            <w:r>
              <w:rPr>
                <w:rFonts w:ascii="FangSong_GB2312" w:hAnsi="FangSong_GB2312" w:eastAsia="FangSong_GB2312" w:cs="FangSong_GB2312"/>
                <w:sz w:val="24"/>
                <w:szCs w:val="24"/>
                <w:spacing w:val="-1"/>
              </w:rPr>
              <w:t>，并处十万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元以上五十万元以下的罚款；情节严重的，由市场监督</w:t>
            </w:r>
            <w:r>
              <w:rPr>
                <w:rFonts w:ascii="FangSong_GB2312" w:hAnsi="FangSong_GB2312" w:eastAsia="FangSong_GB2312" w:cs="FangSong_GB2312"/>
                <w:sz w:val="24"/>
                <w:szCs w:val="24"/>
                <w:spacing w:val="-1"/>
              </w:rPr>
              <w:t>管理部门取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消其检验资格。</w:t>
            </w:r>
          </w:p>
        </w:tc>
      </w:tr>
      <w:tr>
        <w:trPr>
          <w:trHeight w:val="635" w:hRule="atLeast"/>
        </w:trPr>
        <w:tc>
          <w:tcPr>
            <w:tcW w:w="3908" w:type="dxa"/>
            <w:vAlign w:val="top"/>
            <w:gridSpan w:val="3"/>
          </w:tcPr>
          <w:p>
            <w:pPr>
              <w:ind w:left="140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87" w:type="dxa"/>
            <w:vAlign w:val="top"/>
            <w:gridSpan w:val="2"/>
          </w:tcPr>
          <w:p>
            <w:pPr>
              <w:ind w:left="170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7"/>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12" w:type="dxa"/>
            <w:vAlign w:val="top"/>
          </w:tcPr>
          <w:p>
            <w:pPr>
              <w:ind w:left="425"/>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809" w:type="dxa"/>
            <w:vAlign w:val="top"/>
          </w:tcPr>
          <w:p>
            <w:pPr>
              <w:ind w:left="222" w:right="18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58" w:type="dxa"/>
            <w:vAlign w:val="top"/>
          </w:tcPr>
          <w:p>
            <w:pPr>
              <w:ind w:left="1466"/>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9" w:type="dxa"/>
            <w:vAlign w:val="top"/>
          </w:tcPr>
          <w:p>
            <w:pPr>
              <w:ind w:left="249"/>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387" w:type="dxa"/>
            <w:vAlign w:val="top"/>
            <w:vMerge w:val="restart"/>
            <w:tcBorders>
              <w:bottom w:val="nil"/>
            </w:tcBorders>
          </w:tcPr>
          <w:p>
            <w:pPr>
              <w:spacing w:line="440" w:lineRule="auto"/>
              <w:rPr>
                <w:rFonts w:ascii="Arial"/>
                <w:sz w:val="21"/>
              </w:rPr>
            </w:pPr>
            <w:r/>
          </w:p>
          <w:p>
            <w:pPr>
              <w:ind w:left="347" w:right="211"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12"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14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809"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24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80%</w:t>
            </w:r>
          </w:p>
        </w:tc>
        <w:tc>
          <w:tcPr>
            <w:tcW w:w="3358" w:type="dxa"/>
            <w:vAlign w:val="top"/>
          </w:tcPr>
          <w:p>
            <w:pPr>
              <w:ind w:left="123" w:right="126" w:firstLine="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二年内伪造结果或出具虚假报</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6"/>
              </w:rPr>
              <w:t>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6"/>
              </w:rPr>
              <w:t>次的，为情节一般</w:t>
            </w:r>
          </w:p>
        </w:tc>
        <w:tc>
          <w:tcPr>
            <w:tcW w:w="1129" w:type="dxa"/>
            <w:vAlign w:val="top"/>
          </w:tcPr>
          <w:p>
            <w:pPr>
              <w:ind w:left="22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1%-60%</w:t>
            </w:r>
          </w:p>
        </w:tc>
      </w:tr>
      <w:tr>
        <w:trPr>
          <w:trHeight w:val="952" w:hRule="atLeast"/>
        </w:trPr>
        <w:tc>
          <w:tcPr>
            <w:tcW w:w="1387" w:type="dxa"/>
            <w:vAlign w:val="top"/>
            <w:vMerge w:val="continue"/>
            <w:tcBorders>
              <w:top w:val="nil"/>
            </w:tcBorders>
          </w:tcPr>
          <w:p>
            <w:pPr>
              <w:rPr>
                <w:rFonts w:ascii="Arial"/>
                <w:sz w:val="21"/>
              </w:rPr>
            </w:pPr>
            <w:r/>
          </w:p>
        </w:tc>
        <w:tc>
          <w:tcPr>
            <w:tcW w:w="1712" w:type="dxa"/>
            <w:vAlign w:val="top"/>
            <w:vMerge w:val="continue"/>
            <w:tcBorders>
              <w:top w:val="nil"/>
            </w:tcBorders>
          </w:tcPr>
          <w:p>
            <w:pPr>
              <w:rPr>
                <w:rFonts w:ascii="Arial"/>
                <w:sz w:val="21"/>
              </w:rPr>
            </w:pPr>
            <w:r/>
          </w:p>
        </w:tc>
        <w:tc>
          <w:tcPr>
            <w:tcW w:w="809" w:type="dxa"/>
            <w:vAlign w:val="top"/>
            <w:vMerge w:val="continue"/>
            <w:tcBorders>
              <w:top w:val="nil"/>
            </w:tcBorders>
          </w:tcPr>
          <w:p>
            <w:pPr>
              <w:rPr>
                <w:rFonts w:ascii="Arial"/>
                <w:sz w:val="21"/>
              </w:rPr>
            </w:pPr>
            <w:r/>
          </w:p>
        </w:tc>
        <w:tc>
          <w:tcPr>
            <w:tcW w:w="3358" w:type="dxa"/>
            <w:vAlign w:val="top"/>
          </w:tcPr>
          <w:p>
            <w:pPr>
              <w:ind w:left="116" w:right="126" w:firstLine="13"/>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二年内伪造结果或出具虚假报</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7"/>
              </w:rPr>
              <w:t>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2</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7"/>
              </w:rPr>
              <w:t>次及以上的，或者</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7"/>
              </w:rPr>
              <w:t>次检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查发现出具虚假报告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3"/>
              </w:rPr>
              <w:t>份及以</w:t>
            </w:r>
          </w:p>
        </w:tc>
        <w:tc>
          <w:tcPr>
            <w:tcW w:w="1129" w:type="dxa"/>
            <w:vAlign w:val="top"/>
          </w:tcPr>
          <w:p>
            <w:pPr>
              <w:spacing w:line="279"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61%-80%</w:t>
            </w:r>
          </w:p>
        </w:tc>
      </w:tr>
    </w:tbl>
    <w:p>
      <w:pPr>
        <w:pStyle w:val="BodyText"/>
        <w:rPr/>
      </w:pPr>
      <w:r/>
    </w:p>
    <w:p>
      <w:pPr>
        <w:sectPr>
          <w:footerReference w:type="default" r:id="rId136"/>
          <w:pgSz w:w="11905" w:h="16839"/>
          <w:pgMar w:top="1431" w:right="1752" w:bottom="1156" w:left="1752" w:header="0" w:footer="994" w:gutter="0"/>
        </w:sectPr>
        <w:rPr/>
      </w:pPr>
    </w:p>
    <w:p>
      <w:pPr>
        <w:spacing w:before="92"/>
        <w:rPr/>
      </w:pPr>
      <w:r/>
    </w:p>
    <w:p>
      <w:pPr>
        <w:spacing w:before="91"/>
        <w:rPr/>
      </w:pPr>
      <w:r/>
    </w:p>
    <w:tbl>
      <w:tblPr>
        <w:tblStyle w:val="TableNormal"/>
        <w:tblW w:w="839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712"/>
        <w:gridCol w:w="809"/>
        <w:gridCol w:w="3358"/>
        <w:gridCol w:w="1129"/>
      </w:tblGrid>
      <w:tr>
        <w:trPr>
          <w:trHeight w:val="394" w:hRule="atLeast"/>
        </w:trPr>
        <w:tc>
          <w:tcPr>
            <w:tcW w:w="1387" w:type="dxa"/>
            <w:vAlign w:val="top"/>
          </w:tcPr>
          <w:p>
            <w:pPr>
              <w:rPr>
                <w:rFonts w:ascii="Arial"/>
                <w:sz w:val="21"/>
              </w:rPr>
            </w:pPr>
            <w:r/>
          </w:p>
        </w:tc>
        <w:tc>
          <w:tcPr>
            <w:tcW w:w="1712" w:type="dxa"/>
            <w:vAlign w:val="top"/>
          </w:tcPr>
          <w:p>
            <w:pPr>
              <w:rPr>
                <w:rFonts w:ascii="Arial"/>
                <w:sz w:val="21"/>
              </w:rPr>
            </w:pPr>
            <w:r/>
          </w:p>
        </w:tc>
        <w:tc>
          <w:tcPr>
            <w:tcW w:w="809" w:type="dxa"/>
            <w:vAlign w:val="top"/>
          </w:tcPr>
          <w:p>
            <w:pPr>
              <w:rPr>
                <w:rFonts w:ascii="Arial"/>
                <w:sz w:val="21"/>
              </w:rPr>
            </w:pPr>
            <w:r/>
          </w:p>
        </w:tc>
        <w:tc>
          <w:tcPr>
            <w:tcW w:w="3358" w:type="dxa"/>
            <w:vAlign w:val="top"/>
          </w:tcPr>
          <w:p>
            <w:pPr>
              <w:ind w:left="121"/>
              <w:spacing w:before="4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上的，为情节严重</w:t>
            </w:r>
          </w:p>
        </w:tc>
        <w:tc>
          <w:tcPr>
            <w:tcW w:w="1129" w:type="dxa"/>
            <w:vAlign w:val="top"/>
          </w:tcPr>
          <w:p>
            <w:pPr>
              <w:rPr>
                <w:rFonts w:ascii="Arial"/>
                <w:sz w:val="21"/>
              </w:rPr>
            </w:pPr>
            <w:r/>
          </w:p>
        </w:tc>
      </w:tr>
      <w:tr>
        <w:trPr>
          <w:trHeight w:val="319" w:hRule="atLeast"/>
        </w:trPr>
        <w:tc>
          <w:tcPr>
            <w:tcW w:w="1387" w:type="dxa"/>
            <w:vAlign w:val="top"/>
            <w:vMerge w:val="restart"/>
            <w:tcBorders>
              <w:bottom w:val="nil"/>
            </w:tcBorders>
          </w:tcPr>
          <w:p>
            <w:pPr>
              <w:ind w:left="220" w:right="211"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12" w:type="dxa"/>
            <w:vAlign w:val="top"/>
            <w:vMerge w:val="restart"/>
            <w:tcBorders>
              <w:bottom w:val="nil"/>
            </w:tcBorders>
          </w:tcPr>
          <w:p>
            <w:pPr>
              <w:ind w:left="617" w:right="135"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809" w:type="dxa"/>
            <w:vAlign w:val="top"/>
            <w:vMerge w:val="restart"/>
            <w:tcBorders>
              <w:bottom w:val="nil"/>
            </w:tcBorders>
          </w:tcPr>
          <w:p>
            <w:pPr>
              <w:ind w:left="246"/>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58"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9" w:type="dxa"/>
            <w:vAlign w:val="top"/>
          </w:tcPr>
          <w:p>
            <w:pPr>
              <w:ind w:left="2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387" w:type="dxa"/>
            <w:vAlign w:val="top"/>
            <w:vMerge w:val="continue"/>
            <w:tcBorders>
              <w:top w:val="nil"/>
            </w:tcBorders>
          </w:tcPr>
          <w:p>
            <w:pPr>
              <w:rPr>
                <w:rFonts w:ascii="Arial"/>
                <w:sz w:val="21"/>
              </w:rPr>
            </w:pPr>
            <w:r/>
          </w:p>
        </w:tc>
        <w:tc>
          <w:tcPr>
            <w:tcW w:w="1712" w:type="dxa"/>
            <w:vAlign w:val="top"/>
            <w:vMerge w:val="continue"/>
            <w:tcBorders>
              <w:top w:val="nil"/>
            </w:tcBorders>
          </w:tcPr>
          <w:p>
            <w:pPr>
              <w:rPr>
                <w:rFonts w:ascii="Arial"/>
                <w:sz w:val="21"/>
              </w:rPr>
            </w:pPr>
            <w:r/>
          </w:p>
        </w:tc>
        <w:tc>
          <w:tcPr>
            <w:tcW w:w="809" w:type="dxa"/>
            <w:vAlign w:val="top"/>
            <w:vMerge w:val="continue"/>
            <w:tcBorders>
              <w:top w:val="nil"/>
            </w:tcBorders>
          </w:tcPr>
          <w:p>
            <w:pPr>
              <w:rPr>
                <w:rFonts w:ascii="Arial"/>
                <w:sz w:val="21"/>
              </w:rPr>
            </w:pPr>
            <w:r/>
          </w:p>
        </w:tc>
        <w:tc>
          <w:tcPr>
            <w:tcW w:w="3358" w:type="dxa"/>
            <w:vAlign w:val="top"/>
          </w:tcPr>
          <w:p>
            <w:pPr>
              <w:ind w:left="126"/>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9" w:type="dxa"/>
            <w:vAlign w:val="top"/>
          </w:tcPr>
          <w:p>
            <w:pPr>
              <w:ind w:left="468"/>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55" w:hRule="atLeast"/>
        </w:trPr>
        <w:tc>
          <w:tcPr>
            <w:tcW w:w="1387" w:type="dxa"/>
            <w:vAlign w:val="top"/>
            <w:vMerge w:val="restart"/>
            <w:tcBorders>
              <w:bottom w:val="nil"/>
            </w:tcBorders>
          </w:tcPr>
          <w:p>
            <w:pPr>
              <w:ind w:left="213" w:right="211" w:firstLine="9"/>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12" w:type="dxa"/>
            <w:vAlign w:val="top"/>
            <w:vMerge w:val="restart"/>
            <w:tcBorders>
              <w:bottom w:val="nil"/>
            </w:tcBorders>
          </w:tcPr>
          <w:p>
            <w:pPr>
              <w:ind w:left="137"/>
              <w:spacing w:before="4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4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48"/>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809" w:type="dxa"/>
            <w:vAlign w:val="top"/>
            <w:vMerge w:val="restart"/>
            <w:tcBorders>
              <w:bottom w:val="nil"/>
            </w:tcBorders>
          </w:tcPr>
          <w:p>
            <w:pPr>
              <w:spacing w:line="276" w:lineRule="auto"/>
              <w:rPr>
                <w:rFonts w:ascii="Arial"/>
                <w:sz w:val="21"/>
              </w:rPr>
            </w:pPr>
            <w:r/>
          </w:p>
          <w:p>
            <w:pPr>
              <w:ind w:left="24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58" w:type="dxa"/>
            <w:vAlign w:val="top"/>
          </w:tcPr>
          <w:p>
            <w:pPr>
              <w:ind w:left="119"/>
              <w:spacing w:before="5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9" w:type="dxa"/>
            <w:vAlign w:val="top"/>
          </w:tcPr>
          <w:p>
            <w:pPr>
              <w:ind w:left="253"/>
              <w:spacing w:before="59"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592" w:hRule="atLeast"/>
        </w:trPr>
        <w:tc>
          <w:tcPr>
            <w:tcW w:w="1387" w:type="dxa"/>
            <w:vAlign w:val="top"/>
            <w:vMerge w:val="continue"/>
            <w:tcBorders>
              <w:top w:val="nil"/>
            </w:tcBorders>
          </w:tcPr>
          <w:p>
            <w:pPr>
              <w:rPr>
                <w:rFonts w:ascii="Arial"/>
                <w:sz w:val="21"/>
              </w:rPr>
            </w:pPr>
            <w:r/>
          </w:p>
        </w:tc>
        <w:tc>
          <w:tcPr>
            <w:tcW w:w="1712" w:type="dxa"/>
            <w:vAlign w:val="top"/>
            <w:vMerge w:val="continue"/>
            <w:tcBorders>
              <w:top w:val="nil"/>
            </w:tcBorders>
          </w:tcPr>
          <w:p>
            <w:pPr>
              <w:rPr>
                <w:rFonts w:ascii="Arial"/>
                <w:sz w:val="21"/>
              </w:rPr>
            </w:pPr>
            <w:r/>
          </w:p>
        </w:tc>
        <w:tc>
          <w:tcPr>
            <w:tcW w:w="809" w:type="dxa"/>
            <w:vAlign w:val="top"/>
            <w:vMerge w:val="continue"/>
            <w:tcBorders>
              <w:top w:val="nil"/>
            </w:tcBorders>
          </w:tcPr>
          <w:p>
            <w:pPr>
              <w:rPr>
                <w:rFonts w:ascii="Arial"/>
                <w:sz w:val="21"/>
              </w:rPr>
            </w:pPr>
            <w:r/>
          </w:p>
        </w:tc>
        <w:tc>
          <w:tcPr>
            <w:tcW w:w="3358" w:type="dxa"/>
            <w:vAlign w:val="top"/>
          </w:tcPr>
          <w:p>
            <w:pPr>
              <w:ind w:left="116"/>
              <w:spacing w:before="17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未造成社会影响或生态破坏的</w:t>
            </w:r>
          </w:p>
        </w:tc>
        <w:tc>
          <w:tcPr>
            <w:tcW w:w="1129" w:type="dxa"/>
            <w:vAlign w:val="top"/>
          </w:tcPr>
          <w:p>
            <w:pPr>
              <w:ind w:left="468"/>
              <w:spacing w:before="17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37"/>
          <w:pgSz w:w="11905" w:h="16839"/>
          <w:pgMar w:top="1431" w:right="1752" w:bottom="1156" w:left="1752" w:header="0" w:footer="994" w:gutter="0"/>
        </w:sectPr>
        <w:rPr/>
      </w:pPr>
    </w:p>
    <w:p>
      <w:pPr>
        <w:spacing w:before="4"/>
        <w:rPr/>
      </w:pPr>
      <w:r/>
    </w:p>
    <w:p>
      <w:pPr>
        <w:spacing w:before="4"/>
        <w:rPr/>
      </w:pPr>
      <w:r/>
    </w:p>
    <w:p>
      <w:pPr>
        <w:spacing w:before="4"/>
        <w:rPr/>
      </w:pPr>
      <w:r/>
    </w:p>
    <w:p>
      <w:pPr>
        <w:spacing w:before="3"/>
        <w:rPr/>
      </w:pPr>
      <w:r/>
    </w:p>
    <w:tbl>
      <w:tblPr>
        <w:tblStyle w:val="TableNormal"/>
        <w:tblW w:w="85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363"/>
        <w:gridCol w:w="1069"/>
      </w:tblGrid>
      <w:tr>
        <w:trPr>
          <w:trHeight w:val="720" w:hRule="atLeast"/>
        </w:trPr>
        <w:tc>
          <w:tcPr>
            <w:tcW w:w="8500" w:type="dxa"/>
            <w:vAlign w:val="top"/>
            <w:gridSpan w:val="5"/>
          </w:tcPr>
          <w:p>
            <w:pPr>
              <w:ind w:left="24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4" w:hRule="atLeast"/>
        </w:trPr>
        <w:tc>
          <w:tcPr>
            <w:tcW w:w="1387" w:type="dxa"/>
            <w:vAlign w:val="top"/>
          </w:tcPr>
          <w:p>
            <w:pPr>
              <w:ind w:left="418"/>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13" w:type="dxa"/>
            <w:vAlign w:val="top"/>
            <w:gridSpan w:val="4"/>
          </w:tcPr>
          <w:p>
            <w:pPr>
              <w:ind w:left="3452"/>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66</w:t>
            </w:r>
          </w:p>
        </w:tc>
      </w:tr>
      <w:tr>
        <w:trPr>
          <w:trHeight w:val="715" w:hRule="atLeast"/>
        </w:trPr>
        <w:tc>
          <w:tcPr>
            <w:tcW w:w="1387" w:type="dxa"/>
            <w:vAlign w:val="top"/>
          </w:tcPr>
          <w:p>
            <w:pPr>
              <w:ind w:left="143"/>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13" w:type="dxa"/>
            <w:vAlign w:val="top"/>
            <w:gridSpan w:val="4"/>
          </w:tcPr>
          <w:p>
            <w:pPr>
              <w:ind w:left="25" w:right="16" w:hanging="4"/>
              <w:spacing w:before="7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排放检验机构及其工作人员直接或者间接从事机动</w:t>
            </w:r>
            <w:r>
              <w:rPr>
                <w:rFonts w:ascii="FangSong_GB2312" w:hAnsi="FangSong_GB2312" w:eastAsia="FangSong_GB2312" w:cs="FangSong_GB2312"/>
                <w:sz w:val="24"/>
                <w:szCs w:val="24"/>
                <w:spacing w:val="3"/>
              </w:rPr>
              <w:t>车排放污染治理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维修业务的</w:t>
            </w:r>
          </w:p>
        </w:tc>
      </w:tr>
      <w:tr>
        <w:trPr>
          <w:trHeight w:val="2825" w:hRule="atLeast"/>
        </w:trPr>
        <w:tc>
          <w:tcPr>
            <w:tcW w:w="1387" w:type="dxa"/>
            <w:vAlign w:val="top"/>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ind w:left="151"/>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13" w:type="dxa"/>
            <w:vAlign w:val="top"/>
            <w:gridSpan w:val="4"/>
          </w:tcPr>
          <w:p>
            <w:pPr>
              <w:ind w:left="34"/>
              <w:spacing w:before="19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《河北省机动车和非道路移动机械排放污染防治条例》</w:t>
            </w:r>
          </w:p>
          <w:p>
            <w:pPr>
              <w:ind w:left="18" w:right="133" w:firstLine="12"/>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第二款排放检验机构及其工作人员不得以任何方式直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接或者间接从事机动车排放污染治理维修业务。</w:t>
            </w:r>
          </w:p>
          <w:p>
            <w:pPr>
              <w:spacing w:line="273"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2.《</w:t>
            </w:r>
            <w:r>
              <w:rPr>
                <w:rFonts w:ascii="FangSong_GB2312" w:hAnsi="FangSong_GB2312" w:eastAsia="FangSong_GB2312" w:cs="FangSong_GB2312"/>
                <w:sz w:val="24"/>
                <w:szCs w:val="24"/>
                <w:b/>
                <w:bCs/>
                <w:spacing w:val="-2"/>
              </w:rPr>
              <w:t>河北省机动车和非道路移动机械排放</w:t>
            </w:r>
            <w:r>
              <w:rPr>
                <w:rFonts w:ascii="FangSong_GB2312" w:hAnsi="FangSong_GB2312" w:eastAsia="FangSong_GB2312" w:cs="FangSong_GB2312"/>
                <w:sz w:val="24"/>
                <w:szCs w:val="24"/>
                <w:b/>
                <w:bCs/>
                <w:spacing w:val="-3"/>
              </w:rPr>
              <w:t>污染防治条例》</w:t>
            </w:r>
          </w:p>
          <w:p>
            <w:pPr>
              <w:ind w:left="18" w:firstLine="12"/>
              <w:spacing w:before="35"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第三款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违反本条例规定，排放检验机构及其工作人员</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6"/>
              </w:rPr>
              <w:t>直接或者间接从事机动车排放污染治理维修业务的，由生态环境主管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部门责令改正，没收违法所得，并处二万元以上五万元以下的罚款。</w:t>
            </w:r>
          </w:p>
        </w:tc>
      </w:tr>
      <w:tr>
        <w:trPr>
          <w:trHeight w:val="635" w:hRule="atLeast"/>
        </w:trPr>
        <w:tc>
          <w:tcPr>
            <w:tcW w:w="4068" w:type="dxa"/>
            <w:vAlign w:val="top"/>
            <w:gridSpan w:val="3"/>
          </w:tcPr>
          <w:p>
            <w:pPr>
              <w:ind w:left="148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32" w:type="dxa"/>
            <w:vAlign w:val="top"/>
            <w:gridSpan w:val="2"/>
          </w:tcPr>
          <w:p>
            <w:pPr>
              <w:ind w:left="167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5"/>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3" w:right="17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63" w:type="dxa"/>
            <w:vAlign w:val="top"/>
          </w:tcPr>
          <w:p>
            <w:pPr>
              <w:ind w:left="1470"/>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9" w:type="dxa"/>
            <w:vAlign w:val="top"/>
          </w:tcPr>
          <w:p>
            <w:pPr>
              <w:ind w:left="218"/>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387" w:type="dxa"/>
            <w:vAlign w:val="top"/>
            <w:vMerge w:val="restart"/>
            <w:tcBorders>
              <w:bottom w:val="nil"/>
            </w:tcBorders>
          </w:tcPr>
          <w:p>
            <w:pPr>
              <w:spacing w:line="296" w:lineRule="auto"/>
              <w:rPr>
                <w:rFonts w:ascii="Arial"/>
                <w:sz w:val="21"/>
              </w:rPr>
            </w:pPr>
            <w:r/>
          </w:p>
          <w:p>
            <w:pPr>
              <w:ind w:left="344" w:right="211"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454"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54" w:lineRule="auto"/>
              <w:rPr>
                <w:rFonts w:ascii="Arial"/>
                <w:sz w:val="21"/>
              </w:rPr>
            </w:pPr>
            <w:r/>
          </w:p>
          <w:p>
            <w:pPr>
              <w:ind w:left="23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363"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9" w:type="dxa"/>
            <w:vAlign w:val="top"/>
          </w:tcPr>
          <w:p>
            <w:pPr>
              <w:ind w:left="1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63" w:type="dxa"/>
            <w:vAlign w:val="top"/>
          </w:tcPr>
          <w:p>
            <w:pPr>
              <w:ind w:left="126" w:right="132" w:hanging="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违法行为持续</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个月以上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月以下的</w:t>
            </w:r>
          </w:p>
        </w:tc>
        <w:tc>
          <w:tcPr>
            <w:tcW w:w="1069" w:type="dxa"/>
            <w:vAlign w:val="top"/>
          </w:tcPr>
          <w:p>
            <w:pPr>
              <w:ind w:left="13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11%-30%</w:t>
            </w:r>
          </w:p>
        </w:tc>
      </w:tr>
      <w:tr>
        <w:trPr>
          <w:trHeight w:val="337"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63" w:type="dxa"/>
            <w:vAlign w:val="top"/>
          </w:tcPr>
          <w:p>
            <w:pPr>
              <w:ind w:left="117"/>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9" w:type="dxa"/>
            <w:vAlign w:val="top"/>
          </w:tcPr>
          <w:p>
            <w:pPr>
              <w:ind w:left="140"/>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387" w:type="dxa"/>
            <w:vAlign w:val="top"/>
            <w:vMerge w:val="restart"/>
            <w:tcBorders>
              <w:bottom w:val="nil"/>
            </w:tcBorders>
          </w:tcPr>
          <w:p>
            <w:pPr>
              <w:spacing w:line="450" w:lineRule="auto"/>
              <w:rPr>
                <w:rFonts w:ascii="Arial"/>
                <w:sz w:val="21"/>
              </w:rPr>
            </w:pPr>
            <w:r/>
          </w:p>
          <w:p>
            <w:pPr>
              <w:ind w:left="2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36" w:right="22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63"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9" w:type="dxa"/>
            <w:vAlign w:val="top"/>
          </w:tcPr>
          <w:p>
            <w:pPr>
              <w:ind w:left="4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63"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9"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63"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9"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63"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9" w:type="dxa"/>
            <w:vAlign w:val="top"/>
          </w:tcPr>
          <w:p>
            <w:pPr>
              <w:ind w:left="37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vMerge w:val="restart"/>
            <w:tcBorders>
              <w:bottom w:val="nil"/>
            </w:tcBorders>
          </w:tcPr>
          <w:p>
            <w:pPr>
              <w:ind w:left="220" w:right="211"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6" w:right="22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63"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9" w:type="dxa"/>
            <w:vAlign w:val="top"/>
          </w:tcPr>
          <w:p>
            <w:pPr>
              <w:ind w:left="19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63"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9"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27" w:hRule="atLeast"/>
        </w:trPr>
        <w:tc>
          <w:tcPr>
            <w:tcW w:w="1387" w:type="dxa"/>
            <w:vAlign w:val="top"/>
            <w:vMerge w:val="restart"/>
            <w:tcBorders>
              <w:bottom w:val="nil"/>
            </w:tcBorders>
          </w:tcPr>
          <w:p>
            <w:pPr>
              <w:ind w:left="213" w:right="211" w:firstLine="9"/>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6"/>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77"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63" w:type="dxa"/>
            <w:vAlign w:val="top"/>
          </w:tcPr>
          <w:p>
            <w:pPr>
              <w:ind w:left="117"/>
              <w:spacing w:before="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9" w:type="dxa"/>
            <w:vAlign w:val="top"/>
          </w:tcPr>
          <w:p>
            <w:pPr>
              <w:ind w:left="251"/>
              <w:spacing w:before="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22"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63" w:type="dxa"/>
            <w:vAlign w:val="top"/>
          </w:tcPr>
          <w:p>
            <w:pPr>
              <w:ind w:left="114"/>
              <w:spacing w:before="1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未造成社会影响或生态破坏的</w:t>
            </w:r>
          </w:p>
        </w:tc>
        <w:tc>
          <w:tcPr>
            <w:tcW w:w="1069" w:type="dxa"/>
            <w:vAlign w:val="top"/>
          </w:tcPr>
          <w:p>
            <w:pPr>
              <w:ind w:left="438"/>
              <w:spacing w:before="1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38"/>
          <w:pgSz w:w="11905" w:h="16839"/>
          <w:pgMar w:top="1431" w:right="1700" w:bottom="1156" w:left="1699" w:header="0" w:footer="994" w:gutter="0"/>
        </w:sectPr>
        <w:rPr/>
      </w:pPr>
    </w:p>
    <w:p>
      <w:pPr>
        <w:spacing w:before="4"/>
        <w:rPr/>
      </w:pPr>
      <w:r/>
    </w:p>
    <w:p>
      <w:pPr>
        <w:spacing w:before="4"/>
        <w:rPr/>
      </w:pPr>
      <w:r/>
    </w:p>
    <w:p>
      <w:pPr>
        <w:spacing w:before="4"/>
        <w:rPr/>
      </w:pPr>
      <w:r/>
    </w:p>
    <w:p>
      <w:pPr>
        <w:spacing w:before="3"/>
        <w:rPr/>
      </w:pPr>
      <w:r/>
    </w:p>
    <w:tbl>
      <w:tblPr>
        <w:tblStyle w:val="TableNormal"/>
        <w:tblW w:w="841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2"/>
        <w:gridCol w:w="1889"/>
        <w:gridCol w:w="792"/>
        <w:gridCol w:w="3333"/>
        <w:gridCol w:w="1009"/>
      </w:tblGrid>
      <w:tr>
        <w:trPr>
          <w:trHeight w:val="720" w:hRule="atLeast"/>
        </w:trPr>
        <w:tc>
          <w:tcPr>
            <w:tcW w:w="8410" w:type="dxa"/>
            <w:vAlign w:val="top"/>
            <w:gridSpan w:val="6"/>
          </w:tcPr>
          <w:p>
            <w:pPr>
              <w:ind w:left="203"/>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3"/>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95" w:type="dxa"/>
            <w:vAlign w:val="top"/>
            <w:gridSpan w:val="5"/>
          </w:tcPr>
          <w:p>
            <w:pPr>
              <w:ind w:left="3493"/>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67</w:t>
            </w:r>
          </w:p>
        </w:tc>
      </w:tr>
      <w:tr>
        <w:trPr>
          <w:trHeight w:val="716" w:hRule="atLeast"/>
        </w:trPr>
        <w:tc>
          <w:tcPr>
            <w:tcW w:w="1215" w:type="dxa"/>
            <w:vAlign w:val="top"/>
          </w:tcPr>
          <w:p>
            <w:pPr>
              <w:ind w:left="57"/>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95" w:type="dxa"/>
            <w:vAlign w:val="top"/>
            <w:gridSpan w:val="5"/>
          </w:tcPr>
          <w:p>
            <w:pPr>
              <w:ind w:left="24"/>
              <w:spacing w:before="2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在禁止使用高排放非道路移动机械区使用高排放非道路移动机械的</w:t>
            </w:r>
          </w:p>
        </w:tc>
      </w:tr>
      <w:tr>
        <w:trPr>
          <w:trHeight w:val="4128" w:hRule="atLeast"/>
        </w:trPr>
        <w:tc>
          <w:tcPr>
            <w:tcW w:w="1215"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95" w:type="dxa"/>
            <w:vAlign w:val="top"/>
            <w:gridSpan w:val="5"/>
          </w:tcPr>
          <w:p>
            <w:pPr>
              <w:ind w:left="36"/>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1.《中华人民共和国大气污染防治法》</w:t>
            </w:r>
          </w:p>
          <w:p>
            <w:pPr>
              <w:ind w:left="15" w:right="14" w:firstLine="17"/>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第一百一十四条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违反本法规定，在禁止使用高排放非道路移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动机械的区域使用高排放非道路移动机械的</w:t>
            </w:r>
            <w:r>
              <w:rPr>
                <w:rFonts w:ascii="FangSong_GB2312" w:hAnsi="FangSong_GB2312" w:eastAsia="FangSong_GB2312" w:cs="FangSong_GB2312"/>
                <w:sz w:val="24"/>
                <w:szCs w:val="24"/>
                <w:spacing w:val="-2"/>
              </w:rPr>
              <w:t>，由城市人民政府生态环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境等主管部门依法予以处罚。</w:t>
            </w:r>
          </w:p>
          <w:p>
            <w:pPr>
              <w:spacing w:line="271"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2.《河北省机动车和非道路移动机械排放污染防治条例》</w:t>
            </w:r>
          </w:p>
          <w:p>
            <w:pPr>
              <w:ind w:left="24" w:right="14" w:firstLine="9"/>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城市人民政府根据大气环境质量状况，可以划定禁</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止使用高排放非道路移动机械的区域，并及时公布。</w:t>
            </w:r>
          </w:p>
          <w:p>
            <w:pPr>
              <w:spacing w:line="270" w:lineRule="auto"/>
              <w:rPr>
                <w:rFonts w:ascii="Arial"/>
                <w:sz w:val="21"/>
              </w:rPr>
            </w:pPr>
            <w:r/>
          </w:p>
          <w:p>
            <w:pPr>
              <w:ind w:left="3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3.《河北省机动车和非道路移动机械排放污染防治条例》</w:t>
            </w:r>
          </w:p>
          <w:p>
            <w:pPr>
              <w:ind w:left="31" w:right="14" w:firstLine="1"/>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违反本条例规定，在禁止使用高排放非道</w:t>
            </w:r>
            <w:r>
              <w:rPr>
                <w:rFonts w:ascii="FangSong_GB2312" w:hAnsi="FangSong_GB2312" w:eastAsia="FangSong_GB2312" w:cs="FangSong_GB2312"/>
                <w:sz w:val="24"/>
                <w:szCs w:val="24"/>
                <w:spacing w:val="-2"/>
              </w:rPr>
              <w:t>路移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动机械区域使用高排放非道路移动机械的，由城市人民政府生态环境</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主管部门处五万元以上十万元以下的罚款。</w:t>
            </w:r>
          </w:p>
        </w:tc>
      </w:tr>
      <w:tr>
        <w:trPr>
          <w:trHeight w:val="635" w:hRule="atLeast"/>
        </w:trPr>
        <w:tc>
          <w:tcPr>
            <w:tcW w:w="4068" w:type="dxa"/>
            <w:vAlign w:val="top"/>
            <w:gridSpan w:val="4"/>
          </w:tcPr>
          <w:p>
            <w:pPr>
              <w:ind w:left="1482"/>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2" w:type="dxa"/>
            <w:vAlign w:val="top"/>
            <w:gridSpan w:val="2"/>
          </w:tcPr>
          <w:p>
            <w:pPr>
              <w:ind w:left="1629"/>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gridSpan w:val="2"/>
          </w:tcPr>
          <w:p>
            <w:pPr>
              <w:ind w:left="465"/>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5"/>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33" w:type="dxa"/>
            <w:vAlign w:val="top"/>
          </w:tcPr>
          <w:p>
            <w:pPr>
              <w:ind w:left="1454"/>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09" w:type="dxa"/>
            <w:vAlign w:val="top"/>
          </w:tcPr>
          <w:p>
            <w:pPr>
              <w:ind w:left="189"/>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387" w:type="dxa"/>
            <w:vAlign w:val="top"/>
            <w:gridSpan w:val="2"/>
            <w:vMerge w:val="restart"/>
            <w:tcBorders>
              <w:bottom w:val="nil"/>
            </w:tcBorders>
          </w:tcPr>
          <w:p>
            <w:pPr>
              <w:spacing w:line="297" w:lineRule="auto"/>
              <w:rPr>
                <w:rFonts w:ascii="Arial"/>
                <w:sz w:val="21"/>
              </w:rPr>
            </w:pPr>
            <w:r/>
          </w:p>
          <w:p>
            <w:pPr>
              <w:spacing w:line="298" w:lineRule="auto"/>
              <w:rPr>
                <w:rFonts w:ascii="Arial"/>
                <w:sz w:val="21"/>
              </w:rPr>
            </w:pPr>
            <w:r/>
          </w:p>
          <w:p>
            <w:pPr>
              <w:ind w:left="345" w:right="210"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333" w:type="dxa"/>
            <w:vAlign w:val="top"/>
          </w:tcPr>
          <w:p>
            <w:pPr>
              <w:ind w:left="120" w:right="342" w:hanging="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在禁止使用高排放非道路移</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动机械区域使用高排放非道</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5"/>
              </w:rPr>
              <w:t>路移动机械</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2</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辆以内的</w:t>
            </w:r>
          </w:p>
        </w:tc>
        <w:tc>
          <w:tcPr>
            <w:tcW w:w="1009" w:type="dxa"/>
            <w:vAlign w:val="top"/>
          </w:tcPr>
          <w:p>
            <w:pPr>
              <w:spacing w:line="276" w:lineRule="auto"/>
              <w:rPr>
                <w:rFonts w:ascii="Arial"/>
                <w:sz w:val="21"/>
              </w:rPr>
            </w:pPr>
            <w:r/>
          </w:p>
          <w:p>
            <w:pPr>
              <w:ind w:left="16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1%-25%</w:t>
            </w:r>
          </w:p>
        </w:tc>
      </w:tr>
      <w:tr>
        <w:trPr>
          <w:trHeight w:val="949"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0" w:right="342" w:hanging="2"/>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在禁止使用高排放非道路移</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动机械区域使用高排放非道</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5"/>
              </w:rPr>
              <w:t>路移动机械</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2</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辆以上的</w:t>
            </w:r>
          </w:p>
        </w:tc>
        <w:tc>
          <w:tcPr>
            <w:tcW w:w="1009" w:type="dxa"/>
            <w:vAlign w:val="top"/>
          </w:tcPr>
          <w:p>
            <w:pPr>
              <w:ind w:left="451" w:right="141" w:hanging="290"/>
              <w:spacing w:before="198"/>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26%-50</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w:t>
            </w:r>
          </w:p>
        </w:tc>
      </w:tr>
      <w:tr>
        <w:trPr>
          <w:trHeight w:val="320" w:hRule="atLeast"/>
        </w:trPr>
        <w:tc>
          <w:tcPr>
            <w:tcW w:w="1387" w:type="dxa"/>
            <w:vAlign w:val="top"/>
            <w:gridSpan w:val="2"/>
            <w:vMerge w:val="restart"/>
            <w:tcBorders>
              <w:bottom w:val="nil"/>
            </w:tcBorders>
          </w:tcPr>
          <w:p>
            <w:pPr>
              <w:spacing w:line="450"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36"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09" w:type="dxa"/>
            <w:vAlign w:val="top"/>
          </w:tcPr>
          <w:p>
            <w:pPr>
              <w:ind w:left="40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09" w:type="dxa"/>
            <w:vAlign w:val="top"/>
          </w:tcPr>
          <w:p>
            <w:pPr>
              <w:ind w:left="34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09" w:type="dxa"/>
            <w:vAlign w:val="top"/>
          </w:tcPr>
          <w:p>
            <w:pPr>
              <w:ind w:left="34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09" w:type="dxa"/>
            <w:vAlign w:val="top"/>
          </w:tcPr>
          <w:p>
            <w:pPr>
              <w:ind w:left="34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gridSpan w:val="2"/>
            <w:vMerge w:val="restart"/>
            <w:tcBorders>
              <w:bottom w:val="nil"/>
            </w:tcBorders>
          </w:tcPr>
          <w:p>
            <w:pPr>
              <w:ind w:left="221" w:right="210"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6"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09" w:type="dxa"/>
            <w:vAlign w:val="top"/>
          </w:tcPr>
          <w:p>
            <w:pPr>
              <w:ind w:left="1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09" w:type="dxa"/>
            <w:vAlign w:val="top"/>
          </w:tcPr>
          <w:p>
            <w:pPr>
              <w:ind w:left="40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0" w:hRule="atLeast"/>
        </w:trPr>
        <w:tc>
          <w:tcPr>
            <w:tcW w:w="1387" w:type="dxa"/>
            <w:vAlign w:val="top"/>
            <w:gridSpan w:val="2"/>
            <w:vMerge w:val="restart"/>
            <w:tcBorders>
              <w:bottom w:val="nil"/>
            </w:tcBorders>
          </w:tcPr>
          <w:p>
            <w:pPr>
              <w:ind w:left="213" w:right="210" w:firstLine="9"/>
              <w:spacing w:before="8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6"/>
              <w:spacing w:before="8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2"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18"/>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09" w:type="dxa"/>
            <w:vAlign w:val="top"/>
          </w:tcPr>
          <w:p>
            <w:pPr>
              <w:ind w:left="167"/>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5" w:right="102"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未造成社会影响或生态破坏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09" w:type="dxa"/>
            <w:vAlign w:val="top"/>
          </w:tcPr>
          <w:p>
            <w:pPr>
              <w:ind w:left="408"/>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39"/>
          <w:pgSz w:w="11905" w:h="16839"/>
          <w:pgMar w:top="1431" w:right="1745" w:bottom="1156" w:left="1744"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8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2"/>
        <w:gridCol w:w="1889"/>
        <w:gridCol w:w="792"/>
        <w:gridCol w:w="3333"/>
        <w:gridCol w:w="1080"/>
      </w:tblGrid>
      <w:tr>
        <w:trPr>
          <w:trHeight w:val="720" w:hRule="atLeast"/>
        </w:trPr>
        <w:tc>
          <w:tcPr>
            <w:tcW w:w="8481" w:type="dxa"/>
            <w:vAlign w:val="top"/>
            <w:gridSpan w:val="6"/>
          </w:tcPr>
          <w:p>
            <w:pPr>
              <w:ind w:left="23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2"/>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266" w:type="dxa"/>
            <w:vAlign w:val="top"/>
            <w:gridSpan w:val="5"/>
          </w:tcPr>
          <w:p>
            <w:pPr>
              <w:ind w:left="3528"/>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68</w:t>
            </w:r>
          </w:p>
        </w:tc>
      </w:tr>
      <w:tr>
        <w:trPr>
          <w:trHeight w:val="715" w:hRule="atLeast"/>
        </w:trPr>
        <w:tc>
          <w:tcPr>
            <w:tcW w:w="1215" w:type="dxa"/>
            <w:vAlign w:val="top"/>
          </w:tcPr>
          <w:p>
            <w:pPr>
              <w:ind w:left="56"/>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266" w:type="dxa"/>
            <w:vAlign w:val="top"/>
            <w:gridSpan w:val="5"/>
          </w:tcPr>
          <w:p>
            <w:pPr>
              <w:ind w:left="30"/>
              <w:spacing w:before="2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重点排放单位未制定、执行温室气体排放数据质量控制方案的</w:t>
            </w:r>
          </w:p>
        </w:tc>
      </w:tr>
      <w:tr>
        <w:trPr>
          <w:trHeight w:val="4758" w:hRule="atLeast"/>
        </w:trPr>
        <w:tc>
          <w:tcPr>
            <w:tcW w:w="1215"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266" w:type="dxa"/>
            <w:vAlign w:val="top"/>
            <w:gridSpan w:val="5"/>
          </w:tcPr>
          <w:p>
            <w:pPr>
              <w:ind w:left="35"/>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1.《碳排放权交易管理暂行条例》</w:t>
            </w:r>
          </w:p>
          <w:p>
            <w:pPr>
              <w:ind w:left="32"/>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重点排放单位应当采取有效措施控制温</w:t>
            </w:r>
            <w:r>
              <w:rPr>
                <w:rFonts w:ascii="FangSong_GB2312" w:hAnsi="FangSong_GB2312" w:eastAsia="FangSong_GB2312" w:cs="FangSong_GB2312"/>
                <w:sz w:val="24"/>
                <w:szCs w:val="24"/>
                <w:spacing w:val="-2"/>
              </w:rPr>
              <w:t>室气体排</w:t>
            </w:r>
          </w:p>
          <w:p>
            <w:pPr>
              <w:ind w:left="15" w:right="50" w:firstLine="5"/>
              <w:spacing w:before="39"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放，按照国家有关规定和国务院生态环境主管部门制定的技术规范，</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rPr>
              <w:t>制定并严格执行温室气体排放数据质量控制方案，使</w:t>
            </w:r>
            <w:r>
              <w:rPr>
                <w:rFonts w:ascii="FangSong_GB2312" w:hAnsi="FangSong_GB2312" w:eastAsia="FangSong_GB2312" w:cs="FangSong_GB2312"/>
                <w:sz w:val="24"/>
                <w:szCs w:val="24"/>
                <w:spacing w:val="-1"/>
              </w:rPr>
              <w:t>用依法经计量检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定合格或者校准的计量器具开展温室气体排放相关检</w:t>
            </w:r>
            <w:r>
              <w:rPr>
                <w:rFonts w:ascii="FangSong_GB2312" w:hAnsi="FangSong_GB2312" w:eastAsia="FangSong_GB2312" w:cs="FangSong_GB2312"/>
                <w:sz w:val="24"/>
                <w:szCs w:val="24"/>
                <w:spacing w:val="-1"/>
              </w:rPr>
              <w:t>验检测，如实准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确统计核算本单位温室气体排放量，编制上一年度温</w:t>
            </w:r>
            <w:r>
              <w:rPr>
                <w:rFonts w:ascii="FangSong_GB2312" w:hAnsi="FangSong_GB2312" w:eastAsia="FangSong_GB2312" w:cs="FangSong_GB2312"/>
                <w:sz w:val="24"/>
                <w:szCs w:val="24"/>
                <w:spacing w:val="-1"/>
              </w:rPr>
              <w:t>室气体排放报告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（以下简称年度排放报告</w:t>
            </w:r>
            <w:r>
              <w:rPr>
                <w:rFonts w:ascii="FangSong_GB2312" w:hAnsi="FangSong_GB2312" w:eastAsia="FangSong_GB2312" w:cs="FangSong_GB2312"/>
                <w:sz w:val="24"/>
                <w:szCs w:val="24"/>
                <w:spacing w:val="10"/>
              </w:rPr>
              <w:t>），</w:t>
            </w:r>
            <w:r>
              <w:rPr>
                <w:rFonts w:ascii="FangSong_GB2312" w:hAnsi="FangSong_GB2312" w:eastAsia="FangSong_GB2312" w:cs="FangSong_GB2312"/>
                <w:sz w:val="24"/>
                <w:szCs w:val="24"/>
                <w:spacing w:val="-1"/>
              </w:rPr>
              <w:t>并按照规定将排放统计核算数据、年度</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排放报告报送其生产经营场所所在地省级人民政府</w:t>
            </w:r>
            <w:r>
              <w:rPr>
                <w:rFonts w:ascii="FangSong_GB2312" w:hAnsi="FangSong_GB2312" w:eastAsia="FangSong_GB2312" w:cs="FangSong_GB2312"/>
                <w:sz w:val="24"/>
                <w:szCs w:val="24"/>
                <w:spacing w:val="-1"/>
              </w:rPr>
              <w:t>生态环境主管部</w:t>
            </w:r>
          </w:p>
          <w:p>
            <w:pPr>
              <w:ind w:left="47"/>
              <w:spacing w:before="38"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门。</w:t>
            </w:r>
          </w:p>
          <w:p>
            <w:pPr>
              <w:spacing w:line="265"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2.《碳排放权交易管理暂行条例》</w:t>
            </w:r>
          </w:p>
          <w:p>
            <w:pPr>
              <w:ind w:left="21" w:right="14"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重点排放单位有下列情形之一的，由</w:t>
            </w:r>
            <w:r>
              <w:rPr>
                <w:rFonts w:ascii="FangSong_GB2312" w:hAnsi="FangSong_GB2312" w:eastAsia="FangSong_GB2312" w:cs="FangSong_GB2312"/>
                <w:sz w:val="24"/>
                <w:szCs w:val="24"/>
                <w:spacing w:val="-2"/>
              </w:rPr>
              <w:t>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管部门责令改正，处</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万元以下的罚款；拒不改正的，可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以责令停产整治：</w:t>
            </w:r>
          </w:p>
          <w:p>
            <w:pPr>
              <w:ind w:left="15"/>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（一）未按照规定制定并执行温室气体排放数据</w:t>
            </w:r>
            <w:r>
              <w:rPr>
                <w:rFonts w:ascii="FangSong_GB2312" w:hAnsi="FangSong_GB2312" w:eastAsia="FangSong_GB2312" w:cs="FangSong_GB2312"/>
                <w:sz w:val="24"/>
                <w:szCs w:val="24"/>
                <w:spacing w:val="-1"/>
              </w:rPr>
              <w:t>质量控制方案；</w:t>
            </w:r>
          </w:p>
        </w:tc>
      </w:tr>
      <w:tr>
        <w:trPr>
          <w:trHeight w:val="635" w:hRule="atLeast"/>
        </w:trPr>
        <w:tc>
          <w:tcPr>
            <w:tcW w:w="4068" w:type="dxa"/>
            <w:vAlign w:val="top"/>
            <w:gridSpan w:val="4"/>
          </w:tcPr>
          <w:p>
            <w:pPr>
              <w:ind w:left="148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13" w:type="dxa"/>
            <w:vAlign w:val="top"/>
            <w:gridSpan w:val="2"/>
          </w:tcPr>
          <w:p>
            <w:pPr>
              <w:ind w:left="166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gridSpan w:val="2"/>
          </w:tcPr>
          <w:p>
            <w:pPr>
              <w:ind w:left="467"/>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33" w:type="dxa"/>
            <w:vAlign w:val="top"/>
          </w:tcPr>
          <w:p>
            <w:pPr>
              <w:ind w:left="1455"/>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80" w:type="dxa"/>
            <w:vAlign w:val="top"/>
          </w:tcPr>
          <w:p>
            <w:pPr>
              <w:ind w:left="22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387" w:type="dxa"/>
            <w:vAlign w:val="top"/>
            <w:gridSpan w:val="2"/>
            <w:vMerge w:val="restart"/>
            <w:tcBorders>
              <w:bottom w:val="nil"/>
            </w:tcBorders>
          </w:tcPr>
          <w:p>
            <w:pPr>
              <w:spacing w:line="439" w:lineRule="auto"/>
              <w:rPr>
                <w:rFonts w:ascii="Arial"/>
                <w:sz w:val="21"/>
              </w:rPr>
            </w:pPr>
            <w:r/>
          </w:p>
          <w:p>
            <w:pPr>
              <w:ind w:left="347" w:right="211" w:hanging="125"/>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ind w:left="2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333" w:type="dxa"/>
            <w:vAlign w:val="top"/>
          </w:tcPr>
          <w:p>
            <w:pPr>
              <w:ind w:left="124"/>
              <w:spacing w:before="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重点排放单位制定温室气体</w:t>
            </w:r>
          </w:p>
          <w:p>
            <w:pPr>
              <w:ind w:left="119" w:right="103" w:hanging="2"/>
              <w:spacing w:before="3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排放数据质量控制方案，但未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执行的</w:t>
            </w:r>
          </w:p>
        </w:tc>
        <w:tc>
          <w:tcPr>
            <w:tcW w:w="1080" w:type="dxa"/>
            <w:vAlign w:val="top"/>
          </w:tcPr>
          <w:p>
            <w:pPr>
              <w:spacing w:line="277" w:lineRule="auto"/>
              <w:rPr>
                <w:rFonts w:ascii="Arial"/>
                <w:sz w:val="21"/>
              </w:rPr>
            </w:pPr>
            <w:r/>
          </w:p>
          <w:p>
            <w:pPr>
              <w:ind w:left="20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08" w:right="343" w:firstLine="1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重点排放单位未制定温室气</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体排放数据质量控制方案的</w:t>
            </w:r>
          </w:p>
        </w:tc>
        <w:tc>
          <w:tcPr>
            <w:tcW w:w="1080" w:type="dxa"/>
            <w:vAlign w:val="top"/>
          </w:tcPr>
          <w:p>
            <w:pPr>
              <w:ind w:left="12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387" w:type="dxa"/>
            <w:vAlign w:val="top"/>
            <w:gridSpan w:val="2"/>
            <w:vMerge w:val="restart"/>
            <w:tcBorders>
              <w:bottom w:val="nil"/>
            </w:tcBorders>
          </w:tcPr>
          <w:p>
            <w:pPr>
              <w:spacing w:line="448" w:lineRule="auto"/>
              <w:rPr>
                <w:rFonts w:ascii="Arial"/>
                <w:sz w:val="21"/>
              </w:rPr>
            </w:pPr>
            <w:r/>
          </w:p>
          <w:p>
            <w:pPr>
              <w:ind w:left="2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35" w:right="22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80" w:type="dxa"/>
            <w:vAlign w:val="top"/>
          </w:tcPr>
          <w:p>
            <w:pPr>
              <w:ind w:left="43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80" w:type="dxa"/>
            <w:vAlign w:val="top"/>
          </w:tcPr>
          <w:p>
            <w:pPr>
              <w:ind w:left="38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80" w:type="dxa"/>
            <w:vAlign w:val="top"/>
          </w:tcPr>
          <w:p>
            <w:pPr>
              <w:ind w:left="38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80"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gridSpan w:val="2"/>
            <w:vMerge w:val="restart"/>
            <w:tcBorders>
              <w:bottom w:val="nil"/>
            </w:tcBorders>
          </w:tcPr>
          <w:p>
            <w:pPr>
              <w:spacing w:line="444"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80" w:type="dxa"/>
            <w:vAlign w:val="top"/>
          </w:tcPr>
          <w:p>
            <w:pPr>
              <w:ind w:left="44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1" w:right="34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80" w:type="dxa"/>
            <w:vAlign w:val="top"/>
          </w:tcPr>
          <w:p>
            <w:pPr>
              <w:ind w:left="26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80" w:type="dxa"/>
            <w:vAlign w:val="top"/>
          </w:tcPr>
          <w:p>
            <w:pPr>
              <w:ind w:left="198"/>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140"/>
          <w:pgSz w:w="11905" w:h="16839"/>
          <w:pgMar w:top="1431" w:right="1709" w:bottom="1156" w:left="1709" w:header="0" w:footer="994" w:gutter="0"/>
        </w:sectPr>
        <w:rPr/>
      </w:pPr>
    </w:p>
    <w:p>
      <w:pPr>
        <w:spacing w:before="92"/>
        <w:rPr/>
      </w:pPr>
      <w:r/>
    </w:p>
    <w:p>
      <w:pPr>
        <w:spacing w:before="91"/>
        <w:rPr/>
      </w:pPr>
      <w:r/>
    </w:p>
    <w:tbl>
      <w:tblPr>
        <w:tblStyle w:val="TableNormal"/>
        <w:tblW w:w="848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333"/>
        <w:gridCol w:w="1080"/>
      </w:tblGrid>
      <w:tr>
        <w:trPr>
          <w:trHeight w:val="324" w:hRule="atLeast"/>
        </w:trPr>
        <w:tc>
          <w:tcPr>
            <w:tcW w:w="1387" w:type="dxa"/>
            <w:vAlign w:val="top"/>
            <w:vMerge w:val="restart"/>
            <w:tcBorders>
              <w:bottom w:val="nil"/>
            </w:tcBorders>
          </w:tcPr>
          <w:p>
            <w:pPr>
              <w:ind w:left="220" w:right="211" w:firstLine="7"/>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3" w:hanging="480"/>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1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80" w:type="dxa"/>
            <w:vAlign w:val="top"/>
          </w:tcPr>
          <w:p>
            <w:pPr>
              <w:ind w:left="202"/>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80" w:type="dxa"/>
            <w:vAlign w:val="top"/>
          </w:tcPr>
          <w:p>
            <w:pPr>
              <w:ind w:left="44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8" w:hRule="atLeast"/>
        </w:trPr>
        <w:tc>
          <w:tcPr>
            <w:tcW w:w="1387" w:type="dxa"/>
            <w:vAlign w:val="top"/>
            <w:vMerge w:val="restart"/>
            <w:tcBorders>
              <w:bottom w:val="nil"/>
            </w:tcBorders>
          </w:tcPr>
          <w:p>
            <w:pPr>
              <w:ind w:left="212" w:right="211" w:firstLine="9"/>
              <w:spacing w:before="40"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5"/>
              <w:spacing w:before="3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76"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17"/>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80" w:type="dxa"/>
            <w:vAlign w:val="top"/>
          </w:tcPr>
          <w:p>
            <w:pPr>
              <w:ind w:left="202"/>
              <w:spacing w:before="8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48"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13"/>
              <w:spacing w:before="1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4"/>
              </w:rPr>
              <w:t>未造成社会影响或生态破坏的</w:t>
            </w:r>
          </w:p>
        </w:tc>
        <w:tc>
          <w:tcPr>
            <w:tcW w:w="1080" w:type="dxa"/>
            <w:vAlign w:val="top"/>
          </w:tcPr>
          <w:p>
            <w:pPr>
              <w:ind w:left="443"/>
              <w:spacing w:before="15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41"/>
          <w:pgSz w:w="11905" w:h="16839"/>
          <w:pgMar w:top="1431" w:right="1709" w:bottom="1156" w:left="1709" w:header="0" w:footer="994" w:gutter="0"/>
        </w:sectPr>
        <w:rPr/>
      </w:pPr>
    </w:p>
    <w:p>
      <w:pPr>
        <w:spacing w:before="4"/>
        <w:rPr/>
      </w:pPr>
      <w:r/>
    </w:p>
    <w:p>
      <w:pPr>
        <w:spacing w:before="4"/>
        <w:rPr/>
      </w:pPr>
      <w:r/>
    </w:p>
    <w:p>
      <w:pPr>
        <w:spacing w:before="4"/>
        <w:rPr/>
      </w:pPr>
      <w:r/>
    </w:p>
    <w:p>
      <w:pPr>
        <w:spacing w:before="3"/>
        <w:rPr/>
      </w:pPr>
      <w:r/>
    </w:p>
    <w:tbl>
      <w:tblPr>
        <w:tblStyle w:val="TableNormal"/>
        <w:tblW w:w="85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2"/>
        <w:gridCol w:w="1889"/>
        <w:gridCol w:w="792"/>
        <w:gridCol w:w="3333"/>
        <w:gridCol w:w="1140"/>
      </w:tblGrid>
      <w:tr>
        <w:trPr>
          <w:trHeight w:val="720" w:hRule="atLeast"/>
        </w:trPr>
        <w:tc>
          <w:tcPr>
            <w:tcW w:w="8541" w:type="dxa"/>
            <w:vAlign w:val="top"/>
            <w:gridSpan w:val="6"/>
          </w:tcPr>
          <w:p>
            <w:pPr>
              <w:ind w:left="268"/>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65" w:hRule="atLeast"/>
        </w:trPr>
        <w:tc>
          <w:tcPr>
            <w:tcW w:w="1215" w:type="dxa"/>
            <w:vAlign w:val="top"/>
          </w:tcPr>
          <w:p>
            <w:pPr>
              <w:ind w:left="333"/>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326" w:type="dxa"/>
            <w:vAlign w:val="top"/>
            <w:gridSpan w:val="5"/>
          </w:tcPr>
          <w:p>
            <w:pPr>
              <w:ind w:left="3558"/>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69</w:t>
            </w:r>
          </w:p>
        </w:tc>
      </w:tr>
      <w:tr>
        <w:trPr>
          <w:trHeight w:val="716" w:hRule="atLeast"/>
        </w:trPr>
        <w:tc>
          <w:tcPr>
            <w:tcW w:w="1215" w:type="dxa"/>
            <w:vAlign w:val="top"/>
          </w:tcPr>
          <w:p>
            <w:pPr>
              <w:ind w:left="58"/>
              <w:spacing w:before="21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326" w:type="dxa"/>
            <w:vAlign w:val="top"/>
            <w:gridSpan w:val="5"/>
          </w:tcPr>
          <w:p>
            <w:pPr>
              <w:ind w:left="18"/>
              <w:spacing w:before="2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未按照规定报送排放统计核算数据、年度排放报告</w:t>
            </w:r>
          </w:p>
        </w:tc>
      </w:tr>
      <w:tr>
        <w:trPr>
          <w:trHeight w:val="4758" w:hRule="atLeast"/>
        </w:trPr>
        <w:tc>
          <w:tcPr>
            <w:tcW w:w="1215"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326" w:type="dxa"/>
            <w:vAlign w:val="top"/>
            <w:gridSpan w:val="5"/>
          </w:tcPr>
          <w:p>
            <w:pPr>
              <w:ind w:left="34"/>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1.《碳排放权交易管理暂行条例》</w:t>
            </w:r>
          </w:p>
          <w:p>
            <w:pPr>
              <w:ind w:left="31"/>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重点排放单位应当采取有效措施控制温</w:t>
            </w:r>
            <w:r>
              <w:rPr>
                <w:rFonts w:ascii="FangSong_GB2312" w:hAnsi="FangSong_GB2312" w:eastAsia="FangSong_GB2312" w:cs="FangSong_GB2312"/>
                <w:sz w:val="24"/>
                <w:szCs w:val="24"/>
                <w:spacing w:val="-2"/>
              </w:rPr>
              <w:t>室气体排</w:t>
            </w:r>
          </w:p>
          <w:p>
            <w:pPr>
              <w:ind w:left="14" w:right="111" w:firstLine="5"/>
              <w:spacing w:before="41"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放，按照国家有关规定和国务院生态环境主管部门制定的技术规范，</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rPr>
              <w:t>制定并严格执行温室气体排放数据质量控制方案，使</w:t>
            </w:r>
            <w:r>
              <w:rPr>
                <w:rFonts w:ascii="FangSong_GB2312" w:hAnsi="FangSong_GB2312" w:eastAsia="FangSong_GB2312" w:cs="FangSong_GB2312"/>
                <w:sz w:val="24"/>
                <w:szCs w:val="24"/>
                <w:spacing w:val="-1"/>
              </w:rPr>
              <w:t>用依法经计量检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定合格或者校准的计量器具开展温室气体排放相关检验</w:t>
            </w:r>
            <w:r>
              <w:rPr>
                <w:rFonts w:ascii="FangSong_GB2312" w:hAnsi="FangSong_GB2312" w:eastAsia="FangSong_GB2312" w:cs="FangSong_GB2312"/>
                <w:sz w:val="24"/>
                <w:szCs w:val="24"/>
                <w:spacing w:val="-1"/>
              </w:rPr>
              <w:t>检测，如实准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确统计核算本单位温室气体排放量，编制上一年度温室</w:t>
            </w:r>
            <w:r>
              <w:rPr>
                <w:rFonts w:ascii="FangSong_GB2312" w:hAnsi="FangSong_GB2312" w:eastAsia="FangSong_GB2312" w:cs="FangSong_GB2312"/>
                <w:sz w:val="24"/>
                <w:szCs w:val="24"/>
                <w:spacing w:val="-1"/>
              </w:rPr>
              <w:t>气体排放报告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（以下简称年度排放报告</w:t>
            </w:r>
            <w:r>
              <w:rPr>
                <w:rFonts w:ascii="FangSong_GB2312" w:hAnsi="FangSong_GB2312" w:eastAsia="FangSong_GB2312" w:cs="FangSong_GB2312"/>
                <w:sz w:val="24"/>
                <w:szCs w:val="24"/>
                <w:spacing w:val="10"/>
              </w:rPr>
              <w:t>），</w:t>
            </w:r>
            <w:r>
              <w:rPr>
                <w:rFonts w:ascii="FangSong_GB2312" w:hAnsi="FangSong_GB2312" w:eastAsia="FangSong_GB2312" w:cs="FangSong_GB2312"/>
                <w:sz w:val="24"/>
                <w:szCs w:val="24"/>
                <w:spacing w:val="-1"/>
              </w:rPr>
              <w:t>并按照规定将排放统计核算数据、年度</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排放报告报送其生产经营场所所在地省级人民政府生</w:t>
            </w:r>
            <w:r>
              <w:rPr>
                <w:rFonts w:ascii="FangSong_GB2312" w:hAnsi="FangSong_GB2312" w:eastAsia="FangSong_GB2312" w:cs="FangSong_GB2312"/>
                <w:sz w:val="24"/>
                <w:szCs w:val="24"/>
                <w:spacing w:val="-1"/>
              </w:rPr>
              <w:t>态环境主管部</w:t>
            </w:r>
          </w:p>
          <w:p>
            <w:pPr>
              <w:ind w:left="46"/>
              <w:spacing w:before="38"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门。</w:t>
            </w:r>
          </w:p>
          <w:p>
            <w:pPr>
              <w:spacing w:line="265"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2.《碳排放权交易管理暂行条例》</w:t>
            </w:r>
          </w:p>
          <w:p>
            <w:pPr>
              <w:ind w:left="19" w:right="15" w:firstLine="11"/>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重点排放单位有下列情形之一的，由</w:t>
            </w:r>
            <w:r>
              <w:rPr>
                <w:rFonts w:ascii="FangSong_GB2312" w:hAnsi="FangSong_GB2312" w:eastAsia="FangSong_GB2312" w:cs="FangSong_GB2312"/>
                <w:sz w:val="24"/>
                <w:szCs w:val="24"/>
                <w:spacing w:val="-2"/>
              </w:rPr>
              <w:t>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管部门责令改正，处</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万元以上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万元以下的罚款；拒不改正的，可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以责令停产整治：</w:t>
            </w:r>
          </w:p>
          <w:p>
            <w:pPr>
              <w:ind w:left="14"/>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（二）未按照规定报送排放统计核算数据、</w:t>
            </w:r>
            <w:r>
              <w:rPr>
                <w:rFonts w:ascii="FangSong_GB2312" w:hAnsi="FangSong_GB2312" w:eastAsia="FangSong_GB2312" w:cs="FangSong_GB2312"/>
                <w:sz w:val="24"/>
                <w:szCs w:val="24"/>
                <w:spacing w:val="-1"/>
              </w:rPr>
              <w:t>年度排放报告；</w:t>
            </w:r>
          </w:p>
        </w:tc>
      </w:tr>
      <w:tr>
        <w:trPr>
          <w:trHeight w:val="635" w:hRule="atLeast"/>
        </w:trPr>
        <w:tc>
          <w:tcPr>
            <w:tcW w:w="4068" w:type="dxa"/>
            <w:vAlign w:val="top"/>
            <w:gridSpan w:val="4"/>
          </w:tcPr>
          <w:p>
            <w:pPr>
              <w:ind w:left="1482"/>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73" w:type="dxa"/>
            <w:vAlign w:val="top"/>
            <w:gridSpan w:val="2"/>
          </w:tcPr>
          <w:p>
            <w:pPr>
              <w:ind w:left="169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gridSpan w:val="2"/>
          </w:tcPr>
          <w:p>
            <w:pPr>
              <w:ind w:left="466"/>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33" w:type="dxa"/>
            <w:vAlign w:val="top"/>
          </w:tcPr>
          <w:p>
            <w:pPr>
              <w:ind w:left="1454"/>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0" w:type="dxa"/>
            <w:vAlign w:val="top"/>
          </w:tcPr>
          <w:p>
            <w:pPr>
              <w:ind w:left="254"/>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387" w:type="dxa"/>
            <w:vAlign w:val="top"/>
            <w:gridSpan w:val="2"/>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345" w:right="210"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333" w:type="dxa"/>
            <w:vAlign w:val="top"/>
          </w:tcPr>
          <w:p>
            <w:pPr>
              <w:ind w:left="125"/>
              <w:spacing w:before="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重点排放单位按照规定编制</w:t>
            </w:r>
          </w:p>
          <w:p>
            <w:pPr>
              <w:ind w:left="118" w:right="104" w:firstLine="37"/>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了年度排放报告，但未将年度</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排放报告报生态环境主管部</w:t>
            </w:r>
          </w:p>
          <w:p>
            <w:pPr>
              <w:ind w:left="142"/>
              <w:spacing w:before="37"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门</w:t>
            </w:r>
          </w:p>
        </w:tc>
        <w:tc>
          <w:tcPr>
            <w:tcW w:w="1140" w:type="dxa"/>
            <w:vAlign w:val="top"/>
          </w:tcPr>
          <w:p>
            <w:pPr>
              <w:spacing w:line="432"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14" w:right="161" w:firstLine="11"/>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重点排放单位如实准确统计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核算本单位温室气体排放量，</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但未编制年度排放报告</w:t>
            </w:r>
          </w:p>
        </w:tc>
        <w:tc>
          <w:tcPr>
            <w:tcW w:w="1140" w:type="dxa"/>
            <w:vAlign w:val="top"/>
          </w:tcPr>
          <w:p>
            <w:pPr>
              <w:spacing w:line="277" w:lineRule="auto"/>
              <w:rPr>
                <w:rFonts w:ascii="Arial"/>
                <w:sz w:val="21"/>
              </w:rPr>
            </w:pPr>
            <w:r/>
          </w:p>
          <w:p>
            <w:pPr>
              <w:ind w:left="16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387" w:type="dxa"/>
            <w:vAlign w:val="top"/>
            <w:gridSpan w:val="2"/>
            <w:vMerge w:val="restart"/>
            <w:tcBorders>
              <w:bottom w:val="nil"/>
            </w:tcBorders>
          </w:tcPr>
          <w:p>
            <w:pPr>
              <w:spacing w:line="450"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0" w:type="dxa"/>
            <w:vAlign w:val="top"/>
          </w:tcPr>
          <w:p>
            <w:pPr>
              <w:ind w:left="46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0" w:type="dxa"/>
            <w:vAlign w:val="top"/>
          </w:tcPr>
          <w:p>
            <w:pPr>
              <w:ind w:left="4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0" w:type="dxa"/>
            <w:vAlign w:val="top"/>
          </w:tcPr>
          <w:p>
            <w:pPr>
              <w:ind w:left="41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0" w:type="dxa"/>
            <w:vAlign w:val="top"/>
          </w:tcPr>
          <w:p>
            <w:pPr>
              <w:ind w:left="4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gridSpan w:val="2"/>
            <w:vMerge w:val="restart"/>
            <w:tcBorders>
              <w:bottom w:val="nil"/>
            </w:tcBorders>
          </w:tcPr>
          <w:p>
            <w:pPr>
              <w:spacing w:line="284"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85" w:lineRule="auto"/>
              <w:rPr>
                <w:rFonts w:ascii="Arial"/>
                <w:sz w:val="21"/>
              </w:rPr>
            </w:pPr>
            <w:r/>
          </w:p>
          <w:p>
            <w:pPr>
              <w:ind w:left="227"/>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28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0" w:type="dxa"/>
            <w:vAlign w:val="top"/>
          </w:tcPr>
          <w:p>
            <w:pPr>
              <w:ind w:left="4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2" w:right="341"/>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0" w:type="dxa"/>
            <w:vAlign w:val="top"/>
          </w:tcPr>
          <w:p>
            <w:pPr>
              <w:ind w:left="29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142"/>
          <w:pgSz w:w="11905" w:h="16839"/>
          <w:pgMar w:top="1431" w:right="1679" w:bottom="1156" w:left="1679" w:header="0" w:footer="994" w:gutter="0"/>
        </w:sectPr>
        <w:rPr/>
      </w:pPr>
    </w:p>
    <w:p>
      <w:pPr>
        <w:spacing w:before="92"/>
        <w:rPr/>
      </w:pPr>
      <w:r/>
    </w:p>
    <w:p>
      <w:pPr>
        <w:spacing w:before="91"/>
        <w:rPr/>
      </w:pPr>
      <w:r/>
    </w:p>
    <w:tbl>
      <w:tblPr>
        <w:tblStyle w:val="TableNormal"/>
        <w:tblW w:w="85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333"/>
        <w:gridCol w:w="1140"/>
      </w:tblGrid>
      <w:tr>
        <w:trPr>
          <w:trHeight w:val="324" w:hRule="atLeast"/>
        </w:trPr>
        <w:tc>
          <w:tcPr>
            <w:tcW w:w="1387"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333"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0" w:type="dxa"/>
            <w:vAlign w:val="top"/>
          </w:tcPr>
          <w:p>
            <w:pPr>
              <w:ind w:left="228"/>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387" w:type="dxa"/>
            <w:vAlign w:val="top"/>
            <w:vMerge w:val="restart"/>
            <w:tcBorders>
              <w:bottom w:val="nil"/>
            </w:tcBorders>
          </w:tcPr>
          <w:p>
            <w:pPr>
              <w:ind w:left="221" w:right="210"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7" w:right="222"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0" w:type="dxa"/>
            <w:vAlign w:val="top"/>
          </w:tcPr>
          <w:p>
            <w:pPr>
              <w:ind w:left="23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0" w:type="dxa"/>
            <w:vAlign w:val="top"/>
          </w:tcPr>
          <w:p>
            <w:pPr>
              <w:ind w:left="47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387" w:type="dxa"/>
            <w:vAlign w:val="top"/>
            <w:vMerge w:val="restart"/>
            <w:tcBorders>
              <w:bottom w:val="nil"/>
            </w:tcBorders>
          </w:tcPr>
          <w:p>
            <w:pPr>
              <w:ind w:left="214" w:right="210" w:firstLine="9"/>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7"/>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7"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7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18"/>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0" w:type="dxa"/>
            <w:vAlign w:val="top"/>
          </w:tcPr>
          <w:p>
            <w:pPr>
              <w:ind w:left="232"/>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28"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14"/>
              <w:spacing w:before="1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4"/>
              </w:rPr>
              <w:t>未造成社会影响或生态破坏的</w:t>
            </w:r>
          </w:p>
        </w:tc>
        <w:tc>
          <w:tcPr>
            <w:tcW w:w="1140" w:type="dxa"/>
            <w:vAlign w:val="top"/>
          </w:tcPr>
          <w:p>
            <w:pPr>
              <w:ind w:left="473"/>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43"/>
          <w:pgSz w:w="11905" w:h="16839"/>
          <w:pgMar w:top="1431" w:right="1679" w:bottom="1156" w:left="1679"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5"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70</w:t>
            </w:r>
          </w:p>
        </w:tc>
      </w:tr>
      <w:tr>
        <w:trPr>
          <w:trHeight w:val="635" w:hRule="atLeast"/>
        </w:trPr>
        <w:tc>
          <w:tcPr>
            <w:tcW w:w="1454" w:type="dxa"/>
            <w:vAlign w:val="top"/>
          </w:tcPr>
          <w:p>
            <w:pPr>
              <w:ind w:left="177"/>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6" w:right="175" w:hanging="3"/>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未按照规定公开年度排放报告中的排放量、排放设施、统计核算</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方法等信息</w:t>
            </w:r>
          </w:p>
        </w:tc>
      </w:tr>
      <w:tr>
        <w:trPr>
          <w:trHeight w:val="3787" w:hRule="atLeast"/>
        </w:trPr>
        <w:tc>
          <w:tcPr>
            <w:tcW w:w="1454"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2" w:right="107" w:firstLine="13"/>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重点排放单位应当按照国家有关规</w:t>
            </w:r>
            <w:r>
              <w:rPr>
                <w:rFonts w:ascii="FangSong_GB2312" w:hAnsi="FangSong_GB2312" w:eastAsia="FangSong_GB2312" w:cs="FangSong_GB2312"/>
                <w:sz w:val="24"/>
                <w:szCs w:val="24"/>
                <w:spacing w:val="-2"/>
              </w:rPr>
              <w:t>定，向社会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公开其年度排放报告中的排放量、排放设施、统计核算方法等信</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5"/>
              </w:rPr>
              <w:t>息。年度排放报告所涉数据的原始记录和管理台账应当至少保存</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年。</w:t>
            </w:r>
          </w:p>
          <w:p>
            <w:pPr>
              <w:spacing w:line="27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07" w:right="107" w:firstLine="17"/>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重点排放单位有下列情形之</w:t>
            </w:r>
            <w:r>
              <w:rPr>
                <w:rFonts w:ascii="FangSong_GB2312" w:hAnsi="FangSong_GB2312" w:eastAsia="FangSong_GB2312" w:cs="FangSong_GB2312"/>
                <w:sz w:val="24"/>
                <w:szCs w:val="24"/>
                <w:spacing w:val="-2"/>
              </w:rPr>
              <w:t>一的，由生态环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境主管部门责令改正，处</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万元以下的罚款；拒不改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正的，可以责令停产整治：</w:t>
            </w:r>
          </w:p>
          <w:p>
            <w:pPr>
              <w:ind w:left="113" w:right="175" w:hanging="5"/>
              <w:spacing w:before="37"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（三）未按照规定向社会公开年度排放报告中的</w:t>
            </w:r>
            <w:r>
              <w:rPr>
                <w:rFonts w:ascii="FangSong_GB2312" w:hAnsi="FangSong_GB2312" w:eastAsia="FangSong_GB2312" w:cs="FangSong_GB2312"/>
                <w:sz w:val="24"/>
                <w:szCs w:val="24"/>
                <w:spacing w:val="-1"/>
              </w:rPr>
              <w:t>排放量、排放设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施、统计核算方法等信息；</w:t>
            </w:r>
          </w:p>
        </w:tc>
      </w:tr>
      <w:tr>
        <w:trPr>
          <w:trHeight w:val="635" w:hRule="atLeast"/>
        </w:trPr>
        <w:tc>
          <w:tcPr>
            <w:tcW w:w="3910" w:type="dxa"/>
            <w:vAlign w:val="top"/>
            <w:gridSpan w:val="3"/>
          </w:tcPr>
          <w:p>
            <w:pPr>
              <w:ind w:left="140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54"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9" w:right="103" w:hanging="5"/>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未按规定向社会公开年度排放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8"/>
              </w:rPr>
              <w:t>报告中的排放量、排放设施、统</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计核算方法等信息</w:t>
            </w:r>
          </w:p>
        </w:tc>
        <w:tc>
          <w:tcPr>
            <w:tcW w:w="1068" w:type="dxa"/>
            <w:vAlign w:val="top"/>
          </w:tcPr>
          <w:p>
            <w:pPr>
              <w:spacing w:line="277" w:lineRule="auto"/>
              <w:rPr>
                <w:rFonts w:ascii="Arial"/>
                <w:sz w:val="21"/>
              </w:rPr>
            </w:pPr>
            <w:r/>
          </w:p>
          <w:p>
            <w:pPr>
              <w:ind w:left="19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right="103" w:hanging="3"/>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未向社会公开年度排放报告中</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8"/>
              </w:rPr>
              <w:t>的排放量、排放设施、统计核算</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3"/>
              </w:rPr>
              <w:t>方法等信息</w:t>
            </w:r>
          </w:p>
        </w:tc>
        <w:tc>
          <w:tcPr>
            <w:tcW w:w="1068" w:type="dxa"/>
            <w:vAlign w:val="top"/>
          </w:tcPr>
          <w:p>
            <w:pPr>
              <w:spacing w:line="278" w:lineRule="auto"/>
              <w:rPr>
                <w:rFonts w:ascii="Arial"/>
                <w:sz w:val="21"/>
              </w:rPr>
            </w:pPr>
            <w:r/>
          </w:p>
          <w:p>
            <w:pPr>
              <w:ind w:left="1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9"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4"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5" w:right="243"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54" w:type="dxa"/>
            <w:vAlign w:val="top"/>
          </w:tcPr>
          <w:p>
            <w:pPr>
              <w:ind w:left="136"/>
              <w:spacing w:before="6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3"/>
              <w:spacing w:before="6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ind w:left="220"/>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44"/>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ind w:left="494" w:right="121" w:hanging="36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5" w:right="121"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rPr>
                <w:rFonts w:ascii="Arial"/>
                <w:sz w:val="21"/>
              </w:rPr>
            </w:pPr>
            <w:r/>
          </w:p>
        </w:tc>
        <w:tc>
          <w:tcPr>
            <w:tcW w:w="3480" w:type="dxa"/>
            <w:vAlign w:val="top"/>
          </w:tcPr>
          <w:p>
            <w:pPr>
              <w:ind w:left="1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45"/>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71</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未按照规定保存年度排放报告所涉数据的原始记录和管理台账</w:t>
            </w:r>
          </w:p>
        </w:tc>
      </w:tr>
      <w:tr>
        <w:trPr>
          <w:trHeight w:val="3787" w:hRule="atLeast"/>
        </w:trPr>
        <w:tc>
          <w:tcPr>
            <w:tcW w:w="1454"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2" w:right="107" w:firstLine="13"/>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重点排放单位应当按照国家有关规</w:t>
            </w:r>
            <w:r>
              <w:rPr>
                <w:rFonts w:ascii="FangSong_GB2312" w:hAnsi="FangSong_GB2312" w:eastAsia="FangSong_GB2312" w:cs="FangSong_GB2312"/>
                <w:sz w:val="24"/>
                <w:szCs w:val="24"/>
                <w:spacing w:val="-2"/>
              </w:rPr>
              <w:t>定，向社会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公开其年度排放报告中的排放量、排放设施、统计核算方法等信</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5"/>
              </w:rPr>
              <w:t>息。年度排放报告所涉数据的原始记录和管理台账应当至少保存</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年。</w:t>
            </w:r>
          </w:p>
          <w:p>
            <w:pPr>
              <w:spacing w:line="27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07" w:right="107" w:firstLine="17"/>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第四项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重点排放单位有下列情形之一的，由生</w:t>
            </w:r>
            <w:r>
              <w:rPr>
                <w:rFonts w:ascii="FangSong_GB2312" w:hAnsi="FangSong_GB2312" w:eastAsia="FangSong_GB2312" w:cs="FangSong_GB2312"/>
                <w:sz w:val="24"/>
                <w:szCs w:val="24"/>
                <w:spacing w:val="-2"/>
              </w:rPr>
              <w:t>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境主管部门责令改正，处</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万元以下的罚款；拒不改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正的，可以责令停产整治：</w:t>
            </w:r>
          </w:p>
          <w:p>
            <w:pPr>
              <w:ind w:left="140" w:right="175" w:hanging="32"/>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（四）未按照规定保存年度排放报告所涉数据的</w:t>
            </w:r>
            <w:r>
              <w:rPr>
                <w:rFonts w:ascii="FangSong_GB2312" w:hAnsi="FangSong_GB2312" w:eastAsia="FangSong_GB2312" w:cs="FangSong_GB2312"/>
                <w:sz w:val="24"/>
                <w:szCs w:val="24"/>
                <w:spacing w:val="-1"/>
              </w:rPr>
              <w:t>原始记录和管理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3"/>
              </w:rPr>
              <w:t>台账。</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4" w:right="121" w:hanging="358"/>
              <w:spacing w:before="24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611" w:right="121" w:hanging="476"/>
              <w:spacing w:before="24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报告数据保存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期限</w:t>
            </w:r>
          </w:p>
        </w:tc>
        <w:tc>
          <w:tcPr>
            <w:tcW w:w="771" w:type="dxa"/>
            <w:vAlign w:val="top"/>
            <w:vMerge w:val="restart"/>
            <w:tcBorders>
              <w:bottom w:val="nil"/>
            </w:tcBorders>
          </w:tcPr>
          <w:p>
            <w:pPr>
              <w:spacing w:line="325"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3</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8"/>
              </w:rPr>
              <w:t>年以上不满</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8"/>
              </w:rPr>
              <w:t>年</w:t>
            </w:r>
          </w:p>
        </w:tc>
        <w:tc>
          <w:tcPr>
            <w:tcW w:w="1068" w:type="dxa"/>
            <w:vAlign w:val="top"/>
          </w:tcPr>
          <w:p>
            <w:pPr>
              <w:ind w:left="25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spacing w:before="7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年以上不满</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9"/>
              </w:rPr>
              <w:t>3</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9"/>
              </w:rPr>
              <w:t>年</w:t>
            </w:r>
          </w:p>
        </w:tc>
        <w:tc>
          <w:tcPr>
            <w:tcW w:w="1068" w:type="dxa"/>
            <w:vAlign w:val="top"/>
          </w:tcPr>
          <w:p>
            <w:pPr>
              <w:ind w:left="193"/>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不满</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10"/>
              </w:rPr>
              <w:t>年</w:t>
            </w:r>
          </w:p>
        </w:tc>
        <w:tc>
          <w:tcPr>
            <w:tcW w:w="1068" w:type="dxa"/>
            <w:vAlign w:val="top"/>
          </w:tcPr>
          <w:p>
            <w:pPr>
              <w:ind w:left="13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21" w:hRule="atLeast"/>
        </w:trPr>
        <w:tc>
          <w:tcPr>
            <w:tcW w:w="1454" w:type="dxa"/>
            <w:vAlign w:val="top"/>
            <w:vMerge w:val="restart"/>
            <w:tcBorders>
              <w:bottom w:val="nil"/>
            </w:tcBorders>
          </w:tcPr>
          <w:p>
            <w:pPr>
              <w:spacing w:line="343" w:lineRule="auto"/>
              <w:rPr>
                <w:rFonts w:ascii="Arial"/>
                <w:sz w:val="21"/>
              </w:rPr>
            </w:pPr>
            <w:r/>
          </w:p>
          <w:p>
            <w:pPr>
              <w:ind w:left="622" w:right="121" w:hanging="487"/>
              <w:spacing w:before="78"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违法行为类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685" w:type="dxa"/>
            <w:vAlign w:val="top"/>
            <w:vMerge w:val="restart"/>
            <w:tcBorders>
              <w:bottom w:val="nil"/>
            </w:tcBorders>
          </w:tcPr>
          <w:p>
            <w:pPr>
              <w:ind w:left="620" w:right="121" w:hanging="459"/>
              <w:spacing w:before="97"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内容保存是否</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2"/>
              </w:rPr>
              <w:t>完整</w:t>
            </w:r>
          </w:p>
        </w:tc>
        <w:tc>
          <w:tcPr>
            <w:tcW w:w="771"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4"/>
              <w:spacing w:before="9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部分记录未保存</w:t>
            </w:r>
          </w:p>
        </w:tc>
        <w:tc>
          <w:tcPr>
            <w:tcW w:w="1068" w:type="dxa"/>
            <w:vAlign w:val="top"/>
          </w:tcPr>
          <w:p>
            <w:pPr>
              <w:ind w:left="197"/>
              <w:spacing w:before="9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未保存记录</w:t>
            </w:r>
          </w:p>
        </w:tc>
        <w:tc>
          <w:tcPr>
            <w:tcW w:w="1068" w:type="dxa"/>
            <w:vAlign w:val="top"/>
          </w:tcPr>
          <w:p>
            <w:pPr>
              <w:ind w:left="13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restart"/>
            <w:tcBorders>
              <w:bottom w:val="nil"/>
            </w:tcBorders>
          </w:tcPr>
          <w:p>
            <w:pPr>
              <w:ind w:left="124"/>
              <w:spacing w:before="20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保存数据类型</w:t>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未保存原始记录或管理台账</w:t>
            </w:r>
          </w:p>
        </w:tc>
        <w:tc>
          <w:tcPr>
            <w:tcW w:w="1068" w:type="dxa"/>
            <w:vAlign w:val="top"/>
          </w:tcPr>
          <w:p>
            <w:pPr>
              <w:ind w:left="1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未保存原始记录和管理台账</w:t>
            </w:r>
          </w:p>
        </w:tc>
        <w:tc>
          <w:tcPr>
            <w:tcW w:w="1068" w:type="dxa"/>
            <w:vAlign w:val="top"/>
          </w:tcPr>
          <w:p>
            <w:pPr>
              <w:ind w:left="1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1" w:line="25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ind w:left="255" w:right="243"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146"/>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47"/>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72</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未按照规定统计核算温室气体排放量</w:t>
            </w:r>
          </w:p>
        </w:tc>
      </w:tr>
      <w:tr>
        <w:trPr>
          <w:trHeight w:val="5987" w:hRule="atLeast"/>
        </w:trPr>
        <w:tc>
          <w:tcPr>
            <w:tcW w:w="145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2" w:right="167" w:firstLine="13"/>
              <w:spacing w:before="33"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重点排放单位应当采取有效措施控</w:t>
            </w:r>
            <w:r>
              <w:rPr>
                <w:rFonts w:ascii="FangSong_GB2312" w:hAnsi="FangSong_GB2312" w:eastAsia="FangSong_GB2312" w:cs="FangSong_GB2312"/>
                <w:sz w:val="24"/>
                <w:szCs w:val="24"/>
                <w:spacing w:val="-2"/>
              </w:rPr>
              <w:t>制温室气体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排放，按照国家有关规定和国务院生态环境主管部门制定的技术</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规范，制定并严格执行温室气体排放数据质量控制方案，使用依</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法经计量检定合格或者校准的计量器具开展温室气体排放相关检</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验检测，如实准确统计核算本单位温室气体排放量，编制上一年</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度温室气体排放报告（以下简称年度排放报告</w:t>
            </w:r>
            <w:r>
              <w:rPr>
                <w:rFonts w:ascii="FangSong_GB2312" w:hAnsi="FangSong_GB2312" w:eastAsia="FangSong_GB2312" w:cs="FangSong_GB2312"/>
                <w:sz w:val="24"/>
                <w:szCs w:val="24"/>
                <w:spacing w:val="8"/>
              </w:rPr>
              <w:t>），</w:t>
            </w:r>
            <w:r>
              <w:rPr>
                <w:rFonts w:ascii="FangSong_GB2312" w:hAnsi="FangSong_GB2312" w:eastAsia="FangSong_GB2312" w:cs="FangSong_GB2312"/>
                <w:sz w:val="24"/>
                <w:szCs w:val="24"/>
                <w:spacing w:val="-1"/>
              </w:rPr>
              <w:t>并按照规定将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排放统计核算数据、年度排放报告报送其生产经营场所所在地省</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级人民政府生态环境主管部门。</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07" w:right="107" w:firstLine="17"/>
              <w:spacing w:before="40"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重点排放单位有下列情形之</w:t>
            </w:r>
            <w:r>
              <w:rPr>
                <w:rFonts w:ascii="FangSong_GB2312" w:hAnsi="FangSong_GB2312" w:eastAsia="FangSong_GB2312" w:cs="FangSong_GB2312"/>
                <w:sz w:val="24"/>
                <w:szCs w:val="24"/>
                <w:spacing w:val="-2"/>
              </w:rPr>
              <w:t>一的，由生态环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境主管部门责令改正，没收违法所得，并处违法所得</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2"/>
              </w:rPr>
              <w:t>倍以上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10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倍以下的罚款；没有违法所得或者违法所得不足</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万元的</w:t>
            </w:r>
            <w:r>
              <w:rPr>
                <w:rFonts w:ascii="FangSong_GB2312" w:hAnsi="FangSong_GB2312" w:eastAsia="FangSong_GB2312" w:cs="FangSong_GB2312"/>
                <w:sz w:val="24"/>
                <w:szCs w:val="24"/>
                <w:spacing w:val="-7"/>
              </w:rPr>
              <w:t>，处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50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2"/>
              </w:rPr>
              <w:t>200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万元以下的罚款；对其直接负责的主管人员和其他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直接责任人员处</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万元以下的罚款；拒不改正的，按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照</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2"/>
              </w:rPr>
              <w:t>50%以上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100%以下的比例核减其下一年度碳排放配额，可以责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令停产整治：</w:t>
            </w:r>
          </w:p>
          <w:p>
            <w:pPr>
              <w:ind w:left="108"/>
              <w:spacing w:before="36"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（一）未按照规定统计核算温室气体排放量；</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ind w:left="494" w:right="121" w:hanging="358"/>
              <w:spacing w:before="20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84"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8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4" w:right="249" w:firstLine="1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温室气体排放量数据统计不完</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全</w:t>
            </w:r>
          </w:p>
        </w:tc>
        <w:tc>
          <w:tcPr>
            <w:tcW w:w="1068" w:type="dxa"/>
            <w:vAlign w:val="top"/>
          </w:tcPr>
          <w:p>
            <w:pPr>
              <w:ind w:left="19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未统计核算温室气体排放量</w:t>
            </w:r>
          </w:p>
        </w:tc>
        <w:tc>
          <w:tcPr>
            <w:tcW w:w="1068" w:type="dxa"/>
            <w:vAlign w:val="top"/>
          </w:tcPr>
          <w:p>
            <w:pPr>
              <w:ind w:left="13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6"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148"/>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379" w:right="121" w:hanging="237"/>
              <w:spacing w:before="8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685" w:type="dxa"/>
            <w:vAlign w:val="top"/>
            <w:vMerge w:val="restart"/>
            <w:tcBorders>
              <w:bottom w:val="nil"/>
            </w:tcBorders>
          </w:tcPr>
          <w:p>
            <w:pPr>
              <w:ind w:left="603" w:right="121" w:hanging="480"/>
              <w:spacing w:before="8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1" w:hRule="atLeast"/>
        </w:trPr>
        <w:tc>
          <w:tcPr>
            <w:tcW w:w="1454" w:type="dxa"/>
            <w:vAlign w:val="top"/>
            <w:vMerge w:val="restart"/>
            <w:tcBorders>
              <w:bottom w:val="nil"/>
            </w:tcBorders>
          </w:tcPr>
          <w:p>
            <w:pPr>
              <w:ind w:left="136"/>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6"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49"/>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73</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pStyle w:val="TableText"/>
              <w:ind w:left="111"/>
              <w:spacing w:before="197" w:line="214" w:lineRule="auto"/>
              <w:rPr>
                <w:sz w:val="20"/>
                <w:szCs w:val="20"/>
              </w:rPr>
            </w:pPr>
            <w:r>
              <w:rPr>
                <w:sz w:val="20"/>
                <w:szCs w:val="20"/>
                <w:spacing w:val="5"/>
              </w:rPr>
              <w:t>篡改、伪造数据，使</w:t>
            </w:r>
            <w:r>
              <w:rPr>
                <w:rFonts w:ascii="FangSong_GB2312" w:hAnsi="FangSong_GB2312" w:eastAsia="FangSong_GB2312" w:cs="FangSong_GB2312"/>
                <w:sz w:val="24"/>
                <w:szCs w:val="24"/>
                <w:spacing w:val="5"/>
              </w:rPr>
              <w:t>用虚假的数据资料编制虚假</w:t>
            </w:r>
            <w:r>
              <w:rPr>
                <w:sz w:val="20"/>
                <w:szCs w:val="20"/>
                <w:spacing w:val="5"/>
              </w:rPr>
              <w:t>年度排放报告</w:t>
            </w:r>
          </w:p>
        </w:tc>
      </w:tr>
      <w:tr>
        <w:trPr>
          <w:trHeight w:val="8192" w:hRule="atLeast"/>
        </w:trPr>
        <w:tc>
          <w:tcPr>
            <w:tcW w:w="1454"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0" w:right="167" w:firstLine="15"/>
              <w:spacing w:before="36"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接受委托编制年度排放报告、对年</w:t>
            </w:r>
            <w:r>
              <w:rPr>
                <w:rFonts w:ascii="FangSong_GB2312" w:hAnsi="FangSong_GB2312" w:eastAsia="FangSong_GB2312" w:cs="FangSong_GB2312"/>
                <w:sz w:val="24"/>
                <w:szCs w:val="24"/>
                <w:spacing w:val="-2"/>
              </w:rPr>
              <w:t>度排放报告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进行技术审核的技术服务机构，应当按照国家</w:t>
            </w:r>
            <w:r>
              <w:rPr>
                <w:rFonts w:ascii="FangSong_GB2312" w:hAnsi="FangSong_GB2312" w:eastAsia="FangSong_GB2312" w:cs="FangSong_GB2312"/>
                <w:sz w:val="24"/>
                <w:szCs w:val="24"/>
                <w:spacing w:val="-1"/>
              </w:rPr>
              <w:t>有关规定，具备相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应的设施设备、技术能力和技术人员，建立业务质量管理制度，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独立、客观、公正开展相关业务，对其出具的</w:t>
            </w:r>
            <w:r>
              <w:rPr>
                <w:rFonts w:ascii="FangSong_GB2312" w:hAnsi="FangSong_GB2312" w:eastAsia="FangSong_GB2312" w:cs="FangSong_GB2312"/>
                <w:sz w:val="24"/>
                <w:szCs w:val="24"/>
                <w:spacing w:val="-1"/>
              </w:rPr>
              <w:t>年度排放报告和技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术审核意见承担相应责任，不得篡改、伪造数</w:t>
            </w:r>
            <w:r>
              <w:rPr>
                <w:rFonts w:ascii="FangSong_GB2312" w:hAnsi="FangSong_GB2312" w:eastAsia="FangSong_GB2312" w:cs="FangSong_GB2312"/>
                <w:sz w:val="24"/>
                <w:szCs w:val="24"/>
                <w:spacing w:val="-1"/>
              </w:rPr>
              <w:t>据资料，不得使用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虚假的数据资料或者实施其他弄虚作假行为。</w:t>
            </w:r>
            <w:r>
              <w:rPr>
                <w:rFonts w:ascii="FangSong_GB2312" w:hAnsi="FangSong_GB2312" w:eastAsia="FangSong_GB2312" w:cs="FangSong_GB2312"/>
                <w:sz w:val="24"/>
                <w:szCs w:val="24"/>
                <w:spacing w:val="-1"/>
              </w:rPr>
              <w:t>年度排放报告编制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和技术审核的具体管理办法由国务院生态环境</w:t>
            </w:r>
            <w:r>
              <w:rPr>
                <w:rFonts w:ascii="FangSong_GB2312" w:hAnsi="FangSong_GB2312" w:eastAsia="FangSong_GB2312" w:cs="FangSong_GB2312"/>
                <w:sz w:val="24"/>
                <w:szCs w:val="24"/>
                <w:spacing w:val="-1"/>
              </w:rPr>
              <w:t>主管部门会同国务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院有关部门制定。</w:t>
            </w:r>
          </w:p>
          <w:p>
            <w:pPr>
              <w:spacing w:line="271"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12" w:right="107" w:firstLine="13"/>
              <w:spacing w:before="34"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技术服务机构出具的年度排</w:t>
            </w:r>
            <w:r>
              <w:rPr>
                <w:rFonts w:ascii="FangSong_GB2312" w:hAnsi="FangSong_GB2312" w:eastAsia="FangSong_GB2312" w:cs="FangSong_GB2312"/>
                <w:sz w:val="24"/>
                <w:szCs w:val="24"/>
                <w:spacing w:val="-2"/>
              </w:rPr>
              <w:t>放报告或者技术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审核意见存在重大缺陷或者遗漏，在年度排放报告编制或者对年</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度排放报告进行技术审核过程中篡改、伪造数据资料，使用虚假</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的数据资料或者实施其他弄虚作假行为的，由生态环境主管部门</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4"/>
              </w:rPr>
              <w:t>责令改正，没收违法所得，并处违法所得</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5"/>
              </w:rPr>
              <w:t>0</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5"/>
              </w:rPr>
              <w:t>倍以下的罚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款；没有违法所得或者违法所得不足</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3"/>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3"/>
              </w:rPr>
              <w:t>万元的，处</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spacing w:val="-4"/>
              </w:rPr>
              <w:t>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5"/>
              </w:rPr>
              <w:t>万元以下的罚款；情节严重的，禁止其从事年度排放报告编制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和技术审核业务。</w:t>
            </w:r>
          </w:p>
          <w:p>
            <w:pPr>
              <w:spacing w:line="274" w:lineRule="auto"/>
              <w:rPr>
                <w:rFonts w:ascii="Arial"/>
                <w:sz w:val="21"/>
              </w:rPr>
            </w:pPr>
            <w:r/>
          </w:p>
          <w:p>
            <w:pPr>
              <w:ind w:left="115" w:right="107" w:firstLine="10"/>
              <w:spacing w:before="78"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技术服务机构因本条第一款、第</w:t>
            </w:r>
            <w:r>
              <w:rPr>
                <w:rFonts w:ascii="FangSong_GB2312" w:hAnsi="FangSong_GB2312" w:eastAsia="FangSong_GB2312" w:cs="FangSong_GB2312"/>
                <w:sz w:val="24"/>
                <w:szCs w:val="24"/>
              </w:rPr>
              <w:t>二款规定的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违法行为受到处罚的，对其直接负责的主管人员和其他直接</w:t>
            </w:r>
            <w:r>
              <w:rPr>
                <w:rFonts w:ascii="FangSong_GB2312" w:hAnsi="FangSong_GB2312" w:eastAsia="FangSong_GB2312" w:cs="FangSong_GB2312"/>
                <w:sz w:val="24"/>
                <w:szCs w:val="24"/>
                <w:spacing w:val="1"/>
              </w:rPr>
              <w:t>责任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人员处</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万元以下的罚款，5</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4"/>
              </w:rPr>
              <w:t>年内禁止从事温室气体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排放相关检验检测、年度排放报告编制和技术审核业务；情</w:t>
            </w:r>
            <w:r>
              <w:rPr>
                <w:rFonts w:ascii="FangSong_GB2312" w:hAnsi="FangSong_GB2312" w:eastAsia="FangSong_GB2312" w:cs="FangSong_GB2312"/>
                <w:sz w:val="24"/>
                <w:szCs w:val="24"/>
                <w:spacing w:val="1"/>
              </w:rPr>
              <w:t>节严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重的，终身禁止从事前述业务。</w:t>
            </w:r>
          </w:p>
        </w:tc>
      </w:tr>
      <w:tr>
        <w:trPr>
          <w:trHeight w:val="635" w:hRule="atLeast"/>
        </w:trPr>
        <w:tc>
          <w:tcPr>
            <w:tcW w:w="3910" w:type="dxa"/>
            <w:vAlign w:val="top"/>
            <w:gridSpan w:val="3"/>
          </w:tcPr>
          <w:p>
            <w:pPr>
              <w:ind w:left="140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84"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39"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39"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6" w:right="24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年度排放报告存在重大缺陷或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者遗漏</w:t>
            </w:r>
          </w:p>
        </w:tc>
        <w:tc>
          <w:tcPr>
            <w:tcW w:w="1068" w:type="dxa"/>
            <w:vAlign w:val="top"/>
          </w:tcPr>
          <w:p>
            <w:pPr>
              <w:ind w:left="19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9" w:right="103" w:hanging="22"/>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在年度排放报告编制过程中篡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改、伪造数据资料，使用虚假的</w:t>
            </w:r>
          </w:p>
        </w:tc>
        <w:tc>
          <w:tcPr>
            <w:tcW w:w="1068" w:type="dxa"/>
            <w:vAlign w:val="top"/>
          </w:tcPr>
          <w:p>
            <w:pPr>
              <w:ind w:left="13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bl>
    <w:p>
      <w:pPr>
        <w:pStyle w:val="BodyText"/>
        <w:rPr/>
      </w:pPr>
      <w:r/>
    </w:p>
    <w:p>
      <w:pPr>
        <w:sectPr>
          <w:footerReference w:type="default" r:id="rId150"/>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rPr>
                <w:rFonts w:ascii="Arial"/>
                <w:sz w:val="21"/>
              </w:rPr>
            </w:pPr>
            <w:r/>
          </w:p>
        </w:tc>
        <w:tc>
          <w:tcPr>
            <w:tcW w:w="1685" w:type="dxa"/>
            <w:vAlign w:val="top"/>
          </w:tcPr>
          <w:p>
            <w:pPr>
              <w:rPr>
                <w:rFonts w:ascii="Arial"/>
                <w:sz w:val="21"/>
              </w:rPr>
            </w:pPr>
            <w:r/>
          </w:p>
        </w:tc>
        <w:tc>
          <w:tcPr>
            <w:tcW w:w="771" w:type="dxa"/>
            <w:vAlign w:val="top"/>
          </w:tcPr>
          <w:p>
            <w:pPr>
              <w:rPr>
                <w:rFonts w:ascii="Arial"/>
                <w:sz w:val="21"/>
              </w:rPr>
            </w:pPr>
            <w:r/>
          </w:p>
        </w:tc>
        <w:tc>
          <w:tcPr>
            <w:tcW w:w="3480" w:type="dxa"/>
            <w:vAlign w:val="top"/>
          </w:tcPr>
          <w:p>
            <w:pPr>
              <w:ind w:left="133" w:right="249" w:hanging="1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数据资料导致真实数据存在缺</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6"/>
              </w:rPr>
              <w:t>陷或者遗漏</w:t>
            </w:r>
          </w:p>
        </w:tc>
        <w:tc>
          <w:tcPr>
            <w:tcW w:w="1068" w:type="dxa"/>
            <w:vAlign w:val="top"/>
          </w:tcPr>
          <w:p>
            <w:pPr>
              <w:rPr>
                <w:rFonts w:ascii="Arial"/>
                <w:sz w:val="21"/>
              </w:rPr>
            </w:pPr>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5"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0"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47" w:line="22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0" w:line="218"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49" w:line="219"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38"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0" w:line="218"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1"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1"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1"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1" w:hRule="atLeast"/>
        </w:trPr>
        <w:tc>
          <w:tcPr>
            <w:tcW w:w="1454" w:type="dxa"/>
            <w:vAlign w:val="top"/>
            <w:vMerge w:val="restart"/>
            <w:tcBorders>
              <w:bottom w:val="nil"/>
            </w:tcBorders>
          </w:tcPr>
          <w:p>
            <w:pPr>
              <w:ind w:left="379" w:right="121" w:hanging="237"/>
              <w:spacing w:before="8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685" w:type="dxa"/>
            <w:vAlign w:val="top"/>
            <w:vMerge w:val="restart"/>
            <w:tcBorders>
              <w:bottom w:val="nil"/>
            </w:tcBorders>
          </w:tcPr>
          <w:p>
            <w:pPr>
              <w:ind w:left="603" w:right="121" w:hanging="480"/>
              <w:spacing w:before="8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1" w:hRule="atLeast"/>
        </w:trPr>
        <w:tc>
          <w:tcPr>
            <w:tcW w:w="1454" w:type="dxa"/>
            <w:vAlign w:val="top"/>
            <w:vMerge w:val="restart"/>
            <w:tcBorders>
              <w:bottom w:val="nil"/>
            </w:tcBorders>
          </w:tcPr>
          <w:p>
            <w:pPr>
              <w:ind w:left="136"/>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5"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51"/>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74</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未按照规定制作和送检样品</w:t>
            </w:r>
          </w:p>
        </w:tc>
      </w:tr>
      <w:tr>
        <w:trPr>
          <w:trHeight w:val="504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4" w:right="167" w:firstLine="11"/>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接受委托开展温室气体排放相关检</w:t>
            </w:r>
            <w:r>
              <w:rPr>
                <w:rFonts w:ascii="FangSong_GB2312" w:hAnsi="FangSong_GB2312" w:eastAsia="FangSong_GB2312" w:cs="FangSong_GB2312"/>
                <w:sz w:val="24"/>
                <w:szCs w:val="24"/>
                <w:spacing w:val="-2"/>
              </w:rPr>
              <w:t>验检测的技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术服务机构，应当遵守国家有关技术规程和技术规范要求，对其</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出具的检验检测报告承担相应责任，不得出具不实或者虚假的检</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验检测报告。重点排放单位应当按照国家有关规定制作和送检样</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品，对样品的代表性、真实性负责。</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07" w:right="107" w:firstLine="17"/>
              <w:spacing w:before="33"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重点排放单位有下列情形之</w:t>
            </w:r>
            <w:r>
              <w:rPr>
                <w:rFonts w:ascii="FangSong_GB2312" w:hAnsi="FangSong_GB2312" w:eastAsia="FangSong_GB2312" w:cs="FangSong_GB2312"/>
                <w:sz w:val="24"/>
                <w:szCs w:val="24"/>
                <w:spacing w:val="-2"/>
              </w:rPr>
              <w:t>一的，由生态环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境主管部门责令改正，没收违法所得，并处违法所得</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2"/>
              </w:rPr>
              <w:t>倍以上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10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倍以下的罚款；没有违法所得或者违法所得不足</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万元的</w:t>
            </w:r>
            <w:r>
              <w:rPr>
                <w:rFonts w:ascii="FangSong_GB2312" w:hAnsi="FangSong_GB2312" w:eastAsia="FangSong_GB2312" w:cs="FangSong_GB2312"/>
                <w:sz w:val="24"/>
                <w:szCs w:val="24"/>
                <w:spacing w:val="-7"/>
              </w:rPr>
              <w:t>，处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50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2"/>
              </w:rPr>
              <w:t>200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万元以下的罚款；对其直接负责的主管人员和其他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直接责任人员处</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万元以下的罚款；拒不改正的，按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照</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2"/>
              </w:rPr>
              <w:t>50%以上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100%以下的比例核减其下一年度碳排放配额，可以责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令停产整治：</w:t>
            </w:r>
          </w:p>
          <w:p>
            <w:pPr>
              <w:ind w:left="108"/>
              <w:spacing w:before="33"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（三）未按照规定制作和送检样品。</w:t>
            </w:r>
          </w:p>
        </w:tc>
      </w:tr>
      <w:tr>
        <w:trPr>
          <w:trHeight w:val="635" w:hRule="atLeast"/>
        </w:trPr>
        <w:tc>
          <w:tcPr>
            <w:tcW w:w="3910" w:type="dxa"/>
            <w:vAlign w:val="top"/>
            <w:gridSpan w:val="3"/>
          </w:tcPr>
          <w:p>
            <w:pPr>
              <w:ind w:left="140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44" w:lineRule="auto"/>
              <w:rPr>
                <w:rFonts w:ascii="Arial"/>
                <w:sz w:val="21"/>
              </w:rPr>
            </w:pPr>
            <w:r/>
          </w:p>
          <w:p>
            <w:pPr>
              <w:ind w:left="12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未按照规定制</w:t>
            </w:r>
          </w:p>
          <w:p>
            <w:pPr>
              <w:ind w:left="130"/>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作和送检样品</w:t>
            </w:r>
          </w:p>
          <w:p>
            <w:pPr>
              <w:ind w:left="617"/>
              <w:spacing w:before="3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情形</w:t>
            </w:r>
          </w:p>
        </w:tc>
        <w:tc>
          <w:tcPr>
            <w:tcW w:w="771"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480" w:type="dxa"/>
            <w:vAlign w:val="top"/>
          </w:tcPr>
          <w:p>
            <w:pPr>
              <w:ind w:left="117" w:right="249"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二年内未按照规定制作和送检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1"/>
              </w:rPr>
              <w:t>样品</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11"/>
              </w:rPr>
              <w:t>次的</w:t>
            </w:r>
          </w:p>
        </w:tc>
        <w:tc>
          <w:tcPr>
            <w:tcW w:w="1068" w:type="dxa"/>
            <w:vAlign w:val="top"/>
          </w:tcPr>
          <w:p>
            <w:pPr>
              <w:ind w:left="19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7" w:right="249"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二年内未按照规定制作和送检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0"/>
              </w:rPr>
              <w:t>样品</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10"/>
              </w:rPr>
              <w:t>2</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10"/>
              </w:rPr>
              <w:t>次的</w:t>
            </w:r>
          </w:p>
        </w:tc>
        <w:tc>
          <w:tcPr>
            <w:tcW w:w="1068" w:type="dxa"/>
            <w:vAlign w:val="top"/>
          </w:tcPr>
          <w:p>
            <w:pPr>
              <w:ind w:left="1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638"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right="249" w:firstLine="10"/>
              <w:spacing w:before="4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二年内未按照规定制作和送检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8"/>
              </w:rPr>
              <w:t>样品</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8"/>
              </w:rPr>
              <w:t>3</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8"/>
              </w:rPr>
              <w:t>次及以上的</w:t>
            </w:r>
          </w:p>
        </w:tc>
        <w:tc>
          <w:tcPr>
            <w:tcW w:w="1068" w:type="dxa"/>
            <w:vAlign w:val="top"/>
          </w:tcPr>
          <w:p>
            <w:pPr>
              <w:ind w:left="14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77" w:hRule="atLeast"/>
        </w:trPr>
        <w:tc>
          <w:tcPr>
            <w:tcW w:w="1454" w:type="dxa"/>
            <w:vAlign w:val="top"/>
            <w:vMerge w:val="restart"/>
            <w:tcBorders>
              <w:bottom w:val="nil"/>
            </w:tcBorders>
          </w:tcPr>
          <w:p>
            <w:pPr>
              <w:spacing w:line="293" w:lineRule="auto"/>
              <w:rPr>
                <w:rFonts w:ascii="Arial"/>
                <w:sz w:val="21"/>
              </w:rPr>
            </w:pPr>
            <w:r/>
          </w:p>
          <w:p>
            <w:pPr>
              <w:spacing w:line="294"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445" w:lineRule="auto"/>
              <w:rPr>
                <w:rFonts w:ascii="Arial"/>
                <w:sz w:val="21"/>
              </w:rPr>
            </w:pPr>
            <w:r/>
          </w:p>
          <w:p>
            <w:pPr>
              <w:ind w:left="741" w:right="181" w:hanging="541"/>
              <w:spacing w:before="71"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80"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87"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77"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86"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47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11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128"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506" w:hRule="atLeast"/>
        </w:trPr>
        <w:tc>
          <w:tcPr>
            <w:tcW w:w="1454" w:type="dxa"/>
            <w:vAlign w:val="top"/>
            <w:vMerge w:val="restart"/>
            <w:tcBorders>
              <w:bottom w:val="nil"/>
            </w:tcBorders>
          </w:tcPr>
          <w:p>
            <w:pPr>
              <w:ind w:left="255" w:right="243" w:firstLine="7"/>
              <w:spacing w:before="16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16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spacing w:line="24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13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1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73"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52"/>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53"/>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5"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30" w:line="18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75</w:t>
            </w:r>
          </w:p>
        </w:tc>
      </w:tr>
      <w:tr>
        <w:trPr>
          <w:trHeight w:val="635" w:hRule="atLeast"/>
        </w:trPr>
        <w:tc>
          <w:tcPr>
            <w:tcW w:w="1454" w:type="dxa"/>
            <w:vAlign w:val="top"/>
          </w:tcPr>
          <w:p>
            <w:pPr>
              <w:ind w:left="177"/>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44"/>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出具不实或者虚假的温室气体排放检验检测报告</w:t>
            </w:r>
          </w:p>
        </w:tc>
      </w:tr>
      <w:tr>
        <w:trPr>
          <w:trHeight w:val="5672" w:hRule="atLeast"/>
        </w:trPr>
        <w:tc>
          <w:tcPr>
            <w:tcW w:w="1454"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4" w:right="167" w:firstLine="11"/>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接受委托开展温室气体排放相关检</w:t>
            </w:r>
            <w:r>
              <w:rPr>
                <w:rFonts w:ascii="FangSong_GB2312" w:hAnsi="FangSong_GB2312" w:eastAsia="FangSong_GB2312" w:cs="FangSong_GB2312"/>
                <w:sz w:val="24"/>
                <w:szCs w:val="24"/>
                <w:spacing w:val="-2"/>
              </w:rPr>
              <w:t>验检测的技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术服务机构，应当遵守国家有关技术规程和技术规范要求，对其</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出具的检验检测报告承担相应责任，不得出具不实或者虚假的检</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验检测报告。重点排放单位应当按照国家有关规定制作和送检样</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品，对样品的代表性、真实性负责。</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10" w:right="107" w:firstLine="15"/>
              <w:spacing w:before="33"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技术服务机构出具不实或者</w:t>
            </w:r>
            <w:r>
              <w:rPr>
                <w:rFonts w:ascii="FangSong_GB2312" w:hAnsi="FangSong_GB2312" w:eastAsia="FangSong_GB2312" w:cs="FangSong_GB2312"/>
                <w:sz w:val="24"/>
                <w:szCs w:val="24"/>
                <w:spacing w:val="-2"/>
              </w:rPr>
              <w:t>虚假的检验检测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报告的，由生态环境主管部门责令改正，没收</w:t>
            </w:r>
            <w:r>
              <w:rPr>
                <w:rFonts w:ascii="FangSong_GB2312" w:hAnsi="FangSong_GB2312" w:eastAsia="FangSong_GB2312" w:cs="FangSong_GB2312"/>
                <w:sz w:val="24"/>
                <w:szCs w:val="24"/>
                <w:spacing w:val="-1"/>
              </w:rPr>
              <w:t>违法所得，并处违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法所得</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10</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倍以下的罚款；没有违法所得或者违</w:t>
            </w:r>
            <w:r>
              <w:rPr>
                <w:rFonts w:ascii="FangSong_GB2312" w:hAnsi="FangSong_GB2312" w:eastAsia="FangSong_GB2312" w:cs="FangSong_GB2312"/>
                <w:sz w:val="24"/>
                <w:szCs w:val="24"/>
                <w:spacing w:val="-5"/>
              </w:rPr>
              <w:t>法所得不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足</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7"/>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万元的，处</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7"/>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万元以下的罚款；情节严重的，由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负责资质认定的部门取消其检验检测资质。</w:t>
            </w:r>
          </w:p>
          <w:p>
            <w:pPr>
              <w:ind w:left="110" w:right="107" w:firstLine="15"/>
              <w:spacing w:before="37"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技术服务机构因本条第一款、第二款规定的违法行为受到</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处罚的，对其直接负责的主管人员和其他直接责任人员处</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rPr>
              <w:t>2</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万元以下的罚款，5</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2"/>
              </w:rPr>
              <w:t>年内禁止从事温室气体排放相关检验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检测、年度排放报告编制和技术审核业务；情节严重的，终身禁</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止从事前述业务。</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80%</w:t>
            </w:r>
          </w:p>
        </w:tc>
        <w:tc>
          <w:tcPr>
            <w:tcW w:w="3480" w:type="dxa"/>
            <w:vAlign w:val="top"/>
          </w:tcPr>
          <w:p>
            <w:pPr>
              <w:ind w:left="122" w:right="103" w:firstLine="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二年内篡改、伪造监测数据或出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1"/>
              </w:rPr>
              <w:t>具虚假报告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11"/>
              </w:rPr>
              <w:t>次的，为情节一般</w:t>
            </w:r>
          </w:p>
        </w:tc>
        <w:tc>
          <w:tcPr>
            <w:tcW w:w="1068" w:type="dxa"/>
            <w:vAlign w:val="top"/>
          </w:tcPr>
          <w:p>
            <w:pPr>
              <w:ind w:left="19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1%-60%</w:t>
            </w:r>
          </w:p>
        </w:tc>
      </w:tr>
      <w:tr>
        <w:trPr>
          <w:trHeight w:val="126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2" w:right="103" w:firstLine="16"/>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二年内篡改、伪造监测数据或出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0"/>
              </w:rPr>
              <w:t>具虚假报告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2</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10"/>
              </w:rPr>
              <w:t>次及以上的，或者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1</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spacing w:val="1"/>
              </w:rPr>
              <w:t>次检查发现出具虚假报告5</w:t>
            </w:r>
            <w:r>
              <w:rPr>
                <w:rFonts w:ascii="FangSong_GB2312" w:hAnsi="FangSong_GB2312" w:eastAsia="FangSong_GB2312" w:cs="FangSong_GB2312"/>
                <w:sz w:val="24"/>
                <w:szCs w:val="24"/>
                <w:spacing w:val="-64"/>
              </w:rPr>
              <w:t xml:space="preserve"> </w:t>
            </w:r>
            <w:r>
              <w:rPr>
                <w:rFonts w:ascii="FangSong_GB2312" w:hAnsi="FangSong_GB2312" w:eastAsia="FangSong_GB2312" w:cs="FangSong_GB2312"/>
                <w:sz w:val="24"/>
                <w:szCs w:val="24"/>
                <w:spacing w:val="1"/>
              </w:rPr>
              <w:t>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及以上的，为情节严重</w:t>
            </w:r>
          </w:p>
        </w:tc>
        <w:tc>
          <w:tcPr>
            <w:tcW w:w="1068"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61%-80%</w:t>
            </w:r>
          </w:p>
        </w:tc>
      </w:tr>
      <w:tr>
        <w:trPr>
          <w:trHeight w:val="362" w:hRule="atLeast"/>
        </w:trPr>
        <w:tc>
          <w:tcPr>
            <w:tcW w:w="1454" w:type="dxa"/>
            <w:vAlign w:val="top"/>
            <w:vMerge w:val="restart"/>
            <w:tcBorders>
              <w:bottom w:val="nil"/>
            </w:tcBorders>
          </w:tcPr>
          <w:p>
            <w:pPr>
              <w:ind w:left="379" w:right="121" w:hanging="237"/>
              <w:spacing w:before="9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685" w:type="dxa"/>
            <w:vAlign w:val="top"/>
            <w:vMerge w:val="restart"/>
            <w:tcBorders>
              <w:bottom w:val="nil"/>
            </w:tcBorders>
          </w:tcPr>
          <w:p>
            <w:pPr>
              <w:ind w:left="603" w:right="121" w:hanging="480"/>
              <w:spacing w:before="9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6"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2" w:hRule="atLeast"/>
        </w:trPr>
        <w:tc>
          <w:tcPr>
            <w:tcW w:w="1454" w:type="dxa"/>
            <w:vAlign w:val="top"/>
            <w:vMerge w:val="restart"/>
            <w:tcBorders>
              <w:bottom w:val="nil"/>
            </w:tcBorders>
          </w:tcPr>
          <w:p>
            <w:pPr>
              <w:ind w:left="136"/>
              <w:spacing w:before="4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8"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7"/>
              <w:spacing w:before="6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5"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54"/>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76</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44"/>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出具不实或者虚假的年度排放报告</w:t>
            </w:r>
          </w:p>
        </w:tc>
      </w:tr>
      <w:tr>
        <w:trPr>
          <w:trHeight w:val="7562" w:hRule="atLeast"/>
        </w:trPr>
        <w:tc>
          <w:tcPr>
            <w:tcW w:w="1454"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0" w:right="167" w:firstLine="15"/>
              <w:spacing w:before="36"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接受委托编制年度排放报告、对年</w:t>
            </w:r>
            <w:r>
              <w:rPr>
                <w:rFonts w:ascii="FangSong_GB2312" w:hAnsi="FangSong_GB2312" w:eastAsia="FangSong_GB2312" w:cs="FangSong_GB2312"/>
                <w:sz w:val="24"/>
                <w:szCs w:val="24"/>
                <w:spacing w:val="-2"/>
              </w:rPr>
              <w:t>度排放报告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进行技术审核的技术服务机构，应当按照国家</w:t>
            </w:r>
            <w:r>
              <w:rPr>
                <w:rFonts w:ascii="FangSong_GB2312" w:hAnsi="FangSong_GB2312" w:eastAsia="FangSong_GB2312" w:cs="FangSong_GB2312"/>
                <w:sz w:val="24"/>
                <w:szCs w:val="24"/>
                <w:spacing w:val="-1"/>
              </w:rPr>
              <w:t>有关规定，具备相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应的设施设备、技术能力和技术人员，建立业务质量管理制度，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独立、客观、公正开展相关业务，对其出具的</w:t>
            </w:r>
            <w:r>
              <w:rPr>
                <w:rFonts w:ascii="FangSong_GB2312" w:hAnsi="FangSong_GB2312" w:eastAsia="FangSong_GB2312" w:cs="FangSong_GB2312"/>
                <w:sz w:val="24"/>
                <w:szCs w:val="24"/>
                <w:spacing w:val="-1"/>
              </w:rPr>
              <w:t>年度排放报告和技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术审核意见承担相应责任，不得篡改、伪造数</w:t>
            </w:r>
            <w:r>
              <w:rPr>
                <w:rFonts w:ascii="FangSong_GB2312" w:hAnsi="FangSong_GB2312" w:eastAsia="FangSong_GB2312" w:cs="FangSong_GB2312"/>
                <w:sz w:val="24"/>
                <w:szCs w:val="24"/>
                <w:spacing w:val="-1"/>
              </w:rPr>
              <w:t>据资料，不得使用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虚假的数据资料或者实施其他弄虚作假行为。</w:t>
            </w:r>
            <w:r>
              <w:rPr>
                <w:rFonts w:ascii="FangSong_GB2312" w:hAnsi="FangSong_GB2312" w:eastAsia="FangSong_GB2312" w:cs="FangSong_GB2312"/>
                <w:sz w:val="24"/>
                <w:szCs w:val="24"/>
                <w:spacing w:val="-1"/>
              </w:rPr>
              <w:t>年度排放报告编制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和技术审核的具体管理办法由国务院生态环境</w:t>
            </w:r>
            <w:r>
              <w:rPr>
                <w:rFonts w:ascii="FangSong_GB2312" w:hAnsi="FangSong_GB2312" w:eastAsia="FangSong_GB2312" w:cs="FangSong_GB2312"/>
                <w:sz w:val="24"/>
                <w:szCs w:val="24"/>
                <w:spacing w:val="-1"/>
              </w:rPr>
              <w:t>主管部门会同国务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院有关部门制定。</w:t>
            </w:r>
          </w:p>
          <w:p>
            <w:pPr>
              <w:spacing w:line="271"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12" w:right="107" w:firstLine="13"/>
              <w:spacing w:before="34"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技术服务机构出具的年度排放报</w:t>
            </w:r>
            <w:r>
              <w:rPr>
                <w:rFonts w:ascii="FangSong_GB2312" w:hAnsi="FangSong_GB2312" w:eastAsia="FangSong_GB2312" w:cs="FangSong_GB2312"/>
                <w:sz w:val="24"/>
                <w:szCs w:val="24"/>
              </w:rPr>
              <w:t>告或者技术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审核意见存在重大缺陷或者遗漏，在年度排放报告编制或者对年</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度排放报告进行技术审核过程中篡改、伪造数据资料，使用虚假</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的数据资料或者实施其他弄虚作假行为的，由生态环境主管部门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责令改正，没收违法所得，并处违法所得</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5"/>
              </w:rPr>
              <w:t>0</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5"/>
              </w:rPr>
              <w:t>倍以下的罚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款；没有违法所得或者违法所得不足</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
              </w:rPr>
              <w:t>20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1"/>
              </w:rPr>
              <w:t>万元的</w:t>
            </w:r>
            <w:r>
              <w:rPr>
                <w:rFonts w:ascii="FangSong_GB2312" w:hAnsi="FangSong_GB2312" w:eastAsia="FangSong_GB2312" w:cs="FangSong_GB2312"/>
                <w:sz w:val="24"/>
                <w:szCs w:val="24"/>
                <w:spacing w:val="-2"/>
              </w:rPr>
              <w:t>，处</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20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5"/>
              </w:rPr>
              <w:t>万元以下的罚款；情节严重的，禁止其从事年度排放报告编制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和技术审核业务。</w:t>
            </w:r>
          </w:p>
          <w:p>
            <w:pPr>
              <w:ind w:left="110" w:right="107" w:firstLine="15"/>
              <w:spacing w:before="35"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技术服务机构因本条第一款、第二款规定的违法行为受到</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处罚的，对其直接负责的主管人员和其他直接责任人员处</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rPr>
              <w:t>2</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2"/>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万元以下的罚款，5</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2"/>
              </w:rPr>
              <w:t>年内禁止从事温室气体排放相关检验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检测、年度排放报告编制和技术审核业务；情节严重的，终身禁</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止从事前述业务。</w:t>
            </w:r>
          </w:p>
        </w:tc>
      </w:tr>
      <w:tr>
        <w:trPr>
          <w:trHeight w:val="635" w:hRule="atLeast"/>
        </w:trPr>
        <w:tc>
          <w:tcPr>
            <w:tcW w:w="3910" w:type="dxa"/>
            <w:vAlign w:val="top"/>
            <w:gridSpan w:val="3"/>
          </w:tcPr>
          <w:p>
            <w:pPr>
              <w:ind w:left="140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80%</w:t>
            </w:r>
          </w:p>
        </w:tc>
        <w:tc>
          <w:tcPr>
            <w:tcW w:w="3480" w:type="dxa"/>
            <w:vAlign w:val="top"/>
          </w:tcPr>
          <w:p>
            <w:pPr>
              <w:ind w:left="122" w:right="103" w:firstLine="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二年内篡改、伪造监测数据或出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1"/>
              </w:rPr>
              <w:t>具虚假报告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11"/>
              </w:rPr>
              <w:t>次的，为情节一般</w:t>
            </w:r>
          </w:p>
        </w:tc>
        <w:tc>
          <w:tcPr>
            <w:tcW w:w="1068" w:type="dxa"/>
            <w:vAlign w:val="top"/>
          </w:tcPr>
          <w:p>
            <w:pPr>
              <w:ind w:left="19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1%-60%</w:t>
            </w:r>
          </w:p>
        </w:tc>
      </w:tr>
      <w:tr>
        <w:trPr>
          <w:trHeight w:val="126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2" w:right="103" w:firstLine="16"/>
              <w:spacing w:before="40"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二年内篡改、伪造监测数据或出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0"/>
              </w:rPr>
              <w:t>具虚假报告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2</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10"/>
              </w:rPr>
              <w:t>次及以上的，或者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1</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spacing w:val="1"/>
              </w:rPr>
              <w:t>次检查发现出具虚假报告5</w:t>
            </w:r>
            <w:r>
              <w:rPr>
                <w:rFonts w:ascii="FangSong_GB2312" w:hAnsi="FangSong_GB2312" w:eastAsia="FangSong_GB2312" w:cs="FangSong_GB2312"/>
                <w:sz w:val="24"/>
                <w:szCs w:val="24"/>
                <w:spacing w:val="-64"/>
              </w:rPr>
              <w:t xml:space="preserve"> </w:t>
            </w:r>
            <w:r>
              <w:rPr>
                <w:rFonts w:ascii="FangSong_GB2312" w:hAnsi="FangSong_GB2312" w:eastAsia="FangSong_GB2312" w:cs="FangSong_GB2312"/>
                <w:sz w:val="24"/>
                <w:szCs w:val="24"/>
                <w:spacing w:val="1"/>
              </w:rPr>
              <w:t>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及以上的，为情节严重</w:t>
            </w:r>
          </w:p>
        </w:tc>
        <w:tc>
          <w:tcPr>
            <w:tcW w:w="1068" w:type="dxa"/>
            <w:vAlign w:val="top"/>
          </w:tcPr>
          <w:p>
            <w:pPr>
              <w:spacing w:line="434" w:lineRule="auto"/>
              <w:rPr>
                <w:rFonts w:ascii="Arial"/>
                <w:sz w:val="21"/>
              </w:rPr>
            </w:pPr>
            <w:r/>
          </w:p>
          <w:p>
            <w:pPr>
              <w:ind w:left="1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61%-80%</w:t>
            </w:r>
          </w:p>
        </w:tc>
      </w:tr>
    </w:tbl>
    <w:p>
      <w:pPr>
        <w:pStyle w:val="BodyText"/>
        <w:rPr/>
      </w:pPr>
      <w:r/>
    </w:p>
    <w:p>
      <w:pPr>
        <w:sectPr>
          <w:footerReference w:type="default" r:id="rId155"/>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255" w:right="243" w:firstLine="7"/>
              <w:spacing w:before="8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8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1" w:hRule="atLeast"/>
        </w:trPr>
        <w:tc>
          <w:tcPr>
            <w:tcW w:w="1454" w:type="dxa"/>
            <w:vAlign w:val="top"/>
            <w:vMerge w:val="restart"/>
            <w:tcBorders>
              <w:bottom w:val="nil"/>
            </w:tcBorders>
          </w:tcPr>
          <w:p>
            <w:pPr>
              <w:ind w:left="136"/>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7"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7"/>
              <w:spacing w:before="6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6"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56"/>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30" w:line="18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77</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未按照规定清缴其碳排放配额</w:t>
            </w:r>
          </w:p>
        </w:tc>
      </w:tr>
      <w:tr>
        <w:trPr>
          <w:trHeight w:val="3468" w:hRule="atLeast"/>
        </w:trPr>
        <w:tc>
          <w:tcPr>
            <w:tcW w:w="145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3" w:right="167" w:firstLine="12"/>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重点排放单位应当根据省级人民政</w:t>
            </w:r>
            <w:r>
              <w:rPr>
                <w:rFonts w:ascii="FangSong_GB2312" w:hAnsi="FangSong_GB2312" w:eastAsia="FangSong_GB2312" w:cs="FangSong_GB2312"/>
                <w:sz w:val="24"/>
                <w:szCs w:val="24"/>
                <w:spacing w:val="-2"/>
              </w:rPr>
              <w:t>府生态环境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主管部门对年度排放报告的核查结果，按照国务院生态环境主管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部门规定的时限，足额清缴其碳排放配额。</w:t>
            </w:r>
          </w:p>
          <w:p>
            <w:pPr>
              <w:spacing w:line="269" w:lineRule="auto"/>
              <w:rPr>
                <w:rFonts w:ascii="Arial"/>
                <w:sz w:val="21"/>
              </w:rPr>
            </w:pPr>
            <w:r/>
          </w:p>
          <w:p>
            <w:pPr>
              <w:ind w:left="12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15" w:right="107" w:firstLine="10"/>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重点排放单位未按照规定清缴其碳排放配额的，由生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态环境主管部门责令改正，处未清缴的碳排放配额清缴时限前</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个月市场交易平均成交价格</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10</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w:t>
            </w:r>
            <w:r>
              <w:rPr>
                <w:rFonts w:ascii="FangSong_GB2312" w:hAnsi="FangSong_GB2312" w:eastAsia="FangSong_GB2312" w:cs="FangSong_GB2312"/>
                <w:sz w:val="24"/>
                <w:szCs w:val="24"/>
                <w:spacing w:val="-5"/>
              </w:rPr>
              <w:t>下的罚款；拒不改正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的，按照未清缴的碳排放配额等量核减其下一年度碳排放配</w:t>
            </w:r>
            <w:r>
              <w:rPr>
                <w:rFonts w:ascii="FangSong_GB2312" w:hAnsi="FangSong_GB2312" w:eastAsia="FangSong_GB2312" w:cs="FangSong_GB2312"/>
                <w:sz w:val="24"/>
                <w:szCs w:val="24"/>
                <w:spacing w:val="1"/>
              </w:rPr>
              <w:t>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可以责令停产整治。</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4" w:right="121" w:hanging="358"/>
              <w:spacing w:before="8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30"/>
              <w:spacing w:before="2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ind w:left="219"/>
              <w:spacing w:before="2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超期清缴其碳排放配额</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93"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未足额清缴其碳排放配额</w:t>
            </w:r>
          </w:p>
        </w:tc>
        <w:tc>
          <w:tcPr>
            <w:tcW w:w="1068" w:type="dxa"/>
            <w:vAlign w:val="top"/>
          </w:tcPr>
          <w:p>
            <w:pPr>
              <w:ind w:left="131"/>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1" w:line="25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8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8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6"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6"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2"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7"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8"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57"/>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78</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09" w:right="175" w:firstLine="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拒绝、阻碍生态环境主管部门或者其他负有监督管理职责的部门</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依法实施监督检查的</w:t>
            </w:r>
          </w:p>
        </w:tc>
      </w:tr>
      <w:tr>
        <w:trPr>
          <w:trHeight w:val="3783" w:hRule="atLeast"/>
        </w:trPr>
        <w:tc>
          <w:tcPr>
            <w:tcW w:w="1454"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《碳排放权交易管理暂行条例》</w:t>
            </w:r>
          </w:p>
          <w:p>
            <w:pPr>
              <w:ind w:left="110" w:right="167" w:firstLine="15"/>
              <w:spacing w:before="38"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生态环境主管部门和其他负有监督</w:t>
            </w:r>
            <w:r>
              <w:rPr>
                <w:rFonts w:ascii="FangSong_GB2312" w:hAnsi="FangSong_GB2312" w:eastAsia="FangSong_GB2312" w:cs="FangSong_GB2312"/>
                <w:sz w:val="24"/>
                <w:szCs w:val="24"/>
                <w:spacing w:val="-2"/>
              </w:rPr>
              <w:t>管理职责的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部门进行现场检查，可以采取查阅、复制相关</w:t>
            </w:r>
            <w:r>
              <w:rPr>
                <w:rFonts w:ascii="FangSong_GB2312" w:hAnsi="FangSong_GB2312" w:eastAsia="FangSong_GB2312" w:cs="FangSong_GB2312"/>
                <w:sz w:val="24"/>
                <w:szCs w:val="24"/>
                <w:spacing w:val="-1"/>
              </w:rPr>
              <w:t>资料，查询、检查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相关信息系统等措施，并可以要求有关单位和</w:t>
            </w:r>
            <w:r>
              <w:rPr>
                <w:rFonts w:ascii="FangSong_GB2312" w:hAnsi="FangSong_GB2312" w:eastAsia="FangSong_GB2312" w:cs="FangSong_GB2312"/>
                <w:sz w:val="24"/>
                <w:szCs w:val="24"/>
                <w:spacing w:val="-1"/>
              </w:rPr>
              <w:t>个人就相关事项作</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出说明。被检查者应当如实反映情况、提供资</w:t>
            </w:r>
            <w:r>
              <w:rPr>
                <w:rFonts w:ascii="FangSong_GB2312" w:hAnsi="FangSong_GB2312" w:eastAsia="FangSong_GB2312" w:cs="FangSong_GB2312"/>
                <w:sz w:val="24"/>
                <w:szCs w:val="24"/>
                <w:spacing w:val="-1"/>
              </w:rPr>
              <w:t>料，不得拒绝、阻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碍。</w:t>
            </w:r>
          </w:p>
          <w:p>
            <w:pPr>
              <w:spacing w:line="268"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《碳排放权交易管理暂行条例》</w:t>
            </w:r>
          </w:p>
          <w:p>
            <w:pPr>
              <w:ind w:left="123" w:right="107" w:firstLine="1"/>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拒绝、阻碍生态环境主管部门或者其他负有监督管理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职责的部门依法实施监督检查的，由生态环境主管部门或者其他</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6"/>
              </w:rPr>
              <w:t>负有监督管理职责的部门责令改正，处</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罚款。</w:t>
            </w:r>
          </w:p>
        </w:tc>
      </w:tr>
      <w:tr>
        <w:trPr>
          <w:trHeight w:val="635" w:hRule="atLeast"/>
        </w:trPr>
        <w:tc>
          <w:tcPr>
            <w:tcW w:w="3910" w:type="dxa"/>
            <w:vAlign w:val="top"/>
            <w:gridSpan w:val="3"/>
          </w:tcPr>
          <w:p>
            <w:pPr>
              <w:ind w:left="140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1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771"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分钟以内</w:t>
            </w:r>
          </w:p>
        </w:tc>
        <w:tc>
          <w:tcPr>
            <w:tcW w:w="1068" w:type="dxa"/>
            <w:vAlign w:val="top"/>
          </w:tcPr>
          <w:p>
            <w:pPr>
              <w:ind w:left="1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68" w:type="dxa"/>
            <w:vAlign w:val="top"/>
          </w:tcPr>
          <w:p>
            <w:pPr>
              <w:ind w:left="137"/>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68" w:type="dxa"/>
            <w:vAlign w:val="top"/>
          </w:tcPr>
          <w:p>
            <w:pPr>
              <w:ind w:left="13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5" w:right="103"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围堵、留滞执法人员或拒绝提供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0"/>
              </w:rPr>
              <w:t>资料</w:t>
            </w:r>
          </w:p>
        </w:tc>
        <w:tc>
          <w:tcPr>
            <w:tcW w:w="1068" w:type="dxa"/>
            <w:vAlign w:val="top"/>
          </w:tcPr>
          <w:p>
            <w:pPr>
              <w:ind w:left="14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46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3"/>
              <w:spacing w:before="11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68" w:type="dxa"/>
            <w:vAlign w:val="top"/>
          </w:tcPr>
          <w:p>
            <w:pPr>
              <w:ind w:left="130"/>
              <w:spacing w:before="11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615" w:hRule="atLeast"/>
        </w:trPr>
        <w:tc>
          <w:tcPr>
            <w:tcW w:w="1454" w:type="dxa"/>
            <w:vAlign w:val="top"/>
            <w:vMerge w:val="continue"/>
            <w:tcBorders>
              <w:top w:val="nil"/>
              <w:bottom w:val="nil"/>
            </w:tcBorders>
          </w:tcPr>
          <w:p>
            <w:pPr>
              <w:rPr>
                <w:rFonts w:ascii="Arial"/>
                <w:sz w:val="21"/>
              </w:rPr>
            </w:pPr>
            <w:r/>
          </w:p>
        </w:tc>
        <w:tc>
          <w:tcPr>
            <w:tcW w:w="1685" w:type="dxa"/>
            <w:vAlign w:val="top"/>
            <w:vMerge w:val="restart"/>
            <w:tcBorders>
              <w:bottom w:val="nil"/>
            </w:tcBorders>
          </w:tcPr>
          <w:p>
            <w:pPr>
              <w:spacing w:line="273" w:lineRule="auto"/>
              <w:rPr>
                <w:rFonts w:ascii="Arial"/>
                <w:sz w:val="21"/>
              </w:rPr>
            </w:pPr>
            <w:r/>
          </w:p>
          <w:p>
            <w:pPr>
              <w:ind w:left="12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771" w:type="dxa"/>
            <w:vAlign w:val="top"/>
            <w:vMerge w:val="continue"/>
            <w:tcBorders>
              <w:top w:val="nil"/>
              <w:bottom w:val="nil"/>
            </w:tcBorders>
          </w:tcPr>
          <w:p>
            <w:pPr>
              <w:rPr>
                <w:rFonts w:ascii="Arial"/>
                <w:sz w:val="21"/>
              </w:rPr>
            </w:pPr>
            <w:r/>
          </w:p>
        </w:tc>
        <w:tc>
          <w:tcPr>
            <w:tcW w:w="3480" w:type="dxa"/>
            <w:vAlign w:val="top"/>
          </w:tcPr>
          <w:p>
            <w:pPr>
              <w:ind w:left="113"/>
              <w:spacing w:before="19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068" w:type="dxa"/>
            <w:vAlign w:val="top"/>
          </w:tcPr>
          <w:p>
            <w:pPr>
              <w:ind w:left="197"/>
              <w:spacing w:before="19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068" w:type="dxa"/>
            <w:vAlign w:val="top"/>
          </w:tcPr>
          <w:p>
            <w:pPr>
              <w:ind w:left="1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6"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158"/>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59"/>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79</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无生产配额许可证生产消耗臭氧层物质</w:t>
            </w:r>
          </w:p>
        </w:tc>
      </w:tr>
      <w:tr>
        <w:trPr>
          <w:trHeight w:val="2839" w:hRule="atLeast"/>
        </w:trPr>
        <w:tc>
          <w:tcPr>
            <w:tcW w:w="1454"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25"/>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禁止无生产配额许可证生产消耗臭</w:t>
            </w:r>
            <w:r>
              <w:rPr>
                <w:rFonts w:ascii="FangSong_GB2312" w:hAnsi="FangSong_GB2312" w:eastAsia="FangSong_GB2312" w:cs="FangSong_GB2312"/>
                <w:sz w:val="24"/>
                <w:szCs w:val="24"/>
                <w:spacing w:val="-2"/>
              </w:rPr>
              <w:t>氧层物质。</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09" w:right="107" w:firstLine="16"/>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无生产配额许可证生产消耗臭氧层物质的，由所在地生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态环境主管部门责令停止违法行为，没收用于违法生产消耗臭氧</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层物质的原料、违法生产的消耗臭氧层物质和违法所得，拆除、</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销毁用于违法生产消耗臭氧层物质的设备、设施，并处</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rPr>
              <w:t>100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万元以下的罚款。</w:t>
            </w:r>
          </w:p>
        </w:tc>
      </w:tr>
      <w:tr>
        <w:trPr>
          <w:trHeight w:val="634" w:hRule="atLeast"/>
        </w:trPr>
        <w:tc>
          <w:tcPr>
            <w:tcW w:w="3910" w:type="dxa"/>
            <w:vAlign w:val="top"/>
            <w:gridSpan w:val="3"/>
          </w:tcPr>
          <w:p>
            <w:pPr>
              <w:ind w:left="140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87"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45"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45"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8" w:type="dxa"/>
            <w:vAlign w:val="top"/>
          </w:tcPr>
          <w:p>
            <w:pPr>
              <w:ind w:left="1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7" w:right="103" w:hanging="3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3"/>
              </w:rPr>
              <w:t>1个月以上</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3"/>
              </w:rPr>
              <w:t>个月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以下的</w:t>
            </w:r>
          </w:p>
        </w:tc>
        <w:tc>
          <w:tcPr>
            <w:tcW w:w="1068" w:type="dxa"/>
            <w:vAlign w:val="top"/>
          </w:tcPr>
          <w:p>
            <w:pPr>
              <w:ind w:left="13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8" w:type="dxa"/>
            <w:vAlign w:val="top"/>
          </w:tcPr>
          <w:p>
            <w:pPr>
              <w:ind w:left="13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4"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8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8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3"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3"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2" w:hRule="atLeast"/>
        </w:trPr>
        <w:tc>
          <w:tcPr>
            <w:tcW w:w="1454" w:type="dxa"/>
            <w:vAlign w:val="top"/>
            <w:vMerge w:val="restart"/>
            <w:tcBorders>
              <w:bottom w:val="nil"/>
            </w:tcBorders>
          </w:tcPr>
          <w:p>
            <w:pPr>
              <w:ind w:left="136"/>
              <w:spacing w:before="4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0"/>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80</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right="17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无使用配额许可证使用消耗臭氧层物质或者使用已淘汰的消耗臭</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4"/>
              </w:rPr>
              <w:t>氧层物质</w:t>
            </w:r>
          </w:p>
        </w:tc>
      </w:tr>
      <w:tr>
        <w:trPr>
          <w:trHeight w:val="6107" w:hRule="atLeast"/>
        </w:trPr>
        <w:tc>
          <w:tcPr>
            <w:tcW w:w="145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20" w:right="107" w:firstLine="4"/>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禁止将国家已经淘汰的消耗臭氧层物质用于前款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规定的用途。</w:t>
            </w:r>
          </w:p>
          <w:p>
            <w:pPr>
              <w:spacing w:line="268" w:lineRule="auto"/>
              <w:rPr>
                <w:rFonts w:ascii="Arial"/>
                <w:sz w:val="21"/>
              </w:rPr>
            </w:pPr>
            <w:r/>
          </w:p>
          <w:p>
            <w:pPr>
              <w:ind w:left="114" w:right="167" w:firstLine="11"/>
              <w:spacing w:before="7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“除本条例第十条规定的不需要申</w:t>
            </w:r>
            <w:r>
              <w:rPr>
                <w:rFonts w:ascii="FangSong_GB2312" w:hAnsi="FangSong_GB2312" w:eastAsia="FangSong_GB2312" w:cs="FangSong_GB2312"/>
                <w:sz w:val="24"/>
                <w:szCs w:val="24"/>
                <w:spacing w:val="-2"/>
              </w:rPr>
              <w:t>请领取使用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配额许可证的情形外，禁止无使用配额许可证使用消耗臭氧层物</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6"/>
              </w:rPr>
              <w:t>质。</w:t>
            </w:r>
          </w:p>
          <w:p>
            <w:pPr>
              <w:spacing w:line="389"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b/>
                <w:bCs/>
                <w:spacing w:val="-3"/>
              </w:rPr>
              <w:t>《消耗臭氧层物质管理条例》</w:t>
            </w:r>
          </w:p>
          <w:p>
            <w:pPr>
              <w:spacing w:line="274" w:lineRule="auto"/>
              <w:rPr>
                <w:rFonts w:ascii="Arial"/>
                <w:sz w:val="21"/>
              </w:rPr>
            </w:pPr>
            <w:r/>
          </w:p>
          <w:p>
            <w:pPr>
              <w:ind w:left="109" w:right="36" w:firstLine="16"/>
              <w:spacing w:before="79" w:line="238"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第三十一条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依照本条例规定应当申请领取使用配额许可证的单</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位无使用配额许可证使用消耗臭氧层物质，或者违反本条例规定</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将已淘汰的消耗臭氧层物质用于制冷剂、发泡剂、灭火剂、溶剂、</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清洗剂、加工助剂、杀虫剂、气雾剂、膨胀剂等用途的，由所在</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地生态环境主管部门责令停止违法行为，没收违法使用的消耗臭</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氧层物质、违法使用消耗臭氧层物质生产的产品和违法所得，并</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6"/>
              </w:rPr>
              <w:t>处</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万元以下的罚款；情节严重</w:t>
            </w:r>
            <w:r>
              <w:rPr>
                <w:rFonts w:ascii="FangSong_GB2312" w:hAnsi="FangSong_GB2312" w:eastAsia="FangSong_GB2312" w:cs="FangSong_GB2312"/>
                <w:sz w:val="24"/>
                <w:szCs w:val="24"/>
                <w:spacing w:val="-7"/>
              </w:rPr>
              <w:t>的，并处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上</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rPr>
              <w:t>100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rPr>
              <w:t>万元以下的罚款，拆除、销毁用于违法使用消耗臭氧层物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质的设备、设施。</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ind w:left="137" w:right="121" w:hanging="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无使用配额许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可证持续期限</w:t>
            </w:r>
          </w:p>
        </w:tc>
        <w:tc>
          <w:tcPr>
            <w:tcW w:w="771"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6" w:right="309" w:firstLine="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无使用配额许可证行为持续</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个月以下的</w:t>
            </w:r>
          </w:p>
        </w:tc>
        <w:tc>
          <w:tcPr>
            <w:tcW w:w="1068" w:type="dxa"/>
            <w:vAlign w:val="top"/>
          </w:tcPr>
          <w:p>
            <w:pPr>
              <w:ind w:left="19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6" w:right="309" w:firstLine="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无使用配额许可证行为持续</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个月以上</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6"/>
              </w:rPr>
              <w:t>个月以下的</w:t>
            </w:r>
          </w:p>
        </w:tc>
        <w:tc>
          <w:tcPr>
            <w:tcW w:w="1068" w:type="dxa"/>
            <w:vAlign w:val="top"/>
          </w:tcPr>
          <w:p>
            <w:pPr>
              <w:ind w:left="13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2" w:right="24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无使用配额许可证违法行为持</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9"/>
              </w:rPr>
              <w:t>续</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9"/>
              </w:rPr>
              <w:t>3</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9"/>
              </w:rPr>
              <w:t>个月以上的</w:t>
            </w:r>
          </w:p>
        </w:tc>
        <w:tc>
          <w:tcPr>
            <w:tcW w:w="1068" w:type="dxa"/>
            <w:vAlign w:val="top"/>
          </w:tcPr>
          <w:p>
            <w:pPr>
              <w:ind w:left="13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restart"/>
            <w:tcBorders>
              <w:bottom w:val="nil"/>
            </w:tcBorders>
          </w:tcPr>
          <w:p>
            <w:pPr>
              <w:ind w:left="124"/>
              <w:spacing w:before="20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使用已淘汰消</w:t>
            </w:r>
          </w:p>
          <w:p>
            <w:pPr>
              <w:ind w:left="129"/>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耗臭氧层物质</w:t>
            </w:r>
          </w:p>
          <w:p>
            <w:pPr>
              <w:ind w:left="370"/>
              <w:spacing w:before="3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持续期限</w:t>
            </w:r>
          </w:p>
        </w:tc>
        <w:tc>
          <w:tcPr>
            <w:tcW w:w="771" w:type="dxa"/>
            <w:vAlign w:val="top"/>
            <w:vMerge w:val="continue"/>
            <w:tcBorders>
              <w:top w:val="nil"/>
              <w:bottom w:val="nil"/>
            </w:tcBorders>
          </w:tcPr>
          <w:p>
            <w:pPr>
              <w:rPr>
                <w:rFonts w:ascii="Arial"/>
                <w:sz w:val="21"/>
              </w:rPr>
            </w:pPr>
            <w:r/>
          </w:p>
        </w:tc>
        <w:tc>
          <w:tcPr>
            <w:tcW w:w="3480" w:type="dxa"/>
            <w:vAlign w:val="top"/>
          </w:tcPr>
          <w:p>
            <w:pPr>
              <w:ind w:left="114" w:right="24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使用已淘汰的消耗臭氧层物质</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行为持续</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个月以下的</w:t>
            </w:r>
          </w:p>
        </w:tc>
        <w:tc>
          <w:tcPr>
            <w:tcW w:w="1068" w:type="dxa"/>
            <w:vAlign w:val="top"/>
          </w:tcPr>
          <w:p>
            <w:pPr>
              <w:ind w:left="19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right="103" w:hanging="2"/>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使用已淘汰的消耗臭氧层物质</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3"/>
              </w:rPr>
              <w:t>行为持续</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1个月以上</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3"/>
              </w:rPr>
              <w:t>个月以下</w:t>
            </w:r>
          </w:p>
        </w:tc>
        <w:tc>
          <w:tcPr>
            <w:tcW w:w="1068" w:type="dxa"/>
            <w:vAlign w:val="top"/>
          </w:tcPr>
          <w:p>
            <w:pPr>
              <w:ind w:left="13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161"/>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24" w:hRule="atLeast"/>
        </w:trPr>
        <w:tc>
          <w:tcPr>
            <w:tcW w:w="1454" w:type="dxa"/>
            <w:vAlign w:val="top"/>
            <w:vMerge w:val="restart"/>
            <w:tcBorders>
              <w:bottom w:val="nil"/>
            </w:tcBorders>
          </w:tcPr>
          <w:p>
            <w:pPr>
              <w:rPr>
                <w:rFonts w:ascii="Arial"/>
                <w:sz w:val="21"/>
              </w:rPr>
            </w:pPr>
            <w:r/>
          </w:p>
        </w:tc>
        <w:tc>
          <w:tcPr>
            <w:tcW w:w="1685" w:type="dxa"/>
            <w:vAlign w:val="top"/>
            <w:vMerge w:val="restart"/>
            <w:tcBorders>
              <w:bottom w:val="nil"/>
            </w:tcBorders>
          </w:tcPr>
          <w:p>
            <w:pPr>
              <w:rPr>
                <w:rFonts w:ascii="Arial"/>
                <w:sz w:val="21"/>
              </w:rPr>
            </w:pPr>
            <w:r/>
          </w:p>
        </w:tc>
        <w:tc>
          <w:tcPr>
            <w:tcW w:w="771" w:type="dxa"/>
            <w:vAlign w:val="top"/>
            <w:vMerge w:val="restart"/>
            <w:tcBorders>
              <w:bottom w:val="nil"/>
            </w:tcBorders>
          </w:tcPr>
          <w:p>
            <w:pPr>
              <w:rPr>
                <w:rFonts w:ascii="Arial"/>
                <w:sz w:val="21"/>
              </w:rPr>
            </w:pPr>
            <w:r/>
          </w:p>
        </w:tc>
        <w:tc>
          <w:tcPr>
            <w:tcW w:w="3480" w:type="dxa"/>
            <w:vAlign w:val="top"/>
          </w:tcPr>
          <w:p>
            <w:pPr>
              <w:ind w:left="13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的</w:t>
            </w:r>
          </w:p>
        </w:tc>
        <w:tc>
          <w:tcPr>
            <w:tcW w:w="1068" w:type="dxa"/>
            <w:vAlign w:val="top"/>
          </w:tcPr>
          <w:p>
            <w:pPr>
              <w:rPr>
                <w:rFonts w:ascii="Arial"/>
                <w:sz w:val="21"/>
              </w:rPr>
            </w:pPr>
            <w:r/>
          </w:p>
        </w:tc>
      </w:tr>
      <w:tr>
        <w:trPr>
          <w:trHeight w:val="63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right="249" w:hanging="2"/>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使用已淘汰的消耗臭氧层物质</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行为持续</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8" w:type="dxa"/>
            <w:vAlign w:val="top"/>
          </w:tcPr>
          <w:p>
            <w:pPr>
              <w:ind w:left="131"/>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7"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5"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3"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0" w:line="218"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0" w:line="218"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0" w:line="218"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1"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1"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1"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1" w:hRule="atLeast"/>
        </w:trPr>
        <w:tc>
          <w:tcPr>
            <w:tcW w:w="1454" w:type="dxa"/>
            <w:vAlign w:val="top"/>
            <w:vMerge w:val="restart"/>
            <w:tcBorders>
              <w:bottom w:val="nil"/>
            </w:tcBorders>
          </w:tcPr>
          <w:p>
            <w:pPr>
              <w:ind w:left="255" w:right="243" w:firstLine="7"/>
              <w:spacing w:before="87"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87"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3"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2"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7"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9"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2"/>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81</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right="175" w:hanging="5"/>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超出生产配额许可证规定的品种、数量、期限生产</w:t>
            </w:r>
            <w:r>
              <w:rPr>
                <w:rFonts w:ascii="FangSong_GB2312" w:hAnsi="FangSong_GB2312" w:eastAsia="FangSong_GB2312" w:cs="FangSong_GB2312"/>
                <w:sz w:val="24"/>
                <w:szCs w:val="24"/>
                <w:spacing w:val="-1"/>
              </w:rPr>
              <w:t>消耗臭氧层物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质的</w:t>
            </w:r>
          </w:p>
        </w:tc>
      </w:tr>
      <w:tr>
        <w:trPr>
          <w:trHeight w:val="4728" w:hRule="atLeast"/>
        </w:trPr>
        <w:tc>
          <w:tcPr>
            <w:tcW w:w="145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9" w:right="167" w:firstLine="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消耗臭氧层物质的生产单位不得超</w:t>
            </w:r>
            <w:r>
              <w:rPr>
                <w:rFonts w:ascii="FangSong_GB2312" w:hAnsi="FangSong_GB2312" w:eastAsia="FangSong_GB2312" w:cs="FangSong_GB2312"/>
                <w:sz w:val="24"/>
                <w:szCs w:val="24"/>
                <w:spacing w:val="-2"/>
              </w:rPr>
              <w:t>出生产配额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许可证规定的品种、数量、期限生产消耗臭氧层物质，不得超出</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生产配额许可证规定的用途生产、销售消耗臭氧层物质。</w:t>
            </w:r>
          </w:p>
          <w:p>
            <w:pPr>
              <w:spacing w:line="27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0" w:right="36" w:firstLine="15"/>
              <w:spacing w:before="39"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消耗臭氧层物质的生产、使用单</w:t>
            </w:r>
            <w:r>
              <w:rPr>
                <w:rFonts w:ascii="FangSong_GB2312" w:hAnsi="FangSong_GB2312" w:eastAsia="FangSong_GB2312" w:cs="FangSong_GB2312"/>
                <w:sz w:val="24"/>
                <w:szCs w:val="24"/>
              </w:rPr>
              <w:t>位有下列行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为之一的，由所在地省、</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rPr>
              <w:t>自治区、直辖市人民政府生态环境主管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部门责令停止违法行为，没收违法生产、使用的消耗臭氧层物质、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违法使用消耗臭氧层物质生产的产品和违法所得，并处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4"/>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
              </w:rPr>
              <w:t>万元以下的罚款，报国务院生态环境主管部门核</w:t>
            </w:r>
            <w:r>
              <w:rPr>
                <w:rFonts w:ascii="FangSong_GB2312" w:hAnsi="FangSong_GB2312" w:eastAsia="FangSong_GB2312" w:cs="FangSong_GB2312"/>
                <w:sz w:val="24"/>
                <w:szCs w:val="24"/>
                <w:spacing w:val="-2"/>
              </w:rPr>
              <w:t>减其生产、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使用配额数量；情节严重的，并处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w:t>
            </w:r>
            <w:r>
              <w:rPr>
                <w:rFonts w:ascii="FangSong_GB2312" w:hAnsi="FangSong_GB2312" w:eastAsia="FangSong_GB2312" w:cs="FangSong_GB2312"/>
                <w:sz w:val="24"/>
                <w:szCs w:val="24"/>
                <w:spacing w:val="-6"/>
              </w:rPr>
              <w:t>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款，报国务院生态环境主管部门吊销其生产、</w:t>
            </w:r>
            <w:r>
              <w:rPr>
                <w:rFonts w:ascii="FangSong_GB2312" w:hAnsi="FangSong_GB2312" w:eastAsia="FangSong_GB2312" w:cs="FangSong_GB2312"/>
                <w:sz w:val="24"/>
                <w:szCs w:val="24"/>
                <w:spacing w:val="-1"/>
              </w:rPr>
              <w:t>使用配额许可证：</w:t>
            </w:r>
          </w:p>
          <w:p>
            <w:pPr>
              <w:ind w:left="118" w:right="108" w:hanging="10"/>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（一）超出生产配额许可证规定的品种、数量、期限生产消耗臭</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3"/>
              </w:rPr>
              <w:t>氧层物质的；</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88"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44"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4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8"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7" w:right="103" w:hanging="3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3"/>
              </w:rPr>
              <w:t>1个月以上</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3"/>
              </w:rPr>
              <w:t>个月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以下的</w:t>
            </w:r>
          </w:p>
        </w:tc>
        <w:tc>
          <w:tcPr>
            <w:tcW w:w="1068" w:type="dxa"/>
            <w:vAlign w:val="top"/>
          </w:tcPr>
          <w:p>
            <w:pPr>
              <w:ind w:left="13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8"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10" w:lineRule="auto"/>
              <w:rPr>
                <w:rFonts w:ascii="Arial"/>
                <w:sz w:val="21"/>
              </w:rPr>
            </w:pPr>
            <w:r/>
          </w:p>
          <w:p>
            <w:pPr>
              <w:ind w:left="741" w:right="181" w:hanging="541"/>
              <w:spacing w:before="71"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3"/>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4"/>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82</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08"/>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超出生产配额许可证规定的用途生产或者销售消耗</w:t>
            </w:r>
            <w:r>
              <w:rPr>
                <w:rFonts w:ascii="FangSong_GB2312" w:hAnsi="FangSong_GB2312" w:eastAsia="FangSong_GB2312" w:cs="FangSong_GB2312"/>
                <w:sz w:val="24"/>
                <w:szCs w:val="24"/>
                <w:spacing w:val="-1"/>
              </w:rPr>
              <w:t>臭氧层物质的</w:t>
            </w:r>
          </w:p>
        </w:tc>
      </w:tr>
      <w:tr>
        <w:trPr>
          <w:trHeight w:val="4848"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9" w:right="167" w:firstLine="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消耗臭氧层物质的生产单位不得超</w:t>
            </w:r>
            <w:r>
              <w:rPr>
                <w:rFonts w:ascii="FangSong_GB2312" w:hAnsi="FangSong_GB2312" w:eastAsia="FangSong_GB2312" w:cs="FangSong_GB2312"/>
                <w:sz w:val="24"/>
                <w:szCs w:val="24"/>
                <w:spacing w:val="-2"/>
              </w:rPr>
              <w:t>出生产配额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许可证规定的品种、数量、期限生产消耗臭氧层物质，不得超出</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生产配额许可证规定的用途生产、销售消耗臭氧层物质。</w:t>
            </w:r>
          </w:p>
          <w:p>
            <w:pPr>
              <w:spacing w:line="39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0" w:right="36" w:firstLine="15"/>
              <w:spacing w:before="38"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消耗臭氧层物质的生产、使用单</w:t>
            </w:r>
            <w:r>
              <w:rPr>
                <w:rFonts w:ascii="FangSong_GB2312" w:hAnsi="FangSong_GB2312" w:eastAsia="FangSong_GB2312" w:cs="FangSong_GB2312"/>
                <w:sz w:val="24"/>
                <w:szCs w:val="24"/>
              </w:rPr>
              <w:t>位有下列行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为之一的，由所在地省、</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rPr>
              <w:t>自治区、直辖市人民政府生态环境主管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部门责令停止违法行为，没收违法生产、使用的消耗臭氧层物质、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违法使用消耗臭氧层物质生产的产品和违法所得，并处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4"/>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
              </w:rPr>
              <w:t>万元以下的罚款，报国务院生态环境主管部门核</w:t>
            </w:r>
            <w:r>
              <w:rPr>
                <w:rFonts w:ascii="FangSong_GB2312" w:hAnsi="FangSong_GB2312" w:eastAsia="FangSong_GB2312" w:cs="FangSong_GB2312"/>
                <w:sz w:val="24"/>
                <w:szCs w:val="24"/>
                <w:spacing w:val="-2"/>
              </w:rPr>
              <w:t>减其生产、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使用配额数量；情节严重的，并处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w:t>
            </w:r>
            <w:r>
              <w:rPr>
                <w:rFonts w:ascii="FangSong_GB2312" w:hAnsi="FangSong_GB2312" w:eastAsia="FangSong_GB2312" w:cs="FangSong_GB2312"/>
                <w:sz w:val="24"/>
                <w:szCs w:val="24"/>
                <w:spacing w:val="-6"/>
              </w:rPr>
              <w:t>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款，报国务院生态环境主管部门吊销其生产、</w:t>
            </w:r>
            <w:r>
              <w:rPr>
                <w:rFonts w:ascii="FangSong_GB2312" w:hAnsi="FangSong_GB2312" w:eastAsia="FangSong_GB2312" w:cs="FangSong_GB2312"/>
                <w:sz w:val="24"/>
                <w:szCs w:val="24"/>
                <w:spacing w:val="-1"/>
              </w:rPr>
              <w:t>使用配额许可证：</w:t>
            </w:r>
          </w:p>
          <w:p>
            <w:pPr>
              <w:ind w:left="119" w:right="108" w:hanging="11"/>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（二）超出生产配额许可证规定的用途生产或者销售消耗臭氧层</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5"/>
              </w:rPr>
              <w:t>物质的；</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88"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44"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4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8"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7" w:right="103" w:hanging="3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3"/>
              </w:rPr>
              <w:t>1个月以上</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3"/>
              </w:rPr>
              <w:t>个月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以下的</w:t>
            </w:r>
          </w:p>
        </w:tc>
        <w:tc>
          <w:tcPr>
            <w:tcW w:w="1068" w:type="dxa"/>
            <w:vAlign w:val="top"/>
          </w:tcPr>
          <w:p>
            <w:pPr>
              <w:ind w:left="13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8"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10" w:lineRule="auto"/>
              <w:rPr>
                <w:rFonts w:ascii="Arial"/>
                <w:sz w:val="21"/>
              </w:rPr>
            </w:pPr>
            <w:r/>
          </w:p>
          <w:p>
            <w:pPr>
              <w:ind w:left="741" w:right="181" w:hanging="541"/>
              <w:spacing w:before="71"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5"/>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6"/>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83</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right="175" w:hanging="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超出使用配额许可证规定的品种、数量、用途、期</w:t>
            </w:r>
            <w:r>
              <w:rPr>
                <w:rFonts w:ascii="FangSong_GB2312" w:hAnsi="FangSong_GB2312" w:eastAsia="FangSong_GB2312" w:cs="FangSong_GB2312"/>
                <w:sz w:val="24"/>
                <w:szCs w:val="24"/>
                <w:spacing w:val="-1"/>
              </w:rPr>
              <w:t>限使用消耗臭</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氧层物质的</w:t>
            </w:r>
          </w:p>
        </w:tc>
      </w:tr>
      <w:tr>
        <w:trPr>
          <w:trHeight w:val="4848"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5" w:right="175" w:firstLine="10"/>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第十六条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依照本条例规定领取使用配额许可证的单位，</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不得超出使用配额许可证规定的品种、用途、数量、期限使用消</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耗臭氧层物质。</w:t>
            </w:r>
          </w:p>
          <w:p>
            <w:pPr>
              <w:spacing w:line="39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0" w:right="36" w:firstLine="15"/>
              <w:spacing w:before="38"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消耗臭氧层物质的生产、使用单</w:t>
            </w:r>
            <w:r>
              <w:rPr>
                <w:rFonts w:ascii="FangSong_GB2312" w:hAnsi="FangSong_GB2312" w:eastAsia="FangSong_GB2312" w:cs="FangSong_GB2312"/>
                <w:sz w:val="24"/>
                <w:szCs w:val="24"/>
              </w:rPr>
              <w:t>位有下列行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为之一的，由所在地省、</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rPr>
              <w:t>自治区、直辖市人民政府生态环境主管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部门责令停止违法行为，没收违法生产、使用的消耗臭氧层物质、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违法使用消耗臭氧层物质生产的产品和违法所得，并处</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4"/>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
              </w:rPr>
              <w:t>万元以下的罚款，报国务院生态环境主管部门核</w:t>
            </w:r>
            <w:r>
              <w:rPr>
                <w:rFonts w:ascii="FangSong_GB2312" w:hAnsi="FangSong_GB2312" w:eastAsia="FangSong_GB2312" w:cs="FangSong_GB2312"/>
                <w:sz w:val="24"/>
                <w:szCs w:val="24"/>
                <w:spacing w:val="-2"/>
              </w:rPr>
              <w:t>减其生产、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使用配额数量；情节严重的，并处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w:t>
            </w:r>
            <w:r>
              <w:rPr>
                <w:rFonts w:ascii="FangSong_GB2312" w:hAnsi="FangSong_GB2312" w:eastAsia="FangSong_GB2312" w:cs="FangSong_GB2312"/>
                <w:sz w:val="24"/>
                <w:szCs w:val="24"/>
                <w:spacing w:val="-6"/>
              </w:rPr>
              <w:t>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款，报国务院生态环境主管部门吊销其生产、</w:t>
            </w:r>
            <w:r>
              <w:rPr>
                <w:rFonts w:ascii="FangSong_GB2312" w:hAnsi="FangSong_GB2312" w:eastAsia="FangSong_GB2312" w:cs="FangSong_GB2312"/>
                <w:sz w:val="24"/>
                <w:szCs w:val="24"/>
                <w:spacing w:val="-1"/>
              </w:rPr>
              <w:t>使用配额许可证：</w:t>
            </w:r>
          </w:p>
          <w:p>
            <w:pPr>
              <w:ind w:left="119" w:right="108" w:hanging="11"/>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（三）超出使用配额许可证规定的品种、数量、用途、期限使用</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消耗臭氧层物质的。</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88"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44"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4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8"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7" w:right="103" w:hanging="3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3"/>
              </w:rPr>
              <w:t>1个月以上</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3"/>
              </w:rPr>
              <w:t>个月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以下的</w:t>
            </w:r>
          </w:p>
        </w:tc>
        <w:tc>
          <w:tcPr>
            <w:tcW w:w="1068" w:type="dxa"/>
            <w:vAlign w:val="top"/>
          </w:tcPr>
          <w:p>
            <w:pPr>
              <w:ind w:left="13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8"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10" w:lineRule="auto"/>
              <w:rPr>
                <w:rFonts w:ascii="Arial"/>
                <w:sz w:val="21"/>
              </w:rPr>
            </w:pPr>
            <w:r/>
          </w:p>
          <w:p>
            <w:pPr>
              <w:ind w:left="741" w:right="181" w:hanging="541"/>
              <w:spacing w:before="71"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7"/>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65" w:hRule="atLeast"/>
        </w:trPr>
        <w:tc>
          <w:tcPr>
            <w:tcW w:w="1454" w:type="dxa"/>
            <w:vAlign w:val="top"/>
            <w:vMerge w:val="restart"/>
            <w:tcBorders>
              <w:bottom w:val="nil"/>
            </w:tcBorders>
          </w:tcPr>
          <w:p>
            <w:pPr>
              <w:ind w:left="136"/>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8"/>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84</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right="175" w:firstLine="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消耗臭氧层物质的生产、销售、使用单位向不符合本条例规定的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单位销售或者购买消耗臭氧层物质的</w:t>
            </w:r>
          </w:p>
        </w:tc>
      </w:tr>
      <w:tr>
        <w:trPr>
          <w:trHeight w:val="3903" w:hRule="atLeast"/>
        </w:trPr>
        <w:tc>
          <w:tcPr>
            <w:tcW w:w="145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09" w:right="107" w:firstLine="1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第十八条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除依照本条例规定进出口外，消耗臭氧层物质的购买和</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销售行为只能在符合本条例规定的消耗臭氧层物</w:t>
            </w:r>
            <w:r>
              <w:rPr>
                <w:rFonts w:ascii="FangSong_GB2312" w:hAnsi="FangSong_GB2312" w:eastAsia="FangSong_GB2312" w:cs="FangSong_GB2312"/>
                <w:sz w:val="24"/>
                <w:szCs w:val="24"/>
                <w:spacing w:val="-1"/>
              </w:rPr>
              <w:t>质的生产、销售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和使用单位之间进行。</w:t>
            </w:r>
          </w:p>
          <w:p>
            <w:pPr>
              <w:spacing w:line="39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0" w:right="107" w:firstLine="15"/>
              <w:spacing w:before="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消耗臭氧层物质的生产、销售、使用单位向不符合本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条例规定的单位销售或者购买消耗臭氧层物质的，由所在地生态</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环境主管部门责令改正，没收违法销售或者购买的消耗臭氧层物</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质和违法所得，处以所销售或者购买的消耗臭氧层物质市</w:t>
            </w:r>
            <w:r>
              <w:rPr>
                <w:rFonts w:ascii="FangSong_GB2312" w:hAnsi="FangSong_GB2312" w:eastAsia="FangSong_GB2312" w:cs="FangSong_GB2312"/>
                <w:sz w:val="24"/>
                <w:szCs w:val="24"/>
                <w:spacing w:val="-6"/>
              </w:rPr>
              <w:t>场总价</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倍的罚款；对取得生产、使用配额许可证的单位，报国务院生态</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环境主管部门核减其生产、使用配额数量。</w:t>
            </w:r>
          </w:p>
        </w:tc>
      </w:tr>
      <w:tr>
        <w:trPr>
          <w:trHeight w:val="635" w:hRule="atLeast"/>
        </w:trPr>
        <w:tc>
          <w:tcPr>
            <w:tcW w:w="3910" w:type="dxa"/>
            <w:vAlign w:val="top"/>
            <w:gridSpan w:val="3"/>
          </w:tcPr>
          <w:p>
            <w:pPr>
              <w:ind w:left="140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88"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45"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45"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8"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7" w:right="103" w:hanging="3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3"/>
              </w:rPr>
              <w:t>1个月以上</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3"/>
              </w:rPr>
              <w:t>个月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以下的</w:t>
            </w:r>
          </w:p>
        </w:tc>
        <w:tc>
          <w:tcPr>
            <w:tcW w:w="1068" w:type="dxa"/>
            <w:vAlign w:val="top"/>
          </w:tcPr>
          <w:p>
            <w:pPr>
              <w:ind w:left="13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8"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9"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4"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2" w:hRule="atLeast"/>
        </w:trPr>
        <w:tc>
          <w:tcPr>
            <w:tcW w:w="1454" w:type="dxa"/>
            <w:vAlign w:val="top"/>
            <w:vMerge w:val="restart"/>
            <w:tcBorders>
              <w:bottom w:val="nil"/>
            </w:tcBorders>
          </w:tcPr>
          <w:p>
            <w:pPr>
              <w:ind w:left="136"/>
              <w:spacing w:before="4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5"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69"/>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85</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8" w:right="175" w:hanging="5"/>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未按照规定采取必要的措施防止或者减少消耗臭氧层物质的泄漏</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4"/>
              </w:rPr>
              <w:t>和排放的</w:t>
            </w:r>
          </w:p>
        </w:tc>
      </w:tr>
      <w:tr>
        <w:trPr>
          <w:trHeight w:val="3588" w:hRule="atLeast"/>
        </w:trPr>
        <w:tc>
          <w:tcPr>
            <w:tcW w:w="1454"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20" w:right="167" w:firstLine="4"/>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消耗臭氧层物质的生产、使用单位</w:t>
            </w:r>
            <w:r>
              <w:rPr>
                <w:rFonts w:ascii="FangSong_GB2312" w:hAnsi="FangSong_GB2312" w:eastAsia="FangSong_GB2312" w:cs="FangSong_GB2312"/>
                <w:sz w:val="24"/>
                <w:szCs w:val="24"/>
                <w:spacing w:val="-2"/>
              </w:rPr>
              <w:t>，应当按照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国务院生态环境主管部门的规定采取必要的措施，防止或者减少</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消耗臭氧层物质的泄漏和排放。</w:t>
            </w:r>
          </w:p>
          <w:p>
            <w:pPr>
              <w:spacing w:line="39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1" w:right="55" w:firstLine="14"/>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消耗臭氧层物质的生产、使用单位未按照规定采取必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要的措施防止或者减少消耗臭氧层物质的泄漏和排放的，由所在</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0"/>
              </w:rPr>
              <w:t>地生态环境主管部门责令改正，处</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10"/>
              </w:rPr>
              <w:t>万元以上</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10"/>
              </w:rPr>
              <w:t>10</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spacing w:val="-10"/>
              </w:rPr>
              <w:t>万元以下的罚款；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拒不改正的，处</w:t>
            </w:r>
            <w:r>
              <w:rPr>
                <w:rFonts w:ascii="FangSong_GB2312" w:hAnsi="FangSong_GB2312" w:eastAsia="FangSong_GB2312" w:cs="FangSong_GB2312"/>
                <w:sz w:val="24"/>
                <w:szCs w:val="24"/>
                <w:spacing w:val="-20"/>
              </w:rPr>
              <w:t xml:space="preserve"> </w:t>
            </w:r>
            <w:r>
              <w:rPr>
                <w:rFonts w:ascii="FangSong_GB2312" w:hAnsi="FangSong_GB2312" w:eastAsia="FangSong_GB2312" w:cs="FangSong_GB2312"/>
                <w:sz w:val="24"/>
                <w:szCs w:val="24"/>
                <w:spacing w:val="-2"/>
              </w:rPr>
              <w:t>10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2"/>
              </w:rPr>
              <w:t>50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万元以下的罚款，报国务院生态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环境主管部门核减其生产、使用配额数量。</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ind w:left="494" w:right="121" w:hanging="358"/>
              <w:spacing w:before="2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319"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320"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35" w:right="249" w:hanging="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没有按要求采取污染防治措施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rPr>
              <w:t>的</w:t>
            </w:r>
          </w:p>
        </w:tc>
        <w:tc>
          <w:tcPr>
            <w:tcW w:w="1068" w:type="dxa"/>
            <w:vAlign w:val="top"/>
          </w:tcPr>
          <w:p>
            <w:pPr>
              <w:ind w:left="19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93"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完全没有采取污染防治措施的</w:t>
            </w:r>
          </w:p>
        </w:tc>
        <w:tc>
          <w:tcPr>
            <w:tcW w:w="1068" w:type="dxa"/>
            <w:vAlign w:val="top"/>
          </w:tcPr>
          <w:p>
            <w:pPr>
              <w:ind w:left="131"/>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10" w:lineRule="auto"/>
              <w:rPr>
                <w:rFonts w:ascii="Arial"/>
                <w:sz w:val="21"/>
              </w:rPr>
            </w:pPr>
            <w:r/>
          </w:p>
          <w:p>
            <w:pPr>
              <w:ind w:left="741" w:right="181" w:hanging="541"/>
              <w:spacing w:before="71"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2" w:hRule="atLeast"/>
        </w:trPr>
        <w:tc>
          <w:tcPr>
            <w:tcW w:w="1454" w:type="dxa"/>
            <w:vAlign w:val="top"/>
            <w:vMerge w:val="restart"/>
            <w:tcBorders>
              <w:bottom w:val="nil"/>
            </w:tcBorders>
          </w:tcPr>
          <w:p>
            <w:pPr>
              <w:ind w:left="136"/>
              <w:spacing w:before="4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6"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70"/>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86</w:t>
            </w:r>
          </w:p>
        </w:tc>
      </w:tr>
      <w:tr>
        <w:trPr>
          <w:trHeight w:val="949" w:hRule="atLeast"/>
        </w:trPr>
        <w:tc>
          <w:tcPr>
            <w:tcW w:w="1454" w:type="dxa"/>
            <w:vAlign w:val="top"/>
          </w:tcPr>
          <w:p>
            <w:pPr>
              <w:spacing w:line="243" w:lineRule="auto"/>
              <w:rPr>
                <w:rFonts w:ascii="Arial"/>
                <w:sz w:val="21"/>
              </w:rPr>
            </w:pPr>
            <w:r/>
          </w:p>
          <w:p>
            <w:pPr>
              <w:ind w:left="17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8" w:right="175" w:hanging="5"/>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未按照规定对消耗臭氧层物质进行回收、循环利用或者交由从事</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消耗臭氧层物质回收、再生利用、销毁等经营活动的单位进行无</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害化处置的</w:t>
            </w:r>
          </w:p>
        </w:tc>
      </w:tr>
      <w:tr>
        <w:trPr>
          <w:trHeight w:val="453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0" w:right="167" w:firstLine="15"/>
              <w:spacing w:before="36"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从事含消耗臭氧层物质的制冷设备</w:t>
            </w:r>
            <w:r>
              <w:rPr>
                <w:rFonts w:ascii="FangSong_GB2312" w:hAnsi="FangSong_GB2312" w:eastAsia="FangSong_GB2312" w:cs="FangSong_GB2312"/>
                <w:sz w:val="24"/>
                <w:szCs w:val="24"/>
                <w:spacing w:val="-2"/>
              </w:rPr>
              <w:t>、制冷系统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或者灭火系统的维修、报废处理等经营活动的</w:t>
            </w:r>
            <w:r>
              <w:rPr>
                <w:rFonts w:ascii="FangSong_GB2312" w:hAnsi="FangSong_GB2312" w:eastAsia="FangSong_GB2312" w:cs="FangSong_GB2312"/>
                <w:sz w:val="24"/>
                <w:szCs w:val="24"/>
                <w:spacing w:val="-1"/>
              </w:rPr>
              <w:t>单位，应当按照国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务院生态环境主管部门的规定对消耗臭氧层物</w:t>
            </w:r>
            <w:r>
              <w:rPr>
                <w:rFonts w:ascii="FangSong_GB2312" w:hAnsi="FangSong_GB2312" w:eastAsia="FangSong_GB2312" w:cs="FangSong_GB2312"/>
                <w:sz w:val="24"/>
                <w:szCs w:val="24"/>
                <w:spacing w:val="-1"/>
              </w:rPr>
              <w:t>质进行回收、循环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利用或者交由从事消耗臭氧层物质回收、再生</w:t>
            </w:r>
            <w:r>
              <w:rPr>
                <w:rFonts w:ascii="FangSong_GB2312" w:hAnsi="FangSong_GB2312" w:eastAsia="FangSong_GB2312" w:cs="FangSong_GB2312"/>
                <w:sz w:val="24"/>
                <w:szCs w:val="24"/>
                <w:spacing w:val="-1"/>
              </w:rPr>
              <w:t>利用、销毁等经营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活动的单位进行无害化处置。</w:t>
            </w:r>
          </w:p>
          <w:p>
            <w:pPr>
              <w:spacing w:line="39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5" w:right="107" w:firstLine="10"/>
              <w:spacing w:before="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从事含消耗臭氧层物质的制冷设备、制冷系统或者灭</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火系统的维修、报废处理等经营活动的单位，未按照规定对</w:t>
            </w:r>
            <w:r>
              <w:rPr>
                <w:rFonts w:ascii="FangSong_GB2312" w:hAnsi="FangSong_GB2312" w:eastAsia="FangSong_GB2312" w:cs="FangSong_GB2312"/>
                <w:sz w:val="24"/>
                <w:szCs w:val="24"/>
                <w:spacing w:val="1"/>
              </w:rPr>
              <w:t>消耗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臭氧层物质进行回收、循环利用或者交由从事消耗臭氧层物</w:t>
            </w:r>
            <w:r>
              <w:rPr>
                <w:rFonts w:ascii="FangSong_GB2312" w:hAnsi="FangSong_GB2312" w:eastAsia="FangSong_GB2312" w:cs="FangSong_GB2312"/>
                <w:sz w:val="24"/>
                <w:szCs w:val="24"/>
                <w:spacing w:val="1"/>
              </w:rPr>
              <w:t>质回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收、再生利用、销毁等经营活动的单位进行无害化处置的，</w:t>
            </w:r>
            <w:r>
              <w:rPr>
                <w:rFonts w:ascii="FangSong_GB2312" w:hAnsi="FangSong_GB2312" w:eastAsia="FangSong_GB2312" w:cs="FangSong_GB2312"/>
                <w:sz w:val="24"/>
                <w:szCs w:val="24"/>
                <w:spacing w:val="1"/>
              </w:rPr>
              <w:t>由所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在地生态环境主管部门责令改正，处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款；拒不改正的，责令停产整治或者停业整治。</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4" w:right="121" w:hanging="358"/>
              <w:spacing w:before="245"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324"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32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吨以内的</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spacing w:before="7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涉及数量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吨以上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0"/>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吨以下的</w:t>
            </w:r>
          </w:p>
        </w:tc>
        <w:tc>
          <w:tcPr>
            <w:tcW w:w="1068" w:type="dxa"/>
            <w:vAlign w:val="top"/>
          </w:tcPr>
          <w:p>
            <w:pPr>
              <w:ind w:left="137"/>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9"/>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吨以上的</w:t>
            </w:r>
          </w:p>
        </w:tc>
        <w:tc>
          <w:tcPr>
            <w:tcW w:w="1068" w:type="dxa"/>
            <w:vAlign w:val="top"/>
          </w:tcPr>
          <w:p>
            <w:pPr>
              <w:ind w:left="1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9"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4"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6"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54" w:type="dxa"/>
            <w:vAlign w:val="top"/>
          </w:tcPr>
          <w:p>
            <w:pPr>
              <w:ind w:left="136"/>
              <w:spacing w:before="6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3"/>
              <w:spacing w:before="6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ind w:left="220"/>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71"/>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ind w:left="494" w:right="121" w:hanging="36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5" w:right="121"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rPr>
                <w:rFonts w:ascii="Arial"/>
                <w:sz w:val="21"/>
              </w:rPr>
            </w:pPr>
            <w:r/>
          </w:p>
        </w:tc>
        <w:tc>
          <w:tcPr>
            <w:tcW w:w="3480" w:type="dxa"/>
            <w:vAlign w:val="top"/>
          </w:tcPr>
          <w:p>
            <w:pPr>
              <w:ind w:left="1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72"/>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87</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未按照规定对消耗臭氧层物质进行无害化处置而直接排放的</w:t>
            </w:r>
          </w:p>
        </w:tc>
      </w:tr>
      <w:tr>
        <w:trPr>
          <w:trHeight w:val="3903" w:hRule="atLeast"/>
        </w:trPr>
        <w:tc>
          <w:tcPr>
            <w:tcW w:w="145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09" w:right="167" w:firstLine="1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从事消耗臭氧层物质回收、再生利</w:t>
            </w:r>
            <w:r>
              <w:rPr>
                <w:rFonts w:ascii="FangSong_GB2312" w:hAnsi="FangSong_GB2312" w:eastAsia="FangSong_GB2312" w:cs="FangSong_GB2312"/>
                <w:sz w:val="24"/>
                <w:szCs w:val="24"/>
                <w:spacing w:val="-2"/>
              </w:rPr>
              <w:t>用、销毁等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经营活动的单位，以及生产过程中附带产生消耗</w:t>
            </w:r>
            <w:r>
              <w:rPr>
                <w:rFonts w:ascii="FangSong_GB2312" w:hAnsi="FangSong_GB2312" w:eastAsia="FangSong_GB2312" w:cs="FangSong_GB2312"/>
                <w:sz w:val="24"/>
                <w:szCs w:val="24"/>
                <w:spacing w:val="-1"/>
              </w:rPr>
              <w:t>臭氧层物质的单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位，应当按照国务院生态环境主管部门的规定对</w:t>
            </w:r>
            <w:r>
              <w:rPr>
                <w:rFonts w:ascii="FangSong_GB2312" w:hAnsi="FangSong_GB2312" w:eastAsia="FangSong_GB2312" w:cs="FangSong_GB2312"/>
                <w:sz w:val="24"/>
                <w:szCs w:val="24"/>
                <w:spacing w:val="-1"/>
              </w:rPr>
              <w:t>消耗臭氧层物质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进行无害化处置，不得直接排放。</w:t>
            </w:r>
          </w:p>
          <w:p>
            <w:pPr>
              <w:spacing w:line="391"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4" w:right="107" w:firstLine="11"/>
              <w:spacing w:before="35"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从事消耗臭氧层物质回收、再生利用、销毁等经营活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动的单位，以及生产过程中附带产生消耗臭氧层物质的单位，未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按照规定对消耗臭氧层物质进行无害化处置而直接排放的，由所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在地生态环境主管部门责令改正，处</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2"/>
              </w:rPr>
              <w:t>10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2"/>
              </w:rPr>
              <w:t>50</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2"/>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罚款；拒不改正的，责令停产整治或者停业整治。</w:t>
            </w:r>
          </w:p>
        </w:tc>
      </w:tr>
      <w:tr>
        <w:trPr>
          <w:trHeight w:val="635" w:hRule="atLeast"/>
        </w:trPr>
        <w:tc>
          <w:tcPr>
            <w:tcW w:w="3910" w:type="dxa"/>
            <w:vAlign w:val="top"/>
            <w:gridSpan w:val="3"/>
          </w:tcPr>
          <w:p>
            <w:pPr>
              <w:ind w:left="140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320" w:lineRule="auto"/>
              <w:rPr>
                <w:rFonts w:ascii="Arial"/>
                <w:sz w:val="21"/>
              </w:rPr>
            </w:pPr>
            <w:r/>
          </w:p>
          <w:p>
            <w:pPr>
              <w:spacing w:line="321"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320" w:lineRule="auto"/>
              <w:rPr>
                <w:rFonts w:ascii="Arial"/>
                <w:sz w:val="21"/>
              </w:rPr>
            </w:pPr>
            <w:r/>
          </w:p>
          <w:p>
            <w:pPr>
              <w:spacing w:line="321"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部分处理设施不能正常运行的</w:t>
            </w:r>
          </w:p>
        </w:tc>
        <w:tc>
          <w:tcPr>
            <w:tcW w:w="1068" w:type="dxa"/>
            <w:vAlign w:val="top"/>
          </w:tcPr>
          <w:p>
            <w:pPr>
              <w:ind w:left="1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部分处理设施停运的</w:t>
            </w:r>
          </w:p>
        </w:tc>
        <w:tc>
          <w:tcPr>
            <w:tcW w:w="1068" w:type="dxa"/>
            <w:vAlign w:val="top"/>
          </w:tcPr>
          <w:p>
            <w:pPr>
              <w:ind w:left="137"/>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5" w:right="249" w:firstLine="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整体或关键处理设施不能正常</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运行的</w:t>
            </w:r>
          </w:p>
        </w:tc>
        <w:tc>
          <w:tcPr>
            <w:tcW w:w="1068" w:type="dxa"/>
            <w:vAlign w:val="top"/>
          </w:tcPr>
          <w:p>
            <w:pPr>
              <w:ind w:left="13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整体或关键处理设施停运的</w:t>
            </w:r>
          </w:p>
        </w:tc>
        <w:tc>
          <w:tcPr>
            <w:tcW w:w="1068" w:type="dxa"/>
            <w:vAlign w:val="top"/>
          </w:tcPr>
          <w:p>
            <w:pPr>
              <w:ind w:left="14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9"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6"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54" w:type="dxa"/>
            <w:vAlign w:val="top"/>
          </w:tcPr>
          <w:p>
            <w:pPr>
              <w:ind w:left="136"/>
              <w:spacing w:before="6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3"/>
              <w:spacing w:before="6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ind w:left="220"/>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73"/>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ind w:left="494" w:right="121" w:hanging="36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5" w:right="121"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rPr>
                <w:rFonts w:ascii="Arial"/>
                <w:sz w:val="21"/>
              </w:rPr>
            </w:pPr>
            <w:r/>
          </w:p>
        </w:tc>
        <w:tc>
          <w:tcPr>
            <w:tcW w:w="3480" w:type="dxa"/>
            <w:vAlign w:val="top"/>
          </w:tcPr>
          <w:p>
            <w:pPr>
              <w:ind w:left="1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74"/>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88</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spacing w:before="19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应当向生态环境主管部门备案而未备案的</w:t>
            </w:r>
          </w:p>
        </w:tc>
      </w:tr>
      <w:tr>
        <w:trPr>
          <w:trHeight w:val="7052" w:hRule="atLeast"/>
        </w:trPr>
        <w:tc>
          <w:tcPr>
            <w:tcW w:w="1454"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6" w:right="290" w:firstLine="9"/>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下列单位应当按照国务院生态环境主管部门的规定办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理备案手续：</w:t>
            </w:r>
          </w:p>
          <w:p>
            <w:pPr>
              <w:ind w:left="108"/>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（一）消耗臭氧层物质的销售单位；</w:t>
            </w:r>
          </w:p>
          <w:p>
            <w:pPr>
              <w:ind w:left="123" w:right="175" w:hanging="15"/>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（二）从事含消耗臭氧层物质的制冷设备、制冷</w:t>
            </w:r>
            <w:r>
              <w:rPr>
                <w:rFonts w:ascii="FangSong_GB2312" w:hAnsi="FangSong_GB2312" w:eastAsia="FangSong_GB2312" w:cs="FangSong_GB2312"/>
                <w:sz w:val="24"/>
                <w:szCs w:val="24"/>
                <w:spacing w:val="-1"/>
              </w:rPr>
              <w:t>系统或者灭火系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统的维修、报废处理等经营活动的单位；</w:t>
            </w:r>
          </w:p>
          <w:p>
            <w:pPr>
              <w:ind w:left="133" w:right="175" w:hanging="25"/>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（三）从事消耗臭氧层物质回收、再生利用或者</w:t>
            </w:r>
            <w:r>
              <w:rPr>
                <w:rFonts w:ascii="FangSong_GB2312" w:hAnsi="FangSong_GB2312" w:eastAsia="FangSong_GB2312" w:cs="FangSong_GB2312"/>
                <w:sz w:val="24"/>
                <w:szCs w:val="24"/>
                <w:spacing w:val="-1"/>
              </w:rPr>
              <w:t>销毁等经营活动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的单位；</w:t>
            </w:r>
          </w:p>
          <w:p>
            <w:pPr>
              <w:ind w:left="118" w:right="175" w:hanging="10"/>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（四）国务院生态环境主管部门规定的不需要申</w:t>
            </w:r>
            <w:r>
              <w:rPr>
                <w:rFonts w:ascii="FangSong_GB2312" w:hAnsi="FangSong_GB2312" w:eastAsia="FangSong_GB2312" w:cs="FangSong_GB2312"/>
                <w:sz w:val="24"/>
                <w:szCs w:val="24"/>
                <w:spacing w:val="-1"/>
              </w:rPr>
              <w:t>请领取使用配额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许可证的消耗臭氧层物质的使用单位。</w:t>
            </w:r>
          </w:p>
          <w:p>
            <w:pPr>
              <w:ind w:left="113" w:right="175" w:firstLine="6"/>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前款第（一）项、第（二）项、第（四）项规定的单位向所在地</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设区的市级人民政府生态环境主管部门备案，第（三）项规定的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单位向所在地省、</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2"/>
              </w:rPr>
              <w:t>自治区、直辖市人民政府生</w:t>
            </w:r>
            <w:r>
              <w:rPr>
                <w:rFonts w:ascii="FangSong_GB2312" w:hAnsi="FangSong_GB2312" w:eastAsia="FangSong_GB2312" w:cs="FangSong_GB2312"/>
                <w:sz w:val="24"/>
                <w:szCs w:val="24"/>
                <w:spacing w:val="-3"/>
              </w:rPr>
              <w:t>态环境主管部门备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案。</w:t>
            </w:r>
          </w:p>
          <w:p>
            <w:pPr>
              <w:spacing w:line="391" w:lineRule="auto"/>
              <w:rPr>
                <w:rFonts w:ascii="Arial"/>
                <w:sz w:val="21"/>
              </w:rPr>
            </w:pPr>
            <w:r/>
          </w:p>
          <w:p>
            <w:pPr>
              <w:ind w:left="12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4" w:right="107"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从事消耗臭氧层物质生产、销售</w:t>
            </w:r>
            <w:r>
              <w:rPr>
                <w:rFonts w:ascii="FangSong_GB2312" w:hAnsi="FangSong_GB2312" w:eastAsia="FangSong_GB2312" w:cs="FangSong_GB2312"/>
                <w:sz w:val="24"/>
                <w:szCs w:val="24"/>
              </w:rPr>
              <w:t>、使用、进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出</w:t>
            </w:r>
            <w:r>
              <w:rPr>
                <w:rFonts w:ascii="FangSong_GB2312" w:hAnsi="FangSong_GB2312" w:eastAsia="FangSong_GB2312" w:cs="FangSong_GB2312"/>
                <w:sz w:val="24"/>
                <w:szCs w:val="24"/>
                <w:spacing w:val="-65"/>
              </w:rPr>
              <w:t xml:space="preserve"> </w:t>
            </w:r>
            <w:r>
              <w:rPr>
                <w:rFonts w:ascii="FangSong_GB2312" w:hAnsi="FangSong_GB2312" w:eastAsia="FangSong_GB2312" w:cs="FangSong_GB2312"/>
                <w:sz w:val="24"/>
                <w:szCs w:val="24"/>
              </w:rPr>
              <w:t>口、回收、再生利用、销毁等经营活动的单位，以及从事含消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耗臭氧层物质的制冷设备、制冷系统或者灭火系统的维修、报废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处理等经营活动的单位有下列行为之一的，由所在地生态环境主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管部门责令改正，处</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4"/>
              </w:rPr>
              <w:t>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万元以下的罚款：</w:t>
            </w:r>
          </w:p>
          <w:p>
            <w:pPr>
              <w:spacing w:before="36" w:line="206" w:lineRule="auto"/>
              <w:jc w:val="right"/>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（一）依照本条例规定应当向生态环境主管部门备案而未备案的；</w:t>
            </w:r>
          </w:p>
        </w:tc>
      </w:tr>
      <w:tr>
        <w:trPr>
          <w:trHeight w:val="635" w:hRule="atLeast"/>
        </w:trPr>
        <w:tc>
          <w:tcPr>
            <w:tcW w:w="3910" w:type="dxa"/>
            <w:vAlign w:val="top"/>
            <w:gridSpan w:val="3"/>
          </w:tcPr>
          <w:p>
            <w:pPr>
              <w:ind w:left="140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ind w:left="494" w:right="121" w:hanging="358"/>
              <w:spacing w:before="24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320"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320"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7" w:right="249" w:firstLine="26"/>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向生态环境主管部门备案的数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据和资料不全的</w:t>
            </w:r>
          </w:p>
        </w:tc>
        <w:tc>
          <w:tcPr>
            <w:tcW w:w="1068" w:type="dxa"/>
            <w:vAlign w:val="top"/>
          </w:tcPr>
          <w:p>
            <w:pPr>
              <w:ind w:left="19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93"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未向生态环境主管部门备案的</w:t>
            </w:r>
          </w:p>
        </w:tc>
        <w:tc>
          <w:tcPr>
            <w:tcW w:w="1068" w:type="dxa"/>
            <w:vAlign w:val="top"/>
          </w:tcPr>
          <w:p>
            <w:pPr>
              <w:ind w:left="131"/>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1" w:line="25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bl>
    <w:p>
      <w:pPr>
        <w:pStyle w:val="BodyText"/>
        <w:rPr/>
      </w:pPr>
      <w:r/>
    </w:p>
    <w:p>
      <w:pPr>
        <w:sectPr>
          <w:footerReference w:type="default" r:id="rId175"/>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24"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1" w:hRule="atLeast"/>
        </w:trPr>
        <w:tc>
          <w:tcPr>
            <w:tcW w:w="1454" w:type="dxa"/>
            <w:vAlign w:val="top"/>
            <w:vMerge w:val="restart"/>
            <w:tcBorders>
              <w:bottom w:val="nil"/>
            </w:tcBorders>
          </w:tcPr>
          <w:p>
            <w:pPr>
              <w:ind w:left="255" w:right="243" w:firstLine="7"/>
              <w:spacing w:before="8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8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3"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1" w:hRule="atLeast"/>
        </w:trPr>
        <w:tc>
          <w:tcPr>
            <w:tcW w:w="1454" w:type="dxa"/>
            <w:vAlign w:val="top"/>
            <w:vMerge w:val="restart"/>
            <w:tcBorders>
              <w:bottom w:val="nil"/>
            </w:tcBorders>
          </w:tcPr>
          <w:p>
            <w:pPr>
              <w:ind w:left="136"/>
              <w:spacing w:before="4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7"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4"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7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76"/>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89</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未按照规定完整保存有关生产经营活动的原始资料的</w:t>
            </w:r>
          </w:p>
        </w:tc>
      </w:tr>
      <w:tr>
        <w:trPr>
          <w:trHeight w:val="453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6" w:right="107" w:firstLine="9"/>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从事消耗臭氧层物质的生产、销售</w:t>
            </w:r>
            <w:r>
              <w:rPr>
                <w:rFonts w:ascii="FangSong_GB2312" w:hAnsi="FangSong_GB2312" w:eastAsia="FangSong_GB2312" w:cs="FangSong_GB2312"/>
                <w:sz w:val="24"/>
                <w:szCs w:val="24"/>
                <w:spacing w:val="-2"/>
              </w:rPr>
              <w:t>、使用、回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收、再生利用、销毁等经营活动的单位，以及从事含消耗臭氧层</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物质的制冷设备、制冷系统或者灭火系统的维修、报废处理等经</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5"/>
              </w:rPr>
              <w:t>营活动的单位，应当完整保存有关生产经营</w:t>
            </w:r>
            <w:r>
              <w:rPr>
                <w:rFonts w:ascii="FangSong_GB2312" w:hAnsi="FangSong_GB2312" w:eastAsia="FangSong_GB2312" w:cs="FangSong_GB2312"/>
                <w:sz w:val="24"/>
                <w:szCs w:val="24"/>
                <w:spacing w:val="-6"/>
              </w:rPr>
              <w:t>活动的原始资料至少</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年，并按照国务院生态环境主管部门的规定报送相关数据。</w:t>
            </w:r>
          </w:p>
          <w:p>
            <w:pPr>
              <w:spacing w:line="39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4" w:right="107" w:firstLine="11"/>
              <w:spacing w:before="33"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从事消耗臭氧层物质生产、销售</w:t>
            </w:r>
            <w:r>
              <w:rPr>
                <w:rFonts w:ascii="FangSong_GB2312" w:hAnsi="FangSong_GB2312" w:eastAsia="FangSong_GB2312" w:cs="FangSong_GB2312"/>
                <w:sz w:val="24"/>
                <w:szCs w:val="24"/>
              </w:rPr>
              <w:t>、使用、进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出</w:t>
            </w:r>
            <w:r>
              <w:rPr>
                <w:rFonts w:ascii="FangSong_GB2312" w:hAnsi="FangSong_GB2312" w:eastAsia="FangSong_GB2312" w:cs="FangSong_GB2312"/>
                <w:sz w:val="24"/>
                <w:szCs w:val="24"/>
                <w:spacing w:val="-65"/>
              </w:rPr>
              <w:t xml:space="preserve"> </w:t>
            </w:r>
            <w:r>
              <w:rPr>
                <w:rFonts w:ascii="FangSong_GB2312" w:hAnsi="FangSong_GB2312" w:eastAsia="FangSong_GB2312" w:cs="FangSong_GB2312"/>
                <w:sz w:val="24"/>
                <w:szCs w:val="24"/>
              </w:rPr>
              <w:t>口、回收、再生利用、销毁等经营活动的单位，以及从事含消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耗臭氧层物质的制冷设备、制冷系统或者灭火系统的维修、报废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处理等经营活动的单位有下列行为之一的，由所在地生态环境主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管部门责令改正，处</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4"/>
              </w:rPr>
              <w:t>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万元以下的罚款：</w:t>
            </w:r>
          </w:p>
          <w:p>
            <w:pPr>
              <w:ind w:left="108"/>
              <w:spacing w:before="3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（二）未按照规定完整保存有关生产经营活动的</w:t>
            </w:r>
            <w:r>
              <w:rPr>
                <w:rFonts w:ascii="FangSong_GB2312" w:hAnsi="FangSong_GB2312" w:eastAsia="FangSong_GB2312" w:cs="FangSong_GB2312"/>
                <w:sz w:val="24"/>
                <w:szCs w:val="24"/>
                <w:spacing w:val="-1"/>
              </w:rPr>
              <w:t>原始资料的；</w:t>
            </w:r>
          </w:p>
        </w:tc>
      </w:tr>
      <w:tr>
        <w:trPr>
          <w:trHeight w:val="635" w:hRule="atLeast"/>
        </w:trPr>
        <w:tc>
          <w:tcPr>
            <w:tcW w:w="3910" w:type="dxa"/>
            <w:vAlign w:val="top"/>
            <w:gridSpan w:val="3"/>
          </w:tcPr>
          <w:p>
            <w:pPr>
              <w:ind w:left="140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06" w:hRule="atLeast"/>
        </w:trPr>
        <w:tc>
          <w:tcPr>
            <w:tcW w:w="1454" w:type="dxa"/>
            <w:vAlign w:val="top"/>
            <w:vMerge w:val="restart"/>
            <w:tcBorders>
              <w:bottom w:val="nil"/>
            </w:tcBorders>
          </w:tcPr>
          <w:p>
            <w:pPr>
              <w:spacing w:line="332"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4"/>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部分原始资料未保存</w:t>
            </w:r>
          </w:p>
        </w:tc>
        <w:tc>
          <w:tcPr>
            <w:tcW w:w="1068" w:type="dxa"/>
            <w:vAlign w:val="top"/>
          </w:tcPr>
          <w:p>
            <w:pPr>
              <w:ind w:left="132"/>
              <w:spacing w:before="8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8" w:right="249" w:firstLine="2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以弄虚作假的方式提供虚假资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rPr>
              <w:t>料</w:t>
            </w:r>
          </w:p>
        </w:tc>
        <w:tc>
          <w:tcPr>
            <w:tcW w:w="1068" w:type="dxa"/>
            <w:vAlign w:val="top"/>
          </w:tcPr>
          <w:p>
            <w:pPr>
              <w:ind w:left="13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全部原始资料未保存</w:t>
            </w:r>
          </w:p>
        </w:tc>
        <w:tc>
          <w:tcPr>
            <w:tcW w:w="1068" w:type="dxa"/>
            <w:vAlign w:val="top"/>
          </w:tcPr>
          <w:p>
            <w:pPr>
              <w:ind w:left="1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6"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8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8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3"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3"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54" w:type="dxa"/>
            <w:vAlign w:val="top"/>
          </w:tcPr>
          <w:p>
            <w:pPr>
              <w:ind w:left="136"/>
              <w:spacing w:before="6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3"/>
              <w:spacing w:before="6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ind w:left="220"/>
              <w:spacing w:before="6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77"/>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ind w:left="494" w:right="121" w:hanging="36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5" w:right="121"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rPr>
                <w:rFonts w:ascii="Arial"/>
                <w:sz w:val="21"/>
              </w:rPr>
            </w:pPr>
            <w:r/>
          </w:p>
        </w:tc>
        <w:tc>
          <w:tcPr>
            <w:tcW w:w="3480" w:type="dxa"/>
            <w:vAlign w:val="top"/>
          </w:tcPr>
          <w:p>
            <w:pPr>
              <w:ind w:left="1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78"/>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90</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未按时申报或者谎报、瞒报有关经营活动的数据资料的</w:t>
            </w:r>
          </w:p>
        </w:tc>
      </w:tr>
      <w:tr>
        <w:trPr>
          <w:trHeight w:val="453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6" w:right="107" w:firstLine="9"/>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从事消耗臭氧层物质的生产、销售</w:t>
            </w:r>
            <w:r>
              <w:rPr>
                <w:rFonts w:ascii="FangSong_GB2312" w:hAnsi="FangSong_GB2312" w:eastAsia="FangSong_GB2312" w:cs="FangSong_GB2312"/>
                <w:sz w:val="24"/>
                <w:szCs w:val="24"/>
                <w:spacing w:val="-2"/>
              </w:rPr>
              <w:t>、使用、回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收、再生利用、销毁等经营活动的单位，以及从事含消耗臭氧层</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物质的制冷设备、制冷系统或者灭火系统的维修、报废处理等经</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5"/>
              </w:rPr>
              <w:t>营活动的单位，应当完整保存有关生产经营</w:t>
            </w:r>
            <w:r>
              <w:rPr>
                <w:rFonts w:ascii="FangSong_GB2312" w:hAnsi="FangSong_GB2312" w:eastAsia="FangSong_GB2312" w:cs="FangSong_GB2312"/>
                <w:sz w:val="24"/>
                <w:szCs w:val="24"/>
                <w:spacing w:val="-6"/>
              </w:rPr>
              <w:t>活动的原始资料至少</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年，并按照国务院生态环境主管部门的规定报送相关数据。</w:t>
            </w:r>
          </w:p>
          <w:p>
            <w:pPr>
              <w:spacing w:line="39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4" w:right="107" w:firstLine="11"/>
              <w:spacing w:before="33"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从事消耗臭氧层物质生产、销售</w:t>
            </w:r>
            <w:r>
              <w:rPr>
                <w:rFonts w:ascii="FangSong_GB2312" w:hAnsi="FangSong_GB2312" w:eastAsia="FangSong_GB2312" w:cs="FangSong_GB2312"/>
                <w:sz w:val="24"/>
                <w:szCs w:val="24"/>
              </w:rPr>
              <w:t>、使用、进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出</w:t>
            </w:r>
            <w:r>
              <w:rPr>
                <w:rFonts w:ascii="FangSong_GB2312" w:hAnsi="FangSong_GB2312" w:eastAsia="FangSong_GB2312" w:cs="FangSong_GB2312"/>
                <w:sz w:val="24"/>
                <w:szCs w:val="24"/>
                <w:spacing w:val="-65"/>
              </w:rPr>
              <w:t xml:space="preserve"> </w:t>
            </w:r>
            <w:r>
              <w:rPr>
                <w:rFonts w:ascii="FangSong_GB2312" w:hAnsi="FangSong_GB2312" w:eastAsia="FangSong_GB2312" w:cs="FangSong_GB2312"/>
                <w:sz w:val="24"/>
                <w:szCs w:val="24"/>
              </w:rPr>
              <w:t>口、回收、再生利用、销毁等经营活动的单位，以及从事含消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耗臭氧层物质的制冷设备、制冷系统或者灭火系统的维修、报废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处理等经营活动的单位有下列行为之一的，由所在地生态环境主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管部门责令改正，处</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4"/>
              </w:rPr>
              <w:t>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万元以下的罚款：</w:t>
            </w:r>
          </w:p>
          <w:p>
            <w:pPr>
              <w:ind w:left="108"/>
              <w:spacing w:before="3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（三）未按时申报或者谎报、瞒报有关经营活动</w:t>
            </w:r>
            <w:r>
              <w:rPr>
                <w:rFonts w:ascii="FangSong_GB2312" w:hAnsi="FangSong_GB2312" w:eastAsia="FangSong_GB2312" w:cs="FangSong_GB2312"/>
                <w:sz w:val="24"/>
                <w:szCs w:val="24"/>
                <w:spacing w:val="-1"/>
              </w:rPr>
              <w:t>的数据资料的；</w:t>
            </w:r>
          </w:p>
        </w:tc>
      </w:tr>
      <w:tr>
        <w:trPr>
          <w:trHeight w:val="635" w:hRule="atLeast"/>
        </w:trPr>
        <w:tc>
          <w:tcPr>
            <w:tcW w:w="3910" w:type="dxa"/>
            <w:vAlign w:val="top"/>
            <w:gridSpan w:val="3"/>
          </w:tcPr>
          <w:p>
            <w:pPr>
              <w:ind w:left="140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99" w:hRule="atLeast"/>
        </w:trPr>
        <w:tc>
          <w:tcPr>
            <w:tcW w:w="1454" w:type="dxa"/>
            <w:vAlign w:val="top"/>
            <w:vMerge w:val="restart"/>
            <w:tcBorders>
              <w:bottom w:val="nil"/>
            </w:tcBorders>
          </w:tcPr>
          <w:p>
            <w:pPr>
              <w:ind w:left="494" w:right="121" w:hanging="358"/>
              <w:spacing w:before="220"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99"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99"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4"/>
              <w:spacing w:before="13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未按时申报数据资料</w:t>
            </w:r>
          </w:p>
        </w:tc>
        <w:tc>
          <w:tcPr>
            <w:tcW w:w="1068" w:type="dxa"/>
            <w:vAlign w:val="top"/>
          </w:tcPr>
          <w:p>
            <w:pPr>
              <w:ind w:left="132"/>
              <w:spacing w:before="13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88"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12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谎报、瞒报数据资料</w:t>
            </w:r>
          </w:p>
        </w:tc>
        <w:tc>
          <w:tcPr>
            <w:tcW w:w="1068" w:type="dxa"/>
            <w:vAlign w:val="top"/>
          </w:tcPr>
          <w:p>
            <w:pPr>
              <w:ind w:left="126"/>
              <w:spacing w:before="12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6" w:lineRule="auto"/>
              <w:rPr>
                <w:rFonts w:ascii="Arial"/>
                <w:sz w:val="21"/>
              </w:rPr>
            </w:pPr>
            <w:r/>
          </w:p>
          <w:p>
            <w:pPr>
              <w:ind w:left="233"/>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8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8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6"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3"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54" w:type="dxa"/>
            <w:vAlign w:val="top"/>
          </w:tcPr>
          <w:p>
            <w:pPr>
              <w:ind w:left="136"/>
              <w:spacing w:before="6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3"/>
              <w:spacing w:before="6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ind w:left="220"/>
              <w:spacing w:before="6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79"/>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ind w:left="494" w:right="121" w:hanging="36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5" w:right="121"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rPr>
                <w:rFonts w:ascii="Arial"/>
                <w:sz w:val="21"/>
              </w:rPr>
            </w:pPr>
            <w:r/>
          </w:p>
        </w:tc>
        <w:tc>
          <w:tcPr>
            <w:tcW w:w="3480" w:type="dxa"/>
            <w:vAlign w:val="top"/>
          </w:tcPr>
          <w:p>
            <w:pPr>
              <w:ind w:left="1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80"/>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91</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未按照监督检查人员的要求提供必要的资料的</w:t>
            </w:r>
          </w:p>
        </w:tc>
      </w:tr>
      <w:tr>
        <w:trPr>
          <w:trHeight w:val="453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3" w:right="285" w:firstLine="12"/>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第一项</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3"/>
              </w:rPr>
              <w:t>生态环境主管部门和其他有关部门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进行监督检查，有权采取下列措施：</w:t>
            </w:r>
          </w:p>
          <w:p>
            <w:pPr>
              <w:ind w:left="10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（一）要求被检查单位提供有关资料；</w:t>
            </w:r>
          </w:p>
          <w:p>
            <w:pPr>
              <w:ind w:left="118" w:right="47" w:firstLine="7"/>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第二款</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9"/>
              </w:rPr>
              <w:t>被检查单位应当予以配合，如实反映情况，提供必要资料，</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不得拒绝和阻碍。</w:t>
            </w:r>
          </w:p>
          <w:p>
            <w:pPr>
              <w:spacing w:line="389"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4" w:right="107"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第四项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从事消耗臭氧层物质生产、销售</w:t>
            </w:r>
            <w:r>
              <w:rPr>
                <w:rFonts w:ascii="FangSong_GB2312" w:hAnsi="FangSong_GB2312" w:eastAsia="FangSong_GB2312" w:cs="FangSong_GB2312"/>
                <w:sz w:val="24"/>
                <w:szCs w:val="24"/>
              </w:rPr>
              <w:t>、使用、进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出</w:t>
            </w:r>
            <w:r>
              <w:rPr>
                <w:rFonts w:ascii="FangSong_GB2312" w:hAnsi="FangSong_GB2312" w:eastAsia="FangSong_GB2312" w:cs="FangSong_GB2312"/>
                <w:sz w:val="24"/>
                <w:szCs w:val="24"/>
                <w:spacing w:val="-65"/>
              </w:rPr>
              <w:t xml:space="preserve"> </w:t>
            </w:r>
            <w:r>
              <w:rPr>
                <w:rFonts w:ascii="FangSong_GB2312" w:hAnsi="FangSong_GB2312" w:eastAsia="FangSong_GB2312" w:cs="FangSong_GB2312"/>
                <w:sz w:val="24"/>
                <w:szCs w:val="24"/>
              </w:rPr>
              <w:t>口、回收、再生利用、销毁等经营活动的单位，以及从事含消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耗臭氧层物质的制冷设备、制冷系统或者灭火系统的维修、报废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处理等经营活动的单位有下列行为之一的，由所在地生态环境主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管部门责令改正，处</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4"/>
              </w:rPr>
              <w:t>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万元以下的罚款：</w:t>
            </w:r>
          </w:p>
          <w:p>
            <w:pPr>
              <w:ind w:left="108"/>
              <w:spacing w:before="3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（四）未按照监督检查人员的要求提供必要的资料的。</w:t>
            </w:r>
          </w:p>
        </w:tc>
      </w:tr>
      <w:tr>
        <w:trPr>
          <w:trHeight w:val="635" w:hRule="atLeast"/>
        </w:trPr>
        <w:tc>
          <w:tcPr>
            <w:tcW w:w="3910" w:type="dxa"/>
            <w:vAlign w:val="top"/>
            <w:gridSpan w:val="3"/>
          </w:tcPr>
          <w:p>
            <w:pPr>
              <w:ind w:left="140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329"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基础数据资料内容不全</w:t>
            </w:r>
          </w:p>
        </w:tc>
        <w:tc>
          <w:tcPr>
            <w:tcW w:w="1068" w:type="dxa"/>
            <w:vAlign w:val="top"/>
          </w:tcPr>
          <w:p>
            <w:pPr>
              <w:ind w:left="1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1"/>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数据资料内容弄虚作假</w:t>
            </w:r>
          </w:p>
        </w:tc>
        <w:tc>
          <w:tcPr>
            <w:tcW w:w="1068" w:type="dxa"/>
            <w:vAlign w:val="top"/>
          </w:tcPr>
          <w:p>
            <w:pPr>
              <w:ind w:left="137"/>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阻碍或隐匿部分数据资料</w:t>
            </w:r>
          </w:p>
        </w:tc>
        <w:tc>
          <w:tcPr>
            <w:tcW w:w="1068"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拒绝提供正确数据资料</w:t>
            </w:r>
          </w:p>
        </w:tc>
        <w:tc>
          <w:tcPr>
            <w:tcW w:w="1068" w:type="dxa"/>
            <w:vAlign w:val="top"/>
          </w:tcPr>
          <w:p>
            <w:pPr>
              <w:ind w:left="1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9" w:lineRule="auto"/>
              <w:rPr>
                <w:rFonts w:ascii="Arial"/>
                <w:sz w:val="21"/>
              </w:rPr>
            </w:pPr>
            <w:r/>
          </w:p>
          <w:p>
            <w:pPr>
              <w:ind w:left="741" w:right="181" w:hanging="541"/>
              <w:spacing w:before="71"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4"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54" w:type="dxa"/>
            <w:vAlign w:val="top"/>
          </w:tcPr>
          <w:p>
            <w:pPr>
              <w:ind w:left="136"/>
              <w:spacing w:before="6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3"/>
              <w:spacing w:before="6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ind w:left="220"/>
              <w:spacing w:before="6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81"/>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ind w:left="494" w:right="121" w:hanging="36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5" w:right="121"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rPr>
                <w:rFonts w:ascii="Arial"/>
                <w:sz w:val="21"/>
              </w:rPr>
            </w:pPr>
            <w:r/>
          </w:p>
        </w:tc>
        <w:tc>
          <w:tcPr>
            <w:tcW w:w="3480" w:type="dxa"/>
            <w:vAlign w:val="top"/>
          </w:tcPr>
          <w:p>
            <w:pPr>
              <w:ind w:left="1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82"/>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5"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92</w:t>
            </w:r>
          </w:p>
        </w:tc>
      </w:tr>
      <w:tr>
        <w:trPr>
          <w:trHeight w:val="950" w:hRule="atLeast"/>
        </w:trPr>
        <w:tc>
          <w:tcPr>
            <w:tcW w:w="1454" w:type="dxa"/>
            <w:vAlign w:val="top"/>
          </w:tcPr>
          <w:p>
            <w:pPr>
              <w:spacing w:line="242" w:lineRule="auto"/>
              <w:rPr>
                <w:rFonts w:ascii="Arial"/>
                <w:sz w:val="21"/>
              </w:rPr>
            </w:pPr>
            <w:r/>
          </w:p>
          <w:p>
            <w:pPr>
              <w:ind w:left="177"/>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right="175"/>
              <w:spacing w:before="39"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未按照规定安装自动监测设备并与生态环境主管部门的监控设备</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联网，或者未保证监测设备正常运行导致监测数据不真实、不准</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5"/>
              </w:rPr>
              <w:t>确的</w:t>
            </w:r>
          </w:p>
        </w:tc>
      </w:tr>
      <w:tr>
        <w:trPr>
          <w:trHeight w:val="4533" w:hRule="atLeast"/>
        </w:trPr>
        <w:tc>
          <w:tcPr>
            <w:tcW w:w="1454"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3" w:right="167" w:firstLine="12"/>
              <w:spacing w:before="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生产、使用消耗臭氧层物质数量较</w:t>
            </w:r>
            <w:r>
              <w:rPr>
                <w:rFonts w:ascii="FangSong_GB2312" w:hAnsi="FangSong_GB2312" w:eastAsia="FangSong_GB2312" w:cs="FangSong_GB2312"/>
                <w:sz w:val="24"/>
                <w:szCs w:val="24"/>
                <w:spacing w:val="-2"/>
              </w:rPr>
              <w:t>大，以及生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产过程中附带产生消耗臭氧层物质数量较大的单位，应当安装自</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动监测设备，与生态环境主管部门的监控设备联网，并保证监测</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设备正常运行，确保监测数据的真实性和准确性。具体办法由国</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务院生态环境主管部门规定。</w:t>
            </w:r>
          </w:p>
          <w:p>
            <w:pPr>
              <w:spacing w:line="391"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8" w:right="107" w:firstLine="7"/>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第三十八条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生产、使用消耗臭氧层物质数量较大，以及生产过程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中附带产生消耗臭氧层物质数量较大的单位，未按照</w:t>
            </w:r>
            <w:r>
              <w:rPr>
                <w:rFonts w:ascii="FangSong_GB2312" w:hAnsi="FangSong_GB2312" w:eastAsia="FangSong_GB2312" w:cs="FangSong_GB2312"/>
                <w:sz w:val="24"/>
                <w:szCs w:val="24"/>
                <w:spacing w:val="1"/>
              </w:rPr>
              <w:t>规定安装自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动监测设备并与生态环境主管部门的监控设备联网，</w:t>
            </w:r>
            <w:r>
              <w:rPr>
                <w:rFonts w:ascii="FangSong_GB2312" w:hAnsi="FangSong_GB2312" w:eastAsia="FangSong_GB2312" w:cs="FangSong_GB2312"/>
                <w:sz w:val="24"/>
                <w:szCs w:val="24"/>
                <w:spacing w:val="1"/>
              </w:rPr>
              <w:t>或者未保证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监测设备正常运行导致监测数据不真实、不准确的，</w:t>
            </w:r>
            <w:r>
              <w:rPr>
                <w:rFonts w:ascii="FangSong_GB2312" w:hAnsi="FangSong_GB2312" w:eastAsia="FangSong_GB2312" w:cs="FangSong_GB2312"/>
                <w:sz w:val="24"/>
                <w:szCs w:val="24"/>
                <w:spacing w:val="1"/>
              </w:rPr>
              <w:t>由所在地生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态环境主管部门责令改正，处</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w:t>
            </w:r>
            <w:r>
              <w:rPr>
                <w:rFonts w:ascii="FangSong_GB2312" w:hAnsi="FangSong_GB2312" w:eastAsia="FangSong_GB2312" w:cs="FangSong_GB2312"/>
                <w:sz w:val="24"/>
                <w:szCs w:val="24"/>
                <w:spacing w:val="-6"/>
              </w:rPr>
              <w:t>下的罚款；拒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不改正的，责令停产整治或者停业整治。</w:t>
            </w:r>
          </w:p>
        </w:tc>
      </w:tr>
      <w:tr>
        <w:trPr>
          <w:trHeight w:val="635" w:hRule="atLeast"/>
        </w:trPr>
        <w:tc>
          <w:tcPr>
            <w:tcW w:w="3910" w:type="dxa"/>
            <w:vAlign w:val="top"/>
            <w:gridSpan w:val="3"/>
          </w:tcPr>
          <w:p>
            <w:pPr>
              <w:ind w:left="140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78" w:right="121" w:hanging="24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对环境的影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8"/>
              </w:rPr>
              <w:t>响程度</w:t>
            </w:r>
          </w:p>
        </w:tc>
        <w:tc>
          <w:tcPr>
            <w:tcW w:w="1685" w:type="dxa"/>
            <w:vAlign w:val="top"/>
            <w:vMerge w:val="restart"/>
            <w:tcBorders>
              <w:bottom w:val="nil"/>
            </w:tcBorders>
          </w:tcPr>
          <w:p>
            <w:pPr>
              <w:spacing w:line="442" w:lineRule="auto"/>
              <w:rPr>
                <w:rFonts w:ascii="Arial"/>
                <w:sz w:val="21"/>
              </w:rPr>
            </w:pPr>
            <w:r/>
          </w:p>
          <w:p>
            <w:pPr>
              <w:ind w:left="122" w:right="121" w:firstLine="5"/>
              <w:spacing w:before="78"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未按照规定安</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装自动监测设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备并与生态环</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境主管部门的</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监控设备联网</w:t>
            </w:r>
          </w:p>
        </w:tc>
        <w:tc>
          <w:tcPr>
            <w:tcW w:w="771"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21" w:right="103" w:firstLine="36"/>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自动监测设备安装、运行维护不</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符合相关技术规范</w:t>
            </w:r>
          </w:p>
        </w:tc>
        <w:tc>
          <w:tcPr>
            <w:tcW w:w="1068" w:type="dxa"/>
            <w:vAlign w:val="top"/>
          </w:tcPr>
          <w:p>
            <w:pPr>
              <w:ind w:left="197"/>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949"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7" w:right="103" w:firstLine="40"/>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自动监测设备已安装，未按照规</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定与生态环境主管部门监控设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备联网</w:t>
            </w:r>
          </w:p>
        </w:tc>
        <w:tc>
          <w:tcPr>
            <w:tcW w:w="1068" w:type="dxa"/>
            <w:vAlign w:val="top"/>
          </w:tcPr>
          <w:p>
            <w:pPr>
              <w:spacing w:line="275" w:lineRule="auto"/>
              <w:rPr>
                <w:rFonts w:ascii="Arial"/>
                <w:sz w:val="21"/>
              </w:rPr>
            </w:pPr>
            <w:r/>
          </w:p>
          <w:p>
            <w:pPr>
              <w:ind w:left="1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949"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right="103"/>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未按照规定安装污染物排放自</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8"/>
              </w:rPr>
              <w:t>动监测设备，或者擅自停运部分</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或全部污染源自动监测设备</w:t>
            </w:r>
          </w:p>
        </w:tc>
        <w:tc>
          <w:tcPr>
            <w:tcW w:w="1068" w:type="dxa"/>
            <w:vAlign w:val="top"/>
          </w:tcPr>
          <w:p>
            <w:pPr>
              <w:spacing w:line="277" w:lineRule="auto"/>
              <w:rPr>
                <w:rFonts w:ascii="Arial"/>
                <w:sz w:val="21"/>
              </w:rPr>
            </w:pPr>
            <w:r/>
          </w:p>
          <w:p>
            <w:pPr>
              <w:ind w:left="1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1897" w:hRule="atLeast"/>
        </w:trPr>
        <w:tc>
          <w:tcPr>
            <w:tcW w:w="1454" w:type="dxa"/>
            <w:vAlign w:val="top"/>
            <w:vMerge w:val="continue"/>
            <w:tcBorders>
              <w:top w:val="nil"/>
            </w:tcBorders>
          </w:tcPr>
          <w:p>
            <w:pPr>
              <w:rPr>
                <w:rFonts w:ascii="Arial"/>
                <w:sz w:val="21"/>
              </w:rPr>
            </w:pPr>
            <w:r/>
          </w:p>
        </w:tc>
        <w:tc>
          <w:tcPr>
            <w:tcW w:w="1685" w:type="dxa"/>
            <w:vAlign w:val="top"/>
          </w:tcPr>
          <w:p>
            <w:pPr>
              <w:ind w:left="115" w:right="107" w:hanging="2"/>
              <w:spacing w:before="44"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未保证监测设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备正常运行导</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致监测数据不</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真实、不准确</w:t>
            </w:r>
          </w:p>
        </w:tc>
        <w:tc>
          <w:tcPr>
            <w:tcW w:w="771" w:type="dxa"/>
            <w:vAlign w:val="top"/>
            <w:vMerge w:val="continue"/>
            <w:tcBorders>
              <w:top w:val="nil"/>
            </w:tcBorders>
          </w:tcPr>
          <w:p>
            <w:pPr>
              <w:rPr>
                <w:rFonts w:ascii="Arial"/>
                <w:sz w:val="21"/>
              </w:rPr>
            </w:pPr>
            <w:r/>
          </w:p>
        </w:tc>
        <w:tc>
          <w:tcPr>
            <w:tcW w:w="3480" w:type="dxa"/>
            <w:vAlign w:val="top"/>
          </w:tcPr>
          <w:p>
            <w:pPr>
              <w:ind w:left="118" w:right="103" w:hanging="4"/>
              <w:spacing w:before="41"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未保证监测设备正常运行，造成</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自动监测与人工监测</w:t>
            </w:r>
            <w:r>
              <w:rPr>
                <w:rFonts w:ascii="FangSong_GB2312" w:hAnsi="FangSong_GB2312" w:eastAsia="FangSong_GB2312" w:cs="FangSong_GB2312"/>
                <w:sz w:val="24"/>
                <w:szCs w:val="24"/>
                <w:spacing w:val="89"/>
              </w:rPr>
              <w:t xml:space="preserve"> </w:t>
            </w:r>
            <w:r>
              <w:rPr>
                <w:rFonts w:ascii="FangSong_GB2312" w:hAnsi="FangSong_GB2312" w:eastAsia="FangSong_GB2312" w:cs="FangSong_GB2312"/>
                <w:sz w:val="24"/>
                <w:szCs w:val="24"/>
                <w:spacing w:val="3"/>
              </w:rPr>
              <w:t>(或者标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准物质测试)数据误差超过技术</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3"/>
              </w:rPr>
              <w:t>规范允许范围</w:t>
            </w:r>
          </w:p>
          <w:p>
            <w:pPr>
              <w:ind w:left="119" w:right="309"/>
              <w:spacing w:before="3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不足</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倍/自动监测季度数据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有效传输率</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75%以上不足</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4"/>
              </w:rPr>
              <w:t>90%</w:t>
            </w:r>
          </w:p>
        </w:tc>
        <w:tc>
          <w:tcPr>
            <w:tcW w:w="1068"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9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bl>
    <w:p>
      <w:pPr>
        <w:pStyle w:val="BodyText"/>
        <w:rPr/>
      </w:pPr>
      <w:r/>
    </w:p>
    <w:p>
      <w:pPr>
        <w:sectPr>
          <w:footerReference w:type="default" r:id="rId183"/>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2213" w:hRule="atLeast"/>
        </w:trPr>
        <w:tc>
          <w:tcPr>
            <w:tcW w:w="1454" w:type="dxa"/>
            <w:vAlign w:val="top"/>
            <w:vMerge w:val="restart"/>
            <w:tcBorders>
              <w:bottom w:val="nil"/>
            </w:tcBorders>
          </w:tcPr>
          <w:p>
            <w:pPr>
              <w:rPr>
                <w:rFonts w:ascii="Arial"/>
                <w:sz w:val="21"/>
              </w:rPr>
            </w:pPr>
            <w:r/>
          </w:p>
        </w:tc>
        <w:tc>
          <w:tcPr>
            <w:tcW w:w="1685" w:type="dxa"/>
            <w:vAlign w:val="top"/>
            <w:vMerge w:val="restart"/>
            <w:tcBorders>
              <w:bottom w:val="nil"/>
            </w:tcBorders>
          </w:tcPr>
          <w:p>
            <w:pPr>
              <w:rPr>
                <w:rFonts w:ascii="Arial"/>
                <w:sz w:val="21"/>
              </w:rPr>
            </w:pPr>
            <w:r/>
          </w:p>
        </w:tc>
        <w:tc>
          <w:tcPr>
            <w:tcW w:w="771" w:type="dxa"/>
            <w:vAlign w:val="top"/>
            <w:vMerge w:val="restart"/>
            <w:tcBorders>
              <w:bottom w:val="nil"/>
            </w:tcBorders>
          </w:tcPr>
          <w:p>
            <w:pPr>
              <w:rPr>
                <w:rFonts w:ascii="Arial"/>
                <w:sz w:val="21"/>
              </w:rPr>
            </w:pPr>
            <w:r/>
          </w:p>
        </w:tc>
        <w:tc>
          <w:tcPr>
            <w:tcW w:w="3480" w:type="dxa"/>
            <w:vAlign w:val="top"/>
          </w:tcPr>
          <w:p>
            <w:pPr>
              <w:ind w:left="157" w:right="103" w:hanging="43"/>
              <w:spacing w:before="4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未保证监测设备正常运行，造成</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6"/>
              </w:rPr>
              <w:t>自动监测与人工监测</w:t>
            </w:r>
          </w:p>
          <w:p>
            <w:pPr>
              <w:ind w:left="110" w:right="103" w:firstLine="55"/>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(或者标准物质测试)数据误差</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超过技术规范允许范围</w:t>
            </w:r>
          </w:p>
          <w:p>
            <w:pPr>
              <w:ind w:left="112" w:right="189" w:firstLine="17"/>
              <w:spacing w:before="3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倍以上不足</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5"/>
              </w:rPr>
              <w:t>倍/自动监测季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度数据有效传输率</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2"/>
              </w:rPr>
              <w:t>60%以上不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足</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7"/>
              </w:rPr>
              <w:t>75%</w:t>
            </w:r>
          </w:p>
        </w:tc>
        <w:tc>
          <w:tcPr>
            <w:tcW w:w="1068" w:type="dxa"/>
            <w:vAlign w:val="top"/>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ind w:left="1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1894"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5" w:right="68" w:hanging="1"/>
              <w:spacing w:before="37"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未保证自动监测设备正常运行，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造成自动监测与人工监测</w:t>
            </w:r>
            <w:r>
              <w:rPr>
                <w:rFonts w:ascii="FangSong_GB2312" w:hAnsi="FangSong_GB2312" w:eastAsia="FangSong_GB2312" w:cs="FangSong_GB2312"/>
                <w:sz w:val="24"/>
                <w:szCs w:val="24"/>
                <w:spacing w:val="82"/>
              </w:rPr>
              <w:t xml:space="preserve"> </w:t>
            </w:r>
            <w:r>
              <w:rPr>
                <w:rFonts w:ascii="FangSong_GB2312" w:hAnsi="FangSong_GB2312" w:eastAsia="FangSong_GB2312" w:cs="FangSong_GB2312"/>
                <w:sz w:val="24"/>
                <w:szCs w:val="24"/>
                <w:spacing w:val="4"/>
              </w:rPr>
              <w:t>(或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9"/>
              </w:rPr>
              <w:t>者标准物质测试)</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9"/>
              </w:rPr>
              <w:t>数据误差超</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过技术规范允许范</w:t>
            </w:r>
          </w:p>
          <w:p>
            <w:pPr>
              <w:ind w:left="120" w:right="129" w:firstLine="14"/>
              <w:spacing w:before="3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围</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4"/>
              </w:rPr>
              <w:t>倍以上/自动监测季度数据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有效传输率不足</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60%</w:t>
            </w:r>
          </w:p>
        </w:tc>
        <w:tc>
          <w:tcPr>
            <w:tcW w:w="106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486" w:hRule="atLeast"/>
        </w:trPr>
        <w:tc>
          <w:tcPr>
            <w:tcW w:w="1454"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11" w:lineRule="auto"/>
              <w:rPr>
                <w:rFonts w:ascii="Arial"/>
                <w:sz w:val="21"/>
              </w:rPr>
            </w:pPr>
            <w:r/>
          </w:p>
          <w:p>
            <w:pPr>
              <w:spacing w:line="312" w:lineRule="auto"/>
              <w:rPr>
                <w:rFonts w:ascii="Arial"/>
                <w:sz w:val="21"/>
              </w:rPr>
            </w:pPr>
            <w:r/>
          </w:p>
          <w:p>
            <w:pPr>
              <w:ind w:left="733" w:right="121"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1"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22"/>
              <w:spacing w:before="12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4"/>
              <w:spacing w:before="12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487"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12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7"/>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487"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12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7"/>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4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12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1"/>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87" w:hRule="atLeast"/>
        </w:trPr>
        <w:tc>
          <w:tcPr>
            <w:tcW w:w="1454" w:type="dxa"/>
            <w:vAlign w:val="top"/>
            <w:vMerge w:val="restart"/>
            <w:tcBorders>
              <w:bottom w:val="nil"/>
            </w:tcBorders>
          </w:tcPr>
          <w:p>
            <w:pPr>
              <w:ind w:left="255" w:right="243" w:firstLine="7"/>
              <w:spacing w:before="21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21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spacing w:line="291"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12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12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87" w:hRule="atLeast"/>
        </w:trPr>
        <w:tc>
          <w:tcPr>
            <w:tcW w:w="1454"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305" w:lineRule="auto"/>
              <w:rPr>
                <w:rFonts w:ascii="Arial"/>
                <w:sz w:val="21"/>
              </w:rPr>
            </w:pPr>
            <w:r/>
          </w:p>
          <w:p>
            <w:pPr>
              <w:spacing w:line="306"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12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12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12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87" w:hRule="atLeast"/>
        </w:trPr>
        <w:tc>
          <w:tcPr>
            <w:tcW w:w="1454" w:type="dxa"/>
            <w:vAlign w:val="top"/>
            <w:vMerge w:val="restart"/>
            <w:tcBorders>
              <w:bottom w:val="nil"/>
            </w:tcBorders>
          </w:tcPr>
          <w:p>
            <w:pPr>
              <w:ind w:left="136"/>
              <w:spacing w:before="5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5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5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影响与生态</w:t>
            </w:r>
          </w:p>
          <w:p>
            <w:pPr>
              <w:ind w:left="60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破坏</w:t>
            </w:r>
          </w:p>
        </w:tc>
        <w:tc>
          <w:tcPr>
            <w:tcW w:w="771" w:type="dxa"/>
            <w:vAlign w:val="top"/>
            <w:vMerge w:val="restart"/>
            <w:tcBorders>
              <w:bottom w:val="nil"/>
            </w:tcBorders>
          </w:tcPr>
          <w:p>
            <w:pPr>
              <w:spacing w:line="293"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12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252"/>
              <w:spacing w:before="12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9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2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2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84"/>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93</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44" w:right="175" w:firstLine="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以欺骗、贿赂等不正当手段取得消耗臭氧层物质进出口配额、进</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8"/>
              </w:rPr>
              <w:t>出</w:t>
            </w:r>
            <w:r>
              <w:rPr>
                <w:rFonts w:ascii="FangSong_GB2312" w:hAnsi="FangSong_GB2312" w:eastAsia="FangSong_GB2312" w:cs="FangSong_GB2312"/>
                <w:sz w:val="24"/>
                <w:szCs w:val="24"/>
                <w:spacing w:val="-58"/>
              </w:rPr>
              <w:t xml:space="preserve"> </w:t>
            </w:r>
            <w:r>
              <w:rPr>
                <w:rFonts w:ascii="FangSong_GB2312" w:hAnsi="FangSong_GB2312" w:eastAsia="FangSong_GB2312" w:cs="FangSong_GB2312"/>
                <w:sz w:val="24"/>
                <w:szCs w:val="24"/>
                <w:spacing w:val="-8"/>
              </w:rPr>
              <w:t>口审批单、进出口许可证的</w:t>
            </w:r>
          </w:p>
        </w:tc>
      </w:tr>
      <w:tr>
        <w:trPr>
          <w:trHeight w:val="453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3" w:right="36" w:firstLine="12"/>
              <w:spacing w:before="33"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进出口列入《中国进出口受</w:t>
            </w:r>
            <w:r>
              <w:rPr>
                <w:rFonts w:ascii="FangSong_GB2312" w:hAnsi="FangSong_GB2312" w:eastAsia="FangSong_GB2312" w:cs="FangSong_GB2312"/>
                <w:sz w:val="24"/>
                <w:szCs w:val="24"/>
                <w:spacing w:val="-2"/>
              </w:rPr>
              <w:t>控消耗臭氧层物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质名录》的消耗臭氧层物质的单位，应当依照本条例的规定向国</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家消耗臭氧层物质进出口管理机构申请进出口配</w:t>
            </w:r>
            <w:r>
              <w:rPr>
                <w:rFonts w:ascii="FangSong_GB2312" w:hAnsi="FangSong_GB2312" w:eastAsia="FangSong_GB2312" w:cs="FangSong_GB2312"/>
                <w:sz w:val="24"/>
                <w:szCs w:val="24"/>
                <w:spacing w:val="-3"/>
              </w:rPr>
              <w:t>额，领取进出</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3"/>
              </w:rPr>
              <w:t>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审批单，并提交拟进出口的消耗臭氧层物质的品种、数量、来源、</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用途等情况的材料。</w:t>
            </w:r>
          </w:p>
          <w:p>
            <w:pPr>
              <w:spacing w:line="392"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3" w:right="107" w:firstLine="12"/>
              <w:spacing w:before="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spacing w:val="-1"/>
              </w:rPr>
              <w:t>以欺骗、贿赂等不正当手段取得消耗臭氧层</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物质进出口配额、进出口审批单、进出口许可证的，由国家消耗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臭氧层物质进出口管理机构、国务院商务主管部门依据职责撤销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其进出口配额、进出口审批单、进出口许可证，3</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年内不得再次申</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请，并由所在地生态环境主管部门处</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2"/>
              </w:rPr>
              <w:t>10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2"/>
              </w:rPr>
              <w:t>50</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2"/>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罚款。</w:t>
            </w:r>
          </w:p>
        </w:tc>
      </w:tr>
      <w:tr>
        <w:trPr>
          <w:trHeight w:val="635" w:hRule="atLeast"/>
        </w:trPr>
        <w:tc>
          <w:tcPr>
            <w:tcW w:w="3910" w:type="dxa"/>
            <w:vAlign w:val="top"/>
            <w:gridSpan w:val="3"/>
          </w:tcPr>
          <w:p>
            <w:pPr>
              <w:ind w:left="140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4" w:right="121" w:hanging="358"/>
              <w:spacing w:before="24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325" w:lineRule="auto"/>
              <w:rPr>
                <w:rFonts w:ascii="Arial"/>
                <w:sz w:val="21"/>
              </w:rPr>
            </w:pPr>
            <w:r/>
          </w:p>
          <w:p>
            <w:pPr>
              <w:ind w:left="37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具体类别</w:t>
            </w:r>
          </w:p>
        </w:tc>
        <w:tc>
          <w:tcPr>
            <w:tcW w:w="771" w:type="dxa"/>
            <w:vAlign w:val="top"/>
            <w:vMerge w:val="restart"/>
            <w:tcBorders>
              <w:bottom w:val="nil"/>
            </w:tcBorders>
          </w:tcPr>
          <w:p>
            <w:pPr>
              <w:spacing w:line="325"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登记管理</w:t>
            </w:r>
          </w:p>
        </w:tc>
        <w:tc>
          <w:tcPr>
            <w:tcW w:w="1068" w:type="dxa"/>
            <w:vAlign w:val="top"/>
          </w:tcPr>
          <w:p>
            <w:pPr>
              <w:ind w:left="1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2"/>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8" w:type="dxa"/>
            <w:vAlign w:val="top"/>
          </w:tcPr>
          <w:p>
            <w:pPr>
              <w:ind w:left="137"/>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8"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8" w:lineRule="auto"/>
              <w:rPr>
                <w:rFonts w:ascii="Arial"/>
                <w:sz w:val="21"/>
              </w:rPr>
            </w:pPr>
            <w:r/>
          </w:p>
          <w:p>
            <w:pPr>
              <w:ind w:left="741" w:right="181" w:hanging="541"/>
              <w:spacing w:before="71" w:line="25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255" w:right="243" w:firstLine="7"/>
              <w:spacing w:before="9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9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6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62"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6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65"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54" w:type="dxa"/>
            <w:vAlign w:val="top"/>
          </w:tcPr>
          <w:p>
            <w:pPr>
              <w:ind w:left="136"/>
              <w:spacing w:before="6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3"/>
              <w:spacing w:before="6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ind w:left="220"/>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185"/>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1454" w:type="dxa"/>
            <w:vAlign w:val="top"/>
          </w:tcPr>
          <w:p>
            <w:pPr>
              <w:ind w:left="494" w:right="121" w:hanging="36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5" w:right="121"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rPr>
                <w:rFonts w:ascii="Arial"/>
                <w:sz w:val="21"/>
              </w:rPr>
            </w:pPr>
            <w:r/>
          </w:p>
        </w:tc>
        <w:tc>
          <w:tcPr>
            <w:tcW w:w="3480" w:type="dxa"/>
            <w:vAlign w:val="top"/>
          </w:tcPr>
          <w:p>
            <w:pPr>
              <w:ind w:left="1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86"/>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河北省生态环境行政处罚裁量规则（大气类）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8"/>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94</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5" w:right="175" w:firstLine="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拒绝、阻碍生态环境主管部门或者其他有关部门的监督检查，或</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者在接受监督检查时弄虚作假的</w:t>
            </w:r>
          </w:p>
        </w:tc>
      </w:tr>
      <w:tr>
        <w:trPr>
          <w:trHeight w:val="3273" w:hRule="atLeast"/>
        </w:trPr>
        <w:tc>
          <w:tcPr>
            <w:tcW w:w="1454"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《消耗臭氧层物质管理条例》</w:t>
            </w:r>
          </w:p>
          <w:p>
            <w:pPr>
              <w:ind w:left="111" w:right="227" w:firstLine="14"/>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被检查单位应当予以配</w:t>
            </w:r>
            <w:r>
              <w:rPr>
                <w:rFonts w:ascii="FangSong_GB2312" w:hAnsi="FangSong_GB2312" w:eastAsia="FangSong_GB2312" w:cs="FangSong_GB2312"/>
                <w:sz w:val="24"/>
                <w:szCs w:val="24"/>
                <w:spacing w:val="-4"/>
              </w:rPr>
              <w:t>合，如实反映情况，</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提供必要资料，不得拒绝和阻碍。</w:t>
            </w:r>
          </w:p>
          <w:p>
            <w:pPr>
              <w:spacing w:line="39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《消耗臭氧层物质管理条例》</w:t>
            </w:r>
          </w:p>
          <w:p>
            <w:pPr>
              <w:ind w:left="110" w:right="107" w:firstLine="15"/>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拒绝、阻碍生态环境主管部门或者其他有关部门的监督</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检查，或者在接受监督检查时弄虚作假的，由监督检查部门责令</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改正，处</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5"/>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万元以下的罚款；构成违反治安管理行为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的，由公安机关依法给予治安管理处罚；构成犯罪的，依法追究</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刑事责任。</w:t>
            </w:r>
          </w:p>
        </w:tc>
      </w:tr>
      <w:tr>
        <w:trPr>
          <w:trHeight w:val="635" w:hRule="atLeast"/>
        </w:trPr>
        <w:tc>
          <w:tcPr>
            <w:tcW w:w="3910" w:type="dxa"/>
            <w:vAlign w:val="top"/>
            <w:gridSpan w:val="3"/>
          </w:tcPr>
          <w:p>
            <w:pPr>
              <w:ind w:left="140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323" w:lineRule="auto"/>
              <w:rPr>
                <w:rFonts w:ascii="Arial"/>
                <w:sz w:val="21"/>
              </w:rPr>
            </w:pPr>
            <w:r/>
          </w:p>
          <w:p>
            <w:pPr>
              <w:spacing w:line="323" w:lineRule="auto"/>
              <w:rPr>
                <w:rFonts w:ascii="Arial"/>
                <w:sz w:val="21"/>
              </w:rPr>
            </w:pPr>
            <w:r/>
          </w:p>
          <w:p>
            <w:pPr>
              <w:ind w:left="247" w:right="121" w:hanging="114"/>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拒绝、阻碍监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督检查情形</w:t>
            </w:r>
          </w:p>
        </w:tc>
        <w:tc>
          <w:tcPr>
            <w:tcW w:w="771"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480"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分钟以内</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68" w:type="dxa"/>
            <w:vAlign w:val="top"/>
          </w:tcPr>
          <w:p>
            <w:pPr>
              <w:ind w:left="137"/>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68" w:type="dxa"/>
            <w:vAlign w:val="top"/>
          </w:tcPr>
          <w:p>
            <w:pPr>
              <w:ind w:left="13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5" w:right="103" w:firstLine="10"/>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围堵、留滞执法人员或拒绝提供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0"/>
              </w:rPr>
              <w:t>资料</w:t>
            </w:r>
          </w:p>
        </w:tc>
        <w:tc>
          <w:tcPr>
            <w:tcW w:w="1068" w:type="dxa"/>
            <w:vAlign w:val="top"/>
          </w:tcPr>
          <w:p>
            <w:pPr>
              <w:ind w:left="140"/>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68" w:type="dxa"/>
            <w:vAlign w:val="top"/>
          </w:tcPr>
          <w:p>
            <w:pPr>
              <w:ind w:left="1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424" w:hRule="atLeast"/>
        </w:trPr>
        <w:tc>
          <w:tcPr>
            <w:tcW w:w="1454" w:type="dxa"/>
            <w:vAlign w:val="top"/>
            <w:vMerge w:val="continue"/>
            <w:tcBorders>
              <w:top w:val="nil"/>
              <w:bottom w:val="nil"/>
            </w:tcBorders>
          </w:tcPr>
          <w:p>
            <w:pPr>
              <w:rPr>
                <w:rFonts w:ascii="Arial"/>
                <w:sz w:val="21"/>
              </w:rPr>
            </w:pPr>
            <w:r/>
          </w:p>
        </w:tc>
        <w:tc>
          <w:tcPr>
            <w:tcW w:w="1685" w:type="dxa"/>
            <w:vAlign w:val="top"/>
            <w:vMerge w:val="restart"/>
            <w:tcBorders>
              <w:bottom w:val="nil"/>
            </w:tcBorders>
          </w:tcPr>
          <w:p>
            <w:pPr>
              <w:ind w:left="127" w:right="121"/>
              <w:spacing w:before="10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接受监督检查</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弄虚作假情形</w:t>
            </w:r>
          </w:p>
        </w:tc>
        <w:tc>
          <w:tcPr>
            <w:tcW w:w="771" w:type="dxa"/>
            <w:vAlign w:val="top"/>
            <w:vMerge w:val="continue"/>
            <w:tcBorders>
              <w:top w:val="nil"/>
              <w:bottom w:val="nil"/>
            </w:tcBorders>
          </w:tcPr>
          <w:p>
            <w:pPr>
              <w:rPr>
                <w:rFonts w:ascii="Arial"/>
                <w:sz w:val="21"/>
              </w:rPr>
            </w:pPr>
            <w:r/>
          </w:p>
        </w:tc>
        <w:tc>
          <w:tcPr>
            <w:tcW w:w="3480" w:type="dxa"/>
            <w:vAlign w:val="top"/>
          </w:tcPr>
          <w:p>
            <w:pPr>
              <w:ind w:left="113"/>
              <w:spacing w:before="9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068" w:type="dxa"/>
            <w:vAlign w:val="top"/>
          </w:tcPr>
          <w:p>
            <w:pPr>
              <w:ind w:left="197"/>
              <w:spacing w:before="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068" w:type="dxa"/>
            <w:vAlign w:val="top"/>
          </w:tcPr>
          <w:p>
            <w:pPr>
              <w:ind w:left="14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9" w:lineRule="auto"/>
              <w:rPr>
                <w:rFonts w:ascii="Arial"/>
                <w:sz w:val="21"/>
              </w:rPr>
            </w:pPr>
            <w:r/>
          </w:p>
          <w:p>
            <w:pPr>
              <w:ind w:left="741" w:right="181"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4" w:lineRule="auto"/>
              <w:rPr>
                <w:rFonts w:ascii="Arial"/>
                <w:sz w:val="21"/>
              </w:rPr>
            </w:pPr>
            <w:r/>
          </w:p>
          <w:p>
            <w:pPr>
              <w:ind w:left="233"/>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2"/>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9"/>
              <w:spacing w:before="5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9"/>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4"/>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6"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5"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146" w:right="80" w:hanging="10"/>
              <w:spacing w:before="1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4"/>
                <w:w w:val="94"/>
              </w:rPr>
              <w:t>对社会影响或</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26"/>
                <w:w w:val="94"/>
              </w:rPr>
              <w:t>生态破坏程度</w:t>
            </w:r>
          </w:p>
        </w:tc>
        <w:tc>
          <w:tcPr>
            <w:tcW w:w="1685" w:type="dxa"/>
            <w:vAlign w:val="top"/>
            <w:vMerge w:val="restart"/>
            <w:tcBorders>
              <w:bottom w:val="nil"/>
            </w:tcBorders>
          </w:tcPr>
          <w:p>
            <w:pPr>
              <w:ind w:left="255" w:right="102" w:hanging="112"/>
              <w:spacing w:before="152"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3"/>
                <w:w w:val="94"/>
              </w:rPr>
              <w:t>是否造成社会影</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30"/>
              </w:rPr>
              <w:t>响或生态破坏</w:t>
            </w:r>
          </w:p>
        </w:tc>
        <w:tc>
          <w:tcPr>
            <w:tcW w:w="771" w:type="dxa"/>
            <w:vAlign w:val="top"/>
            <w:vMerge w:val="restart"/>
            <w:tcBorders>
              <w:bottom w:val="nil"/>
            </w:tcBorders>
          </w:tcPr>
          <w:p>
            <w:pPr>
              <w:ind w:left="220"/>
              <w:spacing w:before="3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7"/>
              <w:spacing w:before="64"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91"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2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2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87"/>
          <w:pgSz w:w="11905" w:h="16839"/>
          <w:pgMar w:top="1431" w:right="1721" w:bottom="1156" w:left="1720"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bookmarkStart w:name="bookmark17" w:id="20"/>
            <w:bookmarkEnd w:id="20"/>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99"/>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95</w:t>
            </w:r>
          </w:p>
        </w:tc>
      </w:tr>
      <w:tr>
        <w:trPr>
          <w:trHeight w:val="949" w:hRule="atLeast"/>
        </w:trPr>
        <w:tc>
          <w:tcPr>
            <w:tcW w:w="1454" w:type="dxa"/>
            <w:vAlign w:val="top"/>
          </w:tcPr>
          <w:p>
            <w:pPr>
              <w:spacing w:line="241"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4" w:right="176" w:firstLine="30"/>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以拖延、围堵、滞留执法人员等方式拒绝、阻挠环境保护主管部</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门或者其他依照本法规定行使监督管理权的部门的监督检查，或</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者在接受监督检查时弄虚作假的</w:t>
            </w:r>
          </w:p>
        </w:tc>
      </w:tr>
      <w:tr>
        <w:trPr>
          <w:trHeight w:val="10084" w:hRule="atLeast"/>
        </w:trPr>
        <w:tc>
          <w:tcPr>
            <w:tcW w:w="145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07" w:right="171" w:firstLine="1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环境保护主管部门和其他依照本法规定行使监督管理</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权的部门，有权对管辖范围内的排污单位进行现场</w:t>
            </w:r>
            <w:r>
              <w:rPr>
                <w:rFonts w:ascii="FangSong_GB2312" w:hAnsi="FangSong_GB2312" w:eastAsia="FangSong_GB2312" w:cs="FangSong_GB2312"/>
                <w:sz w:val="24"/>
                <w:szCs w:val="24"/>
                <w:spacing w:val="-1"/>
              </w:rPr>
              <w:t>检查，被检查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的单位应当如实反映情况，提供必要的资料。检查</w:t>
            </w:r>
            <w:r>
              <w:rPr>
                <w:rFonts w:ascii="FangSong_GB2312" w:hAnsi="FangSong_GB2312" w:eastAsia="FangSong_GB2312" w:cs="FangSong_GB2312"/>
                <w:sz w:val="24"/>
                <w:szCs w:val="24"/>
                <w:spacing w:val="-1"/>
              </w:rPr>
              <w:t>机关有义务为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被检查的单位保守在检查中获取的商业秘密。</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6" w:right="171" w:firstLine="17"/>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以拖延、围堵、滞留执法人员等方式拒绝、阻</w:t>
            </w:r>
            <w:r>
              <w:rPr>
                <w:rFonts w:ascii="FangSong_GB2312" w:hAnsi="FangSong_GB2312" w:eastAsia="FangSong_GB2312" w:cs="FangSong_GB2312"/>
                <w:sz w:val="24"/>
                <w:szCs w:val="24"/>
                <w:spacing w:val="-2"/>
              </w:rPr>
              <w:t>挠环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境保护主管部门或者其他依照本法规定行使监督管理</w:t>
            </w:r>
            <w:r>
              <w:rPr>
                <w:rFonts w:ascii="FangSong_GB2312" w:hAnsi="FangSong_GB2312" w:eastAsia="FangSong_GB2312" w:cs="FangSong_GB2312"/>
                <w:sz w:val="24"/>
                <w:szCs w:val="24"/>
                <w:spacing w:val="-1"/>
              </w:rPr>
              <w:t>权的部门的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监督检查，或者在接受监督检查时弄虚作假的，由县</w:t>
            </w:r>
            <w:r>
              <w:rPr>
                <w:rFonts w:ascii="FangSong_GB2312" w:hAnsi="FangSong_GB2312" w:eastAsia="FangSong_GB2312" w:cs="FangSong_GB2312"/>
                <w:sz w:val="24"/>
                <w:szCs w:val="24"/>
                <w:spacing w:val="-1"/>
              </w:rPr>
              <w:t>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政府环境保护主管部门或者其他依照本法规定行使监</w:t>
            </w:r>
            <w:r>
              <w:rPr>
                <w:rFonts w:ascii="FangSong_GB2312" w:hAnsi="FangSong_GB2312" w:eastAsia="FangSong_GB2312" w:cs="FangSong_GB2312"/>
                <w:sz w:val="24"/>
                <w:szCs w:val="24"/>
                <w:spacing w:val="-1"/>
              </w:rPr>
              <w:t>督管理权的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部门责令改正，处二万元以上二十万元以下的罚款。</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16" w:right="171" w:firstLine="8"/>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违反本条例规定，以拖延、围堵、滞留执法人</w:t>
            </w:r>
            <w:r>
              <w:rPr>
                <w:rFonts w:ascii="FangSong_GB2312" w:hAnsi="FangSong_GB2312" w:eastAsia="FangSong_GB2312" w:cs="FangSong_GB2312"/>
                <w:sz w:val="24"/>
                <w:szCs w:val="24"/>
                <w:spacing w:val="-2"/>
              </w:rPr>
              <w:t>员等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方式拒绝、阻挠环境保护主管部门或者其他行使监督管理权的部</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门的监督检查，或者在接受监督检查时弄虚作假的，由环境保护</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主管部门以及其他负有水环境保护监督管理职责的部门责令改</w:t>
            </w:r>
          </w:p>
          <w:p>
            <w:pPr>
              <w:ind w:left="117" w:right="176" w:firstLine="1"/>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正，处三万元以上十万元以下的罚款；情节严重的，处十万元以</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上二十万元以下的罚款。</w:t>
            </w:r>
          </w:p>
          <w:p>
            <w:pPr>
              <w:spacing w:line="270" w:lineRule="auto"/>
              <w:rPr>
                <w:rFonts w:ascii="Arial"/>
                <w:sz w:val="21"/>
              </w:rPr>
            </w:pPr>
            <w:r/>
          </w:p>
          <w:p>
            <w:pPr>
              <w:ind w:left="120"/>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4.《白洋淀生态环境治理和保护条例》</w:t>
            </w:r>
          </w:p>
          <w:p>
            <w:pPr>
              <w:ind w:left="116" w:right="46" w:firstLine="8"/>
              <w:spacing w:before="41" w:line="238"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违反本条例规定，以拖延、围堵、滞留执法人</w:t>
            </w:r>
            <w:r>
              <w:rPr>
                <w:rFonts w:ascii="FangSong_GB2312" w:hAnsi="FangSong_GB2312" w:eastAsia="FangSong_GB2312" w:cs="FangSong_GB2312"/>
                <w:sz w:val="24"/>
                <w:szCs w:val="24"/>
                <w:spacing w:val="-2"/>
              </w:rPr>
              <w:t>员等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方式拒绝、阻挠、妨碍生态环境主管部门或者其他行使监督管理</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权的部门的监督检查，或者在接受监督检查时弄虚作假的，由生</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态环境主管部门或者其他行使监督管理权的部门责令改正，并处</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五万元以上十万元以下的罚款；情节严重的，并处十万元以上二</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十万元以下的罚款；对直接负责的主管人员和</w:t>
            </w:r>
            <w:r>
              <w:rPr>
                <w:rFonts w:ascii="FangSong_GB2312" w:hAnsi="FangSong_GB2312" w:eastAsia="FangSong_GB2312" w:cs="FangSong_GB2312"/>
                <w:sz w:val="24"/>
                <w:szCs w:val="24"/>
                <w:spacing w:val="-5"/>
              </w:rPr>
              <w:t>其他直接责任人员，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处二万元以上十万元以下的罚款。</w:t>
            </w:r>
          </w:p>
          <w:p>
            <w:pPr>
              <w:spacing w:line="270" w:lineRule="auto"/>
              <w:rPr>
                <w:rFonts w:ascii="Arial"/>
                <w:sz w:val="21"/>
              </w:rPr>
            </w:pPr>
            <w:r/>
          </w:p>
          <w:p>
            <w:pPr>
              <w:ind w:left="12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5.《白洋淀生态环境治理和保护条例》</w:t>
            </w:r>
          </w:p>
          <w:p>
            <w:pPr>
              <w:ind w:left="124"/>
              <w:spacing w:before="38"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违反本条例规定，企业事业单位和其他生产经营者违</w:t>
            </w:r>
          </w:p>
        </w:tc>
      </w:tr>
    </w:tbl>
    <w:p>
      <w:pPr>
        <w:pStyle w:val="BodyText"/>
        <w:rPr/>
      </w:pPr>
      <w:r/>
    </w:p>
    <w:p>
      <w:pPr>
        <w:sectPr>
          <w:footerReference w:type="default" r:id="rId18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1270" w:hRule="atLeast"/>
        </w:trPr>
        <w:tc>
          <w:tcPr>
            <w:tcW w:w="1454" w:type="dxa"/>
            <w:vAlign w:val="top"/>
          </w:tcPr>
          <w:p>
            <w:pPr>
              <w:rPr>
                <w:rFonts w:ascii="Arial"/>
                <w:sz w:val="21"/>
              </w:rPr>
            </w:pPr>
            <w:r/>
          </w:p>
        </w:tc>
        <w:tc>
          <w:tcPr>
            <w:tcW w:w="7004" w:type="dxa"/>
            <w:vAlign w:val="top"/>
            <w:gridSpan w:val="4"/>
          </w:tcPr>
          <w:p>
            <w:pPr>
              <w:ind w:left="115" w:right="176" w:firstLine="5"/>
              <w:spacing w:before="43"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法排放污染物，受到罚款处罚，被责令改正的，依法作出处罚决</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定的行政机关应当组织复查，发现其继续违法排放污染物或者拒</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绝、阻挠复查的，依照《中华人民共和国环境保护法》的规定按</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日连续处罚。</w:t>
            </w:r>
          </w:p>
        </w:tc>
      </w:tr>
      <w:tr>
        <w:trPr>
          <w:trHeight w:val="634" w:hRule="atLeast"/>
        </w:trPr>
        <w:tc>
          <w:tcPr>
            <w:tcW w:w="3910" w:type="dxa"/>
            <w:vAlign w:val="top"/>
            <w:gridSpan w:val="3"/>
          </w:tcPr>
          <w:p>
            <w:pPr>
              <w:ind w:left="1402"/>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0"/>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54" w:type="dxa"/>
            <w:vAlign w:val="top"/>
          </w:tcPr>
          <w:p>
            <w:pPr>
              <w:ind w:left="500"/>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1"/>
              <w:spacing w:before="206"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3" w:right="161"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9"/>
              <w:spacing w:before="205"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771"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2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480" w:type="dxa"/>
            <w:vAlign w:val="top"/>
          </w:tcPr>
          <w:p>
            <w:pPr>
              <w:ind w:left="11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分钟以内</w:t>
            </w:r>
          </w:p>
        </w:tc>
        <w:tc>
          <w:tcPr>
            <w:tcW w:w="1068" w:type="dxa"/>
            <w:vAlign w:val="top"/>
          </w:tcPr>
          <w:p>
            <w:pPr>
              <w:ind w:left="19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6"/>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68" w:type="dxa"/>
            <w:vAlign w:val="top"/>
          </w:tcPr>
          <w:p>
            <w:pPr>
              <w:ind w:left="136"/>
              <w:spacing w:before="7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68" w:type="dxa"/>
            <w:vAlign w:val="top"/>
          </w:tcPr>
          <w:p>
            <w:pPr>
              <w:ind w:left="1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6" w:right="104" w:firstLine="1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围堵、留滞执法人员或拒绝提供</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0"/>
              </w:rPr>
              <w:t>资料</w:t>
            </w:r>
          </w:p>
        </w:tc>
        <w:tc>
          <w:tcPr>
            <w:tcW w:w="1068" w:type="dxa"/>
            <w:vAlign w:val="top"/>
          </w:tcPr>
          <w:p>
            <w:pPr>
              <w:ind w:left="139"/>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68" w:type="dxa"/>
            <w:vAlign w:val="top"/>
          </w:tcPr>
          <w:p>
            <w:pPr>
              <w:ind w:left="12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475" w:hRule="atLeast"/>
        </w:trPr>
        <w:tc>
          <w:tcPr>
            <w:tcW w:w="1454" w:type="dxa"/>
            <w:vAlign w:val="top"/>
            <w:vMerge w:val="continue"/>
            <w:tcBorders>
              <w:top w:val="nil"/>
              <w:bottom w:val="nil"/>
            </w:tcBorders>
          </w:tcPr>
          <w:p>
            <w:pPr>
              <w:rPr>
                <w:rFonts w:ascii="Arial"/>
                <w:sz w:val="21"/>
              </w:rPr>
            </w:pPr>
            <w:r/>
          </w:p>
        </w:tc>
        <w:tc>
          <w:tcPr>
            <w:tcW w:w="1685" w:type="dxa"/>
            <w:vAlign w:val="top"/>
            <w:vMerge w:val="restart"/>
            <w:tcBorders>
              <w:bottom w:val="nil"/>
            </w:tcBorders>
          </w:tcPr>
          <w:p>
            <w:pPr>
              <w:ind w:left="128"/>
              <w:spacing w:before="28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11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068" w:type="dxa"/>
            <w:vAlign w:val="top"/>
          </w:tcPr>
          <w:p>
            <w:pPr>
              <w:ind w:left="131"/>
              <w:spacing w:before="11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068" w:type="dxa"/>
            <w:vAlign w:val="top"/>
          </w:tcPr>
          <w:p>
            <w:pPr>
              <w:ind w:left="13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307" w:lineRule="auto"/>
              <w:rPr>
                <w:rFonts w:ascii="Arial"/>
                <w:sz w:val="21"/>
              </w:rPr>
            </w:pPr>
            <w:r/>
          </w:p>
          <w:p>
            <w:pPr>
              <w:ind w:left="743" w:right="180" w:hanging="541"/>
              <w:spacing w:before="72" w:line="250"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rPr>
              <w:t>数</w:t>
            </w:r>
          </w:p>
        </w:tc>
        <w:tc>
          <w:tcPr>
            <w:tcW w:w="771" w:type="dxa"/>
            <w:vAlign w:val="top"/>
            <w:vMerge w:val="restart"/>
            <w:tcBorders>
              <w:bottom w:val="nil"/>
            </w:tcBorders>
          </w:tcPr>
          <w:p>
            <w:pPr>
              <w:spacing w:line="465" w:lineRule="auto"/>
              <w:rPr>
                <w:rFonts w:ascii="Arial"/>
                <w:sz w:val="21"/>
              </w:rPr>
            </w:pPr>
            <w:r/>
          </w:p>
          <w:p>
            <w:pPr>
              <w:ind w:left="235"/>
              <w:spacing w:before="71"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480"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41"/>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10"/>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88"/>
              <w:spacing w:before="5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88"/>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83"/>
              <w:spacing w:before="52" w:line="216"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3" w:lineRule="auto"/>
              <w:rPr>
                <w:rFonts w:ascii="Arial"/>
                <w:sz w:val="21"/>
              </w:rPr>
            </w:pPr>
            <w:r/>
          </w:p>
          <w:p>
            <w:pPr>
              <w:ind w:left="1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1" w:right="248" w:hanging="8"/>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2" w:hRule="atLeast"/>
        </w:trPr>
        <w:tc>
          <w:tcPr>
            <w:tcW w:w="1454" w:type="dxa"/>
            <w:vAlign w:val="top"/>
            <w:vMerge w:val="restart"/>
            <w:tcBorders>
              <w:bottom w:val="nil"/>
            </w:tcBorders>
          </w:tcPr>
          <w:p>
            <w:pPr>
              <w:ind w:left="135"/>
              <w:spacing w:before="4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5"/>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6"/>
              <w:spacing w:before="37"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ind w:left="22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9"/>
              <w:spacing w:before="6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6"/>
              <w:spacing w:before="66"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8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6"/>
              <w:spacing w:before="1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7"/>
              <w:spacing w:before="17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8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9"/>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96</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7" w:right="176"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未按照规定对所排放的水污染物自行监测，或者未保存原始监测</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6"/>
              </w:rPr>
              <w:t>记录的</w:t>
            </w:r>
          </w:p>
        </w:tc>
      </w:tr>
      <w:tr>
        <w:trPr>
          <w:trHeight w:val="6932" w:hRule="atLeast"/>
        </w:trPr>
        <w:tc>
          <w:tcPr>
            <w:tcW w:w="145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2" w:right="46" w:firstLine="12"/>
              <w:spacing w:before="39"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实行排污许可管理的企业事业单</w:t>
            </w:r>
            <w:r>
              <w:rPr>
                <w:rFonts w:ascii="FangSong_GB2312" w:hAnsi="FangSong_GB2312" w:eastAsia="FangSong_GB2312" w:cs="FangSong_GB2312"/>
                <w:sz w:val="24"/>
                <w:szCs w:val="24"/>
              </w:rPr>
              <w:t>位和其他生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产经营者应当按照国家有关规定和监测规范，对所排放的水污染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物自行监测，并保存原始监测记录。重点排污单位还应当安装水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污染物排放自动监测设备，与环境保护主管部门的监控</w:t>
            </w:r>
            <w:r>
              <w:rPr>
                <w:rFonts w:ascii="FangSong_GB2312" w:hAnsi="FangSong_GB2312" w:eastAsia="FangSong_GB2312" w:cs="FangSong_GB2312"/>
                <w:sz w:val="24"/>
                <w:szCs w:val="24"/>
                <w:spacing w:val="-5"/>
              </w:rPr>
              <w:t>设备联网，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并保证监测设备正常运行。具体办法由国务院环境保护主管部门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规定。</w:t>
            </w:r>
          </w:p>
          <w:p>
            <w:pPr>
              <w:spacing w:line="266"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2.《中华人民共和国水污染防治法》</w:t>
            </w:r>
          </w:p>
          <w:p>
            <w:pPr>
              <w:ind w:left="144" w:right="106" w:hanging="20"/>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违反本法规定，有下列行为之一的，由县级以上人</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民政府环境保护主管部门责令限期改正，处二万元以</w:t>
            </w:r>
            <w:r>
              <w:rPr>
                <w:rFonts w:ascii="FangSong_GB2312" w:hAnsi="FangSong_GB2312" w:eastAsia="FangSong_GB2312" w:cs="FangSong_GB2312"/>
                <w:sz w:val="24"/>
                <w:szCs w:val="24"/>
              </w:rPr>
              <w:t>上二十万元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以下的罚款；逾期不改正的，责令停产整治：</w:t>
            </w:r>
          </w:p>
          <w:p>
            <w:pPr>
              <w:ind w:left="114" w:right="109" w:hanging="7"/>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（一）未按照规定对所排放的水污染物自行监测，或者未保存原</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始监测记录的；</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10" w:right="109" w:firstLine="14"/>
              <w:spacing w:before="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违反本条例规定，有下列行为之一的，由环境保护</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主管部门责令限期改正，处三万元以上十万元以下的罚款；情节</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较重的，处十万元以上二十万元以下的罚款；逾期不改正的，责</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令停产整治：</w:t>
            </w:r>
          </w:p>
          <w:p>
            <w:pPr>
              <w:ind w:left="114" w:right="109" w:hanging="7"/>
              <w:spacing w:before="33"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（一）未按照规定对所排放的水污染物进行监测，或者未保存原</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始监测记录的；</w:t>
            </w:r>
          </w:p>
        </w:tc>
      </w:tr>
      <w:tr>
        <w:trPr>
          <w:trHeight w:val="635" w:hRule="atLeast"/>
        </w:trPr>
        <w:tc>
          <w:tcPr>
            <w:tcW w:w="4135" w:type="dxa"/>
            <w:vAlign w:val="top"/>
            <w:gridSpan w:val="3"/>
          </w:tcPr>
          <w:p>
            <w:pPr>
              <w:ind w:left="1514"/>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39" w:lineRule="auto"/>
              <w:rPr>
                <w:rFonts w:ascii="Arial"/>
                <w:sz w:val="21"/>
              </w:rPr>
            </w:pPr>
            <w:r/>
          </w:p>
          <w:p>
            <w:pPr>
              <w:ind w:left="23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39"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right="211" w:firstLine="3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已开展自行监测，未保存原</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始记录的</w:t>
            </w:r>
          </w:p>
        </w:tc>
        <w:tc>
          <w:tcPr>
            <w:tcW w:w="1122" w:type="dxa"/>
            <w:vAlign w:val="top"/>
          </w:tcPr>
          <w:p>
            <w:pPr>
              <w:ind w:left="22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right="211" w:hanging="7"/>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未按照规定对所排放的水污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染物自行监测的</w:t>
            </w:r>
          </w:p>
        </w:tc>
        <w:tc>
          <w:tcPr>
            <w:tcW w:w="1122" w:type="dxa"/>
            <w:vAlign w:val="top"/>
          </w:tcPr>
          <w:p>
            <w:pPr>
              <w:ind w:left="1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restart"/>
            <w:tcBorders>
              <w:bottom w:val="nil"/>
            </w:tcBorders>
          </w:tcPr>
          <w:p>
            <w:pPr>
              <w:ind w:left="352"/>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排污口级别</w:t>
            </w:r>
          </w:p>
        </w:tc>
        <w:tc>
          <w:tcPr>
            <w:tcW w:w="792" w:type="dxa"/>
            <w:vAlign w:val="top"/>
            <w:vMerge w:val="restart"/>
            <w:tcBorders>
              <w:bottom w:val="nil"/>
            </w:tcBorders>
          </w:tcPr>
          <w:p>
            <w:pPr>
              <w:ind w:left="231"/>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一般排污单位</w:t>
            </w:r>
          </w:p>
        </w:tc>
        <w:tc>
          <w:tcPr>
            <w:tcW w:w="1122" w:type="dxa"/>
            <w:vAlign w:val="top"/>
          </w:tcPr>
          <w:p>
            <w:pPr>
              <w:ind w:left="2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重点排污单位</w:t>
            </w:r>
          </w:p>
        </w:tc>
        <w:tc>
          <w:tcPr>
            <w:tcW w:w="1122" w:type="dxa"/>
            <w:vAlign w:val="top"/>
          </w:tcPr>
          <w:p>
            <w:pPr>
              <w:ind w:left="16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restart"/>
            <w:tcBorders>
              <w:bottom w:val="nil"/>
            </w:tcBorders>
          </w:tcPr>
          <w:p>
            <w:pPr>
              <w:ind w:left="253"/>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ind w:left="835" w:right="223" w:hanging="591"/>
              <w:spacing w:before="4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ind w:left="231"/>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2"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bl>
    <w:p>
      <w:pPr>
        <w:pStyle w:val="BodyText"/>
        <w:rPr/>
      </w:pPr>
      <w:r/>
    </w:p>
    <w:p>
      <w:pPr>
        <w:sectPr>
          <w:footerReference w:type="default" r:id="rId190"/>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324" w:hRule="atLeast"/>
        </w:trPr>
        <w:tc>
          <w:tcPr>
            <w:tcW w:w="1454"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9" w:hRule="atLeast"/>
        </w:trPr>
        <w:tc>
          <w:tcPr>
            <w:tcW w:w="1454" w:type="dxa"/>
            <w:vAlign w:val="top"/>
            <w:vMerge w:val="restart"/>
            <w:tcBorders>
              <w:bottom w:val="nil"/>
            </w:tcBorders>
          </w:tcPr>
          <w:p>
            <w:pPr>
              <w:spacing w:line="441"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1" w:lineRule="auto"/>
              <w:rPr>
                <w:rFonts w:ascii="Arial"/>
                <w:sz w:val="21"/>
              </w:rPr>
            </w:pPr>
            <w:r/>
          </w:p>
          <w:p>
            <w:pPr>
              <w:ind w:left="2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1"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28" w:hRule="atLeast"/>
        </w:trPr>
        <w:tc>
          <w:tcPr>
            <w:tcW w:w="1454" w:type="dxa"/>
            <w:vAlign w:val="top"/>
            <w:vMerge w:val="restart"/>
            <w:tcBorders>
              <w:bottom w:val="nil"/>
            </w:tcBorders>
          </w:tcPr>
          <w:p>
            <w:pPr>
              <w:ind w:left="135"/>
              <w:spacing w:before="15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5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ind w:left="231"/>
              <w:spacing w:before="3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4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4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103"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91"/>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9"/>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97</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09" w:right="176" w:firstLine="2"/>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未按照规定安装水污染物排放自动监测设备，未按照规定与环境</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rPr>
              <w:t>保护主管部门的监控设备联网，或者未保证监</w:t>
            </w:r>
            <w:r>
              <w:rPr>
                <w:rFonts w:ascii="FangSong_GB2312" w:hAnsi="FangSong_GB2312" w:eastAsia="FangSong_GB2312" w:cs="FangSong_GB2312"/>
                <w:sz w:val="24"/>
                <w:szCs w:val="24"/>
                <w:spacing w:val="-1"/>
              </w:rPr>
              <w:t>测设备正常运行的</w:t>
            </w:r>
          </w:p>
        </w:tc>
      </w:tr>
      <w:tr>
        <w:trPr>
          <w:trHeight w:val="9766" w:hRule="atLeast"/>
        </w:trPr>
        <w:tc>
          <w:tcPr>
            <w:tcW w:w="145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2" w:right="46" w:firstLine="12"/>
              <w:spacing w:before="39"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实行排污许可管理的企业事</w:t>
            </w:r>
            <w:r>
              <w:rPr>
                <w:rFonts w:ascii="FangSong_GB2312" w:hAnsi="FangSong_GB2312" w:eastAsia="FangSong_GB2312" w:cs="FangSong_GB2312"/>
                <w:sz w:val="24"/>
                <w:szCs w:val="24"/>
                <w:spacing w:val="-2"/>
              </w:rPr>
              <w:t>业单位和其他生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产经营者应当按照国家有关规定和监测规范，对所排放的水污染</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物自行监测，并保存原始监测记录。重点排污单位还应当安装水</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污染物排放自动监测设备，与环境保护主管部门的监控</w:t>
            </w:r>
            <w:r>
              <w:rPr>
                <w:rFonts w:ascii="FangSong_GB2312" w:hAnsi="FangSong_GB2312" w:eastAsia="FangSong_GB2312" w:cs="FangSong_GB2312"/>
                <w:sz w:val="24"/>
                <w:szCs w:val="24"/>
                <w:spacing w:val="-5"/>
              </w:rPr>
              <w:t>设备联网，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并保证监测设备正常运行。具体办法由国务院环境保护主管部门</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规定。</w:t>
            </w:r>
          </w:p>
          <w:p>
            <w:pPr>
              <w:spacing w:line="266"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44" w:right="171" w:hanging="20"/>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民政府环境保护主管部门责令限期改正，处二万元以上二十万元</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3"/>
              </w:rPr>
              <w:t>以下的罚款；逾期不改正的，责令停产整治：</w:t>
            </w:r>
          </w:p>
          <w:p>
            <w:pPr>
              <w:ind w:left="112" w:right="176" w:hanging="5"/>
              <w:spacing w:before="3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（二）未按照规定安装水污染物排放自动监测设</w:t>
            </w:r>
            <w:r>
              <w:rPr>
                <w:rFonts w:ascii="FangSong_GB2312" w:hAnsi="FangSong_GB2312" w:eastAsia="FangSong_GB2312" w:cs="FangSong_GB2312"/>
                <w:sz w:val="24"/>
                <w:szCs w:val="24"/>
                <w:spacing w:val="-1"/>
              </w:rPr>
              <w:t>备，未按照规定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与环境保护主管部门的监控设备联网，或者未保证监测设备正常</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运行的；</w:t>
            </w:r>
          </w:p>
          <w:p>
            <w:pPr>
              <w:spacing w:line="269"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10" w:right="171" w:firstLine="14"/>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违反本条例规定，有下列行为之一的，由环境</w:t>
            </w:r>
            <w:r>
              <w:rPr>
                <w:rFonts w:ascii="FangSong_GB2312" w:hAnsi="FangSong_GB2312" w:eastAsia="FangSong_GB2312" w:cs="FangSong_GB2312"/>
                <w:sz w:val="24"/>
                <w:szCs w:val="24"/>
                <w:spacing w:val="-2"/>
              </w:rPr>
              <w:t>保护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主管部门责令限期改正，处三万元以上十万</w:t>
            </w:r>
            <w:r>
              <w:rPr>
                <w:rFonts w:ascii="FangSong_GB2312" w:hAnsi="FangSong_GB2312" w:eastAsia="FangSong_GB2312" w:cs="FangSong_GB2312"/>
                <w:sz w:val="24"/>
                <w:szCs w:val="24"/>
                <w:spacing w:val="-1"/>
              </w:rPr>
              <w:t>元以下的罚款；情节</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较重的，处十万元以上二十万元以下的罚款</w:t>
            </w:r>
            <w:r>
              <w:rPr>
                <w:rFonts w:ascii="FangSong_GB2312" w:hAnsi="FangSong_GB2312" w:eastAsia="FangSong_GB2312" w:cs="FangSong_GB2312"/>
                <w:sz w:val="24"/>
                <w:szCs w:val="24"/>
                <w:spacing w:val="-1"/>
              </w:rPr>
              <w:t>；逾期不改正的，责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令停产整治：</w:t>
            </w:r>
          </w:p>
          <w:p>
            <w:pPr>
              <w:ind w:left="112" w:right="176" w:hanging="5"/>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（二）未按照规定安装水污染物排放自动监测设</w:t>
            </w:r>
            <w:r>
              <w:rPr>
                <w:rFonts w:ascii="FangSong_GB2312" w:hAnsi="FangSong_GB2312" w:eastAsia="FangSong_GB2312" w:cs="FangSong_GB2312"/>
                <w:sz w:val="24"/>
                <w:szCs w:val="24"/>
                <w:spacing w:val="-1"/>
              </w:rPr>
              <w:t>备，未按照规定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与环境保护主管部门的监控设备联网，或者未保证监测设备正常</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运行的；</w:t>
            </w:r>
          </w:p>
          <w:p>
            <w:pPr>
              <w:spacing w:line="270" w:lineRule="auto"/>
              <w:rPr>
                <w:rFonts w:ascii="Arial"/>
                <w:sz w:val="21"/>
              </w:rPr>
            </w:pPr>
            <w:r/>
          </w:p>
          <w:p>
            <w:pPr>
              <w:ind w:left="120"/>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《河北省生态环境保护条例》</w:t>
            </w:r>
          </w:p>
          <w:p>
            <w:pPr>
              <w:ind w:left="132" w:right="176" w:hanging="8"/>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违反本条例规定，重点排污单位有下列行为</w:t>
            </w:r>
            <w:r>
              <w:rPr>
                <w:rFonts w:ascii="FangSong_GB2312" w:hAnsi="FangSong_GB2312" w:eastAsia="FangSong_GB2312" w:cs="FangSong_GB2312"/>
                <w:sz w:val="24"/>
                <w:szCs w:val="24"/>
                <w:spacing w:val="-2"/>
              </w:rPr>
              <w:t>之一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的，由生态环境主管部门责令改正，处二万元以上二十</w:t>
            </w:r>
            <w:r>
              <w:rPr>
                <w:rFonts w:ascii="FangSong_GB2312" w:hAnsi="FangSong_GB2312" w:eastAsia="FangSong_GB2312" w:cs="FangSong_GB2312"/>
                <w:sz w:val="24"/>
                <w:szCs w:val="24"/>
                <w:spacing w:val="-2"/>
              </w:rPr>
              <w:t>万元以下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的罚款；拒不改正的，责令停产整治：</w:t>
            </w:r>
          </w:p>
          <w:p>
            <w:pPr>
              <w:ind w:left="112" w:right="176" w:hanging="5"/>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（一）未按照规定安装使用自动监测设备，或者</w:t>
            </w:r>
            <w:r>
              <w:rPr>
                <w:rFonts w:ascii="FangSong_GB2312" w:hAnsi="FangSong_GB2312" w:eastAsia="FangSong_GB2312" w:cs="FangSong_GB2312"/>
                <w:sz w:val="24"/>
                <w:szCs w:val="24"/>
                <w:spacing w:val="-1"/>
              </w:rPr>
              <w:t>未与生态环境主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管部门的监控设备联网的；</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346" w:hRule="atLeast"/>
        </w:trPr>
        <w:tc>
          <w:tcPr>
            <w:tcW w:w="1454" w:type="dxa"/>
            <w:vAlign w:val="top"/>
          </w:tcPr>
          <w:p>
            <w:pPr>
              <w:ind w:left="500"/>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65"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180"/>
              <w:spacing w:before="65"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p>
        </w:tc>
        <w:tc>
          <w:tcPr>
            <w:tcW w:w="3201" w:type="dxa"/>
            <w:vAlign w:val="top"/>
          </w:tcPr>
          <w:p>
            <w:pPr>
              <w:ind w:left="1388"/>
              <w:spacing w:before="64"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65"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bl>
    <w:p>
      <w:pPr>
        <w:pStyle w:val="BodyText"/>
        <w:rPr/>
      </w:pPr>
      <w:r/>
    </w:p>
    <w:p>
      <w:pPr>
        <w:sectPr>
          <w:footerReference w:type="default" r:id="rId19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348" w:hRule="atLeast"/>
        </w:trPr>
        <w:tc>
          <w:tcPr>
            <w:tcW w:w="1454" w:type="dxa"/>
            <w:vAlign w:val="top"/>
          </w:tcPr>
          <w:p>
            <w:pPr>
              <w:rPr>
                <w:rFonts w:ascii="Arial"/>
                <w:sz w:val="21"/>
              </w:rPr>
            </w:pPr>
            <w:r/>
          </w:p>
        </w:tc>
        <w:tc>
          <w:tcPr>
            <w:tcW w:w="1889" w:type="dxa"/>
            <w:vAlign w:val="top"/>
          </w:tcPr>
          <w:p>
            <w:pPr>
              <w:rPr>
                <w:rFonts w:ascii="Arial"/>
                <w:sz w:val="21"/>
              </w:rPr>
            </w:pPr>
            <w:r/>
          </w:p>
        </w:tc>
        <w:tc>
          <w:tcPr>
            <w:tcW w:w="792" w:type="dxa"/>
            <w:vAlign w:val="top"/>
          </w:tcPr>
          <w:p>
            <w:pPr>
              <w:ind w:left="213"/>
              <w:spacing w:before="53"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23"/>
              </w:rPr>
              <w:t>比例</w:t>
            </w:r>
          </w:p>
        </w:tc>
        <w:tc>
          <w:tcPr>
            <w:tcW w:w="3201" w:type="dxa"/>
            <w:vAlign w:val="top"/>
          </w:tcPr>
          <w:p>
            <w:pPr>
              <w:rPr>
                <w:rFonts w:ascii="Arial"/>
                <w:sz w:val="21"/>
              </w:rPr>
            </w:pPr>
            <w:r/>
          </w:p>
        </w:tc>
        <w:tc>
          <w:tcPr>
            <w:tcW w:w="1122" w:type="dxa"/>
            <w:vAlign w:val="top"/>
          </w:tcPr>
          <w:p>
            <w:pPr>
              <w:rPr>
                <w:rFonts w:ascii="Arial"/>
                <w:sz w:val="21"/>
              </w:rPr>
            </w:pPr>
            <w:r/>
          </w:p>
        </w:tc>
      </w:tr>
      <w:tr>
        <w:trPr>
          <w:trHeight w:val="949" w:hRule="atLeast"/>
        </w:trPr>
        <w:tc>
          <w:tcPr>
            <w:tcW w:w="1454"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23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right="211" w:firstLine="40"/>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已安装水污染物排放自动监</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测设备，但未按规定与生态</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环境主管部门联网的</w:t>
            </w:r>
          </w:p>
        </w:tc>
        <w:tc>
          <w:tcPr>
            <w:tcW w:w="1122" w:type="dxa"/>
            <w:vAlign w:val="top"/>
          </w:tcPr>
          <w:p>
            <w:pPr>
              <w:spacing w:line="274"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11" w:firstLine="40"/>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已安装水污染物排放自动监</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测设备，但不能保证正常运</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5"/>
              </w:rPr>
              <w:t>行的</w:t>
            </w:r>
          </w:p>
        </w:tc>
        <w:tc>
          <w:tcPr>
            <w:tcW w:w="1122" w:type="dxa"/>
            <w:vAlign w:val="top"/>
          </w:tcPr>
          <w:p>
            <w:pPr>
              <w:spacing w:line="275"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right="211" w:hanging="7"/>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未安装水污染物排放自动监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5"/>
              </w:rPr>
              <w:t>测设备的</w:t>
            </w:r>
          </w:p>
        </w:tc>
        <w:tc>
          <w:tcPr>
            <w:tcW w:w="1122" w:type="dxa"/>
            <w:vAlign w:val="top"/>
          </w:tcPr>
          <w:p>
            <w:pPr>
              <w:ind w:left="157"/>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7"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1" w:lineRule="auto"/>
              <w:rPr>
                <w:rFonts w:ascii="Arial"/>
                <w:sz w:val="21"/>
              </w:rPr>
            </w:pPr>
            <w:r/>
          </w:p>
          <w:p>
            <w:pPr>
              <w:ind w:left="835" w:right="22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7"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4" w:lineRule="auto"/>
              <w:rPr>
                <w:rFonts w:ascii="Arial"/>
                <w:sz w:val="21"/>
              </w:rPr>
            </w:pPr>
            <w:r/>
          </w:p>
          <w:p>
            <w:pPr>
              <w:ind w:left="2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3"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7" w:hRule="atLeast"/>
        </w:trPr>
        <w:tc>
          <w:tcPr>
            <w:tcW w:w="1454" w:type="dxa"/>
            <w:vAlign w:val="top"/>
            <w:vMerge w:val="restart"/>
            <w:tcBorders>
              <w:bottom w:val="nil"/>
            </w:tcBorders>
          </w:tcPr>
          <w:p>
            <w:pPr>
              <w:ind w:left="253" w:right="245" w:firstLine="7"/>
              <w:spacing w:before="8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3" w:hanging="480"/>
              <w:spacing w:before="8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4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8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8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3" w:hRule="atLeast"/>
        </w:trPr>
        <w:tc>
          <w:tcPr>
            <w:tcW w:w="1454" w:type="dxa"/>
            <w:vAlign w:val="top"/>
            <w:vMerge w:val="restart"/>
            <w:tcBorders>
              <w:bottom w:val="nil"/>
            </w:tcBorders>
          </w:tcPr>
          <w:p>
            <w:pPr>
              <w:ind w:left="135"/>
              <w:spacing w:before="14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4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81"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712"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103" w:hanging="20"/>
              <w:spacing w:before="7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93"/>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99"/>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98</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right="235"/>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未按照规定对有毒有害水污染物的排污口和周边环境进行监测，</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或者未公开有毒有害水污染物信息的</w:t>
            </w:r>
          </w:p>
        </w:tc>
      </w:tr>
      <w:tr>
        <w:trPr>
          <w:trHeight w:val="7247" w:hRule="atLeast"/>
        </w:trPr>
        <w:tc>
          <w:tcPr>
            <w:tcW w:w="1454" w:type="dxa"/>
            <w:vAlign w:val="top"/>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2" w:right="171" w:firstLine="1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国务院环境保护主管部门应当会同国务院卫生</w:t>
            </w:r>
            <w:r>
              <w:rPr>
                <w:rFonts w:ascii="FangSong_GB2312" w:hAnsi="FangSong_GB2312" w:eastAsia="FangSong_GB2312" w:cs="FangSong_GB2312"/>
                <w:sz w:val="24"/>
                <w:szCs w:val="24"/>
                <w:spacing w:val="-2"/>
              </w:rPr>
              <w:t>主管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部门，根据对公众健康和生态环境的危害和影响程度，公布有毒</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有害水污染物名录，实行风险管理。</w:t>
            </w:r>
          </w:p>
          <w:p>
            <w:pPr>
              <w:ind w:left="108" w:right="176" w:firstLine="6"/>
              <w:spacing w:before="37"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排放前款规定名录中所列有毒有害水污染物的企业事业单位和其</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rPr>
              <w:t>他生产经营者，应当对排污口和周边环境进行监</w:t>
            </w:r>
            <w:r>
              <w:rPr>
                <w:rFonts w:ascii="FangSong_GB2312" w:hAnsi="FangSong_GB2312" w:eastAsia="FangSong_GB2312" w:cs="FangSong_GB2312"/>
                <w:sz w:val="24"/>
                <w:szCs w:val="24"/>
                <w:spacing w:val="-1"/>
              </w:rPr>
              <w:t>测，评估环境风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险，排查环境安全隐患，并公开有毒有害水污染</w:t>
            </w:r>
            <w:r>
              <w:rPr>
                <w:rFonts w:ascii="FangSong_GB2312" w:hAnsi="FangSong_GB2312" w:eastAsia="FangSong_GB2312" w:cs="FangSong_GB2312"/>
                <w:sz w:val="24"/>
                <w:szCs w:val="24"/>
                <w:spacing w:val="-1"/>
              </w:rPr>
              <w:t>物信息，采取有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效措施防范环境风险。</w:t>
            </w:r>
          </w:p>
          <w:p>
            <w:pPr>
              <w:spacing w:line="271"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2.《中华人民共和国水污染防治法》</w:t>
            </w:r>
          </w:p>
          <w:p>
            <w:pPr>
              <w:ind w:left="144" w:right="171" w:hanging="20"/>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民政府环境保护主管部门责令限期改正，处二万元以上二十万元</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3"/>
              </w:rPr>
              <w:t>以下的罚款；逾期不改正的，责令停产整治：</w:t>
            </w:r>
          </w:p>
          <w:p>
            <w:pPr>
              <w:ind w:left="118" w:right="176" w:hanging="11"/>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（三）未按照规定对有毒有害水污染物的排污口</w:t>
            </w:r>
            <w:r>
              <w:rPr>
                <w:rFonts w:ascii="FangSong_GB2312" w:hAnsi="FangSong_GB2312" w:eastAsia="FangSong_GB2312" w:cs="FangSong_GB2312"/>
                <w:sz w:val="24"/>
                <w:szCs w:val="24"/>
                <w:spacing w:val="-1"/>
              </w:rPr>
              <w:t>和周边环境进行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监测，或者未公开有毒有害水污染物信息的。</w:t>
            </w:r>
          </w:p>
          <w:p>
            <w:pPr>
              <w:spacing w:line="270"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10" w:right="106" w:firstLine="134"/>
              <w:spacing w:before="36"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违反本条例规定，有下列行为之一的，由环境保护</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主管部门责令限期改正，处三万元以上十万</w:t>
            </w:r>
            <w:r>
              <w:rPr>
                <w:rFonts w:ascii="FangSong_GB2312" w:hAnsi="FangSong_GB2312" w:eastAsia="FangSong_GB2312" w:cs="FangSong_GB2312"/>
                <w:sz w:val="24"/>
                <w:szCs w:val="24"/>
                <w:spacing w:val="-1"/>
              </w:rPr>
              <w:t>元以下的罚款；情节</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较重的，处十万元以上二十万元以下的罚款</w:t>
            </w:r>
            <w:r>
              <w:rPr>
                <w:rFonts w:ascii="FangSong_GB2312" w:hAnsi="FangSong_GB2312" w:eastAsia="FangSong_GB2312" w:cs="FangSong_GB2312"/>
                <w:sz w:val="24"/>
                <w:szCs w:val="24"/>
                <w:spacing w:val="-1"/>
              </w:rPr>
              <w:t>；逾期不改正的，责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令停产整治：</w:t>
            </w:r>
          </w:p>
          <w:p>
            <w:pPr>
              <w:ind w:left="118" w:right="176" w:hanging="11"/>
              <w:spacing w:before="3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（三）未按照规定对有毒有害水污染物的排污口</w:t>
            </w:r>
            <w:r>
              <w:rPr>
                <w:rFonts w:ascii="FangSong_GB2312" w:hAnsi="FangSong_GB2312" w:eastAsia="FangSong_GB2312" w:cs="FangSong_GB2312"/>
                <w:sz w:val="24"/>
                <w:szCs w:val="24"/>
                <w:spacing w:val="-1"/>
              </w:rPr>
              <w:t>和周边环境进行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监测，或者未公开有毒有害水污染物信息的。</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437"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23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0" w:right="211" w:hanging="16"/>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未公开有毒有害水污染物信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4"/>
              </w:rPr>
              <w:t>息的</w:t>
            </w:r>
          </w:p>
        </w:tc>
        <w:tc>
          <w:tcPr>
            <w:tcW w:w="1122" w:type="dxa"/>
            <w:vAlign w:val="top"/>
          </w:tcPr>
          <w:p>
            <w:pPr>
              <w:ind w:left="22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right="211"/>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未按照规定对有毒有害水污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染物的排污口和周边环境进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行监测的</w:t>
            </w:r>
          </w:p>
        </w:tc>
        <w:tc>
          <w:tcPr>
            <w:tcW w:w="1122" w:type="dxa"/>
            <w:vAlign w:val="top"/>
          </w:tcPr>
          <w:p>
            <w:pPr>
              <w:spacing w:line="276"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ind w:left="253"/>
              <w:spacing w:before="20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ind w:left="835" w:right="223" w:hanging="591"/>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ind w:left="231"/>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2"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bl>
    <w:p>
      <w:pPr>
        <w:pStyle w:val="BodyText"/>
        <w:rPr/>
      </w:pPr>
      <w:r/>
    </w:p>
    <w:p>
      <w:pPr>
        <w:sectPr>
          <w:footerReference w:type="default" r:id="rId19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324" w:hRule="atLeast"/>
        </w:trPr>
        <w:tc>
          <w:tcPr>
            <w:tcW w:w="1454"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9" w:hRule="atLeast"/>
        </w:trPr>
        <w:tc>
          <w:tcPr>
            <w:tcW w:w="1454" w:type="dxa"/>
            <w:vAlign w:val="top"/>
            <w:vMerge w:val="restart"/>
            <w:tcBorders>
              <w:bottom w:val="nil"/>
            </w:tcBorders>
          </w:tcPr>
          <w:p>
            <w:pPr>
              <w:spacing w:line="441"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1" w:lineRule="auto"/>
              <w:rPr>
                <w:rFonts w:ascii="Arial"/>
                <w:sz w:val="21"/>
              </w:rPr>
            </w:pPr>
            <w:r/>
          </w:p>
          <w:p>
            <w:pPr>
              <w:ind w:left="2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1"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69" w:hRule="atLeast"/>
        </w:trPr>
        <w:tc>
          <w:tcPr>
            <w:tcW w:w="1454" w:type="dxa"/>
            <w:vAlign w:val="top"/>
            <w:vMerge w:val="restart"/>
            <w:tcBorders>
              <w:bottom w:val="nil"/>
            </w:tcBorders>
          </w:tcPr>
          <w:p>
            <w:pPr>
              <w:ind w:left="135"/>
              <w:spacing w:before="17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7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406"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6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6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103"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95"/>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99"/>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99</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2"/>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未依法取得排污许可证排放水污染物的</w:t>
            </w:r>
          </w:p>
        </w:tc>
      </w:tr>
      <w:tr>
        <w:trPr>
          <w:trHeight w:val="10713"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2" w:right="176" w:firstLine="12"/>
              <w:spacing w:before="34"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直接或者间接向水体排放工业废水和医疗污</w:t>
            </w:r>
            <w:r>
              <w:rPr>
                <w:rFonts w:ascii="FangSong_GB2312" w:hAnsi="FangSong_GB2312" w:eastAsia="FangSong_GB2312" w:cs="FangSong_GB2312"/>
                <w:sz w:val="24"/>
                <w:szCs w:val="24"/>
                <w:spacing w:val="-2"/>
              </w:rPr>
              <w:t>水以及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其他按照规定应当取得排污许可证方可排放的废水、污水的企业</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事业单位和其他生产经营者，应当取得排污许可证；城镇污水集</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中处理设施的运营单位，也应当取得排污许可证。排污许可证应</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当明确排放水污染物的种类、浓度、总量和排放去向等要求。排</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污许可的具体办法由国务院规定。</w:t>
            </w:r>
          </w:p>
          <w:p>
            <w:pPr>
              <w:pStyle w:val="TableText"/>
              <w:ind w:left="117" w:right="176" w:firstLine="1"/>
              <w:spacing w:before="37" w:line="228" w:lineRule="auto"/>
              <w:rPr>
                <w:sz w:val="20"/>
                <w:szCs w:val="20"/>
              </w:rPr>
            </w:pPr>
            <w:r>
              <w:rPr>
                <w:rFonts w:ascii="FangSong_GB2312" w:hAnsi="FangSong_GB2312" w:eastAsia="FangSong_GB2312" w:cs="FangSong_GB2312"/>
                <w:sz w:val="24"/>
                <w:szCs w:val="24"/>
                <w:spacing w:val="-1"/>
              </w:rPr>
              <w:t>禁止企业事业单位和其他生产经营者无排污许可证或者违反排污</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许可证的规定向水体排放前款规定的废水、污水</w:t>
            </w:r>
            <w:r>
              <w:rPr>
                <w:sz w:val="20"/>
                <w:szCs w:val="20"/>
                <w:spacing w:val="-1"/>
              </w:rPr>
              <w:t>。</w:t>
            </w:r>
          </w:p>
          <w:p>
            <w:pPr>
              <w:spacing w:line="271"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7" w:right="46" w:firstLine="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民政府环境保护主管部门责令改正或者责</w:t>
            </w:r>
            <w:r>
              <w:rPr>
                <w:rFonts w:ascii="FangSong_GB2312" w:hAnsi="FangSong_GB2312" w:eastAsia="FangSong_GB2312" w:cs="FangSong_GB2312"/>
                <w:sz w:val="24"/>
                <w:szCs w:val="24"/>
                <w:spacing w:val="-5"/>
              </w:rPr>
              <w:t>令限制生产、停产整治，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并处十万元以上一百万元以下的罚款；情节严重的，报经有批准</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权的人民政府批准，责令停业、关闭：</w:t>
            </w:r>
          </w:p>
          <w:p>
            <w:pPr>
              <w:ind w:left="22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（一)未依法取得排污许可证排放水污染物的；</w:t>
            </w:r>
          </w:p>
          <w:p>
            <w:pPr>
              <w:spacing w:line="271" w:lineRule="auto"/>
              <w:rPr>
                <w:rFonts w:ascii="Arial"/>
                <w:sz w:val="21"/>
              </w:rPr>
            </w:pPr>
            <w:r/>
          </w:p>
          <w:p>
            <w:pPr>
              <w:ind w:left="130"/>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《河北省生态环境保护条例》</w:t>
            </w:r>
          </w:p>
          <w:p>
            <w:pPr>
              <w:ind w:left="112" w:right="171" w:firstLine="12"/>
              <w:spacing w:before="42"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违反本条例规定，企业事业单位和其他生产经</w:t>
            </w:r>
            <w:r>
              <w:rPr>
                <w:rFonts w:ascii="FangSong_GB2312" w:hAnsi="FangSong_GB2312" w:eastAsia="FangSong_GB2312" w:cs="FangSong_GB2312"/>
                <w:sz w:val="24"/>
                <w:szCs w:val="24"/>
                <w:spacing w:val="-2"/>
              </w:rPr>
              <w:t>营者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未取得排污许可证排放污染物的，由生态环境主管部门责令改正</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或者责令限制生产、停产整治，并处十万元以上一百万元以下的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rPr>
              <w:t>罚款；情节严重的，报经有批准权的人民政府批准</w:t>
            </w:r>
            <w:r>
              <w:rPr>
                <w:rFonts w:ascii="FangSong_GB2312" w:hAnsi="FangSong_GB2312" w:eastAsia="FangSong_GB2312" w:cs="FangSong_GB2312"/>
                <w:sz w:val="24"/>
                <w:szCs w:val="24"/>
                <w:spacing w:val="-1"/>
              </w:rPr>
              <w:t>，责令停业、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关闭。</w:t>
            </w:r>
          </w:p>
          <w:p>
            <w:pPr>
              <w:spacing w:line="266"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13" w:right="171" w:firstLine="11"/>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违反本条例规定，有下列行为之一的，由环境保护主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管部门责令改正或者责令限制生产、停产整治，并处二十万元以</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上一百万元以下的罚款；情节严重的，报经有批准权的人民政府</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批准，责令停业、关闭：</w:t>
            </w:r>
          </w:p>
          <w:p>
            <w:pPr>
              <w:ind w:left="107"/>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（二）未依法取得排污许可证排放水污染物的；</w:t>
            </w:r>
          </w:p>
          <w:p>
            <w:pPr>
              <w:spacing w:line="273" w:lineRule="auto"/>
              <w:rPr>
                <w:rFonts w:ascii="Arial"/>
                <w:sz w:val="21"/>
              </w:rPr>
            </w:pPr>
            <w:r/>
          </w:p>
          <w:p>
            <w:pPr>
              <w:ind w:left="12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5.《白洋淀生态环境治理和保护条例》</w:t>
            </w:r>
          </w:p>
          <w:p>
            <w:pPr>
              <w:ind w:left="112" w:right="169" w:firstLine="12"/>
              <w:spacing w:before="36"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违反本条例规定，企业事业</w:t>
            </w:r>
            <w:r>
              <w:rPr>
                <w:rFonts w:ascii="FangSong_GB2312" w:hAnsi="FangSong_GB2312" w:eastAsia="FangSong_GB2312" w:cs="FangSong_GB2312"/>
                <w:sz w:val="24"/>
                <w:szCs w:val="24"/>
                <w:spacing w:val="-2"/>
              </w:rPr>
              <w:t>单位和其他生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产经营者超过许可排放浓度、许可排放量排放污染物或者未取得</w:t>
            </w:r>
          </w:p>
        </w:tc>
      </w:tr>
    </w:tbl>
    <w:p>
      <w:pPr>
        <w:pStyle w:val="BodyText"/>
        <w:rPr/>
      </w:pPr>
      <w:r/>
    </w:p>
    <w:p>
      <w:pPr>
        <w:sectPr>
          <w:footerReference w:type="default" r:id="rId196"/>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1269" w:hRule="atLeast"/>
        </w:trPr>
        <w:tc>
          <w:tcPr>
            <w:tcW w:w="1454" w:type="dxa"/>
            <w:vAlign w:val="top"/>
          </w:tcPr>
          <w:p>
            <w:pPr>
              <w:rPr>
                <w:rFonts w:ascii="Arial"/>
                <w:sz w:val="21"/>
              </w:rPr>
            </w:pPr>
            <w:r/>
          </w:p>
        </w:tc>
        <w:tc>
          <w:tcPr>
            <w:tcW w:w="7004" w:type="dxa"/>
            <w:vAlign w:val="top"/>
            <w:gridSpan w:val="4"/>
          </w:tcPr>
          <w:p>
            <w:pPr>
              <w:ind w:left="119" w:right="176" w:hanging="4"/>
              <w:spacing w:before="42"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排污许可证排放污染物的，由生态环境主管部门责令改正或者限</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制生产、停产整治，并处五十万元以上一百万元以下的罚款；情</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节严重的，除依法吊销排污许可证以外，还应报经有批准权的人</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民政府批准，责令停业、关闭。</w:t>
            </w:r>
          </w:p>
        </w:tc>
      </w:tr>
      <w:tr>
        <w:trPr>
          <w:trHeight w:val="634" w:hRule="atLeast"/>
        </w:trPr>
        <w:tc>
          <w:tcPr>
            <w:tcW w:w="4135" w:type="dxa"/>
            <w:vAlign w:val="top"/>
            <w:gridSpan w:val="3"/>
          </w:tcPr>
          <w:p>
            <w:pPr>
              <w:ind w:left="1514"/>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54" w:type="dxa"/>
            <w:vAlign w:val="top"/>
          </w:tcPr>
          <w:p>
            <w:pPr>
              <w:ind w:left="50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454"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471" w:right="223" w:hanging="242"/>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环境影响评价</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项目类型</w:t>
            </w:r>
          </w:p>
        </w:tc>
        <w:tc>
          <w:tcPr>
            <w:tcW w:w="792"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5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34" w:right="211" w:hanging="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列入环境影响登记表类项目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22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4"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4" w:right="211" w:hanging="9"/>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1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1" w:hanging="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列入环境影响报告书类项目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1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restart"/>
            <w:tcBorders>
              <w:bottom w:val="nil"/>
            </w:tcBorders>
          </w:tcPr>
          <w:p>
            <w:pPr>
              <w:ind w:left="718" w:right="223" w:hanging="493"/>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是否经过收集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处理</w:t>
            </w:r>
          </w:p>
        </w:tc>
        <w:tc>
          <w:tcPr>
            <w:tcW w:w="792" w:type="dxa"/>
            <w:vAlign w:val="top"/>
            <w:vMerge w:val="restart"/>
            <w:tcBorders>
              <w:bottom w:val="nil"/>
            </w:tcBorders>
          </w:tcPr>
          <w:p>
            <w:pPr>
              <w:ind w:left="231"/>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经收集处理</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未经收集处理</w:t>
            </w:r>
          </w:p>
        </w:tc>
        <w:tc>
          <w:tcPr>
            <w:tcW w:w="1122" w:type="dxa"/>
            <w:vAlign w:val="top"/>
          </w:tcPr>
          <w:p>
            <w:pPr>
              <w:ind w:left="16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restart"/>
            <w:tcBorders>
              <w:bottom w:val="nil"/>
            </w:tcBorders>
          </w:tcPr>
          <w:p>
            <w:pPr>
              <w:ind w:left="465"/>
              <w:spacing w:before="20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是否超标</w:t>
            </w:r>
          </w:p>
        </w:tc>
        <w:tc>
          <w:tcPr>
            <w:tcW w:w="792" w:type="dxa"/>
            <w:vAlign w:val="top"/>
            <w:vMerge w:val="restart"/>
            <w:tcBorders>
              <w:bottom w:val="nil"/>
            </w:tcBorders>
          </w:tcPr>
          <w:p>
            <w:pPr>
              <w:ind w:left="237"/>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水污染物不超标的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水污染物超标的</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6" w:lineRule="auto"/>
              <w:rPr>
                <w:rFonts w:ascii="Arial"/>
                <w:sz w:val="21"/>
              </w:rPr>
            </w:pPr>
            <w:r/>
          </w:p>
          <w:p>
            <w:pPr>
              <w:ind w:left="2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06" w:hRule="atLeast"/>
        </w:trPr>
        <w:tc>
          <w:tcPr>
            <w:tcW w:w="1454" w:type="dxa"/>
            <w:vAlign w:val="top"/>
            <w:vMerge w:val="restart"/>
            <w:tcBorders>
              <w:bottom w:val="nil"/>
            </w:tcBorders>
          </w:tcPr>
          <w:p>
            <w:pPr>
              <w:ind w:left="135"/>
              <w:spacing w:before="17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7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411"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712"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103" w:hanging="20"/>
              <w:spacing w:before="8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197"/>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100</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4" w:right="176" w:hanging="7"/>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超过水污染物排放标准或者超过重点水污染物排放</w:t>
            </w:r>
            <w:r>
              <w:rPr>
                <w:rFonts w:ascii="FangSong_GB2312" w:hAnsi="FangSong_GB2312" w:eastAsia="FangSong_GB2312" w:cs="FangSong_GB2312"/>
                <w:sz w:val="24"/>
                <w:szCs w:val="24"/>
                <w:spacing w:val="-1"/>
              </w:rPr>
              <w:t>总量控制指标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排放水污染物的</w:t>
            </w:r>
          </w:p>
        </w:tc>
      </w:tr>
      <w:tr>
        <w:trPr>
          <w:trHeight w:val="8506" w:hRule="atLeast"/>
        </w:trPr>
        <w:tc>
          <w:tcPr>
            <w:tcW w:w="145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3" w:right="106" w:firstLine="11"/>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排放水污染物，不得超过国家或者地方规定的水污染物排</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放标准和重点水污染物排放总量控制指标。</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2.《中华人民共和国水污染防治法》</w:t>
            </w:r>
          </w:p>
          <w:p>
            <w:pPr>
              <w:ind w:left="117" w:right="46" w:firstLine="6"/>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民政府环境保护主管部门责令改正或者责</w:t>
            </w:r>
            <w:r>
              <w:rPr>
                <w:rFonts w:ascii="FangSong_GB2312" w:hAnsi="FangSong_GB2312" w:eastAsia="FangSong_GB2312" w:cs="FangSong_GB2312"/>
                <w:sz w:val="24"/>
                <w:szCs w:val="24"/>
                <w:spacing w:val="-5"/>
              </w:rPr>
              <w:t>令限制生产、停产整治，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并处十万元以上一百万元以下的罚款；情节严重的，报经有批准</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权的人民政府批准，责令停业、关闭：</w:t>
            </w:r>
          </w:p>
          <w:p>
            <w:pPr>
              <w:ind w:left="118" w:right="176" w:hanging="11"/>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（二）超过水污染物排放标准或者超过重点水污</w:t>
            </w:r>
            <w:r>
              <w:rPr>
                <w:rFonts w:ascii="FangSong_GB2312" w:hAnsi="FangSong_GB2312" w:eastAsia="FangSong_GB2312" w:cs="FangSong_GB2312"/>
                <w:sz w:val="24"/>
                <w:szCs w:val="24"/>
                <w:spacing w:val="-1"/>
              </w:rPr>
              <w:t>染物排放总量控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制指标排放水污染物的；</w:t>
            </w:r>
          </w:p>
          <w:p>
            <w:pPr>
              <w:spacing w:line="270"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13" w:right="171" w:firstLine="11"/>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违反本条例规定，有下列行为之一的，由环境保护主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管部门责令改正或者责令限制生产、停产整治，并处二十万元以</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上一百万元以下的罚款；情节严重的，报经有批准权的人民政府</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批准，责令停业、关闭：</w:t>
            </w:r>
          </w:p>
          <w:p>
            <w:pPr>
              <w:ind w:left="118" w:right="176" w:hanging="11"/>
              <w:spacing w:before="3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（一）超过水污染物排放标准或者超过重点水污</w:t>
            </w:r>
            <w:r>
              <w:rPr>
                <w:rFonts w:ascii="FangSong_GB2312" w:hAnsi="FangSong_GB2312" w:eastAsia="FangSong_GB2312" w:cs="FangSong_GB2312"/>
                <w:sz w:val="24"/>
                <w:szCs w:val="24"/>
                <w:spacing w:val="-1"/>
              </w:rPr>
              <w:t>染物排放总量控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制指标排放水污染物的；</w:t>
            </w:r>
          </w:p>
          <w:p>
            <w:pPr>
              <w:spacing w:line="271" w:lineRule="auto"/>
              <w:rPr>
                <w:rFonts w:ascii="Arial"/>
                <w:sz w:val="21"/>
              </w:rPr>
            </w:pPr>
            <w:r/>
          </w:p>
          <w:p>
            <w:pPr>
              <w:ind w:left="120"/>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4.《白洋淀生态环境治理和保护条例》</w:t>
            </w:r>
          </w:p>
          <w:p>
            <w:pPr>
              <w:ind w:left="107" w:right="106" w:firstLine="16"/>
              <w:spacing w:before="39"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违反本条例规定，企业事业单位和</w:t>
            </w:r>
            <w:r>
              <w:rPr>
                <w:rFonts w:ascii="FangSong_GB2312" w:hAnsi="FangSong_GB2312" w:eastAsia="FangSong_GB2312" w:cs="FangSong_GB2312"/>
                <w:sz w:val="24"/>
                <w:szCs w:val="24"/>
                <w:spacing w:val="-4"/>
              </w:rPr>
              <w:t>其他生产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经营者超过许可排放浓度、许可排放量排放污染物</w:t>
            </w:r>
            <w:r>
              <w:rPr>
                <w:rFonts w:ascii="FangSong_GB2312" w:hAnsi="FangSong_GB2312" w:eastAsia="FangSong_GB2312" w:cs="FangSong_GB2312"/>
                <w:sz w:val="24"/>
                <w:szCs w:val="24"/>
                <w:spacing w:val="-1"/>
              </w:rPr>
              <w:t>或者未取得排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污许可证排放污染物的，由生态环境主管部门责令</w:t>
            </w:r>
            <w:r>
              <w:rPr>
                <w:rFonts w:ascii="FangSong_GB2312" w:hAnsi="FangSong_GB2312" w:eastAsia="FangSong_GB2312" w:cs="FangSong_GB2312"/>
                <w:sz w:val="24"/>
                <w:szCs w:val="24"/>
                <w:spacing w:val="-1"/>
              </w:rPr>
              <w:t>改正或者限制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生产、停产整治，并处五十万元以上一百万元以下</w:t>
            </w:r>
            <w:r>
              <w:rPr>
                <w:rFonts w:ascii="FangSong_GB2312" w:hAnsi="FangSong_GB2312" w:eastAsia="FangSong_GB2312" w:cs="FangSong_GB2312"/>
                <w:sz w:val="24"/>
                <w:szCs w:val="24"/>
                <w:spacing w:val="-1"/>
              </w:rPr>
              <w:t>的罚款；情节</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严重的，除依法吊销排污许可证以外，还应报经有</w:t>
            </w:r>
            <w:r>
              <w:rPr>
                <w:rFonts w:ascii="FangSong_GB2312" w:hAnsi="FangSong_GB2312" w:eastAsia="FangSong_GB2312" w:cs="FangSong_GB2312"/>
                <w:sz w:val="24"/>
                <w:szCs w:val="24"/>
                <w:spacing w:val="-1"/>
              </w:rPr>
              <w:t>批准权的人民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政府批准，责令停业、关闭。</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5" w:right="122" w:hanging="360"/>
              <w:spacing w:before="21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472" w:right="223" w:hanging="247"/>
              <w:spacing w:before="21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超过水污染物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排放标准</w:t>
            </w:r>
          </w:p>
        </w:tc>
        <w:tc>
          <w:tcPr>
            <w:tcW w:w="792" w:type="dxa"/>
            <w:vAlign w:val="top"/>
            <w:vMerge w:val="restart"/>
            <w:tcBorders>
              <w:bottom w:val="nil"/>
            </w:tcBorders>
          </w:tcPr>
          <w:p>
            <w:pPr>
              <w:spacing w:line="289" w:lineRule="auto"/>
              <w:rPr>
                <w:rFonts w:ascii="Arial"/>
                <w:sz w:val="21"/>
              </w:rPr>
            </w:pPr>
            <w:r/>
          </w:p>
          <w:p>
            <w:pPr>
              <w:ind w:left="24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0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超标一倍以内的</w:t>
            </w:r>
          </w:p>
        </w:tc>
        <w:tc>
          <w:tcPr>
            <w:tcW w:w="1122" w:type="dxa"/>
            <w:vAlign w:val="top"/>
          </w:tcPr>
          <w:p>
            <w:pPr>
              <w:ind w:left="28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0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超标一倍以上二倍以下的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2"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09"/>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超标两倍以上的</w:t>
            </w:r>
          </w:p>
        </w:tc>
        <w:tc>
          <w:tcPr>
            <w:tcW w:w="1122" w:type="dxa"/>
            <w:vAlign w:val="top"/>
          </w:tcPr>
          <w:p>
            <w:pPr>
              <w:ind w:left="16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19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639" w:hRule="atLeast"/>
        </w:trPr>
        <w:tc>
          <w:tcPr>
            <w:tcW w:w="1454" w:type="dxa"/>
            <w:vAlign w:val="top"/>
            <w:vMerge w:val="restart"/>
            <w:tcBorders>
              <w:bottom w:val="nil"/>
            </w:tcBorders>
          </w:tcPr>
          <w:p>
            <w:pPr>
              <w:rPr>
                <w:rFonts w:ascii="Arial"/>
                <w:sz w:val="21"/>
              </w:rPr>
            </w:pPr>
            <w:r/>
          </w:p>
        </w:tc>
        <w:tc>
          <w:tcPr>
            <w:tcW w:w="1889"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ind w:left="471" w:right="223" w:hanging="242"/>
              <w:spacing w:before="7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环境影响评价</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项目类型</w:t>
            </w:r>
          </w:p>
        </w:tc>
        <w:tc>
          <w:tcPr>
            <w:tcW w:w="792"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4" w:right="211" w:hanging="9"/>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列入环境影响登记表类项目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4"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4" w:right="211" w:hanging="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219"/>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4"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211" w:hanging="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列入环境影响报告书类项目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16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restart"/>
            <w:tcBorders>
              <w:bottom w:val="nil"/>
            </w:tcBorders>
          </w:tcPr>
          <w:p>
            <w:pPr>
              <w:spacing w:line="446"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3" w:lineRule="auto"/>
              <w:rPr>
                <w:rFonts w:ascii="Arial"/>
                <w:sz w:val="21"/>
              </w:rPr>
            </w:pPr>
            <w:r/>
          </w:p>
          <w:p>
            <w:pPr>
              <w:ind w:left="835" w:right="22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6"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3" w:lineRule="auto"/>
              <w:rPr>
                <w:rFonts w:ascii="Arial"/>
                <w:sz w:val="21"/>
              </w:rPr>
            </w:pPr>
            <w:r/>
          </w:p>
          <w:p>
            <w:pPr>
              <w:ind w:left="2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2"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95" w:hRule="atLeast"/>
        </w:trPr>
        <w:tc>
          <w:tcPr>
            <w:tcW w:w="1454" w:type="dxa"/>
            <w:vAlign w:val="top"/>
            <w:vMerge w:val="restart"/>
            <w:tcBorders>
              <w:bottom w:val="nil"/>
            </w:tcBorders>
          </w:tcPr>
          <w:p>
            <w:pPr>
              <w:ind w:left="135"/>
              <w:spacing w:before="17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7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407"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2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3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712"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103" w:hanging="20"/>
              <w:spacing w:before="7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ind w:left="98"/>
        <w:spacing w:before="52" w:line="222" w:lineRule="auto"/>
        <w:rPr>
          <w:rFonts w:ascii="FangSong_GB2312" w:hAnsi="FangSong_GB2312" w:eastAsia="FangSong_GB2312" w:cs="FangSong_GB2312"/>
          <w:sz w:val="20"/>
          <w:szCs w:val="20"/>
        </w:rPr>
      </w:pPr>
      <w:r>
        <w:rPr>
          <w:rFonts w:ascii="FangSong_GB2312" w:hAnsi="FangSong_GB2312" w:eastAsia="FangSong_GB2312" w:cs="FangSong_GB2312"/>
          <w:sz w:val="20"/>
          <w:szCs w:val="20"/>
          <w:spacing w:val="8"/>
        </w:rPr>
        <w:t>注释：污染物超标以超标幅度最高的因子为准。</w:t>
      </w:r>
    </w:p>
    <w:p>
      <w:pPr>
        <w:ind w:left="102" w:right="1516" w:firstLine="5"/>
        <w:spacing w:before="76" w:line="273" w:lineRule="auto"/>
        <w:rPr>
          <w:rFonts w:ascii="FangSong_GB2312" w:hAnsi="FangSong_GB2312" w:eastAsia="FangSong_GB2312" w:cs="FangSong_GB2312"/>
          <w:sz w:val="20"/>
          <w:szCs w:val="20"/>
        </w:rPr>
      </w:pPr>
      <w:r>
        <w:rPr>
          <w:rFonts w:ascii="FangSong_GB2312" w:hAnsi="FangSong_GB2312" w:eastAsia="FangSong_GB2312" w:cs="FangSong_GB2312"/>
          <w:sz w:val="20"/>
          <w:szCs w:val="20"/>
          <w:spacing w:val="2"/>
        </w:rPr>
        <w:t>1.当</w:t>
      </w:r>
      <w:r>
        <w:rPr>
          <w:rFonts w:ascii="FangSong_GB2312" w:hAnsi="FangSong_GB2312" w:eastAsia="FangSong_GB2312" w:cs="FangSong_GB2312"/>
          <w:sz w:val="20"/>
          <w:szCs w:val="20"/>
          <w:spacing w:val="-26"/>
        </w:rPr>
        <w:t xml:space="preserve"> </w:t>
      </w:r>
      <w:r>
        <w:rPr>
          <w:rFonts w:ascii="FangSong_GB2312" w:hAnsi="FangSong_GB2312" w:eastAsia="FangSong_GB2312" w:cs="FangSong_GB2312"/>
          <w:sz w:val="20"/>
          <w:szCs w:val="20"/>
          <w:spacing w:val="2"/>
        </w:rPr>
        <w:t>10≤</w:t>
      </w:r>
      <w:r>
        <w:rPr>
          <w:rFonts w:ascii="FangSong_GB2312" w:hAnsi="FangSong_GB2312" w:eastAsia="FangSong_GB2312" w:cs="FangSong_GB2312"/>
          <w:sz w:val="20"/>
          <w:szCs w:val="20"/>
        </w:rPr>
        <w:t>pH</w:t>
      </w:r>
      <w:r>
        <w:rPr>
          <w:rFonts w:ascii="FangSong_GB2312" w:hAnsi="FangSong_GB2312" w:eastAsia="FangSong_GB2312" w:cs="FangSong_GB2312"/>
          <w:sz w:val="20"/>
          <w:szCs w:val="20"/>
          <w:spacing w:val="2"/>
        </w:rPr>
        <w:t>＜10.5，或</w:t>
      </w:r>
      <w:r>
        <w:rPr>
          <w:rFonts w:ascii="FangSong_GB2312" w:hAnsi="FangSong_GB2312" w:eastAsia="FangSong_GB2312" w:cs="FangSong_GB2312"/>
          <w:sz w:val="20"/>
          <w:szCs w:val="20"/>
          <w:spacing w:val="-29"/>
        </w:rPr>
        <w:t xml:space="preserve"> </w:t>
      </w:r>
      <w:r>
        <w:rPr>
          <w:rFonts w:ascii="FangSong_GB2312" w:hAnsi="FangSong_GB2312" w:eastAsia="FangSong_GB2312" w:cs="FangSong_GB2312"/>
          <w:sz w:val="20"/>
          <w:szCs w:val="20"/>
          <w:spacing w:val="2"/>
        </w:rPr>
        <w:t>4.5</w:t>
      </w:r>
      <w:r>
        <w:rPr>
          <w:rFonts w:ascii="FangSong_GB2312" w:hAnsi="FangSong_GB2312" w:eastAsia="FangSong_GB2312" w:cs="FangSong_GB2312"/>
          <w:sz w:val="20"/>
          <w:szCs w:val="20"/>
          <w:spacing w:val="-49"/>
        </w:rPr>
        <w:t xml:space="preserve"> </w:t>
      </w:r>
      <w:r>
        <w:rPr>
          <w:rFonts w:ascii="FangSong_GB2312" w:hAnsi="FangSong_GB2312" w:eastAsia="FangSong_GB2312" w:cs="FangSong_GB2312"/>
          <w:sz w:val="20"/>
          <w:szCs w:val="20"/>
          <w:spacing w:val="2"/>
        </w:rPr>
        <w:t>＜</w:t>
      </w:r>
      <w:r>
        <w:rPr>
          <w:rFonts w:ascii="FangSong_GB2312" w:hAnsi="FangSong_GB2312" w:eastAsia="FangSong_GB2312" w:cs="FangSong_GB2312"/>
          <w:sz w:val="20"/>
          <w:szCs w:val="20"/>
        </w:rPr>
        <w:t>pH</w:t>
      </w:r>
      <w:r>
        <w:rPr>
          <w:rFonts w:ascii="FangSong_GB2312" w:hAnsi="FangSong_GB2312" w:eastAsia="FangSong_GB2312" w:cs="FangSong_GB2312"/>
          <w:sz w:val="20"/>
          <w:szCs w:val="20"/>
          <w:spacing w:val="-48"/>
        </w:rPr>
        <w:t xml:space="preserve"> </w:t>
      </w:r>
      <w:r>
        <w:rPr>
          <w:rFonts w:ascii="FangSong_GB2312" w:hAnsi="FangSong_GB2312" w:eastAsia="FangSong_GB2312" w:cs="FangSong_GB2312"/>
          <w:sz w:val="20"/>
          <w:szCs w:val="20"/>
          <w:spacing w:val="2"/>
        </w:rPr>
        <w:t>≤</w:t>
      </w:r>
      <w:r>
        <w:rPr>
          <w:rFonts w:ascii="FangSong_GB2312" w:hAnsi="FangSong_GB2312" w:eastAsia="FangSong_GB2312" w:cs="FangSong_GB2312"/>
          <w:sz w:val="20"/>
          <w:szCs w:val="20"/>
          <w:spacing w:val="-79"/>
        </w:rPr>
        <w:t xml:space="preserve"> </w:t>
      </w:r>
      <w:r>
        <w:rPr>
          <w:rFonts w:ascii="FangSong_GB2312" w:hAnsi="FangSong_GB2312" w:eastAsia="FangSong_GB2312" w:cs="FangSong_GB2312"/>
          <w:sz w:val="20"/>
          <w:szCs w:val="20"/>
          <w:spacing w:val="2"/>
        </w:rPr>
        <w:t>5，适用污</w:t>
      </w:r>
      <w:r>
        <w:rPr>
          <w:rFonts w:ascii="FangSong_GB2312" w:hAnsi="FangSong_GB2312" w:eastAsia="FangSong_GB2312" w:cs="FangSong_GB2312"/>
          <w:sz w:val="20"/>
          <w:szCs w:val="20"/>
          <w:spacing w:val="1"/>
        </w:rPr>
        <w:t>染因子超标</w:t>
      </w:r>
      <w:r>
        <w:rPr>
          <w:rFonts w:ascii="FangSong_GB2312" w:hAnsi="FangSong_GB2312" w:eastAsia="FangSong_GB2312" w:cs="FangSong_GB2312"/>
          <w:sz w:val="20"/>
          <w:szCs w:val="20"/>
          <w:spacing w:val="-26"/>
        </w:rPr>
        <w:t xml:space="preserve"> </w:t>
      </w:r>
      <w:r>
        <w:rPr>
          <w:rFonts w:ascii="FangSong_GB2312" w:hAnsi="FangSong_GB2312" w:eastAsia="FangSong_GB2312" w:cs="FangSong_GB2312"/>
          <w:sz w:val="20"/>
          <w:szCs w:val="20"/>
          <w:spacing w:val="1"/>
        </w:rPr>
        <w:t>1</w:t>
      </w:r>
      <w:r>
        <w:rPr>
          <w:rFonts w:ascii="FangSong_GB2312" w:hAnsi="FangSong_GB2312" w:eastAsia="FangSong_GB2312" w:cs="FangSong_GB2312"/>
          <w:sz w:val="20"/>
          <w:szCs w:val="20"/>
          <w:spacing w:val="-40"/>
        </w:rPr>
        <w:t xml:space="preserve"> </w:t>
      </w:r>
      <w:r>
        <w:rPr>
          <w:rFonts w:ascii="FangSong_GB2312" w:hAnsi="FangSong_GB2312" w:eastAsia="FangSong_GB2312" w:cs="FangSong_GB2312"/>
          <w:sz w:val="20"/>
          <w:szCs w:val="20"/>
          <w:spacing w:val="1"/>
        </w:rPr>
        <w:t>倍以内的裁定范围；</w:t>
      </w:r>
      <w:r>
        <w:rPr>
          <w:rFonts w:ascii="FangSong_GB2312" w:hAnsi="FangSong_GB2312" w:eastAsia="FangSong_GB2312" w:cs="FangSong_GB2312"/>
          <w:sz w:val="20"/>
          <w:szCs w:val="20"/>
        </w:rPr>
        <w:t xml:space="preserve"> </w:t>
      </w:r>
      <w:r>
        <w:rPr>
          <w:rFonts w:ascii="FangSong_GB2312" w:hAnsi="FangSong_GB2312" w:eastAsia="FangSong_GB2312" w:cs="FangSong_GB2312"/>
          <w:sz w:val="20"/>
          <w:szCs w:val="20"/>
          <w:spacing w:val="3"/>
        </w:rPr>
        <w:t>2.当</w:t>
      </w:r>
      <w:r>
        <w:rPr>
          <w:rFonts w:ascii="FangSong_GB2312" w:hAnsi="FangSong_GB2312" w:eastAsia="FangSong_GB2312" w:cs="FangSong_GB2312"/>
          <w:sz w:val="20"/>
          <w:szCs w:val="20"/>
          <w:spacing w:val="-16"/>
        </w:rPr>
        <w:t xml:space="preserve"> </w:t>
      </w:r>
      <w:r>
        <w:rPr>
          <w:rFonts w:ascii="FangSong_GB2312" w:hAnsi="FangSong_GB2312" w:eastAsia="FangSong_GB2312" w:cs="FangSong_GB2312"/>
          <w:sz w:val="20"/>
          <w:szCs w:val="20"/>
          <w:spacing w:val="3"/>
        </w:rPr>
        <w:t>10.5</w:t>
      </w:r>
      <w:r>
        <w:rPr>
          <w:rFonts w:ascii="FangSong_GB2312" w:hAnsi="FangSong_GB2312" w:eastAsia="FangSong_GB2312" w:cs="FangSong_GB2312"/>
          <w:sz w:val="20"/>
          <w:szCs w:val="20"/>
          <w:spacing w:val="-48"/>
        </w:rPr>
        <w:t xml:space="preserve"> </w:t>
      </w:r>
      <w:r>
        <w:rPr>
          <w:rFonts w:ascii="FangSong_GB2312" w:hAnsi="FangSong_GB2312" w:eastAsia="FangSong_GB2312" w:cs="FangSong_GB2312"/>
          <w:sz w:val="20"/>
          <w:szCs w:val="20"/>
          <w:spacing w:val="3"/>
        </w:rPr>
        <w:t>≤</w:t>
      </w:r>
      <w:r>
        <w:rPr>
          <w:rFonts w:ascii="FangSong_GB2312" w:hAnsi="FangSong_GB2312" w:eastAsia="FangSong_GB2312" w:cs="FangSong_GB2312"/>
          <w:sz w:val="20"/>
          <w:szCs w:val="20"/>
        </w:rPr>
        <w:t>pH</w:t>
      </w:r>
      <w:r>
        <w:rPr>
          <w:rFonts w:ascii="FangSong_GB2312" w:hAnsi="FangSong_GB2312" w:eastAsia="FangSong_GB2312" w:cs="FangSong_GB2312"/>
          <w:sz w:val="20"/>
          <w:szCs w:val="20"/>
          <w:spacing w:val="3"/>
        </w:rPr>
        <w:t>＜11，或</w:t>
      </w:r>
      <w:r>
        <w:rPr>
          <w:rFonts w:ascii="FangSong_GB2312" w:hAnsi="FangSong_GB2312" w:eastAsia="FangSong_GB2312" w:cs="FangSong_GB2312"/>
          <w:sz w:val="20"/>
          <w:szCs w:val="20"/>
          <w:spacing w:val="-30"/>
        </w:rPr>
        <w:t xml:space="preserve"> </w:t>
      </w:r>
      <w:r>
        <w:rPr>
          <w:rFonts w:ascii="FangSong_GB2312" w:hAnsi="FangSong_GB2312" w:eastAsia="FangSong_GB2312" w:cs="FangSong_GB2312"/>
          <w:sz w:val="20"/>
          <w:szCs w:val="20"/>
          <w:spacing w:val="3"/>
        </w:rPr>
        <w:t>4＜</w:t>
      </w:r>
      <w:r>
        <w:rPr>
          <w:rFonts w:ascii="FangSong_GB2312" w:hAnsi="FangSong_GB2312" w:eastAsia="FangSong_GB2312" w:cs="FangSong_GB2312"/>
          <w:sz w:val="20"/>
          <w:szCs w:val="20"/>
        </w:rPr>
        <w:t>pH</w:t>
      </w:r>
      <w:r>
        <w:rPr>
          <w:rFonts w:ascii="FangSong_GB2312" w:hAnsi="FangSong_GB2312" w:eastAsia="FangSong_GB2312" w:cs="FangSong_GB2312"/>
          <w:sz w:val="20"/>
          <w:szCs w:val="20"/>
          <w:spacing w:val="-46"/>
        </w:rPr>
        <w:t xml:space="preserve"> </w:t>
      </w:r>
      <w:r>
        <w:rPr>
          <w:rFonts w:ascii="FangSong_GB2312" w:hAnsi="FangSong_GB2312" w:eastAsia="FangSong_GB2312" w:cs="FangSong_GB2312"/>
          <w:sz w:val="20"/>
          <w:szCs w:val="20"/>
          <w:spacing w:val="3"/>
        </w:rPr>
        <w:t>≤4.5，适用污染因子超标</w:t>
      </w:r>
      <w:r>
        <w:rPr>
          <w:rFonts w:ascii="FangSong_GB2312" w:hAnsi="FangSong_GB2312" w:eastAsia="FangSong_GB2312" w:cs="FangSong_GB2312"/>
          <w:sz w:val="20"/>
          <w:szCs w:val="20"/>
          <w:spacing w:val="-26"/>
        </w:rPr>
        <w:t xml:space="preserve"> </w:t>
      </w:r>
      <w:r>
        <w:rPr>
          <w:rFonts w:ascii="FangSong_GB2312" w:hAnsi="FangSong_GB2312" w:eastAsia="FangSong_GB2312" w:cs="FangSong_GB2312"/>
          <w:sz w:val="20"/>
          <w:szCs w:val="20"/>
          <w:spacing w:val="3"/>
        </w:rPr>
        <w:t>1-2</w:t>
      </w:r>
      <w:r>
        <w:rPr>
          <w:rFonts w:ascii="FangSong_GB2312" w:hAnsi="FangSong_GB2312" w:eastAsia="FangSong_GB2312" w:cs="FangSong_GB2312"/>
          <w:sz w:val="20"/>
          <w:szCs w:val="20"/>
          <w:spacing w:val="-42"/>
        </w:rPr>
        <w:t xml:space="preserve"> </w:t>
      </w:r>
      <w:r>
        <w:rPr>
          <w:rFonts w:ascii="FangSong_GB2312" w:hAnsi="FangSong_GB2312" w:eastAsia="FangSong_GB2312" w:cs="FangSong_GB2312"/>
          <w:sz w:val="20"/>
          <w:szCs w:val="20"/>
          <w:spacing w:val="3"/>
        </w:rPr>
        <w:t>倍的裁定范围；</w:t>
      </w:r>
    </w:p>
    <w:p>
      <w:pPr>
        <w:ind w:left="110"/>
        <w:spacing w:before="36" w:line="222" w:lineRule="auto"/>
        <w:rPr>
          <w:rFonts w:ascii="FangSong_GB2312" w:hAnsi="FangSong_GB2312" w:eastAsia="FangSong_GB2312" w:cs="FangSong_GB2312"/>
          <w:sz w:val="20"/>
          <w:szCs w:val="20"/>
        </w:rPr>
      </w:pPr>
      <w:r>
        <w:rPr>
          <w:rFonts w:ascii="FangSong_GB2312" w:hAnsi="FangSong_GB2312" w:eastAsia="FangSong_GB2312" w:cs="FangSong_GB2312"/>
          <w:sz w:val="20"/>
          <w:szCs w:val="20"/>
          <w:spacing w:val="2"/>
        </w:rPr>
        <w:t>3.当</w:t>
      </w:r>
      <w:r>
        <w:rPr>
          <w:rFonts w:ascii="FangSong_GB2312" w:hAnsi="FangSong_GB2312" w:eastAsia="FangSong_GB2312" w:cs="FangSong_GB2312"/>
          <w:sz w:val="20"/>
          <w:szCs w:val="20"/>
          <w:spacing w:val="-23"/>
        </w:rPr>
        <w:t xml:space="preserve"> </w:t>
      </w:r>
      <w:r>
        <w:rPr>
          <w:rFonts w:ascii="FangSong_GB2312" w:hAnsi="FangSong_GB2312" w:eastAsia="FangSong_GB2312" w:cs="FangSong_GB2312"/>
          <w:sz w:val="20"/>
          <w:szCs w:val="20"/>
        </w:rPr>
        <w:t>pH</w:t>
      </w:r>
      <w:r>
        <w:rPr>
          <w:rFonts w:ascii="FangSong_GB2312" w:hAnsi="FangSong_GB2312" w:eastAsia="FangSong_GB2312" w:cs="FangSong_GB2312"/>
          <w:sz w:val="20"/>
          <w:szCs w:val="20"/>
          <w:spacing w:val="-46"/>
        </w:rPr>
        <w:t xml:space="preserve"> </w:t>
      </w:r>
      <w:r>
        <w:rPr>
          <w:rFonts w:ascii="FangSong_GB2312" w:hAnsi="FangSong_GB2312" w:eastAsia="FangSong_GB2312" w:cs="FangSong_GB2312"/>
          <w:sz w:val="20"/>
          <w:szCs w:val="20"/>
          <w:spacing w:val="2"/>
        </w:rPr>
        <w:t>≥</w:t>
      </w:r>
      <w:r>
        <w:rPr>
          <w:rFonts w:ascii="FangSong_GB2312" w:hAnsi="FangSong_GB2312" w:eastAsia="FangSong_GB2312" w:cs="FangSong_GB2312"/>
          <w:sz w:val="20"/>
          <w:szCs w:val="20"/>
          <w:spacing w:val="-79"/>
        </w:rPr>
        <w:t xml:space="preserve"> </w:t>
      </w:r>
      <w:r>
        <w:rPr>
          <w:rFonts w:ascii="FangSong_GB2312" w:hAnsi="FangSong_GB2312" w:eastAsia="FangSong_GB2312" w:cs="FangSong_GB2312"/>
          <w:sz w:val="20"/>
          <w:szCs w:val="20"/>
          <w:spacing w:val="2"/>
        </w:rPr>
        <w:t>11，或</w:t>
      </w:r>
      <w:r>
        <w:rPr>
          <w:rFonts w:ascii="FangSong_GB2312" w:hAnsi="FangSong_GB2312" w:eastAsia="FangSong_GB2312" w:cs="FangSong_GB2312"/>
          <w:sz w:val="20"/>
          <w:szCs w:val="20"/>
          <w:spacing w:val="-32"/>
        </w:rPr>
        <w:t xml:space="preserve"> </w:t>
      </w:r>
      <w:r>
        <w:rPr>
          <w:rFonts w:ascii="FangSong_GB2312" w:hAnsi="FangSong_GB2312" w:eastAsia="FangSong_GB2312" w:cs="FangSong_GB2312"/>
          <w:sz w:val="20"/>
          <w:szCs w:val="20"/>
        </w:rPr>
        <w:t>pH</w:t>
      </w:r>
      <w:r>
        <w:rPr>
          <w:rFonts w:ascii="FangSong_GB2312" w:hAnsi="FangSong_GB2312" w:eastAsia="FangSong_GB2312" w:cs="FangSong_GB2312"/>
          <w:sz w:val="20"/>
          <w:szCs w:val="20"/>
          <w:spacing w:val="-48"/>
        </w:rPr>
        <w:t xml:space="preserve"> </w:t>
      </w:r>
      <w:r>
        <w:rPr>
          <w:rFonts w:ascii="FangSong_GB2312" w:hAnsi="FangSong_GB2312" w:eastAsia="FangSong_GB2312" w:cs="FangSong_GB2312"/>
          <w:sz w:val="20"/>
          <w:szCs w:val="20"/>
          <w:spacing w:val="2"/>
        </w:rPr>
        <w:t>≤4，可视作污染因子超标</w:t>
      </w:r>
      <w:r>
        <w:rPr>
          <w:rFonts w:ascii="FangSong_GB2312" w:hAnsi="FangSong_GB2312" w:eastAsia="FangSong_GB2312" w:cs="FangSong_GB2312"/>
          <w:sz w:val="20"/>
          <w:szCs w:val="20"/>
          <w:spacing w:val="-29"/>
        </w:rPr>
        <w:t xml:space="preserve"> </w:t>
      </w:r>
      <w:r>
        <w:rPr>
          <w:rFonts w:ascii="FangSong_GB2312" w:hAnsi="FangSong_GB2312" w:eastAsia="FangSong_GB2312" w:cs="FangSong_GB2312"/>
          <w:sz w:val="20"/>
          <w:szCs w:val="20"/>
          <w:spacing w:val="2"/>
        </w:rPr>
        <w:t>2</w:t>
      </w:r>
      <w:r>
        <w:rPr>
          <w:rFonts w:ascii="FangSong_GB2312" w:hAnsi="FangSong_GB2312" w:eastAsia="FangSong_GB2312" w:cs="FangSong_GB2312"/>
          <w:sz w:val="20"/>
          <w:szCs w:val="20"/>
          <w:spacing w:val="-40"/>
        </w:rPr>
        <w:t xml:space="preserve"> </w:t>
      </w:r>
      <w:r>
        <w:rPr>
          <w:rFonts w:ascii="FangSong_GB2312" w:hAnsi="FangSong_GB2312" w:eastAsia="FangSong_GB2312" w:cs="FangSong_GB2312"/>
          <w:sz w:val="20"/>
          <w:szCs w:val="20"/>
          <w:spacing w:val="2"/>
        </w:rPr>
        <w:t>倍以上的裁定范围。</w:t>
      </w:r>
    </w:p>
    <w:p>
      <w:pPr>
        <w:spacing w:line="222" w:lineRule="auto"/>
        <w:sectPr>
          <w:footerReference w:type="default" r:id="rId199"/>
          <w:pgSz w:w="11905" w:h="16839"/>
          <w:pgMar w:top="1431" w:right="1785" w:bottom="1156" w:left="1330" w:header="0" w:footer="994" w:gutter="0"/>
        </w:sectPr>
        <w:rPr>
          <w:rFonts w:ascii="FangSong_GB2312" w:hAnsi="FangSong_GB2312" w:eastAsia="FangSong_GB2312" w:cs="FangSong_GB2312"/>
          <w:sz w:val="20"/>
          <w:szCs w:val="20"/>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101</w:t>
            </w:r>
          </w:p>
        </w:tc>
      </w:tr>
      <w:tr>
        <w:trPr>
          <w:trHeight w:val="949" w:hRule="atLeast"/>
        </w:trPr>
        <w:tc>
          <w:tcPr>
            <w:tcW w:w="1454" w:type="dxa"/>
            <w:vAlign w:val="top"/>
          </w:tcPr>
          <w:p>
            <w:pPr>
              <w:spacing w:line="242"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1" w:right="46" w:hanging="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利用渗井、渗坑、裂隙、溶洞，私设暗管，篡改、伪造监测数</w:t>
            </w:r>
            <w:r>
              <w:rPr>
                <w:rFonts w:ascii="FangSong_GB2312" w:hAnsi="FangSong_GB2312" w:eastAsia="FangSong_GB2312" w:cs="FangSong_GB2312"/>
                <w:sz w:val="24"/>
                <w:szCs w:val="24"/>
                <w:spacing w:val="-5"/>
              </w:rPr>
              <w:t>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或者不正常运行水污染防治设施等逃避监管的方式排放水污染物</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rPr>
              <w:t>的</w:t>
            </w:r>
          </w:p>
        </w:tc>
      </w:tr>
      <w:tr>
        <w:trPr>
          <w:trHeight w:val="10399" w:hRule="atLeast"/>
        </w:trPr>
        <w:tc>
          <w:tcPr>
            <w:tcW w:w="145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5" w:right="35" w:firstLine="9"/>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第三十九条</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9"/>
              </w:rPr>
              <w:t>禁止利用渗井、渗坑、裂隙、溶洞，私设暗管，篡改、</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伪造监测数据，或者不正常运行水污染防治设施等逃避监管的方</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式排放水污染物。</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7" w:right="46" w:firstLine="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民政府环境保护主管部门责令改正或者责</w:t>
            </w:r>
            <w:r>
              <w:rPr>
                <w:rFonts w:ascii="FangSong_GB2312" w:hAnsi="FangSong_GB2312" w:eastAsia="FangSong_GB2312" w:cs="FangSong_GB2312"/>
                <w:sz w:val="24"/>
                <w:szCs w:val="24"/>
                <w:spacing w:val="-5"/>
              </w:rPr>
              <w:t>令限制生产、停产整治，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并处十万元以上一百万元以下的罚款；情节严重的，报经有批准</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权的人民政府批准，责令停业、关闭：</w:t>
            </w:r>
          </w:p>
          <w:p>
            <w:pPr>
              <w:ind w:left="117" w:right="106" w:hanging="10"/>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（三)利用渗井、渗坑、裂隙、溶洞，私设暗管，篡改、伪造监测</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数据，或者不正常运行水污染防治设施等逃避监管的方式排放水</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污染物的；</w:t>
            </w:r>
          </w:p>
          <w:p>
            <w:pPr>
              <w:spacing w:line="273"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4"/>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禁止下列污染地表水体和地下水</w:t>
            </w:r>
            <w:r>
              <w:rPr>
                <w:rFonts w:ascii="FangSong_GB2312" w:hAnsi="FangSong_GB2312" w:eastAsia="FangSong_GB2312" w:cs="FangSong_GB2312"/>
                <w:sz w:val="24"/>
                <w:szCs w:val="24"/>
                <w:spacing w:val="-2"/>
              </w:rPr>
              <w:t>体的行为：</w:t>
            </w:r>
          </w:p>
          <w:p>
            <w:pPr>
              <w:ind w:left="110" w:right="176" w:hanging="3"/>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（九）利用渗井、渗坑、裂隙、溶洞，私设暗管</w:t>
            </w:r>
            <w:r>
              <w:rPr>
                <w:rFonts w:ascii="FangSong_GB2312" w:hAnsi="FangSong_GB2312" w:eastAsia="FangSong_GB2312" w:cs="FangSong_GB2312"/>
                <w:sz w:val="24"/>
                <w:szCs w:val="24"/>
                <w:spacing w:val="-1"/>
              </w:rPr>
              <w:t>，篡改、伪造监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测数据，或者不正常运行水污染防治设施等逃避监管的方式排放</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2"/>
              </w:rPr>
              <w:t>水污染物；</w:t>
            </w:r>
          </w:p>
          <w:p>
            <w:pPr>
              <w:spacing w:line="270"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12" w:right="106" w:firstLine="12"/>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违反本条例规定，有下列行为之一的，由环境保护主管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部门责令改正或者责令限制生产、停产整治，并处二十万元以上</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一百万元以下的罚款；情节严重的，报经有批准权的人民政府批</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准，责令停业、关闭：</w:t>
            </w:r>
          </w:p>
          <w:p>
            <w:pPr>
              <w:ind w:left="110" w:right="176" w:hanging="3"/>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（三）利用渗井、渗坑、裂隙、溶洞，私设暗管</w:t>
            </w:r>
            <w:r>
              <w:rPr>
                <w:rFonts w:ascii="FangSong_GB2312" w:hAnsi="FangSong_GB2312" w:eastAsia="FangSong_GB2312" w:cs="FangSong_GB2312"/>
                <w:sz w:val="24"/>
                <w:szCs w:val="24"/>
                <w:spacing w:val="-1"/>
              </w:rPr>
              <w:t>，篡改、伪造监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测数据，或者不正常运行水污染防治设施等逃避监管的方式排放</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2"/>
              </w:rPr>
              <w:t>水污染物的；</w:t>
            </w:r>
          </w:p>
          <w:p>
            <w:pPr>
              <w:spacing w:line="273" w:lineRule="auto"/>
              <w:rPr>
                <w:rFonts w:ascii="Arial"/>
                <w:sz w:val="21"/>
              </w:rPr>
            </w:pPr>
            <w:r/>
          </w:p>
          <w:p>
            <w:pPr>
              <w:ind w:left="12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5.《河北省生态环境保护条例》</w:t>
            </w:r>
          </w:p>
          <w:p>
            <w:pPr>
              <w:ind w:left="115" w:right="171" w:firstLine="9"/>
              <w:spacing w:before="39"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违反本条例规定，企业事业单位和其他生产经营者有</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下列行为之一的，受到罚款处罚，被责令改正拒不改正的，依法</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作出处罚决定的行政主管部门可以自责令改正之日的次日起，按</w:t>
            </w:r>
          </w:p>
        </w:tc>
      </w:tr>
    </w:tbl>
    <w:p>
      <w:pPr>
        <w:pStyle w:val="BodyText"/>
        <w:rPr/>
      </w:pPr>
      <w:r/>
    </w:p>
    <w:p>
      <w:pPr>
        <w:sectPr>
          <w:footerReference w:type="default" r:id="rId200"/>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4418" w:hRule="atLeast"/>
        </w:trPr>
        <w:tc>
          <w:tcPr>
            <w:tcW w:w="1454" w:type="dxa"/>
            <w:vAlign w:val="top"/>
          </w:tcPr>
          <w:p>
            <w:pPr>
              <w:rPr>
                <w:rFonts w:ascii="Arial"/>
                <w:sz w:val="21"/>
              </w:rPr>
            </w:pPr>
            <w:r/>
          </w:p>
        </w:tc>
        <w:tc>
          <w:tcPr>
            <w:tcW w:w="7004" w:type="dxa"/>
            <w:vAlign w:val="top"/>
            <w:gridSpan w:val="4"/>
          </w:tcPr>
          <w:p>
            <w:pPr>
              <w:ind w:left="129"/>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照原处罚数额按日连续处罚：</w:t>
            </w:r>
          </w:p>
          <w:p>
            <w:pPr>
              <w:ind w:left="111" w:right="235" w:hanging="4"/>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（三）通过暗管、渗井、渗坑、灌注或者篡改、伪造监测数据，</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或者不正常运行防治污染设施等逃避监管的方式排放污染物的;</w:t>
            </w:r>
          </w:p>
          <w:p>
            <w:pPr>
              <w:ind w:left="123"/>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6.</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b/>
                <w:bCs/>
                <w:spacing w:val="-3"/>
              </w:rPr>
              <w:t>《白洋淀生态环境治理和保护条例》</w:t>
            </w:r>
          </w:p>
          <w:p>
            <w:pPr>
              <w:ind w:left="124"/>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白洋淀流域内禁止下列污染</w:t>
            </w:r>
            <w:r>
              <w:rPr>
                <w:rFonts w:ascii="FangSong_GB2312" w:hAnsi="FangSong_GB2312" w:eastAsia="FangSong_GB2312" w:cs="FangSong_GB2312"/>
                <w:sz w:val="24"/>
                <w:szCs w:val="24"/>
                <w:spacing w:val="-2"/>
              </w:rPr>
              <w:t>水体的行为：</w:t>
            </w:r>
          </w:p>
          <w:p>
            <w:pPr>
              <w:ind w:left="112" w:right="176" w:hanging="5"/>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（九）利用渗井、渗坑、裂隙、溶洞等，私设暗</w:t>
            </w:r>
            <w:r>
              <w:rPr>
                <w:rFonts w:ascii="FangSong_GB2312" w:hAnsi="FangSong_GB2312" w:eastAsia="FangSong_GB2312" w:cs="FangSong_GB2312"/>
                <w:sz w:val="24"/>
                <w:szCs w:val="24"/>
                <w:spacing w:val="-1"/>
              </w:rPr>
              <w:t>管，篡改、伪造</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监测数据，或者不正常运行水污染防治设施等逃避监管的方式排</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放水污染物；</w:t>
            </w:r>
          </w:p>
          <w:p>
            <w:pPr>
              <w:spacing w:line="273" w:lineRule="auto"/>
              <w:rPr>
                <w:rFonts w:ascii="Arial"/>
                <w:sz w:val="21"/>
              </w:rPr>
            </w:pPr>
            <w:r/>
          </w:p>
          <w:p>
            <w:pPr>
              <w:ind w:left="123"/>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7.</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b/>
                <w:bCs/>
                <w:spacing w:val="-3"/>
              </w:rPr>
              <w:t>《白洋淀生态环境治理和保护条例》</w:t>
            </w:r>
          </w:p>
          <w:p>
            <w:pPr>
              <w:ind w:left="105" w:right="35" w:firstLine="18"/>
              <w:spacing w:before="3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违反本条例第二十三条第二</w:t>
            </w:r>
            <w:r>
              <w:rPr>
                <w:rFonts w:ascii="FangSong_GB2312" w:hAnsi="FangSong_GB2312" w:eastAsia="FangSong_GB2312" w:cs="FangSong_GB2312"/>
                <w:sz w:val="24"/>
                <w:szCs w:val="24"/>
                <w:spacing w:val="-2"/>
              </w:rPr>
              <w:t>款、第二十四条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第九项规定的，由生态环境主管部门责令改正或者责令限制生产、</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停产整治，并处五十万元以上一百万元以下的罚款；情节严重的，</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报经有批准权的人民政府批准，责令停业、关闭。</w:t>
            </w:r>
          </w:p>
        </w:tc>
      </w:tr>
      <w:tr>
        <w:trPr>
          <w:trHeight w:val="634" w:hRule="atLeast"/>
        </w:trPr>
        <w:tc>
          <w:tcPr>
            <w:tcW w:w="4135" w:type="dxa"/>
            <w:vAlign w:val="top"/>
            <w:gridSpan w:val="3"/>
          </w:tcPr>
          <w:p>
            <w:pPr>
              <w:ind w:left="1514"/>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54" w:type="dxa"/>
            <w:vAlign w:val="top"/>
          </w:tcPr>
          <w:p>
            <w:pPr>
              <w:ind w:left="50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4"/>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2"/>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2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24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4" w:right="211" w:hanging="2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部分处理设施不能正常运行</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28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部分处理设施停运的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5"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3" w:right="211" w:hanging="1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整体或关键处理设施不能正</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8"/>
              </w:rPr>
              <w:t>常运行的</w:t>
            </w:r>
          </w:p>
        </w:tc>
        <w:tc>
          <w:tcPr>
            <w:tcW w:w="1122" w:type="dxa"/>
            <w:vAlign w:val="top"/>
          </w:tcPr>
          <w:p>
            <w:pPr>
              <w:ind w:left="1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635"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right="211" w:hanging="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整体或关键处理设施停运/</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为逃避现场检查临时停产的</w:t>
            </w:r>
          </w:p>
        </w:tc>
        <w:tc>
          <w:tcPr>
            <w:tcW w:w="1122" w:type="dxa"/>
            <w:vAlign w:val="top"/>
          </w:tcPr>
          <w:p>
            <w:pPr>
              <w:ind w:left="16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1264"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2" w:right="32" w:firstLine="9"/>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正常生产时利用渗井、渗坑、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裂隙、溶洞，私设暗管等逃</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避监管的方式排放水污染物</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或者篡改、伪造监测数据的</w:t>
            </w:r>
          </w:p>
        </w:tc>
        <w:tc>
          <w:tcPr>
            <w:tcW w:w="1122" w:type="dxa"/>
            <w:vAlign w:val="top"/>
          </w:tcPr>
          <w:p>
            <w:pPr>
              <w:spacing w:line="434"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30" w:hRule="atLeast"/>
        </w:trPr>
        <w:tc>
          <w:tcPr>
            <w:tcW w:w="1454" w:type="dxa"/>
            <w:vAlign w:val="top"/>
            <w:vMerge w:val="continue"/>
            <w:tcBorders>
              <w:top w:val="nil"/>
              <w:bottom w:val="nil"/>
            </w:tcBorders>
          </w:tcPr>
          <w:p>
            <w:pPr>
              <w:rPr>
                <w:rFonts w:ascii="Arial"/>
                <w:sz w:val="21"/>
              </w:rPr>
            </w:pPr>
            <w:r/>
          </w:p>
        </w:tc>
        <w:tc>
          <w:tcPr>
            <w:tcW w:w="1889" w:type="dxa"/>
            <w:vAlign w:val="top"/>
            <w:vMerge w:val="restart"/>
            <w:tcBorders>
              <w:bottom w:val="nil"/>
            </w:tcBorders>
          </w:tcPr>
          <w:p>
            <w:pPr>
              <w:spacing w:line="449" w:lineRule="auto"/>
              <w:rPr>
                <w:rFonts w:ascii="Arial"/>
                <w:sz w:val="21"/>
              </w:rPr>
            </w:pPr>
            <w:r/>
          </w:p>
          <w:p>
            <w:pPr>
              <w:ind w:left="46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废水类别</w:t>
            </w:r>
          </w:p>
        </w:tc>
        <w:tc>
          <w:tcPr>
            <w:tcW w:w="792" w:type="dxa"/>
            <w:vAlign w:val="top"/>
            <w:vMerge w:val="restart"/>
            <w:tcBorders>
              <w:bottom w:val="nil"/>
            </w:tcBorders>
          </w:tcPr>
          <w:p>
            <w:pPr>
              <w:spacing w:line="449"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7"/>
              <w:spacing w:before="48"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非工业废水的</w:t>
            </w:r>
          </w:p>
        </w:tc>
        <w:tc>
          <w:tcPr>
            <w:tcW w:w="1122" w:type="dxa"/>
            <w:vAlign w:val="top"/>
          </w:tcPr>
          <w:p>
            <w:pPr>
              <w:ind w:left="283"/>
              <w:spacing w:before="48"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一般工业废水的</w:t>
            </w:r>
          </w:p>
        </w:tc>
        <w:tc>
          <w:tcPr>
            <w:tcW w:w="1122" w:type="dxa"/>
            <w:vAlign w:val="top"/>
          </w:tcPr>
          <w:p>
            <w:pPr>
              <w:ind w:left="2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5"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2" w:right="451"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含其他有毒有害物质的废</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水、医疗废水的</w:t>
            </w:r>
          </w:p>
        </w:tc>
        <w:tc>
          <w:tcPr>
            <w:tcW w:w="1122" w:type="dxa"/>
            <w:vAlign w:val="top"/>
          </w:tcPr>
          <w:p>
            <w:pPr>
              <w:ind w:left="16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restart"/>
            <w:tcBorders>
              <w:bottom w:val="nil"/>
            </w:tcBorders>
          </w:tcPr>
          <w:p>
            <w:pPr>
              <w:ind w:left="514"/>
              <w:spacing w:before="20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日排放量</w:t>
            </w:r>
          </w:p>
        </w:tc>
        <w:tc>
          <w:tcPr>
            <w:tcW w:w="792" w:type="dxa"/>
            <w:vAlign w:val="top"/>
            <w:vMerge w:val="restart"/>
            <w:tcBorders>
              <w:bottom w:val="nil"/>
            </w:tcBorders>
          </w:tcPr>
          <w:p>
            <w:pPr>
              <w:ind w:left="237"/>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5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日排放量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1"/>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吨以下的</w:t>
            </w:r>
          </w:p>
        </w:tc>
        <w:tc>
          <w:tcPr>
            <w:tcW w:w="1122" w:type="dxa"/>
            <w:vAlign w:val="top"/>
          </w:tcPr>
          <w:p>
            <w:pPr>
              <w:ind w:left="28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5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日排放量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1"/>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吨以上的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35" w:right="22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ind w:left="254"/>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ind w:left="225"/>
              <w:spacing w:before="20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ind w:left="237"/>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122" w:type="dxa"/>
            <w:vAlign w:val="top"/>
          </w:tcPr>
          <w:p>
            <w:pPr>
              <w:ind w:left="28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201"/>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89"/>
        <w:gridCol w:w="792"/>
        <w:gridCol w:w="3201"/>
        <w:gridCol w:w="1122"/>
      </w:tblGrid>
      <w:tr>
        <w:trPr>
          <w:trHeight w:val="324" w:hRule="atLeast"/>
        </w:trPr>
        <w:tc>
          <w:tcPr>
            <w:tcW w:w="1454"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122" w:type="dxa"/>
            <w:vAlign w:val="top"/>
          </w:tcPr>
          <w:p>
            <w:pPr>
              <w:rPr>
                <w:rFonts w:ascii="Arial"/>
                <w:sz w:val="21"/>
              </w:rPr>
            </w:pPr>
            <w:r/>
          </w:p>
        </w:tc>
      </w:tr>
      <w:tr>
        <w:trPr>
          <w:trHeight w:val="31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454" w:type="dxa"/>
            <w:vAlign w:val="top"/>
            <w:vMerge w:val="restart"/>
            <w:tcBorders>
              <w:bottom w:val="nil"/>
            </w:tcBorders>
          </w:tcPr>
          <w:p>
            <w:pPr>
              <w:ind w:left="253" w:right="245"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3"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7"/>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4" w:hRule="atLeast"/>
        </w:trPr>
        <w:tc>
          <w:tcPr>
            <w:tcW w:w="1454" w:type="dxa"/>
            <w:vAlign w:val="top"/>
            <w:vMerge w:val="restart"/>
            <w:tcBorders>
              <w:bottom w:val="nil"/>
            </w:tcBorders>
          </w:tcPr>
          <w:p>
            <w:pPr>
              <w:ind w:left="135"/>
              <w:spacing w:before="8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9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7"/>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4"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7"/>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9" w:hRule="atLeast"/>
        </w:trPr>
        <w:tc>
          <w:tcPr>
            <w:tcW w:w="145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4" w:right="103"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02"/>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750"/>
        <w:gridCol w:w="738"/>
        <w:gridCol w:w="3394"/>
        <w:gridCol w:w="1122"/>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102</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8" w:right="176" w:hanging="16"/>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未按照规定进行预处理，向污水集中处理设施排放不符合处理工</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艺要求的工业废水的</w:t>
            </w:r>
          </w:p>
        </w:tc>
      </w:tr>
      <w:tr>
        <w:trPr>
          <w:trHeight w:val="6302" w:hRule="atLeast"/>
        </w:trPr>
        <w:tc>
          <w:tcPr>
            <w:tcW w:w="1454"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3" w:right="169" w:firstLine="11"/>
              <w:spacing w:before="3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第三款</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3"/>
              </w:rPr>
              <w:t>向污水集中处理设施排放工业废水的，应当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按照国家有关规定进行预处理，达到集中处理设施处理工艺要求</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后方可排放。</w:t>
            </w:r>
          </w:p>
          <w:p>
            <w:pPr>
              <w:spacing w:line="268"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7" w:right="46" w:firstLine="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w:t>
            </w:r>
            <w:r>
              <w:rPr>
                <w:rFonts w:ascii="FangSong_GB2312" w:hAnsi="FangSong_GB2312" w:eastAsia="FangSong_GB2312" w:cs="FangSong_GB2312"/>
                <w:sz w:val="24"/>
                <w:szCs w:val="24"/>
                <w:spacing w:val="-2"/>
              </w:rPr>
              <w:t>上人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民政府环境保护主管部门责令改正或者责</w:t>
            </w:r>
            <w:r>
              <w:rPr>
                <w:rFonts w:ascii="FangSong_GB2312" w:hAnsi="FangSong_GB2312" w:eastAsia="FangSong_GB2312" w:cs="FangSong_GB2312"/>
                <w:sz w:val="24"/>
                <w:szCs w:val="24"/>
                <w:spacing w:val="-5"/>
              </w:rPr>
              <w:t>令限制生产、停产整治，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并处十万元以上一百万元以下的罚款；情节严重的，报经有批准</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权的人民政府批准，责令停业、关闭：</w:t>
            </w:r>
          </w:p>
          <w:p>
            <w:pPr>
              <w:ind w:left="114" w:right="106" w:hanging="7"/>
              <w:spacing w:before="3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（四)未按照规定进行预处理，向污水集中处理设施排放不符合处</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理工艺要求的工业废水的。</w:t>
            </w:r>
          </w:p>
          <w:p>
            <w:pPr>
              <w:spacing w:line="268"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13" w:right="171" w:firstLine="11"/>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违反本条例规定，有下列行为之一的，由环境保护主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管部门责令改正或者责令限制生产、停产整治，并处二十万元以</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上一百万元以下的罚款；情节严重的，报经有批准权的人民政府</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批准，责令停业、关闭：</w:t>
            </w:r>
          </w:p>
          <w:p>
            <w:pPr>
              <w:ind w:left="120" w:right="176" w:hanging="13"/>
              <w:spacing w:before="39"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（四）未按照规定进行预处理，向污水集中处理</w:t>
            </w:r>
            <w:r>
              <w:rPr>
                <w:rFonts w:ascii="FangSong_GB2312" w:hAnsi="FangSong_GB2312" w:eastAsia="FangSong_GB2312" w:cs="FangSong_GB2312"/>
                <w:sz w:val="24"/>
                <w:szCs w:val="24"/>
                <w:spacing w:val="-1"/>
              </w:rPr>
              <w:t>设施排放不符合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处理工艺要求的工业废水的。</w:t>
            </w:r>
          </w:p>
        </w:tc>
      </w:tr>
      <w:tr>
        <w:trPr>
          <w:trHeight w:val="635" w:hRule="atLeast"/>
        </w:trPr>
        <w:tc>
          <w:tcPr>
            <w:tcW w:w="3942" w:type="dxa"/>
            <w:vAlign w:val="top"/>
            <w:gridSpan w:val="3"/>
          </w:tcPr>
          <w:p>
            <w:pPr>
              <w:ind w:left="14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16" w:type="dxa"/>
            <w:vAlign w:val="top"/>
            <w:gridSpan w:val="2"/>
          </w:tcPr>
          <w:p>
            <w:pPr>
              <w:ind w:left="1715"/>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50" w:type="dxa"/>
            <w:vAlign w:val="top"/>
          </w:tcPr>
          <w:p>
            <w:pPr>
              <w:ind w:left="444"/>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38" w:type="dxa"/>
            <w:vAlign w:val="top"/>
          </w:tcPr>
          <w:p>
            <w:pPr>
              <w:ind w:left="186" w:right="145"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94" w:type="dxa"/>
            <w:vAlign w:val="top"/>
          </w:tcPr>
          <w:p>
            <w:pPr>
              <w:ind w:left="1485"/>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750" w:type="dxa"/>
            <w:vAlign w:val="top"/>
            <w:vMerge w:val="restart"/>
            <w:tcBorders>
              <w:bottom w:val="nil"/>
            </w:tcBorders>
          </w:tcPr>
          <w:p>
            <w:pPr>
              <w:ind w:left="189"/>
              <w:spacing w:before="21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向污水处理厂</w:t>
            </w:r>
          </w:p>
          <w:p>
            <w:pPr>
              <w:ind w:left="280"/>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设施中超标</w:t>
            </w:r>
          </w:p>
          <w:p>
            <w:pPr>
              <w:ind w:left="403"/>
              <w:spacing w:before="3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排放废水</w:t>
            </w:r>
          </w:p>
        </w:tc>
        <w:tc>
          <w:tcPr>
            <w:tcW w:w="738" w:type="dxa"/>
            <w:vAlign w:val="top"/>
            <w:vMerge w:val="restart"/>
            <w:tcBorders>
              <w:bottom w:val="nil"/>
            </w:tcBorders>
          </w:tcPr>
          <w:p>
            <w:pPr>
              <w:spacing w:line="450" w:lineRule="auto"/>
              <w:rPr>
                <w:rFonts w:ascii="Arial"/>
                <w:sz w:val="21"/>
              </w:rPr>
            </w:pPr>
            <w:r/>
          </w:p>
          <w:p>
            <w:pPr>
              <w:ind w:left="24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94" w:type="dxa"/>
            <w:vAlign w:val="top"/>
          </w:tcPr>
          <w:p>
            <w:pPr>
              <w:ind w:left="1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超标</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3"/>
              </w:rPr>
              <w:t>20%以下的</w:t>
            </w:r>
          </w:p>
        </w:tc>
        <w:tc>
          <w:tcPr>
            <w:tcW w:w="1122" w:type="dxa"/>
            <w:vAlign w:val="top"/>
          </w:tcPr>
          <w:p>
            <w:pPr>
              <w:ind w:left="28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738" w:type="dxa"/>
            <w:vAlign w:val="top"/>
            <w:vMerge w:val="continue"/>
            <w:tcBorders>
              <w:top w:val="nil"/>
              <w:bottom w:val="nil"/>
            </w:tcBorders>
          </w:tcPr>
          <w:p>
            <w:pPr>
              <w:rPr>
                <w:rFonts w:ascii="Arial"/>
                <w:sz w:val="21"/>
              </w:rPr>
            </w:pPr>
            <w:r/>
          </w:p>
        </w:tc>
        <w:tc>
          <w:tcPr>
            <w:tcW w:w="3394"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超标</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20%以上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50%以下的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738" w:type="dxa"/>
            <w:vAlign w:val="top"/>
            <w:vMerge w:val="continue"/>
            <w:tcBorders>
              <w:top w:val="nil"/>
              <w:bottom w:val="nil"/>
            </w:tcBorders>
          </w:tcPr>
          <w:p>
            <w:pPr>
              <w:rPr>
                <w:rFonts w:ascii="Arial"/>
                <w:sz w:val="21"/>
              </w:rPr>
            </w:pPr>
            <w:r/>
          </w:p>
        </w:tc>
        <w:tc>
          <w:tcPr>
            <w:tcW w:w="3394" w:type="dxa"/>
            <w:vAlign w:val="top"/>
          </w:tcPr>
          <w:p>
            <w:pPr>
              <w:ind w:left="1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超标</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50%以上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100%以下的</w:t>
            </w:r>
          </w:p>
        </w:tc>
        <w:tc>
          <w:tcPr>
            <w:tcW w:w="1122" w:type="dxa"/>
            <w:vAlign w:val="top"/>
          </w:tcPr>
          <w:p>
            <w:pPr>
              <w:ind w:left="16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320" w:hRule="atLeast"/>
        </w:trPr>
        <w:tc>
          <w:tcPr>
            <w:tcW w:w="1454" w:type="dxa"/>
            <w:vAlign w:val="top"/>
            <w:vMerge w:val="continue"/>
            <w:tcBorders>
              <w:top w:val="nil"/>
              <w:bottom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738" w:type="dxa"/>
            <w:vAlign w:val="top"/>
            <w:vMerge w:val="continue"/>
            <w:tcBorders>
              <w:top w:val="nil"/>
            </w:tcBorders>
          </w:tcPr>
          <w:p>
            <w:pPr>
              <w:rPr>
                <w:rFonts w:ascii="Arial"/>
                <w:sz w:val="21"/>
              </w:rPr>
            </w:pPr>
            <w:r/>
          </w:p>
        </w:tc>
        <w:tc>
          <w:tcPr>
            <w:tcW w:w="3394"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超标</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4"/>
              </w:rPr>
              <w:t>100%以上的</w:t>
            </w:r>
          </w:p>
        </w:tc>
        <w:tc>
          <w:tcPr>
            <w:tcW w:w="1122" w:type="dxa"/>
            <w:vAlign w:val="top"/>
          </w:tcPr>
          <w:p>
            <w:pPr>
              <w:ind w:left="16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54" w:type="dxa"/>
            <w:vAlign w:val="top"/>
            <w:vMerge w:val="continue"/>
            <w:tcBorders>
              <w:top w:val="nil"/>
              <w:bottom w:val="nil"/>
            </w:tcBorders>
          </w:tcPr>
          <w:p>
            <w:pPr>
              <w:rPr>
                <w:rFonts w:ascii="Arial"/>
                <w:sz w:val="21"/>
              </w:rPr>
            </w:pPr>
            <w:r/>
          </w:p>
        </w:tc>
        <w:tc>
          <w:tcPr>
            <w:tcW w:w="1750" w:type="dxa"/>
            <w:vAlign w:val="top"/>
            <w:vMerge w:val="restart"/>
            <w:tcBorders>
              <w:bottom w:val="nil"/>
            </w:tcBorders>
          </w:tcPr>
          <w:p>
            <w:pPr>
              <w:spacing w:line="444" w:lineRule="auto"/>
              <w:rPr>
                <w:rFonts w:ascii="Arial"/>
                <w:sz w:val="21"/>
              </w:rPr>
            </w:pPr>
            <w:r/>
          </w:p>
          <w:p>
            <w:pPr>
              <w:ind w:left="44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日排放量</w:t>
            </w:r>
          </w:p>
        </w:tc>
        <w:tc>
          <w:tcPr>
            <w:tcW w:w="738" w:type="dxa"/>
            <w:vAlign w:val="top"/>
            <w:vMerge w:val="restart"/>
            <w:tcBorders>
              <w:bottom w:val="nil"/>
            </w:tcBorders>
          </w:tcPr>
          <w:p>
            <w:pPr>
              <w:spacing w:line="444" w:lineRule="auto"/>
              <w:rPr>
                <w:rFonts w:ascii="Arial"/>
                <w:sz w:val="21"/>
              </w:rPr>
            </w:pPr>
            <w:r/>
          </w:p>
          <w:p>
            <w:pPr>
              <w:ind w:left="20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94" w:type="dxa"/>
            <w:vAlign w:val="top"/>
          </w:tcPr>
          <w:p>
            <w:pPr>
              <w:ind w:left="1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日排放量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1"/>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吨以下的</w:t>
            </w:r>
          </w:p>
        </w:tc>
        <w:tc>
          <w:tcPr>
            <w:tcW w:w="1122" w:type="dxa"/>
            <w:vAlign w:val="top"/>
          </w:tcPr>
          <w:p>
            <w:pPr>
              <w:ind w:left="28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738" w:type="dxa"/>
            <w:vAlign w:val="top"/>
            <w:vMerge w:val="continue"/>
            <w:tcBorders>
              <w:top w:val="nil"/>
              <w:bottom w:val="nil"/>
            </w:tcBorders>
          </w:tcPr>
          <w:p>
            <w:pPr>
              <w:rPr>
                <w:rFonts w:ascii="Arial"/>
                <w:sz w:val="21"/>
              </w:rPr>
            </w:pPr>
            <w:r/>
          </w:p>
        </w:tc>
        <w:tc>
          <w:tcPr>
            <w:tcW w:w="3394" w:type="dxa"/>
            <w:vAlign w:val="top"/>
          </w:tcPr>
          <w:p>
            <w:pPr>
              <w:ind w:left="135" w:right="163" w:firstLine="2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日排放量</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11"/>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11"/>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19"/>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738" w:type="dxa"/>
            <w:vAlign w:val="top"/>
            <w:vMerge w:val="continue"/>
            <w:tcBorders>
              <w:top w:val="nil"/>
            </w:tcBorders>
          </w:tcPr>
          <w:p>
            <w:pPr>
              <w:rPr>
                <w:rFonts w:ascii="Arial"/>
                <w:sz w:val="21"/>
              </w:rPr>
            </w:pPr>
            <w:r/>
          </w:p>
        </w:tc>
        <w:tc>
          <w:tcPr>
            <w:tcW w:w="3394" w:type="dxa"/>
            <w:vAlign w:val="top"/>
          </w:tcPr>
          <w:p>
            <w:pPr>
              <w:ind w:left="1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日排放量</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0"/>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吨以上的</w:t>
            </w:r>
          </w:p>
        </w:tc>
        <w:tc>
          <w:tcPr>
            <w:tcW w:w="1122" w:type="dxa"/>
            <w:vAlign w:val="top"/>
          </w:tcPr>
          <w:p>
            <w:pPr>
              <w:ind w:left="16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39" w:hRule="atLeast"/>
        </w:trPr>
        <w:tc>
          <w:tcPr>
            <w:tcW w:w="1454" w:type="dxa"/>
            <w:vAlign w:val="top"/>
            <w:vMerge w:val="restart"/>
            <w:tcBorders>
              <w:bottom w:val="nil"/>
            </w:tcBorders>
          </w:tcPr>
          <w:p>
            <w:pPr>
              <w:ind w:left="253"/>
              <w:spacing w:before="21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50" w:type="dxa"/>
            <w:vAlign w:val="top"/>
            <w:vMerge w:val="restart"/>
            <w:tcBorders>
              <w:bottom w:val="nil"/>
            </w:tcBorders>
          </w:tcPr>
          <w:p>
            <w:pPr>
              <w:ind w:left="766" w:right="154" w:hanging="591"/>
              <w:spacing w:before="5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38" w:type="dxa"/>
            <w:vAlign w:val="top"/>
            <w:vMerge w:val="restart"/>
            <w:tcBorders>
              <w:bottom w:val="nil"/>
            </w:tcBorders>
          </w:tcPr>
          <w:p>
            <w:pPr>
              <w:ind w:left="205"/>
              <w:spacing w:before="21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94" w:type="dxa"/>
            <w:vAlign w:val="top"/>
          </w:tcPr>
          <w:p>
            <w:pPr>
              <w:ind w:left="122"/>
              <w:spacing w:before="53"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53"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2" w:hRule="atLeast"/>
        </w:trPr>
        <w:tc>
          <w:tcPr>
            <w:tcW w:w="1454"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738" w:type="dxa"/>
            <w:vAlign w:val="top"/>
            <w:vMerge w:val="continue"/>
            <w:tcBorders>
              <w:top w:val="nil"/>
            </w:tcBorders>
          </w:tcPr>
          <w:p>
            <w:pPr>
              <w:rPr>
                <w:rFonts w:ascii="Arial"/>
                <w:sz w:val="21"/>
              </w:rPr>
            </w:pPr>
            <w:r/>
          </w:p>
        </w:tc>
        <w:tc>
          <w:tcPr>
            <w:tcW w:w="3394" w:type="dxa"/>
            <w:vAlign w:val="top"/>
          </w:tcPr>
          <w:p>
            <w:pPr>
              <w:ind w:left="121"/>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bl>
    <w:p>
      <w:pPr>
        <w:pStyle w:val="BodyText"/>
        <w:rPr/>
      </w:pPr>
      <w:r/>
    </w:p>
    <w:p>
      <w:pPr>
        <w:sectPr>
          <w:footerReference w:type="default" r:id="rId203"/>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750"/>
        <w:gridCol w:w="738"/>
        <w:gridCol w:w="3394"/>
        <w:gridCol w:w="1122"/>
      </w:tblGrid>
      <w:tr>
        <w:trPr>
          <w:trHeight w:val="324" w:hRule="atLeast"/>
        </w:trPr>
        <w:tc>
          <w:tcPr>
            <w:tcW w:w="1454" w:type="dxa"/>
            <w:vAlign w:val="top"/>
            <w:vMerge w:val="restart"/>
            <w:tcBorders>
              <w:bottom w:val="nil"/>
            </w:tcBorders>
          </w:tcPr>
          <w:p>
            <w:pPr>
              <w:rPr>
                <w:rFonts w:ascii="Arial"/>
                <w:sz w:val="21"/>
              </w:rPr>
            </w:pPr>
            <w:r/>
          </w:p>
        </w:tc>
        <w:tc>
          <w:tcPr>
            <w:tcW w:w="1750" w:type="dxa"/>
            <w:vAlign w:val="top"/>
            <w:vMerge w:val="restart"/>
            <w:tcBorders>
              <w:bottom w:val="nil"/>
            </w:tcBorders>
          </w:tcPr>
          <w:p>
            <w:pPr>
              <w:rPr>
                <w:rFonts w:ascii="Arial"/>
                <w:sz w:val="21"/>
              </w:rPr>
            </w:pPr>
            <w:r/>
          </w:p>
        </w:tc>
        <w:tc>
          <w:tcPr>
            <w:tcW w:w="738" w:type="dxa"/>
            <w:vAlign w:val="top"/>
            <w:vMerge w:val="restart"/>
            <w:tcBorders>
              <w:bottom w:val="nil"/>
            </w:tcBorders>
          </w:tcPr>
          <w:p>
            <w:pPr>
              <w:rPr>
                <w:rFonts w:ascii="Arial"/>
                <w:sz w:val="21"/>
              </w:rPr>
            </w:pPr>
            <w:r/>
          </w:p>
        </w:tc>
        <w:tc>
          <w:tcPr>
            <w:tcW w:w="3394" w:type="dxa"/>
            <w:vAlign w:val="top"/>
          </w:tcPr>
          <w:p>
            <w:pPr>
              <w:ind w:left="12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9" w:hRule="atLeast"/>
        </w:trPr>
        <w:tc>
          <w:tcPr>
            <w:tcW w:w="1454"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738" w:type="dxa"/>
            <w:vAlign w:val="top"/>
            <w:vMerge w:val="continue"/>
            <w:tcBorders>
              <w:top w:val="nil"/>
            </w:tcBorders>
          </w:tcPr>
          <w:p>
            <w:pPr>
              <w:rPr>
                <w:rFonts w:ascii="Arial"/>
                <w:sz w:val="21"/>
              </w:rPr>
            </w:pPr>
            <w:r/>
          </w:p>
        </w:tc>
        <w:tc>
          <w:tcPr>
            <w:tcW w:w="3394" w:type="dxa"/>
            <w:vAlign w:val="top"/>
          </w:tcPr>
          <w:p>
            <w:pPr>
              <w:ind w:left="13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1"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50" w:type="dxa"/>
            <w:vAlign w:val="top"/>
            <w:vMerge w:val="restart"/>
            <w:tcBorders>
              <w:bottom w:val="nil"/>
            </w:tcBorders>
          </w:tcPr>
          <w:p>
            <w:pPr>
              <w:spacing w:line="441" w:lineRule="auto"/>
              <w:rPr>
                <w:rFonts w:ascii="Arial"/>
                <w:sz w:val="21"/>
              </w:rPr>
            </w:pPr>
            <w:r/>
          </w:p>
          <w:p>
            <w:pPr>
              <w:ind w:left="156"/>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38" w:type="dxa"/>
            <w:vAlign w:val="top"/>
            <w:vMerge w:val="restart"/>
            <w:tcBorders>
              <w:bottom w:val="nil"/>
            </w:tcBorders>
          </w:tcPr>
          <w:p>
            <w:pPr>
              <w:spacing w:line="441" w:lineRule="auto"/>
              <w:rPr>
                <w:rFonts w:ascii="Arial"/>
                <w:sz w:val="21"/>
              </w:rPr>
            </w:pPr>
            <w:r/>
          </w:p>
          <w:p>
            <w:pPr>
              <w:ind w:left="21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94" w:type="dxa"/>
            <w:vAlign w:val="top"/>
          </w:tcPr>
          <w:p>
            <w:pPr>
              <w:ind w:left="114"/>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750" w:type="dxa"/>
            <w:vAlign w:val="top"/>
            <w:vMerge w:val="continue"/>
            <w:tcBorders>
              <w:top w:val="nil"/>
              <w:bottom w:val="nil"/>
            </w:tcBorders>
          </w:tcPr>
          <w:p>
            <w:pPr>
              <w:rPr>
                <w:rFonts w:ascii="Arial"/>
                <w:sz w:val="21"/>
              </w:rPr>
            </w:pPr>
            <w:r/>
          </w:p>
        </w:tc>
        <w:tc>
          <w:tcPr>
            <w:tcW w:w="738" w:type="dxa"/>
            <w:vAlign w:val="top"/>
            <w:vMerge w:val="continue"/>
            <w:tcBorders>
              <w:top w:val="nil"/>
              <w:bottom w:val="nil"/>
            </w:tcBorders>
          </w:tcPr>
          <w:p>
            <w:pPr>
              <w:rPr>
                <w:rFonts w:ascii="Arial"/>
                <w:sz w:val="21"/>
              </w:rPr>
            </w:pPr>
            <w:r/>
          </w:p>
        </w:tc>
        <w:tc>
          <w:tcPr>
            <w:tcW w:w="3394" w:type="dxa"/>
            <w:vAlign w:val="top"/>
          </w:tcPr>
          <w:p>
            <w:pPr>
              <w:ind w:left="130" w:right="163" w:hanging="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122" w:type="dxa"/>
            <w:vAlign w:val="top"/>
          </w:tcPr>
          <w:p>
            <w:pPr>
              <w:ind w:left="28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738" w:type="dxa"/>
            <w:vAlign w:val="top"/>
            <w:vMerge w:val="continue"/>
            <w:tcBorders>
              <w:top w:val="nil"/>
            </w:tcBorders>
          </w:tcPr>
          <w:p>
            <w:pPr>
              <w:rPr>
                <w:rFonts w:ascii="Arial"/>
                <w:sz w:val="21"/>
              </w:rPr>
            </w:pPr>
            <w:r/>
          </w:p>
        </w:tc>
        <w:tc>
          <w:tcPr>
            <w:tcW w:w="3394"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6" w:hRule="atLeast"/>
        </w:trPr>
        <w:tc>
          <w:tcPr>
            <w:tcW w:w="1454" w:type="dxa"/>
            <w:vAlign w:val="top"/>
            <w:vMerge w:val="restart"/>
            <w:tcBorders>
              <w:bottom w:val="nil"/>
            </w:tcBorders>
          </w:tcPr>
          <w:p>
            <w:pPr>
              <w:ind w:left="253" w:right="245" w:firstLine="7"/>
              <w:spacing w:before="8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50" w:type="dxa"/>
            <w:vAlign w:val="top"/>
            <w:vMerge w:val="restart"/>
            <w:tcBorders>
              <w:bottom w:val="nil"/>
            </w:tcBorders>
          </w:tcPr>
          <w:p>
            <w:pPr>
              <w:ind w:left="636" w:right="154" w:hanging="480"/>
              <w:spacing w:before="8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38" w:type="dxa"/>
            <w:vAlign w:val="top"/>
            <w:vMerge w:val="restart"/>
            <w:tcBorders>
              <w:bottom w:val="nil"/>
            </w:tcBorders>
          </w:tcPr>
          <w:p>
            <w:pPr>
              <w:ind w:left="210"/>
              <w:spacing w:before="24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94" w:type="dxa"/>
            <w:vAlign w:val="top"/>
          </w:tcPr>
          <w:p>
            <w:pPr>
              <w:ind w:left="120"/>
              <w:spacing w:before="8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80"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738" w:type="dxa"/>
            <w:vAlign w:val="top"/>
            <w:vMerge w:val="continue"/>
            <w:tcBorders>
              <w:top w:val="nil"/>
            </w:tcBorders>
          </w:tcPr>
          <w:p>
            <w:pPr>
              <w:rPr>
                <w:rFonts w:ascii="Arial"/>
                <w:sz w:val="21"/>
              </w:rPr>
            </w:pPr>
            <w:r/>
          </w:p>
        </w:tc>
        <w:tc>
          <w:tcPr>
            <w:tcW w:w="3394"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69" w:hRule="atLeast"/>
        </w:trPr>
        <w:tc>
          <w:tcPr>
            <w:tcW w:w="1454" w:type="dxa"/>
            <w:vAlign w:val="top"/>
            <w:vMerge w:val="restart"/>
            <w:tcBorders>
              <w:bottom w:val="nil"/>
            </w:tcBorders>
          </w:tcPr>
          <w:p>
            <w:pPr>
              <w:ind w:left="135"/>
              <w:spacing w:before="11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750" w:type="dxa"/>
            <w:vAlign w:val="top"/>
            <w:vMerge w:val="restart"/>
            <w:tcBorders>
              <w:bottom w:val="nil"/>
            </w:tcBorders>
          </w:tcPr>
          <w:p>
            <w:pPr>
              <w:ind w:left="156"/>
              <w:spacing w:before="11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6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67"/>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38" w:type="dxa"/>
            <w:vAlign w:val="top"/>
            <w:vMerge w:val="restart"/>
            <w:tcBorders>
              <w:bottom w:val="nil"/>
            </w:tcBorders>
          </w:tcPr>
          <w:p>
            <w:pPr>
              <w:spacing w:line="351" w:lineRule="auto"/>
              <w:rPr>
                <w:rFonts w:ascii="Arial"/>
                <w:sz w:val="21"/>
              </w:rPr>
            </w:pPr>
            <w:r/>
          </w:p>
          <w:p>
            <w:pPr>
              <w:ind w:left="20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94" w:type="dxa"/>
            <w:vAlign w:val="top"/>
          </w:tcPr>
          <w:p>
            <w:pPr>
              <w:ind w:left="118"/>
              <w:spacing w:before="16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6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30" w:hRule="atLeast"/>
        </w:trPr>
        <w:tc>
          <w:tcPr>
            <w:tcW w:w="1454"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738" w:type="dxa"/>
            <w:vAlign w:val="top"/>
            <w:vMerge w:val="continue"/>
            <w:tcBorders>
              <w:top w:val="nil"/>
            </w:tcBorders>
          </w:tcPr>
          <w:p>
            <w:pPr>
              <w:rPr>
                <w:rFonts w:ascii="Arial"/>
                <w:sz w:val="21"/>
              </w:rPr>
            </w:pPr>
            <w:r/>
          </w:p>
        </w:tc>
        <w:tc>
          <w:tcPr>
            <w:tcW w:w="3394" w:type="dxa"/>
            <w:vAlign w:val="top"/>
          </w:tcPr>
          <w:p>
            <w:pPr>
              <w:ind w:left="115"/>
              <w:spacing w:before="14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122" w:type="dxa"/>
            <w:vAlign w:val="top"/>
          </w:tcPr>
          <w:p>
            <w:pPr>
              <w:ind w:left="465"/>
              <w:spacing w:before="14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04"/>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103</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55" w:right="176" w:hanging="4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违反法律、行政法规和国务院环境保护主管部门的规定设置排污</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27"/>
              </w:rPr>
              <w:t>口的</w:t>
            </w:r>
          </w:p>
        </w:tc>
      </w:tr>
      <w:tr>
        <w:trPr>
          <w:trHeight w:val="8821" w:hRule="atLeast"/>
        </w:trPr>
        <w:tc>
          <w:tcPr>
            <w:tcW w:w="145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2" w:right="176"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第二十二条</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spacing w:val="-3"/>
              </w:rPr>
              <w:t>向水体排放污染物的企业事业单位和其他生产经营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者，应当按照法律、行政法规和国务院环境保护主管部门的规定</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设置排污</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2"/>
              </w:rPr>
              <w:t>口；在江河、湖泊设置排污口的，还应</w:t>
            </w:r>
            <w:r>
              <w:rPr>
                <w:rFonts w:ascii="FangSong_GB2312" w:hAnsi="FangSong_GB2312" w:eastAsia="FangSong_GB2312" w:cs="FangSong_GB2312"/>
                <w:sz w:val="24"/>
                <w:szCs w:val="24"/>
                <w:spacing w:val="-3"/>
              </w:rPr>
              <w:t>当遵守国务院水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行政主管部门的规定。</w:t>
            </w:r>
          </w:p>
          <w:p>
            <w:pPr>
              <w:ind w:left="116" w:right="106" w:firstLine="8"/>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在风景名胜区水体、重要渔业水体和其他具有特殊经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济文化价值的水体的保护区内，不得新建排污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3"/>
              </w:rPr>
              <w:t>口。在保护区附近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新建排污</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4"/>
              </w:rPr>
              <w:t>口，应当保证保护区水体不受污染。</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6" w:right="106" w:firstLine="7"/>
              <w:spacing w:before="37"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除前款规定外，违反法律、行政法</w:t>
            </w:r>
            <w:r>
              <w:rPr>
                <w:rFonts w:ascii="FangSong_GB2312" w:hAnsi="FangSong_GB2312" w:eastAsia="FangSong_GB2312" w:cs="FangSong_GB2312"/>
                <w:sz w:val="24"/>
                <w:szCs w:val="24"/>
                <w:spacing w:val="-4"/>
              </w:rPr>
              <w:t>规和国务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院环境保护主管部门的规定设置排污口的，由县级以上地方人民</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政府环境保护主管部门责令限期拆除，处二万元以上十万元以下</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的罚款；逾期不拆除的，强制拆除，所需费用由违法者承担，处</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十万元以上五十万元以下的罚款；情节严重的，可以责令停产整</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8"/>
              </w:rPr>
              <w:t>治。</w:t>
            </w:r>
          </w:p>
          <w:p>
            <w:pPr>
              <w:spacing w:line="261"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3.《白洋淀生态环境治理和保护条例》</w:t>
            </w:r>
          </w:p>
          <w:p>
            <w:pPr>
              <w:ind w:left="114" w:right="166" w:firstLine="10"/>
              <w:spacing w:before="40"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在饮用水水源保护区内设置排污</w:t>
            </w:r>
            <w:r>
              <w:rPr>
                <w:rFonts w:ascii="FangSong_GB2312" w:hAnsi="FangSong_GB2312" w:eastAsia="FangSong_GB2312" w:cs="FangSong_GB2312"/>
                <w:sz w:val="24"/>
                <w:szCs w:val="24"/>
                <w:spacing w:val="-2"/>
              </w:rPr>
              <w:t>口的，由县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级以上人民政府责令限期拆除，处十万元以上五十万元以下的罚</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款；逾期不拆除的，强制拆除，所需费用由违法者承担，处五十</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万元以上一百万元以下的罚款，并可以责令停产整治。</w:t>
            </w:r>
          </w:p>
          <w:p>
            <w:pPr>
              <w:spacing w:line="271" w:lineRule="auto"/>
              <w:rPr>
                <w:rFonts w:ascii="Arial"/>
                <w:sz w:val="21"/>
              </w:rPr>
            </w:pPr>
            <w:r/>
          </w:p>
          <w:p>
            <w:pPr>
              <w:ind w:left="116" w:right="46" w:firstLine="8"/>
              <w:spacing w:before="79"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第三款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除前款规定外，违反本条例规定设置排</w:t>
            </w:r>
            <w:r>
              <w:rPr>
                <w:rFonts w:ascii="FangSong_GB2312" w:hAnsi="FangSong_GB2312" w:eastAsia="FangSong_GB2312" w:cs="FangSong_GB2312"/>
                <w:sz w:val="24"/>
                <w:szCs w:val="24"/>
                <w:spacing w:val="-4"/>
              </w:rPr>
              <w:t>污</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4"/>
              </w:rPr>
              <w:t>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的，由生态环境主管部门责令限期拆除，并处五万元以上十万元</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以下的罚款；逾期不拆除的，强制拆除，所需</w:t>
            </w:r>
            <w:r>
              <w:rPr>
                <w:rFonts w:ascii="FangSong_GB2312" w:hAnsi="FangSong_GB2312" w:eastAsia="FangSong_GB2312" w:cs="FangSong_GB2312"/>
                <w:sz w:val="24"/>
                <w:szCs w:val="24"/>
                <w:spacing w:val="-5"/>
              </w:rPr>
              <w:t>费用由违法者承担，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并处二十万元以上五十万元以下的罚款；情节严重的，责令停产</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5"/>
              </w:rPr>
              <w:t>整治。</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5" w:right="122" w:hanging="360"/>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165"/>
              <w:spacing w:before="2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排污口设置位置</w:t>
            </w:r>
          </w:p>
        </w:tc>
        <w:tc>
          <w:tcPr>
            <w:tcW w:w="685" w:type="dxa"/>
            <w:vAlign w:val="top"/>
            <w:vMerge w:val="restart"/>
            <w:tcBorders>
              <w:bottom w:val="nil"/>
            </w:tcBorders>
          </w:tcPr>
          <w:p>
            <w:pPr>
              <w:ind w:left="17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55"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在江河中设置排污口的</w:t>
            </w:r>
          </w:p>
        </w:tc>
        <w:tc>
          <w:tcPr>
            <w:tcW w:w="1068" w:type="dxa"/>
            <w:vAlign w:val="top"/>
          </w:tcPr>
          <w:p>
            <w:pPr>
              <w:ind w:left="1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在水库、湖泊、地下水中设置</w:t>
            </w:r>
          </w:p>
        </w:tc>
        <w:tc>
          <w:tcPr>
            <w:tcW w:w="1068" w:type="dxa"/>
            <w:vAlign w:val="top"/>
          </w:tcPr>
          <w:p>
            <w:pPr>
              <w:ind w:left="13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205"/>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324"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55" w:type="dxa"/>
            <w:vAlign w:val="top"/>
          </w:tcPr>
          <w:p>
            <w:pPr>
              <w:ind w:left="11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排污口的</w:t>
            </w:r>
          </w:p>
        </w:tc>
        <w:tc>
          <w:tcPr>
            <w:tcW w:w="1068" w:type="dxa"/>
            <w:vAlign w:val="top"/>
          </w:tcPr>
          <w:p>
            <w:pPr>
              <w:rPr>
                <w:rFonts w:ascii="Arial"/>
                <w:sz w:val="21"/>
              </w:rPr>
            </w:pPr>
            <w:r/>
          </w:p>
        </w:tc>
      </w:tr>
      <w:tr>
        <w:trPr>
          <w:trHeight w:val="126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3" w:right="104" w:firstLine="3"/>
              <w:spacing w:before="37"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在风景名胜区水体、重要渔业</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水体和其他具有特殊经济文</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化价值的水体的保护区内设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置排污口的</w:t>
            </w:r>
          </w:p>
        </w:tc>
        <w:tc>
          <w:tcPr>
            <w:tcW w:w="1068" w:type="dxa"/>
            <w:vAlign w:val="top"/>
          </w:tcPr>
          <w:p>
            <w:pPr>
              <w:spacing w:line="431" w:lineRule="auto"/>
              <w:rPr>
                <w:rFonts w:ascii="Arial"/>
                <w:sz w:val="21"/>
              </w:rPr>
            </w:pPr>
            <w:r/>
          </w:p>
          <w:p>
            <w:pPr>
              <w:ind w:left="1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6"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6"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6"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46"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9" w:hRule="atLeast"/>
        </w:trPr>
        <w:tc>
          <w:tcPr>
            <w:tcW w:w="1454" w:type="dxa"/>
            <w:vAlign w:val="top"/>
            <w:vMerge w:val="restart"/>
            <w:tcBorders>
              <w:bottom w:val="nil"/>
            </w:tcBorders>
          </w:tcPr>
          <w:p>
            <w:pPr>
              <w:ind w:left="135"/>
              <w:spacing w:before="5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47"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47"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4" w:right="26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06"/>
          <w:pgSz w:w="11905" w:h="16839"/>
          <w:pgMar w:top="1431" w:right="1785" w:bottom="1156" w:left="1330"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9"/>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河北省生态环境行政处罚裁量规则（水类）</w:t>
            </w:r>
          </w:p>
        </w:tc>
      </w:tr>
      <w:tr>
        <w:trPr>
          <w:trHeight w:val="635" w:hRule="atLeast"/>
        </w:trPr>
        <w:tc>
          <w:tcPr>
            <w:tcW w:w="1454" w:type="dxa"/>
            <w:vAlign w:val="top"/>
          </w:tcPr>
          <w:p>
            <w:pPr>
              <w:ind w:left="453"/>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2"/>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104</w:t>
            </w:r>
          </w:p>
        </w:tc>
      </w:tr>
      <w:tr>
        <w:trPr>
          <w:trHeight w:val="635" w:hRule="atLeast"/>
        </w:trPr>
        <w:tc>
          <w:tcPr>
            <w:tcW w:w="1454" w:type="dxa"/>
            <w:vAlign w:val="top"/>
          </w:tcPr>
          <w:p>
            <w:pPr>
              <w:ind w:left="177"/>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42"/>
              <w:spacing w:before="19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向水体排放油类、酸液、碱液的</w:t>
            </w:r>
          </w:p>
        </w:tc>
      </w:tr>
      <w:tr>
        <w:trPr>
          <w:trHeight w:val="10398" w:hRule="atLeast"/>
        </w:trPr>
        <w:tc>
          <w:tcPr>
            <w:tcW w:w="145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20" w:right="343" w:firstLine="4"/>
              <w:spacing w:before="4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禁止向水体排放油类、酸液、碱液或者剧毒废液。</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禁止在水体清洗装贮过油类或者有毒污染物的车辆和容器。</w:t>
            </w:r>
          </w:p>
          <w:p>
            <w:pPr>
              <w:spacing w:line="271"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0" w:right="47"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w:t>
            </w:r>
            <w:r>
              <w:rPr>
                <w:rFonts w:ascii="FangSong_GB2312" w:hAnsi="FangSong_GB2312" w:eastAsia="FangSong_GB2312" w:cs="FangSong_GB2312"/>
                <w:sz w:val="24"/>
                <w:szCs w:val="24"/>
                <w:spacing w:val="-5"/>
              </w:rPr>
              <w:t>除污染，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08"/>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（一）向水体排放油类、酸液、碱液的；</w:t>
            </w:r>
          </w:p>
          <w:p>
            <w:pPr>
              <w:ind w:left="146" w:right="175" w:hanging="27"/>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有前款第一项、第二项、第五项、第九项行为之一的，处十万元</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以上一百万元以下的罚款。</w:t>
            </w:r>
          </w:p>
          <w:p>
            <w:pPr>
              <w:spacing w:line="270" w:lineRule="auto"/>
              <w:rPr>
                <w:rFonts w:ascii="Arial"/>
                <w:sz w:val="21"/>
              </w:rPr>
            </w:pPr>
            <w:r/>
          </w:p>
          <w:p>
            <w:pPr>
              <w:ind w:left="13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5"/>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禁止下列污染地表水体和地下水</w:t>
            </w:r>
            <w:r>
              <w:rPr>
                <w:rFonts w:ascii="FangSong_GB2312" w:hAnsi="FangSong_GB2312" w:eastAsia="FangSong_GB2312" w:cs="FangSong_GB2312"/>
                <w:sz w:val="24"/>
                <w:szCs w:val="24"/>
                <w:spacing w:val="-2"/>
              </w:rPr>
              <w:t>体的行为：</w:t>
            </w:r>
          </w:p>
          <w:p>
            <w:pPr>
              <w:ind w:left="108"/>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（一）向水体排放油类、酸液、碱液或者剧毒废液；</w:t>
            </w:r>
          </w:p>
          <w:p>
            <w:pPr>
              <w:spacing w:line="274"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20" w:right="107" w:firstLine="4"/>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违反本条例第二十二条第一项、第三项、第七项、第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二十九条第一款规定的，处十万元以上三十万元</w:t>
            </w:r>
            <w:r>
              <w:rPr>
                <w:rFonts w:ascii="FangSong_GB2312" w:hAnsi="FangSong_GB2312" w:eastAsia="FangSong_GB2312" w:cs="FangSong_GB2312"/>
                <w:sz w:val="24"/>
                <w:szCs w:val="24"/>
                <w:spacing w:val="1"/>
              </w:rPr>
              <w:t>以下的罚款；情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节较重的，处三十万元以上一百万元以下的罚款；</w:t>
            </w:r>
          </w:p>
          <w:p>
            <w:pPr>
              <w:spacing w:line="272" w:lineRule="auto"/>
              <w:rPr>
                <w:rFonts w:ascii="Arial"/>
                <w:sz w:val="21"/>
              </w:rPr>
            </w:pPr>
            <w:r/>
          </w:p>
          <w:p>
            <w:pPr>
              <w:ind w:left="125"/>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白洋淀生态环境治理和保护条例</w:t>
            </w:r>
            <w:r>
              <w:rPr>
                <w:rFonts w:ascii="FangSong_GB2312" w:hAnsi="FangSong_GB2312" w:eastAsia="FangSong_GB2312" w:cs="FangSong_GB2312"/>
                <w:sz w:val="24"/>
                <w:szCs w:val="24"/>
                <w:spacing w:val="-3"/>
              </w:rPr>
              <w:t>》</w:t>
            </w:r>
          </w:p>
          <w:p>
            <w:pPr>
              <w:ind w:left="125"/>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白洋淀流域内禁止下列污染</w:t>
            </w:r>
            <w:r>
              <w:rPr>
                <w:rFonts w:ascii="FangSong_GB2312" w:hAnsi="FangSong_GB2312" w:eastAsia="FangSong_GB2312" w:cs="FangSong_GB2312"/>
                <w:sz w:val="24"/>
                <w:szCs w:val="24"/>
                <w:spacing w:val="-2"/>
              </w:rPr>
              <w:t>水体的行为：</w:t>
            </w:r>
          </w:p>
          <w:p>
            <w:pPr>
              <w:ind w:left="108"/>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（一）向水体排放油类、酸液、碱液或者剧毒废液；</w:t>
            </w:r>
          </w:p>
          <w:p>
            <w:pPr>
              <w:spacing w:line="274" w:lineRule="auto"/>
              <w:rPr>
                <w:rFonts w:ascii="Arial"/>
                <w:sz w:val="21"/>
              </w:rPr>
            </w:pPr>
            <w:r/>
          </w:p>
          <w:p>
            <w:pPr>
              <w:ind w:left="12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6.《白洋淀生态环境治理和保护条例》</w:t>
            </w:r>
          </w:p>
          <w:p>
            <w:pPr>
              <w:ind w:left="114" w:right="107" w:firstLine="11"/>
              <w:spacing w:before="39"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违反本条例第二十四条第一项至</w:t>
            </w:r>
            <w:r>
              <w:rPr>
                <w:rFonts w:ascii="FangSong_GB2312" w:hAnsi="FangSong_GB2312" w:eastAsia="FangSong_GB2312" w:cs="FangSong_GB2312"/>
                <w:sz w:val="24"/>
                <w:szCs w:val="24"/>
              </w:rPr>
              <w:t>第八项规定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的，由生态环境主管部门责令停止违法行为，并限期采取治理措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施，消除污染；逾期不采取治理措施的，生态环境主管部门可以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指定有治理能力的单位代为治理，所需费用由违法者承担。</w:t>
            </w:r>
          </w:p>
          <w:p>
            <w:pPr>
              <w:ind w:left="121" w:right="107" w:firstLine="3"/>
              <w:spacing w:before="36"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违反本条例第二十四条第二项、</w:t>
            </w:r>
            <w:r>
              <w:rPr>
                <w:rFonts w:ascii="FangSong_GB2312" w:hAnsi="FangSong_GB2312" w:eastAsia="FangSong_GB2312" w:cs="FangSong_GB2312"/>
                <w:sz w:val="24"/>
                <w:szCs w:val="24"/>
              </w:rPr>
              <w:t>第四项、第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五项规定的，处十万元以上二十万元以下的罚</w:t>
            </w:r>
            <w:r>
              <w:rPr>
                <w:rFonts w:ascii="FangSong_GB2312" w:hAnsi="FangSong_GB2312" w:eastAsia="FangSong_GB2312" w:cs="FangSong_GB2312"/>
                <w:sz w:val="24"/>
                <w:szCs w:val="24"/>
                <w:spacing w:val="1"/>
              </w:rPr>
              <w:t>款；违反本条例第</w:t>
            </w:r>
          </w:p>
        </w:tc>
      </w:tr>
    </w:tbl>
    <w:p>
      <w:pPr>
        <w:pStyle w:val="BodyText"/>
        <w:rPr/>
      </w:pPr>
      <w:r/>
    </w:p>
    <w:p>
      <w:pPr>
        <w:sectPr>
          <w:footerReference w:type="default" r:id="rId207"/>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1392" w:hRule="atLeast"/>
        </w:trPr>
        <w:tc>
          <w:tcPr>
            <w:tcW w:w="1454" w:type="dxa"/>
            <w:vAlign w:val="top"/>
          </w:tcPr>
          <w:p>
            <w:pPr>
              <w:rPr>
                <w:rFonts w:ascii="Arial"/>
                <w:sz w:val="21"/>
              </w:rPr>
            </w:pPr>
            <w:r/>
          </w:p>
        </w:tc>
        <w:tc>
          <w:tcPr>
            <w:tcW w:w="7004" w:type="dxa"/>
            <w:vAlign w:val="top"/>
            <w:gridSpan w:val="4"/>
          </w:tcPr>
          <w:p>
            <w:pPr>
              <w:ind w:left="121" w:right="108" w:firstLine="4"/>
              <w:spacing w:before="46"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二十四条第一项、第三项、第六项、第七项、第八项规定的，处</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五十万元以上一百万元以下的罚款；情节严重</w:t>
            </w:r>
            <w:r>
              <w:rPr>
                <w:rFonts w:ascii="FangSong_GB2312" w:hAnsi="FangSong_GB2312" w:eastAsia="FangSong_GB2312" w:cs="FangSong_GB2312"/>
                <w:sz w:val="24"/>
                <w:szCs w:val="24"/>
                <w:spacing w:val="1"/>
              </w:rPr>
              <w:t>的，报经有批准权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的人民政府批准，责令停业、关闭。</w:t>
            </w:r>
          </w:p>
        </w:tc>
      </w:tr>
      <w:tr>
        <w:trPr>
          <w:trHeight w:val="634" w:hRule="atLeast"/>
        </w:trPr>
        <w:tc>
          <w:tcPr>
            <w:tcW w:w="4135" w:type="dxa"/>
            <w:vAlign w:val="top"/>
            <w:gridSpan w:val="3"/>
          </w:tcPr>
          <w:p>
            <w:pPr>
              <w:ind w:left="1513"/>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54" w:type="dxa"/>
            <w:vAlign w:val="top"/>
          </w:tcPr>
          <w:p>
            <w:pPr>
              <w:ind w:left="499"/>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5"/>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87" w:lineRule="auto"/>
              <w:rPr>
                <w:rFonts w:ascii="Arial"/>
                <w:sz w:val="21"/>
              </w:rPr>
            </w:pPr>
            <w:r/>
          </w:p>
          <w:p>
            <w:pPr>
              <w:ind w:left="5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废水类别</w:t>
            </w:r>
          </w:p>
        </w:tc>
        <w:tc>
          <w:tcPr>
            <w:tcW w:w="685" w:type="dxa"/>
            <w:vAlign w:val="top"/>
            <w:vMerge w:val="restart"/>
            <w:tcBorders>
              <w:bottom w:val="nil"/>
            </w:tcBorders>
          </w:tcPr>
          <w:p>
            <w:pPr>
              <w:spacing w:line="287"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排放油类的</w:t>
            </w:r>
          </w:p>
        </w:tc>
        <w:tc>
          <w:tcPr>
            <w:tcW w:w="1068" w:type="dxa"/>
            <w:vAlign w:val="top"/>
          </w:tcPr>
          <w:p>
            <w:pPr>
              <w:ind w:left="19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排放酸液的</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排放碱液的</w:t>
            </w:r>
          </w:p>
        </w:tc>
        <w:tc>
          <w:tcPr>
            <w:tcW w:w="1068" w:type="dxa"/>
            <w:vAlign w:val="top"/>
          </w:tcPr>
          <w:p>
            <w:pPr>
              <w:ind w:left="19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5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废水去向</w:t>
            </w:r>
          </w:p>
        </w:tc>
        <w:tc>
          <w:tcPr>
            <w:tcW w:w="685"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4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向江河中排放的</w:t>
            </w:r>
          </w:p>
        </w:tc>
        <w:tc>
          <w:tcPr>
            <w:tcW w:w="1068" w:type="dxa"/>
            <w:vAlign w:val="top"/>
          </w:tcPr>
          <w:p>
            <w:pPr>
              <w:ind w:left="25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36" w:right="103" w:firstLine="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向水库、湖泊、地下水中排放</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的</w:t>
            </w:r>
          </w:p>
        </w:tc>
        <w:tc>
          <w:tcPr>
            <w:tcW w:w="1068" w:type="dxa"/>
            <w:vAlign w:val="top"/>
          </w:tcPr>
          <w:p>
            <w:pPr>
              <w:ind w:left="19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0" w:right="103" w:firstLine="6"/>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风景名胜区水体、重要渔业水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体和其他具有特殊经济文化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价值水体中排放的</w:t>
            </w:r>
          </w:p>
        </w:tc>
        <w:tc>
          <w:tcPr>
            <w:tcW w:w="1068" w:type="dxa"/>
            <w:vAlign w:val="top"/>
          </w:tcPr>
          <w:p>
            <w:pPr>
              <w:spacing w:line="278" w:lineRule="auto"/>
              <w:rPr>
                <w:rFonts w:ascii="Arial"/>
                <w:sz w:val="21"/>
              </w:rPr>
            </w:pPr>
            <w:r/>
          </w:p>
          <w:p>
            <w:pPr>
              <w:ind w:left="1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0" w:right="263" w:firstLine="2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向生活饮用水水源保护区或</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准保护区内水体中排放的</w:t>
            </w:r>
          </w:p>
        </w:tc>
        <w:tc>
          <w:tcPr>
            <w:tcW w:w="1068" w:type="dxa"/>
            <w:vAlign w:val="top"/>
          </w:tcPr>
          <w:p>
            <w:pPr>
              <w:ind w:left="1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5"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5"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2" w:right="26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5" w:right="243"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2" w:right="156" w:hanging="723"/>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4"/>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9" w:hRule="atLeast"/>
        </w:trPr>
        <w:tc>
          <w:tcPr>
            <w:tcW w:w="1454" w:type="dxa"/>
            <w:vAlign w:val="top"/>
            <w:vMerge w:val="restart"/>
            <w:tcBorders>
              <w:bottom w:val="nil"/>
            </w:tcBorders>
          </w:tcPr>
          <w:p>
            <w:pPr>
              <w:ind w:left="136"/>
              <w:spacing w:before="11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7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46"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8"/>
              <w:spacing w:before="10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7"/>
              <w:spacing w:before="10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5" w:right="263"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8"/>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08"/>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105</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7" w:right="35" w:firstLine="23"/>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向水体排放剧毒废液，或者将含有汞、镉、砷、铬、铅、氰化物、</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黄磷等的可溶性剧毒废渣向水体排放、倾倒或者直接埋入地下的</w:t>
            </w:r>
          </w:p>
        </w:tc>
      </w:tr>
      <w:tr>
        <w:trPr>
          <w:trHeight w:val="10713"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22" w:right="106" w:firstLine="1"/>
              <w:spacing w:before="37"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禁止向水体排放、倾倒工业废渣、城镇垃圾和其他废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弃物。</w:t>
            </w:r>
          </w:p>
          <w:p>
            <w:pPr>
              <w:ind w:left="110" w:right="176" w:firstLine="9"/>
              <w:spacing w:before="3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禁止将含有汞、镉、砷、铬、铅、氰化物、黄磷等的可溶性剧毒</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废渣向水体排放、倾倒或者直接埋入地下。</w:t>
            </w:r>
          </w:p>
          <w:p>
            <w:pPr>
              <w:ind w:left="111" w:right="176" w:hanging="2"/>
              <w:spacing w:before="3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存放可溶性剧毒废渣的场所，应当采取防水、</w:t>
            </w:r>
            <w:r>
              <w:rPr>
                <w:rFonts w:ascii="FangSong_GB2312" w:hAnsi="FangSong_GB2312" w:eastAsia="FangSong_GB2312" w:cs="FangSong_GB2312"/>
                <w:sz w:val="24"/>
                <w:szCs w:val="24"/>
                <w:spacing w:val="-1"/>
              </w:rPr>
              <w:t>防渗漏、防流失的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措施。</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13" w:right="176" w:hanging="6"/>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（二）向水体排放剧毒废液，或者将含有汞、镉</w:t>
            </w:r>
            <w:r>
              <w:rPr>
                <w:rFonts w:ascii="FangSong_GB2312" w:hAnsi="FangSong_GB2312" w:eastAsia="FangSong_GB2312" w:cs="FangSong_GB2312"/>
                <w:sz w:val="24"/>
                <w:szCs w:val="24"/>
                <w:spacing w:val="-1"/>
              </w:rPr>
              <w:t>、砷、铬、铅、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氰化物、黄磷等的可溶性剧毒废渣向水体排放、倾倒或者直接埋</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3"/>
              </w:rPr>
              <w:t>入地下的；</w:t>
            </w:r>
          </w:p>
          <w:p>
            <w:pPr>
              <w:ind w:left="144" w:right="176" w:hanging="27"/>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有前款第一项、第二项、第五项、第九项行为之一的，处十万元</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以上一百万元以下的罚款。</w:t>
            </w:r>
          </w:p>
          <w:p>
            <w:pPr>
              <w:spacing w:line="270"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4"/>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禁止下列污染地表水体和地下水</w:t>
            </w:r>
            <w:r>
              <w:rPr>
                <w:rFonts w:ascii="FangSong_GB2312" w:hAnsi="FangSong_GB2312" w:eastAsia="FangSong_GB2312" w:cs="FangSong_GB2312"/>
                <w:sz w:val="24"/>
                <w:szCs w:val="24"/>
                <w:spacing w:val="-2"/>
              </w:rPr>
              <w:t>体的行为：</w:t>
            </w:r>
          </w:p>
          <w:p>
            <w:pPr>
              <w:ind w:left="107"/>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（一）向水体排放油类、酸液、碱液或者剧毒废液；</w:t>
            </w:r>
          </w:p>
          <w:p>
            <w:pPr>
              <w:ind w:left="114" w:right="176" w:hanging="7"/>
              <w:spacing w:before="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（七）将含有汞、镉、砷、铬、铅、氰化物、黄</w:t>
            </w:r>
            <w:r>
              <w:rPr>
                <w:rFonts w:ascii="FangSong_GB2312" w:hAnsi="FangSong_GB2312" w:eastAsia="FangSong_GB2312" w:cs="FangSong_GB2312"/>
                <w:sz w:val="24"/>
                <w:szCs w:val="24"/>
                <w:spacing w:val="-1"/>
              </w:rPr>
              <w:t>磷等的可溶性剧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毒废渣向水体排放、倾倒或者直接埋入地下；</w:t>
            </w:r>
          </w:p>
          <w:p>
            <w:pPr>
              <w:spacing w:line="269"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19" w:right="106" w:firstLine="4"/>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违反本条例第二十二条第一项、第三项、第七项、第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二十九条第一款规定的，处十万元以上三十万元</w:t>
            </w:r>
            <w:r>
              <w:rPr>
                <w:rFonts w:ascii="FangSong_GB2312" w:hAnsi="FangSong_GB2312" w:eastAsia="FangSong_GB2312" w:cs="FangSong_GB2312"/>
                <w:sz w:val="24"/>
                <w:szCs w:val="24"/>
                <w:spacing w:val="1"/>
              </w:rPr>
              <w:t>以下的罚款；情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节较重的，处三十万元以上一百万元以下的罚款；</w:t>
            </w:r>
          </w:p>
          <w:p>
            <w:pPr>
              <w:spacing w:line="272" w:lineRule="auto"/>
              <w:rPr>
                <w:rFonts w:ascii="Arial"/>
                <w:sz w:val="21"/>
              </w:rPr>
            </w:pPr>
            <w:r/>
          </w:p>
          <w:p>
            <w:pPr>
              <w:ind w:left="12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白洋淀生态环境治理和保护条例</w:t>
            </w:r>
            <w:r>
              <w:rPr>
                <w:rFonts w:ascii="FangSong_GB2312" w:hAnsi="FangSong_GB2312" w:eastAsia="FangSong_GB2312" w:cs="FangSong_GB2312"/>
                <w:sz w:val="24"/>
                <w:szCs w:val="24"/>
                <w:spacing w:val="-3"/>
              </w:rPr>
              <w:t>》</w:t>
            </w:r>
          </w:p>
          <w:p>
            <w:pPr>
              <w:ind w:left="124"/>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白洋淀流域内禁止下列污染</w:t>
            </w:r>
            <w:r>
              <w:rPr>
                <w:rFonts w:ascii="FangSong_GB2312" w:hAnsi="FangSong_GB2312" w:eastAsia="FangSong_GB2312" w:cs="FangSong_GB2312"/>
                <w:sz w:val="24"/>
                <w:szCs w:val="24"/>
                <w:spacing w:val="-2"/>
              </w:rPr>
              <w:t>水体的行为：</w:t>
            </w:r>
          </w:p>
          <w:p>
            <w:pPr>
              <w:ind w:left="107"/>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（一）向水体排放油类、酸液、碱液或者剧毒废液；</w:t>
            </w:r>
          </w:p>
          <w:p>
            <w:pPr>
              <w:ind w:left="107"/>
              <w:spacing w:before="38"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（七）将含有汞、镉、砷、铬、铅、氰化物、黄磷等的可溶性剧</w:t>
            </w:r>
          </w:p>
        </w:tc>
      </w:tr>
    </w:tbl>
    <w:p>
      <w:pPr>
        <w:pStyle w:val="BodyText"/>
        <w:rPr/>
      </w:pPr>
      <w:r/>
    </w:p>
    <w:p>
      <w:pPr>
        <w:sectPr>
          <w:footerReference w:type="default" r:id="rId209"/>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3788" w:hRule="atLeast"/>
        </w:trPr>
        <w:tc>
          <w:tcPr>
            <w:tcW w:w="1454" w:type="dxa"/>
            <w:vAlign w:val="top"/>
          </w:tcPr>
          <w:p>
            <w:pPr>
              <w:rPr>
                <w:rFonts w:ascii="Arial"/>
                <w:sz w:val="21"/>
              </w:rPr>
            </w:pPr>
            <w:r/>
          </w:p>
        </w:tc>
        <w:tc>
          <w:tcPr>
            <w:tcW w:w="7004" w:type="dxa"/>
            <w:vAlign w:val="top"/>
            <w:gridSpan w:val="4"/>
          </w:tcPr>
          <w:p>
            <w:pPr>
              <w:ind w:left="115"/>
              <w:spacing w:before="4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毒废渣向水体排放、倾倒或者直接埋入地下；</w:t>
            </w:r>
          </w:p>
          <w:p>
            <w:pPr>
              <w:spacing w:line="270" w:lineRule="auto"/>
              <w:rPr>
                <w:rFonts w:ascii="Arial"/>
                <w:sz w:val="21"/>
              </w:rPr>
            </w:pPr>
            <w:r/>
          </w:p>
          <w:p>
            <w:pPr>
              <w:ind w:left="1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w:t>
            </w:r>
            <w:r>
              <w:rPr>
                <w:rFonts w:ascii="FangSong_GB2312" w:hAnsi="FangSong_GB2312" w:eastAsia="FangSong_GB2312" w:cs="FangSong_GB2312"/>
                <w:sz w:val="24"/>
                <w:szCs w:val="24"/>
                <w:b/>
                <w:bCs/>
                <w:spacing w:val="-3"/>
              </w:rPr>
              <w:t>白洋淀生态环境治理和保护条例</w:t>
            </w:r>
            <w:r>
              <w:rPr>
                <w:rFonts w:ascii="FangSong_GB2312" w:hAnsi="FangSong_GB2312" w:eastAsia="FangSong_GB2312" w:cs="FangSong_GB2312"/>
                <w:sz w:val="24"/>
                <w:szCs w:val="24"/>
                <w:spacing w:val="-3"/>
              </w:rPr>
              <w:t>》</w:t>
            </w:r>
          </w:p>
          <w:p>
            <w:pPr>
              <w:ind w:left="113" w:right="109" w:firstLine="11"/>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违反本条例第二十四条第一项至</w:t>
            </w:r>
            <w:r>
              <w:rPr>
                <w:rFonts w:ascii="FangSong_GB2312" w:hAnsi="FangSong_GB2312" w:eastAsia="FangSong_GB2312" w:cs="FangSong_GB2312"/>
                <w:sz w:val="24"/>
                <w:szCs w:val="24"/>
              </w:rPr>
              <w:t>第八项规定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的，由生态环境主管部门责令停止违法行为，并限期采取治理措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施，消除污染；逾期不采取治理措施的，生态环境主管部门可以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指定有治理能力的单位代为治理，所需费用由违法者承担。</w:t>
            </w:r>
          </w:p>
          <w:p>
            <w:pPr>
              <w:ind w:left="120" w:right="109" w:firstLine="3"/>
              <w:spacing w:before="39"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违反本条例第二十四条第二项、</w:t>
            </w:r>
            <w:r>
              <w:rPr>
                <w:rFonts w:ascii="FangSong_GB2312" w:hAnsi="FangSong_GB2312" w:eastAsia="FangSong_GB2312" w:cs="FangSong_GB2312"/>
                <w:sz w:val="24"/>
                <w:szCs w:val="24"/>
              </w:rPr>
              <w:t>第四项、第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五项规定的，处十万元以上二十万元以下的罚</w:t>
            </w:r>
            <w:r>
              <w:rPr>
                <w:rFonts w:ascii="FangSong_GB2312" w:hAnsi="FangSong_GB2312" w:eastAsia="FangSong_GB2312" w:cs="FangSong_GB2312"/>
                <w:sz w:val="24"/>
                <w:szCs w:val="24"/>
                <w:spacing w:val="1"/>
              </w:rPr>
              <w:t>款；违反本条例第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二十四条第一项、第三项、第六项、第七项、</w:t>
            </w:r>
            <w:r>
              <w:rPr>
                <w:rFonts w:ascii="FangSong_GB2312" w:hAnsi="FangSong_GB2312" w:eastAsia="FangSong_GB2312" w:cs="FangSong_GB2312"/>
                <w:sz w:val="24"/>
                <w:szCs w:val="24"/>
                <w:spacing w:val="1"/>
              </w:rPr>
              <w:t>第八项规定的，处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五十万元以上一百万元以下的罚款；情节严重</w:t>
            </w:r>
            <w:r>
              <w:rPr>
                <w:rFonts w:ascii="FangSong_GB2312" w:hAnsi="FangSong_GB2312" w:eastAsia="FangSong_GB2312" w:cs="FangSong_GB2312"/>
                <w:sz w:val="24"/>
                <w:szCs w:val="24"/>
                <w:spacing w:val="1"/>
              </w:rPr>
              <w:t>的，报经有批准权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的人民政府批准，责令停业、关闭。</w:t>
            </w:r>
          </w:p>
        </w:tc>
      </w:tr>
      <w:tr>
        <w:trPr>
          <w:trHeight w:val="635" w:hRule="atLeast"/>
        </w:trPr>
        <w:tc>
          <w:tcPr>
            <w:tcW w:w="4135" w:type="dxa"/>
            <w:vAlign w:val="top"/>
            <w:gridSpan w:val="3"/>
          </w:tcPr>
          <w:p>
            <w:pPr>
              <w:ind w:left="1514"/>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48"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768" w:hRule="atLeast"/>
        </w:trPr>
        <w:tc>
          <w:tcPr>
            <w:tcW w:w="1454"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39" w:lineRule="auto"/>
              <w:rPr>
                <w:rFonts w:ascii="Arial"/>
                <w:sz w:val="21"/>
              </w:rPr>
            </w:pPr>
            <w:r/>
          </w:p>
          <w:p>
            <w:pPr>
              <w:spacing w:line="339" w:lineRule="auto"/>
              <w:rPr>
                <w:rFonts w:ascii="Arial"/>
                <w:sz w:val="21"/>
              </w:rPr>
            </w:pPr>
            <w:r/>
          </w:p>
          <w:p>
            <w:pPr>
              <w:ind w:left="52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废水类别</w:t>
            </w:r>
          </w:p>
        </w:tc>
        <w:tc>
          <w:tcPr>
            <w:tcW w:w="685" w:type="dxa"/>
            <w:vAlign w:val="top"/>
            <w:vMerge w:val="restart"/>
            <w:tcBorders>
              <w:bottom w:val="nil"/>
            </w:tcBorders>
          </w:tcPr>
          <w:p>
            <w:pPr>
              <w:spacing w:line="339" w:lineRule="auto"/>
              <w:rPr>
                <w:rFonts w:ascii="Arial"/>
                <w:sz w:val="21"/>
              </w:rPr>
            </w:pPr>
            <w:r/>
          </w:p>
          <w:p>
            <w:pPr>
              <w:spacing w:line="33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26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排放剧毒废液的</w:t>
            </w:r>
          </w:p>
        </w:tc>
        <w:tc>
          <w:tcPr>
            <w:tcW w:w="1068" w:type="dxa"/>
            <w:vAlign w:val="top"/>
          </w:tcPr>
          <w:p>
            <w:pPr>
              <w:ind w:left="196"/>
              <w:spacing w:before="26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86"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2" w:right="33" w:firstLine="4"/>
              <w:spacing w:before="59"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排放含有汞、镉、砷、铬、铅、</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7"/>
              </w:rPr>
              <w:t>氰化物、黄磷等的可溶性剧毒</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废渣的</w:t>
            </w:r>
          </w:p>
        </w:tc>
        <w:tc>
          <w:tcPr>
            <w:tcW w:w="1068" w:type="dxa"/>
            <w:vAlign w:val="top"/>
          </w:tcPr>
          <w:p>
            <w:pPr>
              <w:spacing w:line="294" w:lineRule="auto"/>
              <w:rPr>
                <w:rFonts w:ascii="Arial"/>
                <w:sz w:val="21"/>
              </w:rPr>
            </w:pPr>
            <w:r/>
          </w:p>
          <w:p>
            <w:pPr>
              <w:ind w:left="19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5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废水去向</w:t>
            </w:r>
          </w:p>
        </w:tc>
        <w:tc>
          <w:tcPr>
            <w:tcW w:w="685"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4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向江河中排放的</w:t>
            </w:r>
          </w:p>
        </w:tc>
        <w:tc>
          <w:tcPr>
            <w:tcW w:w="1068" w:type="dxa"/>
            <w:vAlign w:val="top"/>
          </w:tcPr>
          <w:p>
            <w:pPr>
              <w:ind w:left="25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34" w:right="104" w:firstLine="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向水库、湖泊、地下水中排放</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的</w:t>
            </w:r>
          </w:p>
        </w:tc>
        <w:tc>
          <w:tcPr>
            <w:tcW w:w="1068" w:type="dxa"/>
            <w:vAlign w:val="top"/>
          </w:tcPr>
          <w:p>
            <w:pPr>
              <w:ind w:left="19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08" w:right="104" w:firstLine="6"/>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风景名胜区水体、重要渔业水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体和其他具有特殊经济文化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价值水体中排放的</w:t>
            </w:r>
          </w:p>
        </w:tc>
        <w:tc>
          <w:tcPr>
            <w:tcW w:w="1068" w:type="dxa"/>
            <w:vAlign w:val="top"/>
          </w:tcPr>
          <w:p>
            <w:pPr>
              <w:spacing w:line="277"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9" w:right="265" w:firstLine="2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向生活饮用水水源保护区或</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准保护区内水体中排放的</w:t>
            </w:r>
          </w:p>
        </w:tc>
        <w:tc>
          <w:tcPr>
            <w:tcW w:w="1068" w:type="dxa"/>
            <w:vAlign w:val="top"/>
          </w:tcPr>
          <w:p>
            <w:pPr>
              <w:ind w:left="13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7" w:hRule="atLeast"/>
        </w:trPr>
        <w:tc>
          <w:tcPr>
            <w:tcW w:w="1454" w:type="dxa"/>
            <w:vAlign w:val="top"/>
            <w:vMerge w:val="restart"/>
            <w:tcBorders>
              <w:bottom w:val="nil"/>
            </w:tcBorders>
          </w:tcPr>
          <w:p>
            <w:pPr>
              <w:ind w:left="253" w:right="245" w:firstLine="7"/>
              <w:spacing w:before="8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8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4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8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82"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74" w:hRule="atLeast"/>
        </w:trPr>
        <w:tc>
          <w:tcPr>
            <w:tcW w:w="1454" w:type="dxa"/>
            <w:vAlign w:val="top"/>
          </w:tcPr>
          <w:p>
            <w:pPr>
              <w:ind w:left="135"/>
              <w:spacing w:before="6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996" w:type="dxa"/>
            <w:vAlign w:val="top"/>
          </w:tcPr>
          <w:p>
            <w:pPr>
              <w:ind w:left="158"/>
              <w:spacing w:before="6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p>
        </w:tc>
        <w:tc>
          <w:tcPr>
            <w:tcW w:w="685" w:type="dxa"/>
            <w:vAlign w:val="top"/>
          </w:tcPr>
          <w:p>
            <w:pPr>
              <w:ind w:left="177"/>
              <w:spacing w:before="6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6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6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10"/>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639" w:hRule="atLeast"/>
        </w:trPr>
        <w:tc>
          <w:tcPr>
            <w:tcW w:w="1454" w:type="dxa"/>
            <w:vAlign w:val="top"/>
          </w:tcPr>
          <w:p>
            <w:pPr>
              <w:ind w:left="495" w:right="122" w:hanging="3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996" w:type="dxa"/>
            <w:vAlign w:val="top"/>
          </w:tcPr>
          <w:p>
            <w:pPr>
              <w:ind w:left="290"/>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响或生态破坏</w:t>
            </w:r>
          </w:p>
        </w:tc>
        <w:tc>
          <w:tcPr>
            <w:tcW w:w="685" w:type="dxa"/>
            <w:vAlign w:val="top"/>
          </w:tcPr>
          <w:p>
            <w:pPr>
              <w:rPr>
                <w:rFonts w:ascii="Arial"/>
                <w:sz w:val="21"/>
              </w:rPr>
            </w:pPr>
            <w:r/>
          </w:p>
        </w:tc>
        <w:tc>
          <w:tcPr>
            <w:tcW w:w="3255" w:type="dxa"/>
            <w:vAlign w:val="top"/>
          </w:tcPr>
          <w:p>
            <w:pPr>
              <w:ind w:left="134" w:right="26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11"/>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106</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5"/>
              <w:spacing w:before="19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在水体清洗装贮过油类、有毒污染物的车辆或者容器的</w:t>
            </w:r>
          </w:p>
        </w:tc>
      </w:tr>
      <w:tr>
        <w:trPr>
          <w:trHeight w:val="10713"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9" w:right="345" w:firstLine="4"/>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禁止向水体排放油类、酸液、碱液或者剧毒废液。</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禁止在水体清洗装贮过油类或者有毒污染物的车辆和容器。</w:t>
            </w:r>
          </w:p>
          <w:p>
            <w:pPr>
              <w:spacing w:line="271"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17" w:right="124" w:hanging="10"/>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在水体清洗装贮过油类、有毒污染物的车辆或者容器的；</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有前款第三项、第四项、第六项、第七项、第八项行为之一的，</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处二万元以上二十万元以下的罚款。</w:t>
            </w:r>
          </w:p>
          <w:p>
            <w:pPr>
              <w:spacing w:line="269"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4"/>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禁止下列污染地表水体和地下水</w:t>
            </w:r>
            <w:r>
              <w:rPr>
                <w:rFonts w:ascii="FangSong_GB2312" w:hAnsi="FangSong_GB2312" w:eastAsia="FangSong_GB2312" w:cs="FangSong_GB2312"/>
                <w:sz w:val="24"/>
                <w:szCs w:val="24"/>
                <w:spacing w:val="-2"/>
              </w:rPr>
              <w:t>体的行为：</w:t>
            </w:r>
          </w:p>
          <w:p>
            <w:pPr>
              <w:ind w:left="107"/>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（二）在水体清洗装贮过油类或者有毒污染物</w:t>
            </w:r>
            <w:r>
              <w:rPr>
                <w:rFonts w:ascii="FangSong_GB2312" w:hAnsi="FangSong_GB2312" w:eastAsia="FangSong_GB2312" w:cs="FangSong_GB2312"/>
                <w:sz w:val="24"/>
                <w:szCs w:val="24"/>
                <w:spacing w:val="-1"/>
              </w:rPr>
              <w:t>的车辆和容器；</w:t>
            </w:r>
          </w:p>
          <w:p>
            <w:pPr>
              <w:spacing w:line="271"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22" w:right="106" w:firstLine="1"/>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违反本条例第二十二条第二项、第四项、第五项、第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六项、第八项、第二十四条第二款规定的，处二万元以上五万元</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以下的罚款；情节严重的，处五万元以上二十万元以下的罚款。</w:t>
            </w:r>
          </w:p>
          <w:p>
            <w:pPr>
              <w:spacing w:line="272" w:lineRule="auto"/>
              <w:rPr>
                <w:rFonts w:ascii="Arial"/>
                <w:sz w:val="21"/>
              </w:rPr>
            </w:pPr>
            <w:r/>
          </w:p>
          <w:p>
            <w:pPr>
              <w:ind w:left="12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《白洋淀生态环境治理和保护条例》</w:t>
            </w:r>
          </w:p>
          <w:p>
            <w:pPr>
              <w:ind w:left="124"/>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第二十四条</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4"/>
              </w:rPr>
              <w:t>白洋淀流域内禁止下列污染水体的行为：</w:t>
            </w:r>
          </w:p>
          <w:p>
            <w:pPr>
              <w:ind w:left="107"/>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（二）在水体清洗装贮过油类或者有毒污染物的</w:t>
            </w:r>
            <w:r>
              <w:rPr>
                <w:rFonts w:ascii="FangSong_GB2312" w:hAnsi="FangSong_GB2312" w:eastAsia="FangSong_GB2312" w:cs="FangSong_GB2312"/>
                <w:sz w:val="24"/>
                <w:szCs w:val="24"/>
                <w:spacing w:val="-1"/>
              </w:rPr>
              <w:t>车辆和容器;</w:t>
            </w:r>
          </w:p>
          <w:p>
            <w:pPr>
              <w:spacing w:line="274" w:lineRule="auto"/>
              <w:rPr>
                <w:rFonts w:ascii="Arial"/>
                <w:sz w:val="21"/>
              </w:rPr>
            </w:pPr>
            <w:r/>
          </w:p>
          <w:p>
            <w:pPr>
              <w:ind w:left="123"/>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w:t>
            </w:r>
            <w:r>
              <w:rPr>
                <w:rFonts w:ascii="FangSong_GB2312" w:hAnsi="FangSong_GB2312" w:eastAsia="FangSong_GB2312" w:cs="FangSong_GB2312"/>
                <w:sz w:val="24"/>
                <w:szCs w:val="24"/>
                <w:b/>
                <w:bCs/>
                <w:spacing w:val="-3"/>
              </w:rPr>
              <w:t>《白洋淀生态环境治理和保护条例》</w:t>
            </w:r>
          </w:p>
          <w:p>
            <w:pPr>
              <w:ind w:left="112" w:right="109" w:firstLine="12"/>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第八十三条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b/>
                <w:bCs/>
                <w:spacing w:val="4"/>
              </w:rPr>
              <w:t>第一款</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4"/>
              </w:rPr>
              <w:t>违反本条例第二十四条第一项至第八项规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定的，由生态环境主管部门责令停止违法行为，并限期采取治理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措施，消除污染；逾期不采取治理措施的，生态环境主管部门可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以指定有治理能力的单位代为治理，所需费用由违法者承担。</w:t>
            </w:r>
          </w:p>
          <w:p>
            <w:pPr>
              <w:ind w:left="120" w:right="106" w:firstLine="3"/>
              <w:spacing w:before="38"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违反本条例第二十四条第二项、第</w:t>
            </w:r>
            <w:r>
              <w:rPr>
                <w:rFonts w:ascii="FangSong_GB2312" w:hAnsi="FangSong_GB2312" w:eastAsia="FangSong_GB2312" w:cs="FangSong_GB2312"/>
                <w:sz w:val="24"/>
                <w:szCs w:val="24"/>
                <w:spacing w:val="-4"/>
              </w:rPr>
              <w:t>四项、第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五项规定的，处十万元以上二十万元以下的罚</w:t>
            </w:r>
            <w:r>
              <w:rPr>
                <w:rFonts w:ascii="FangSong_GB2312" w:hAnsi="FangSong_GB2312" w:eastAsia="FangSong_GB2312" w:cs="FangSong_GB2312"/>
                <w:sz w:val="24"/>
                <w:szCs w:val="24"/>
                <w:spacing w:val="1"/>
              </w:rPr>
              <w:t>款；违反本条例第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二十四条第一项、第三项、第六项、第七项、</w:t>
            </w:r>
            <w:r>
              <w:rPr>
                <w:rFonts w:ascii="FangSong_GB2312" w:hAnsi="FangSong_GB2312" w:eastAsia="FangSong_GB2312" w:cs="FangSong_GB2312"/>
                <w:sz w:val="24"/>
                <w:szCs w:val="24"/>
                <w:spacing w:val="1"/>
              </w:rPr>
              <w:t>第八项规定的，处</w:t>
            </w:r>
          </w:p>
        </w:tc>
      </w:tr>
    </w:tbl>
    <w:p>
      <w:pPr>
        <w:pStyle w:val="BodyText"/>
        <w:rPr/>
      </w:pPr>
      <w:r/>
    </w:p>
    <w:p>
      <w:pPr>
        <w:sectPr>
          <w:footerReference w:type="default" r:id="rId21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690" w:hRule="atLeast"/>
        </w:trPr>
        <w:tc>
          <w:tcPr>
            <w:tcW w:w="1454" w:type="dxa"/>
            <w:vAlign w:val="top"/>
          </w:tcPr>
          <w:p>
            <w:pPr>
              <w:rPr>
                <w:rFonts w:ascii="Arial"/>
                <w:sz w:val="21"/>
              </w:rPr>
            </w:pPr>
            <w:r/>
          </w:p>
        </w:tc>
        <w:tc>
          <w:tcPr>
            <w:tcW w:w="7004" w:type="dxa"/>
            <w:vAlign w:val="top"/>
            <w:gridSpan w:val="4"/>
          </w:tcPr>
          <w:p>
            <w:pPr>
              <w:ind w:left="132" w:right="109" w:hanging="12"/>
              <w:spacing w:before="4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五十万元以上一百万元以下的罚款；情节严重</w:t>
            </w:r>
            <w:r>
              <w:rPr>
                <w:rFonts w:ascii="FangSong_GB2312" w:hAnsi="FangSong_GB2312" w:eastAsia="FangSong_GB2312" w:cs="FangSong_GB2312"/>
                <w:sz w:val="24"/>
                <w:szCs w:val="24"/>
                <w:spacing w:val="1"/>
              </w:rPr>
              <w:t>的，报经有批准权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的人民政府批准，责令停业、关闭。</w:t>
            </w:r>
          </w:p>
        </w:tc>
      </w:tr>
      <w:tr>
        <w:trPr>
          <w:trHeight w:val="634" w:hRule="atLeast"/>
        </w:trPr>
        <w:tc>
          <w:tcPr>
            <w:tcW w:w="4135" w:type="dxa"/>
            <w:vAlign w:val="top"/>
            <w:gridSpan w:val="3"/>
          </w:tcPr>
          <w:p>
            <w:pPr>
              <w:ind w:left="1514"/>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454"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438" w:lineRule="auto"/>
              <w:rPr>
                <w:rFonts w:ascii="Arial"/>
                <w:sz w:val="21"/>
              </w:rPr>
            </w:pPr>
            <w:r/>
          </w:p>
          <w:p>
            <w:pPr>
              <w:ind w:left="53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清洗容器</w:t>
            </w:r>
          </w:p>
        </w:tc>
        <w:tc>
          <w:tcPr>
            <w:tcW w:w="685" w:type="dxa"/>
            <w:vAlign w:val="top"/>
            <w:vMerge w:val="restart"/>
            <w:tcBorders>
              <w:bottom w:val="nil"/>
            </w:tcBorders>
          </w:tcPr>
          <w:p>
            <w:pPr>
              <w:spacing w:line="43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4" w:right="265" w:firstLine="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在水体清洗装贮过油类的车</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辆或者容器的</w:t>
            </w:r>
          </w:p>
        </w:tc>
        <w:tc>
          <w:tcPr>
            <w:tcW w:w="1068" w:type="dxa"/>
            <w:vAlign w:val="top"/>
          </w:tcPr>
          <w:p>
            <w:pPr>
              <w:ind w:left="196"/>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1" w:right="265" w:hanging="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在水体清洗装贮过有毒污染</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物的车辆或者容器的</w:t>
            </w:r>
          </w:p>
        </w:tc>
        <w:tc>
          <w:tcPr>
            <w:tcW w:w="1068" w:type="dxa"/>
            <w:vAlign w:val="top"/>
          </w:tcPr>
          <w:p>
            <w:pPr>
              <w:ind w:left="13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51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利用水体</w:t>
            </w:r>
          </w:p>
        </w:tc>
        <w:tc>
          <w:tcPr>
            <w:tcW w:w="685"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在江河中清洗的</w:t>
            </w:r>
          </w:p>
        </w:tc>
        <w:tc>
          <w:tcPr>
            <w:tcW w:w="1068" w:type="dxa"/>
            <w:vAlign w:val="top"/>
          </w:tcPr>
          <w:p>
            <w:pPr>
              <w:ind w:left="25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34" w:right="104" w:hanging="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在水库、湖泊、地下水中清洗</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的</w:t>
            </w:r>
          </w:p>
        </w:tc>
        <w:tc>
          <w:tcPr>
            <w:tcW w:w="1068" w:type="dxa"/>
            <w:vAlign w:val="top"/>
          </w:tcPr>
          <w:p>
            <w:pPr>
              <w:ind w:left="19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3" w:right="104" w:firstLine="3"/>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在风景名胜区水体、重要渔业</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水体和其他具有特殊经济文</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化价值水体中清洗的</w:t>
            </w:r>
          </w:p>
        </w:tc>
        <w:tc>
          <w:tcPr>
            <w:tcW w:w="1068" w:type="dxa"/>
            <w:vAlign w:val="top"/>
          </w:tcPr>
          <w:p>
            <w:pPr>
              <w:spacing w:line="276"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8" w:right="265" w:hanging="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在生活饮用水水源保护区或</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准保护区内水体中清洗的</w:t>
            </w:r>
          </w:p>
        </w:tc>
        <w:tc>
          <w:tcPr>
            <w:tcW w:w="1068" w:type="dxa"/>
            <w:vAlign w:val="top"/>
          </w:tcPr>
          <w:p>
            <w:pPr>
              <w:ind w:left="13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0"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2" w:hRule="atLeast"/>
        </w:trPr>
        <w:tc>
          <w:tcPr>
            <w:tcW w:w="1454" w:type="dxa"/>
            <w:vAlign w:val="top"/>
            <w:vMerge w:val="restart"/>
            <w:tcBorders>
              <w:bottom w:val="nil"/>
            </w:tcBorders>
          </w:tcPr>
          <w:p>
            <w:pPr>
              <w:ind w:left="135"/>
              <w:spacing w:before="7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2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04"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6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66"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4" w:right="265"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13"/>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107</w:t>
            </w:r>
          </w:p>
        </w:tc>
      </w:tr>
      <w:tr>
        <w:trPr>
          <w:trHeight w:val="949" w:hRule="atLeast"/>
        </w:trPr>
        <w:tc>
          <w:tcPr>
            <w:tcW w:w="1454" w:type="dxa"/>
            <w:vAlign w:val="top"/>
          </w:tcPr>
          <w:p>
            <w:pPr>
              <w:spacing w:line="242"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3" w:right="176" w:firstLine="28"/>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向水体排放、倾倒工业废渣、城镇垃圾或者其他废弃物，或者在</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江河、湖泊、运河、渠道、水库最高水位线以下的滩地、岸坡堆</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放、存贮固体废弃物或者其他污染物的</w:t>
            </w:r>
          </w:p>
        </w:tc>
      </w:tr>
      <w:tr>
        <w:trPr>
          <w:trHeight w:val="10399" w:hRule="atLeast"/>
        </w:trPr>
        <w:tc>
          <w:tcPr>
            <w:tcW w:w="145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22" w:right="106" w:firstLine="1"/>
              <w:spacing w:before="37"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禁止向水体排放、倾倒工业废渣、城镇垃圾和其他废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弃物。</w:t>
            </w:r>
          </w:p>
          <w:p>
            <w:pPr>
              <w:ind w:left="110" w:right="176" w:firstLine="9"/>
              <w:spacing w:before="3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禁止将含有汞、镉、砷、铬、铅、氰化物、黄磷等的可溶性剧毒</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废渣向水体排放、倾倒或者直接埋入地下。</w:t>
            </w:r>
          </w:p>
          <w:p>
            <w:pPr>
              <w:ind w:left="111" w:right="176" w:hanging="2"/>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存放可溶性剧毒废渣的场所，应当采取防水、</w:t>
            </w:r>
            <w:r>
              <w:rPr>
                <w:rFonts w:ascii="FangSong_GB2312" w:hAnsi="FangSong_GB2312" w:eastAsia="FangSong_GB2312" w:cs="FangSong_GB2312"/>
                <w:sz w:val="24"/>
                <w:szCs w:val="24"/>
                <w:spacing w:val="-1"/>
              </w:rPr>
              <w:t>防渗漏、防流失的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措施。</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11" w:right="115" w:hanging="4"/>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（四）</w:t>
            </w:r>
            <w:r>
              <w:rPr>
                <w:rFonts w:ascii="FangSong_GB2312" w:hAnsi="FangSong_GB2312" w:eastAsia="FangSong_GB2312" w:cs="FangSong_GB2312"/>
                <w:sz w:val="24"/>
                <w:szCs w:val="24"/>
                <w:spacing w:val="46"/>
              </w:rPr>
              <w:t xml:space="preserve"> </w:t>
            </w:r>
            <w:r>
              <w:rPr>
                <w:rFonts w:ascii="FangSong_GB2312" w:hAnsi="FangSong_GB2312" w:eastAsia="FangSong_GB2312" w:cs="FangSong_GB2312"/>
                <w:sz w:val="24"/>
                <w:szCs w:val="24"/>
                <w:spacing w:val="-4"/>
              </w:rPr>
              <w:t>向水体排放、倾倒工业废渣、城镇垃圾或者其他废弃物，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或者在江河、湖泊、运河、渠道、水库最高水位线</w:t>
            </w:r>
            <w:r>
              <w:rPr>
                <w:rFonts w:ascii="FangSong_GB2312" w:hAnsi="FangSong_GB2312" w:eastAsia="FangSong_GB2312" w:cs="FangSong_GB2312"/>
                <w:sz w:val="24"/>
                <w:szCs w:val="24"/>
                <w:spacing w:val="1"/>
              </w:rPr>
              <w:t>以下的滩地、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岸坡堆放、存贮固体废弃物或者其他污染物的；</w:t>
            </w:r>
          </w:p>
          <w:p>
            <w:pPr>
              <w:ind w:left="120" w:right="168" w:hanging="3"/>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有前款第三项、第四项、第六项、第七项、</w:t>
            </w:r>
            <w:r>
              <w:rPr>
                <w:rFonts w:ascii="FangSong_GB2312" w:hAnsi="FangSong_GB2312" w:eastAsia="FangSong_GB2312" w:cs="FangSong_GB2312"/>
                <w:sz w:val="24"/>
                <w:szCs w:val="24"/>
                <w:spacing w:val="-1"/>
              </w:rPr>
              <w:t>第八项行为之一的，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处二万元以上二十万元以下的罚款。</w:t>
            </w:r>
          </w:p>
          <w:p>
            <w:pPr>
              <w:spacing w:line="269"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4"/>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禁止下列污染地表水体和地下水</w:t>
            </w:r>
            <w:r>
              <w:rPr>
                <w:rFonts w:ascii="FangSong_GB2312" w:hAnsi="FangSong_GB2312" w:eastAsia="FangSong_GB2312" w:cs="FangSong_GB2312"/>
                <w:sz w:val="24"/>
                <w:szCs w:val="24"/>
                <w:spacing w:val="-2"/>
              </w:rPr>
              <w:t>体的行为：</w:t>
            </w:r>
          </w:p>
          <w:p>
            <w:pPr>
              <w:ind w:left="10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（六）向水体倾倒、排放工业废渣、城镇垃圾</w:t>
            </w:r>
            <w:r>
              <w:rPr>
                <w:rFonts w:ascii="FangSong_GB2312" w:hAnsi="FangSong_GB2312" w:eastAsia="FangSong_GB2312" w:cs="FangSong_GB2312"/>
                <w:sz w:val="24"/>
                <w:szCs w:val="24"/>
                <w:spacing w:val="-1"/>
              </w:rPr>
              <w:t>和其他废弃物；</w:t>
            </w:r>
          </w:p>
          <w:p>
            <w:pPr>
              <w:ind w:left="117" w:right="176" w:hanging="10"/>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（八）在河流、湖泊、运河、渠道、淀库最高水</w:t>
            </w:r>
            <w:r>
              <w:rPr>
                <w:rFonts w:ascii="FangSong_GB2312" w:hAnsi="FangSong_GB2312" w:eastAsia="FangSong_GB2312" w:cs="FangSong_GB2312"/>
                <w:sz w:val="24"/>
                <w:szCs w:val="24"/>
                <w:spacing w:val="-1"/>
              </w:rPr>
              <w:t>位线以下的滩地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和岸坡堆放、存贮固体废弃物和其他污染物；</w:t>
            </w:r>
          </w:p>
          <w:p>
            <w:pPr>
              <w:spacing w:line="273"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22" w:right="106" w:firstLine="1"/>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违反本条例第二十二条第二项、第四项、第五项、第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六项、第八项、第二十四条第二款规定的，处二万元以上五万元</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以下的罚款；情节严重的，处五万元以上二十万元以下的罚款。</w:t>
            </w:r>
          </w:p>
          <w:p>
            <w:pPr>
              <w:spacing w:line="272" w:lineRule="auto"/>
              <w:rPr>
                <w:rFonts w:ascii="Arial"/>
                <w:sz w:val="21"/>
              </w:rPr>
            </w:pPr>
            <w:r/>
          </w:p>
          <w:p>
            <w:pPr>
              <w:ind w:left="12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《白洋淀生态环境治理和保护条例》</w:t>
            </w:r>
          </w:p>
          <w:p>
            <w:pPr>
              <w:ind w:left="124"/>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第二十四条</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4"/>
              </w:rPr>
              <w:t>白洋淀流域内禁止下列污染水体的行为：</w:t>
            </w:r>
          </w:p>
          <w:p>
            <w:pPr>
              <w:ind w:left="107"/>
              <w:spacing w:before="38"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（六）向水体倾倒、排放工业废渣、城镇垃圾和</w:t>
            </w:r>
            <w:r>
              <w:rPr>
                <w:rFonts w:ascii="FangSong_GB2312" w:hAnsi="FangSong_GB2312" w:eastAsia="FangSong_GB2312" w:cs="FangSong_GB2312"/>
                <w:sz w:val="24"/>
                <w:szCs w:val="24"/>
                <w:spacing w:val="-1"/>
              </w:rPr>
              <w:t>其他废弃物;</w:t>
            </w:r>
          </w:p>
        </w:tc>
      </w:tr>
    </w:tbl>
    <w:p>
      <w:pPr>
        <w:pStyle w:val="BodyText"/>
        <w:rPr/>
      </w:pPr>
      <w:r/>
    </w:p>
    <w:p>
      <w:pPr>
        <w:sectPr>
          <w:footerReference w:type="default" r:id="rId21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4418" w:hRule="atLeast"/>
        </w:trPr>
        <w:tc>
          <w:tcPr>
            <w:tcW w:w="1454" w:type="dxa"/>
            <w:vAlign w:val="top"/>
          </w:tcPr>
          <w:p>
            <w:pPr>
              <w:rPr>
                <w:rFonts w:ascii="Arial"/>
                <w:sz w:val="21"/>
              </w:rPr>
            </w:pPr>
            <w:r/>
          </w:p>
        </w:tc>
        <w:tc>
          <w:tcPr>
            <w:tcW w:w="7004" w:type="dxa"/>
            <w:vAlign w:val="top"/>
            <w:gridSpan w:val="4"/>
          </w:tcPr>
          <w:p>
            <w:pPr>
              <w:ind w:left="117" w:right="109" w:hanging="10"/>
              <w:spacing w:before="46"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（八）在河流、湖泊、运河、渠道、淀库最高水位线以下的滩地</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和岸坡以及法律法规禁止的其他地点倾倒、堆放、</w:t>
            </w:r>
            <w:r>
              <w:rPr>
                <w:rFonts w:ascii="FangSong_GB2312" w:hAnsi="FangSong_GB2312" w:eastAsia="FangSong_GB2312" w:cs="FangSong_GB2312"/>
                <w:sz w:val="24"/>
                <w:szCs w:val="24"/>
                <w:spacing w:val="1"/>
              </w:rPr>
              <w:t>贮存固体废弃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物和其他污染物；</w:t>
            </w:r>
          </w:p>
          <w:p>
            <w:pPr>
              <w:spacing w:line="273" w:lineRule="auto"/>
              <w:rPr>
                <w:rFonts w:ascii="Arial"/>
                <w:sz w:val="21"/>
              </w:rPr>
            </w:pPr>
            <w:r/>
          </w:p>
          <w:p>
            <w:pPr>
              <w:ind w:left="1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w:t>
            </w:r>
            <w:r>
              <w:rPr>
                <w:rFonts w:ascii="FangSong_GB2312" w:hAnsi="FangSong_GB2312" w:eastAsia="FangSong_GB2312" w:cs="FangSong_GB2312"/>
                <w:sz w:val="24"/>
                <w:szCs w:val="24"/>
                <w:b/>
                <w:bCs/>
                <w:spacing w:val="-3"/>
              </w:rPr>
              <w:t>《白洋淀生态环境治理和保护条例》</w:t>
            </w:r>
          </w:p>
          <w:p>
            <w:pPr>
              <w:ind w:left="112" w:right="109"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第八十三条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b/>
                <w:bCs/>
                <w:spacing w:val="4"/>
              </w:rPr>
              <w:t>第一款</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4"/>
              </w:rPr>
              <w:t>违反本条例第二十四条第一项至第八项规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定的，由生态环境主管部门责令停止违法行为，并限期采取治理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措施，消除污染；逾期不采取治理措施的，生态环境主管部门可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以指定有治理能力的单位代为治理，所需费用由违法者承担。</w:t>
            </w:r>
          </w:p>
          <w:p>
            <w:pPr>
              <w:ind w:left="120" w:right="106" w:firstLine="3"/>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违反本条例第二十四条第二项、第</w:t>
            </w:r>
            <w:r>
              <w:rPr>
                <w:rFonts w:ascii="FangSong_GB2312" w:hAnsi="FangSong_GB2312" w:eastAsia="FangSong_GB2312" w:cs="FangSong_GB2312"/>
                <w:sz w:val="24"/>
                <w:szCs w:val="24"/>
                <w:spacing w:val="-4"/>
              </w:rPr>
              <w:t>四项、第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五项规定的，处十万元以上二十万元以下的罚</w:t>
            </w:r>
            <w:r>
              <w:rPr>
                <w:rFonts w:ascii="FangSong_GB2312" w:hAnsi="FangSong_GB2312" w:eastAsia="FangSong_GB2312" w:cs="FangSong_GB2312"/>
                <w:sz w:val="24"/>
                <w:szCs w:val="24"/>
                <w:spacing w:val="1"/>
              </w:rPr>
              <w:t>款；违反本条例第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二十四条第一项、第三项、第六项、第七项、</w:t>
            </w:r>
            <w:r>
              <w:rPr>
                <w:rFonts w:ascii="FangSong_GB2312" w:hAnsi="FangSong_GB2312" w:eastAsia="FangSong_GB2312" w:cs="FangSong_GB2312"/>
                <w:sz w:val="24"/>
                <w:szCs w:val="24"/>
                <w:spacing w:val="1"/>
              </w:rPr>
              <w:t>第八项规定的，处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五十万元以上一百万元以下的罚款；情节严重</w:t>
            </w:r>
            <w:r>
              <w:rPr>
                <w:rFonts w:ascii="FangSong_GB2312" w:hAnsi="FangSong_GB2312" w:eastAsia="FangSong_GB2312" w:cs="FangSong_GB2312"/>
                <w:sz w:val="24"/>
                <w:szCs w:val="24"/>
                <w:spacing w:val="1"/>
              </w:rPr>
              <w:t>的，报经有批准权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的人民政府批准，责令停业、关闭。</w:t>
            </w:r>
          </w:p>
        </w:tc>
      </w:tr>
      <w:tr>
        <w:trPr>
          <w:trHeight w:val="635" w:hRule="atLeast"/>
        </w:trPr>
        <w:tc>
          <w:tcPr>
            <w:tcW w:w="4135" w:type="dxa"/>
            <w:vAlign w:val="top"/>
            <w:gridSpan w:val="3"/>
          </w:tcPr>
          <w:p>
            <w:pPr>
              <w:ind w:left="1514"/>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6"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5"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41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污染物类别</w:t>
            </w:r>
          </w:p>
        </w:tc>
        <w:tc>
          <w:tcPr>
            <w:tcW w:w="685"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34" w:right="104" w:firstLine="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向水体排放、倾倒非危险废物</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的</w:t>
            </w:r>
          </w:p>
        </w:tc>
        <w:tc>
          <w:tcPr>
            <w:tcW w:w="1068" w:type="dxa"/>
            <w:vAlign w:val="top"/>
          </w:tcPr>
          <w:p>
            <w:pPr>
              <w:ind w:left="196"/>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4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向水体排放、倾倒危险废物的</w:t>
            </w:r>
          </w:p>
        </w:tc>
        <w:tc>
          <w:tcPr>
            <w:tcW w:w="1068" w:type="dxa"/>
            <w:vAlign w:val="top"/>
          </w:tcPr>
          <w:p>
            <w:pPr>
              <w:ind w:left="13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7" w:right="104"/>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在水位线以下的滩地和岸坡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8"/>
              </w:rPr>
              <w:t>堆放、存贮固体废弃物和其他</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污染物的</w:t>
            </w:r>
          </w:p>
        </w:tc>
        <w:tc>
          <w:tcPr>
            <w:tcW w:w="1068" w:type="dxa"/>
            <w:vAlign w:val="top"/>
          </w:tcPr>
          <w:p>
            <w:pPr>
              <w:spacing w:line="276" w:lineRule="auto"/>
              <w:rPr>
                <w:rFonts w:ascii="Arial"/>
                <w:sz w:val="21"/>
              </w:rPr>
            </w:pPr>
            <w:r/>
          </w:p>
          <w:p>
            <w:pPr>
              <w:ind w:left="19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5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废水去向</w:t>
            </w:r>
          </w:p>
        </w:tc>
        <w:tc>
          <w:tcPr>
            <w:tcW w:w="685"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4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向江河中排放的</w:t>
            </w:r>
          </w:p>
        </w:tc>
        <w:tc>
          <w:tcPr>
            <w:tcW w:w="1068" w:type="dxa"/>
            <w:vAlign w:val="top"/>
          </w:tcPr>
          <w:p>
            <w:pPr>
              <w:ind w:left="25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34" w:right="104" w:firstLine="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向水库、湖泊、地下水中排放</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的</w:t>
            </w:r>
          </w:p>
        </w:tc>
        <w:tc>
          <w:tcPr>
            <w:tcW w:w="1068" w:type="dxa"/>
            <w:vAlign w:val="top"/>
          </w:tcPr>
          <w:p>
            <w:pPr>
              <w:ind w:left="192"/>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08" w:right="104" w:firstLine="6"/>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风景名胜区水体、重要渔业水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体和其他具有特殊经济文化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价值水体中排放的</w:t>
            </w:r>
          </w:p>
        </w:tc>
        <w:tc>
          <w:tcPr>
            <w:tcW w:w="1068" w:type="dxa"/>
            <w:vAlign w:val="top"/>
          </w:tcPr>
          <w:p>
            <w:pPr>
              <w:spacing w:line="277"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9" w:right="265" w:firstLine="2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向生活饮用水水源保护区或</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准保护区内水体中排放的</w:t>
            </w:r>
          </w:p>
        </w:tc>
        <w:tc>
          <w:tcPr>
            <w:tcW w:w="1068" w:type="dxa"/>
            <w:vAlign w:val="top"/>
          </w:tcPr>
          <w:p>
            <w:pPr>
              <w:ind w:left="13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126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3" w:right="74" w:firstLine="3"/>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在江河、湖泊、运河、渠道、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5"/>
              </w:rPr>
              <w:t>水库最高水位线以下的滩地、</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7"/>
              </w:rPr>
              <w:t>岸坡堆放、存贮固体废弃物或</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者其他污染物的</w:t>
            </w:r>
          </w:p>
        </w:tc>
        <w:tc>
          <w:tcPr>
            <w:tcW w:w="1068" w:type="dxa"/>
            <w:vAlign w:val="top"/>
          </w:tcPr>
          <w:p>
            <w:pPr>
              <w:spacing w:line="434" w:lineRule="auto"/>
              <w:rPr>
                <w:rFonts w:ascii="Arial"/>
                <w:sz w:val="21"/>
              </w:rPr>
            </w:pPr>
            <w:r/>
          </w:p>
          <w:p>
            <w:pPr>
              <w:ind w:left="19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2" w:hRule="atLeast"/>
        </w:trPr>
        <w:tc>
          <w:tcPr>
            <w:tcW w:w="1454" w:type="dxa"/>
            <w:vAlign w:val="top"/>
          </w:tcPr>
          <w:p>
            <w:pPr>
              <w:ind w:left="254"/>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tcPr>
          <w:p>
            <w:pPr>
              <w:ind w:left="278"/>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tcPr>
          <w:p>
            <w:pPr>
              <w:ind w:left="18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15"/>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639"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55" w:type="dxa"/>
            <w:vAlign w:val="top"/>
          </w:tcPr>
          <w:p>
            <w:pPr>
              <w:ind w:left="121" w:right="2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454" w:type="dxa"/>
            <w:vAlign w:val="top"/>
            <w:vMerge w:val="restart"/>
            <w:tcBorders>
              <w:bottom w:val="nil"/>
            </w:tcBorders>
          </w:tcPr>
          <w:p>
            <w:pPr>
              <w:ind w:left="253" w:right="245"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88" w:hRule="atLeast"/>
        </w:trPr>
        <w:tc>
          <w:tcPr>
            <w:tcW w:w="1454" w:type="dxa"/>
            <w:vAlign w:val="top"/>
            <w:vMerge w:val="restart"/>
            <w:tcBorders>
              <w:bottom w:val="nil"/>
            </w:tcBorders>
          </w:tcPr>
          <w:p>
            <w:pPr>
              <w:ind w:left="135"/>
              <w:spacing w:before="8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77"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4" w:right="26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16"/>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108</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9" w:right="176" w:firstLine="21"/>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向水体排放、倾倒放射性固体废物或者含有高放射性、中放射性</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物质的废水的</w:t>
            </w:r>
          </w:p>
        </w:tc>
      </w:tr>
      <w:tr>
        <w:trPr>
          <w:trHeight w:val="10713"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22" w:right="106" w:firstLine="1"/>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禁止向水体排放、倾倒放射性固体废物或者含有高放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射性和中放射性物质的废水。</w:t>
            </w:r>
          </w:p>
          <w:p>
            <w:pPr>
              <w:ind w:left="119" w:right="176" w:firstLine="2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向水体排放含低放射性物质的废水，应当符合国家有关放射性污</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染防治的规定和标准。</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12" w:right="106" w:hanging="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（五）</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向水体排放、倾倒放射性固体废物或者含有高放射性、中</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放射性物质的废水的；</w:t>
            </w:r>
          </w:p>
          <w:p>
            <w:pPr>
              <w:ind w:left="114" w:right="109" w:firstLine="3"/>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有前款第一项、第二项、第五项、第九项行为之一</w:t>
            </w:r>
            <w:r>
              <w:rPr>
                <w:rFonts w:ascii="FangSong_GB2312" w:hAnsi="FangSong_GB2312" w:eastAsia="FangSong_GB2312" w:cs="FangSong_GB2312"/>
                <w:sz w:val="24"/>
                <w:szCs w:val="24"/>
                <w:spacing w:val="1"/>
              </w:rPr>
              <w:t>的，处十万元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以上一百万元以下的罚款；情节严重的，报经有批准权的人</w:t>
            </w:r>
            <w:r>
              <w:rPr>
                <w:rFonts w:ascii="FangSong_GB2312" w:hAnsi="FangSong_GB2312" w:eastAsia="FangSong_GB2312" w:cs="FangSong_GB2312"/>
                <w:sz w:val="24"/>
                <w:szCs w:val="24"/>
                <w:spacing w:val="1"/>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府批准，责令停业、关闭。</w:t>
            </w:r>
          </w:p>
          <w:p>
            <w:pPr>
              <w:spacing w:line="269"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4"/>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禁止下列污染地表水体和地下水</w:t>
            </w:r>
            <w:r>
              <w:rPr>
                <w:rFonts w:ascii="FangSong_GB2312" w:hAnsi="FangSong_GB2312" w:eastAsia="FangSong_GB2312" w:cs="FangSong_GB2312"/>
                <w:sz w:val="24"/>
                <w:szCs w:val="24"/>
                <w:spacing w:val="-2"/>
              </w:rPr>
              <w:t>体的行为：</w:t>
            </w:r>
          </w:p>
          <w:p>
            <w:pPr>
              <w:ind w:left="112" w:right="176" w:hanging="5"/>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（三）向水体排放、倾倒放射性固体废物或者含</w:t>
            </w:r>
            <w:r>
              <w:rPr>
                <w:rFonts w:ascii="FangSong_GB2312" w:hAnsi="FangSong_GB2312" w:eastAsia="FangSong_GB2312" w:cs="FangSong_GB2312"/>
                <w:sz w:val="24"/>
                <w:szCs w:val="24"/>
                <w:spacing w:val="-1"/>
              </w:rPr>
              <w:t>有高放射性和中</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放射性物质的废水；</w:t>
            </w:r>
          </w:p>
          <w:p>
            <w:pPr>
              <w:spacing w:line="273"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17" w:right="106" w:firstLine="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违反本条例第二十二条第一项、第三项、第七项、第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二十九条第一款规定的，处十万元以上三十万</w:t>
            </w:r>
            <w:r>
              <w:rPr>
                <w:rFonts w:ascii="FangSong_GB2312" w:hAnsi="FangSong_GB2312" w:eastAsia="FangSong_GB2312" w:cs="FangSong_GB2312"/>
                <w:sz w:val="24"/>
                <w:szCs w:val="24"/>
                <w:spacing w:val="-3"/>
              </w:rPr>
              <w:t>元以下的罚款;情节</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较重的，处三十万元以上一百万元以下的罚款；情</w:t>
            </w:r>
            <w:r>
              <w:rPr>
                <w:rFonts w:ascii="FangSong_GB2312" w:hAnsi="FangSong_GB2312" w:eastAsia="FangSong_GB2312" w:cs="FangSong_GB2312"/>
                <w:sz w:val="24"/>
                <w:szCs w:val="24"/>
                <w:spacing w:val="1"/>
              </w:rPr>
              <w:t>节严重的，报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经有批准权的人民政府批准，责令停业、关闭。</w:t>
            </w:r>
          </w:p>
          <w:p>
            <w:pPr>
              <w:spacing w:line="271" w:lineRule="auto"/>
              <w:rPr>
                <w:rFonts w:ascii="Arial"/>
                <w:sz w:val="21"/>
              </w:rPr>
            </w:pPr>
            <w:r/>
          </w:p>
          <w:p>
            <w:pPr>
              <w:ind w:left="124"/>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《白洋淀生态环境治理和保护条例》</w:t>
            </w:r>
          </w:p>
          <w:p>
            <w:pPr>
              <w:ind w:left="124"/>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第二十四条</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4"/>
              </w:rPr>
              <w:t>白洋淀流域内禁止下列污染水体的行为：</w:t>
            </w:r>
          </w:p>
          <w:p>
            <w:pPr>
              <w:ind w:left="112" w:right="109" w:hanging="5"/>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（三）向水体排放、倾倒放射性固体废物或者含有高放射性和中</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放射性物质的废水；</w:t>
            </w:r>
          </w:p>
          <w:p>
            <w:pPr>
              <w:spacing w:line="271" w:lineRule="auto"/>
              <w:rPr>
                <w:rFonts w:ascii="Arial"/>
                <w:sz w:val="21"/>
              </w:rPr>
            </w:pPr>
            <w:r/>
          </w:p>
          <w:p>
            <w:pPr>
              <w:ind w:left="123"/>
              <w:spacing w:before="7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w:t>
            </w:r>
            <w:r>
              <w:rPr>
                <w:rFonts w:ascii="FangSong_GB2312" w:hAnsi="FangSong_GB2312" w:eastAsia="FangSong_GB2312" w:cs="FangSong_GB2312"/>
                <w:sz w:val="24"/>
                <w:szCs w:val="24"/>
                <w:b/>
                <w:bCs/>
                <w:spacing w:val="-3"/>
              </w:rPr>
              <w:t>《白洋淀生态环境治理和保护条例》</w:t>
            </w:r>
          </w:p>
        </w:tc>
      </w:tr>
    </w:tbl>
    <w:p>
      <w:pPr>
        <w:pStyle w:val="BodyText"/>
        <w:rPr/>
      </w:pPr>
      <w:r/>
    </w:p>
    <w:p>
      <w:pPr>
        <w:sectPr>
          <w:footerReference w:type="default" r:id="rId217"/>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2843" w:hRule="atLeast"/>
        </w:trPr>
        <w:tc>
          <w:tcPr>
            <w:tcW w:w="1454" w:type="dxa"/>
            <w:vAlign w:val="top"/>
          </w:tcPr>
          <w:p>
            <w:pPr>
              <w:rPr>
                <w:rFonts w:ascii="Arial"/>
                <w:sz w:val="21"/>
              </w:rPr>
            </w:pPr>
            <w:r/>
          </w:p>
        </w:tc>
        <w:tc>
          <w:tcPr>
            <w:tcW w:w="7004" w:type="dxa"/>
            <w:vAlign w:val="top"/>
            <w:gridSpan w:val="4"/>
          </w:tcPr>
          <w:p>
            <w:pPr>
              <w:ind w:left="112" w:right="109" w:firstLine="12"/>
              <w:spacing w:before="43"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第八十三条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b/>
                <w:bCs/>
                <w:spacing w:val="4"/>
              </w:rPr>
              <w:t>第一款</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4"/>
              </w:rPr>
              <w:t>违反本条例第二十四条第一项至第八项规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定的，由生态环境主管部门责令停止违法行为，并限期采取治理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措施，消除污染；逾期不采取治理措施的，生态环境主管部门可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以指定有治理能力的单位代为治理，所需费用由违法者承担。</w:t>
            </w:r>
          </w:p>
          <w:p>
            <w:pPr>
              <w:ind w:left="120" w:right="106" w:firstLine="3"/>
              <w:spacing w:before="39"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违反本条例第二十四条第二项、第</w:t>
            </w:r>
            <w:r>
              <w:rPr>
                <w:rFonts w:ascii="FangSong_GB2312" w:hAnsi="FangSong_GB2312" w:eastAsia="FangSong_GB2312" w:cs="FangSong_GB2312"/>
                <w:sz w:val="24"/>
                <w:szCs w:val="24"/>
                <w:spacing w:val="-4"/>
              </w:rPr>
              <w:t>四项、第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五项规定的，处十万元以上二十万元以下的罚</w:t>
            </w:r>
            <w:r>
              <w:rPr>
                <w:rFonts w:ascii="FangSong_GB2312" w:hAnsi="FangSong_GB2312" w:eastAsia="FangSong_GB2312" w:cs="FangSong_GB2312"/>
                <w:sz w:val="24"/>
                <w:szCs w:val="24"/>
                <w:spacing w:val="1"/>
              </w:rPr>
              <w:t>款；违反本条例第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二十四条第一项、第三项、第六项、第七项、</w:t>
            </w:r>
            <w:r>
              <w:rPr>
                <w:rFonts w:ascii="FangSong_GB2312" w:hAnsi="FangSong_GB2312" w:eastAsia="FangSong_GB2312" w:cs="FangSong_GB2312"/>
                <w:sz w:val="24"/>
                <w:szCs w:val="24"/>
                <w:spacing w:val="1"/>
              </w:rPr>
              <w:t>第八项规定的，处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五十万元以上一百万元以下的罚款；情节严重</w:t>
            </w:r>
            <w:r>
              <w:rPr>
                <w:rFonts w:ascii="FangSong_GB2312" w:hAnsi="FangSong_GB2312" w:eastAsia="FangSong_GB2312" w:cs="FangSong_GB2312"/>
                <w:sz w:val="24"/>
                <w:szCs w:val="24"/>
                <w:spacing w:val="1"/>
              </w:rPr>
              <w:t>的，报经有批准权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的人民政府批准，责令停业、关闭。</w:t>
            </w:r>
          </w:p>
        </w:tc>
      </w:tr>
      <w:tr>
        <w:trPr>
          <w:trHeight w:val="634" w:hRule="atLeast"/>
        </w:trPr>
        <w:tc>
          <w:tcPr>
            <w:tcW w:w="4135" w:type="dxa"/>
            <w:vAlign w:val="top"/>
            <w:gridSpan w:val="3"/>
          </w:tcPr>
          <w:p>
            <w:pPr>
              <w:ind w:left="1514"/>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454"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52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废水类别</w:t>
            </w:r>
          </w:p>
        </w:tc>
        <w:tc>
          <w:tcPr>
            <w:tcW w:w="685"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2" w:right="104" w:firstLine="3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向水体排放、倾倒放射性固体</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3"/>
              </w:rPr>
              <w:t>废物的</w:t>
            </w:r>
          </w:p>
        </w:tc>
        <w:tc>
          <w:tcPr>
            <w:tcW w:w="1068" w:type="dxa"/>
            <w:vAlign w:val="top"/>
          </w:tcPr>
          <w:p>
            <w:pPr>
              <w:ind w:left="25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9" w:right="104" w:firstLine="2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向水体排放、倾倒含有中放射</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性废水的</w:t>
            </w:r>
          </w:p>
        </w:tc>
        <w:tc>
          <w:tcPr>
            <w:tcW w:w="1068" w:type="dxa"/>
            <w:vAlign w:val="top"/>
          </w:tcPr>
          <w:p>
            <w:pPr>
              <w:ind w:left="192"/>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9" w:right="104" w:firstLine="2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向水体排放、倾倒含有高放射</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性废水的</w:t>
            </w:r>
          </w:p>
        </w:tc>
        <w:tc>
          <w:tcPr>
            <w:tcW w:w="1068" w:type="dxa"/>
            <w:vAlign w:val="top"/>
          </w:tcPr>
          <w:p>
            <w:pPr>
              <w:ind w:left="13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5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废水去向</w:t>
            </w:r>
          </w:p>
        </w:tc>
        <w:tc>
          <w:tcPr>
            <w:tcW w:w="685"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4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向江河中排放的</w:t>
            </w:r>
          </w:p>
        </w:tc>
        <w:tc>
          <w:tcPr>
            <w:tcW w:w="1068" w:type="dxa"/>
            <w:vAlign w:val="top"/>
          </w:tcPr>
          <w:p>
            <w:pPr>
              <w:ind w:left="25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34" w:right="104" w:firstLine="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向水库、湖泊、地下水中排放</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的</w:t>
            </w:r>
          </w:p>
        </w:tc>
        <w:tc>
          <w:tcPr>
            <w:tcW w:w="1068" w:type="dxa"/>
            <w:vAlign w:val="top"/>
          </w:tcPr>
          <w:p>
            <w:pPr>
              <w:ind w:left="19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08" w:right="104" w:firstLine="6"/>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风景名胜区水体、重要渔业水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体和其他具有特殊经济文化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价值水体中排放的</w:t>
            </w:r>
          </w:p>
        </w:tc>
        <w:tc>
          <w:tcPr>
            <w:tcW w:w="1068" w:type="dxa"/>
            <w:vAlign w:val="top"/>
          </w:tcPr>
          <w:p>
            <w:pPr>
              <w:spacing w:line="278"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9" w:right="265" w:firstLine="2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向生活饮用水水源保护区或</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准保护区内水体中排放的</w:t>
            </w:r>
          </w:p>
        </w:tc>
        <w:tc>
          <w:tcPr>
            <w:tcW w:w="1068" w:type="dxa"/>
            <w:vAlign w:val="top"/>
          </w:tcPr>
          <w:p>
            <w:pPr>
              <w:ind w:left="13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2" w:hRule="atLeast"/>
        </w:trPr>
        <w:tc>
          <w:tcPr>
            <w:tcW w:w="1454" w:type="dxa"/>
            <w:vAlign w:val="top"/>
            <w:vMerge w:val="restart"/>
            <w:tcBorders>
              <w:bottom w:val="nil"/>
            </w:tcBorders>
          </w:tcPr>
          <w:p>
            <w:pPr>
              <w:ind w:left="253" w:right="245" w:firstLine="7"/>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45"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45"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52" w:hRule="atLeast"/>
        </w:trPr>
        <w:tc>
          <w:tcPr>
            <w:tcW w:w="1454" w:type="dxa"/>
            <w:vAlign w:val="top"/>
            <w:vMerge w:val="restart"/>
            <w:tcBorders>
              <w:bottom w:val="nil"/>
            </w:tcBorders>
          </w:tcPr>
          <w:p>
            <w:pPr>
              <w:ind w:left="135"/>
              <w:spacing w:before="6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2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0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5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58"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4" w:right="26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18"/>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109</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22" w:right="35" w:hanging="7"/>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违反国家有关规定或者标准，向水体排放含低放射性物质的废水、</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热废水或者含病原体的污水的</w:t>
            </w:r>
          </w:p>
        </w:tc>
      </w:tr>
      <w:tr>
        <w:trPr>
          <w:trHeight w:val="10713"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22" w:right="106" w:firstLine="1"/>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禁止向水体排放、倾倒放射性固体废物或者含有高放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射性和中放射性物质的废水。</w:t>
            </w:r>
          </w:p>
          <w:p>
            <w:pPr>
              <w:ind w:left="119" w:right="176" w:firstLine="2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向水体排放含低放射性物质的废水，应当符合国家有关放射性污</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染防治的规定和标准。</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32" w:right="106" w:hanging="2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（六）</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违反国家有关规定或者标准，向水体排放含低放射性物质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的废水、热废水或者含病原体的污水的；</w:t>
            </w:r>
          </w:p>
          <w:p>
            <w:pPr>
              <w:ind w:left="120" w:right="168" w:hanging="3"/>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有前款第三项、第四项、第六项、第七项、</w:t>
            </w:r>
            <w:r>
              <w:rPr>
                <w:rFonts w:ascii="FangSong_GB2312" w:hAnsi="FangSong_GB2312" w:eastAsia="FangSong_GB2312" w:cs="FangSong_GB2312"/>
                <w:sz w:val="24"/>
                <w:szCs w:val="24"/>
                <w:spacing w:val="-1"/>
              </w:rPr>
              <w:t>第八项行为之一的，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处二万元以上二十万元以下的罚款。</w:t>
            </w:r>
          </w:p>
          <w:p>
            <w:pPr>
              <w:spacing w:line="269"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4"/>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禁止下列污染地表水体和地下水</w:t>
            </w:r>
            <w:r>
              <w:rPr>
                <w:rFonts w:ascii="FangSong_GB2312" w:hAnsi="FangSong_GB2312" w:eastAsia="FangSong_GB2312" w:cs="FangSong_GB2312"/>
                <w:sz w:val="24"/>
                <w:szCs w:val="24"/>
                <w:spacing w:val="-2"/>
              </w:rPr>
              <w:t>体的行为：</w:t>
            </w:r>
          </w:p>
          <w:p>
            <w:pPr>
              <w:ind w:left="116" w:right="176" w:hanging="9"/>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（四）向水体排放含有不符合国家有关放射性污</w:t>
            </w:r>
            <w:r>
              <w:rPr>
                <w:rFonts w:ascii="FangSong_GB2312" w:hAnsi="FangSong_GB2312" w:eastAsia="FangSong_GB2312" w:cs="FangSong_GB2312"/>
                <w:sz w:val="24"/>
                <w:szCs w:val="24"/>
                <w:spacing w:val="-1"/>
              </w:rPr>
              <w:t>染防治规定和标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准的低放射性物质的废水；</w:t>
            </w:r>
          </w:p>
          <w:p>
            <w:pPr>
              <w:spacing w:line="270"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《河北省水污染防治条例》</w:t>
            </w:r>
          </w:p>
          <w:p>
            <w:pPr>
              <w:ind w:left="122" w:right="106" w:firstLine="1"/>
              <w:spacing w:before="38"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违反本条例第二十二条第二项、第四项、第五项、第</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六项、第八项、第二十四条第二款规定的，处二万元以上五万元</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以下的罚款；情节严重的，处五万元以上二十万元以下的罚款。</w:t>
            </w:r>
          </w:p>
          <w:p>
            <w:pPr>
              <w:spacing w:line="272" w:lineRule="auto"/>
              <w:rPr>
                <w:rFonts w:ascii="Arial"/>
                <w:sz w:val="21"/>
              </w:rPr>
            </w:pPr>
            <w:r/>
          </w:p>
          <w:p>
            <w:pPr>
              <w:ind w:left="12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5.</w:t>
            </w:r>
            <w:r>
              <w:rPr>
                <w:rFonts w:ascii="FangSong_GB2312" w:hAnsi="FangSong_GB2312" w:eastAsia="FangSong_GB2312" w:cs="FangSong_GB2312"/>
                <w:sz w:val="24"/>
                <w:szCs w:val="24"/>
                <w:b/>
                <w:bCs/>
                <w:spacing w:val="-3"/>
              </w:rPr>
              <w:t>《白洋淀生态环境治理和保护条例》</w:t>
            </w:r>
          </w:p>
          <w:p>
            <w:pPr>
              <w:ind w:left="124"/>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第二十四条</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4"/>
              </w:rPr>
              <w:t>白洋淀流域内禁止下列污染水体的行为：</w:t>
            </w:r>
          </w:p>
          <w:p>
            <w:pPr>
              <w:ind w:left="112" w:right="109" w:hanging="5"/>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（四）向水体排放含有不符合国家有关规定和标准的热废水、低</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放射性物质的废水；</w:t>
            </w:r>
          </w:p>
          <w:p>
            <w:pPr>
              <w:ind w:left="106" w:right="109" w:firstLine="1"/>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（五）向水体排放未经消毒处理且不符合国家有关标准的含病原</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体的污水；</w:t>
            </w:r>
          </w:p>
          <w:p>
            <w:pPr>
              <w:spacing w:line="270" w:lineRule="auto"/>
              <w:rPr>
                <w:rFonts w:ascii="Arial"/>
                <w:sz w:val="21"/>
              </w:rPr>
            </w:pPr>
            <w:r/>
          </w:p>
          <w:p>
            <w:pPr>
              <w:ind w:left="123"/>
              <w:spacing w:before="7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w:t>
            </w:r>
            <w:r>
              <w:rPr>
                <w:rFonts w:ascii="FangSong_GB2312" w:hAnsi="FangSong_GB2312" w:eastAsia="FangSong_GB2312" w:cs="FangSong_GB2312"/>
                <w:sz w:val="24"/>
                <w:szCs w:val="24"/>
                <w:b/>
                <w:bCs/>
                <w:spacing w:val="-3"/>
              </w:rPr>
              <w:t>《白洋淀生态环境治理和保护条例》</w:t>
            </w:r>
          </w:p>
        </w:tc>
      </w:tr>
    </w:tbl>
    <w:p>
      <w:pPr>
        <w:pStyle w:val="BodyText"/>
        <w:rPr/>
      </w:pPr>
      <w:r/>
    </w:p>
    <w:p>
      <w:pPr>
        <w:sectPr>
          <w:footerReference w:type="default" r:id="rId219"/>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2843" w:hRule="atLeast"/>
        </w:trPr>
        <w:tc>
          <w:tcPr>
            <w:tcW w:w="1454" w:type="dxa"/>
            <w:vAlign w:val="top"/>
          </w:tcPr>
          <w:p>
            <w:pPr>
              <w:rPr>
                <w:rFonts w:ascii="Arial"/>
                <w:sz w:val="21"/>
              </w:rPr>
            </w:pPr>
            <w:r/>
          </w:p>
        </w:tc>
        <w:tc>
          <w:tcPr>
            <w:tcW w:w="7004" w:type="dxa"/>
            <w:vAlign w:val="top"/>
            <w:gridSpan w:val="4"/>
          </w:tcPr>
          <w:p>
            <w:pPr>
              <w:ind w:left="112" w:right="109" w:firstLine="12"/>
              <w:spacing w:before="43"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第八十三条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b/>
                <w:bCs/>
                <w:spacing w:val="4"/>
              </w:rPr>
              <w:t>第一款</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4"/>
              </w:rPr>
              <w:t>违反本条例第二十四条第一项至第八项规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定的，由生态环境主管部门责令停止违法行为，并限期采取治理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措施，消除污染；逾期不采取治理措施的，生态环境主管部门可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以指定有治理能力的单位代为治理，所需费用由违法者承担。</w:t>
            </w:r>
          </w:p>
          <w:p>
            <w:pPr>
              <w:ind w:left="120" w:right="106" w:firstLine="3"/>
              <w:spacing w:before="39"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违反本条例第二十四条第二项、第</w:t>
            </w:r>
            <w:r>
              <w:rPr>
                <w:rFonts w:ascii="FangSong_GB2312" w:hAnsi="FangSong_GB2312" w:eastAsia="FangSong_GB2312" w:cs="FangSong_GB2312"/>
                <w:sz w:val="24"/>
                <w:szCs w:val="24"/>
                <w:spacing w:val="-4"/>
              </w:rPr>
              <w:t>四项、第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五项规定的，处十万元以上二十万元以下的罚</w:t>
            </w:r>
            <w:r>
              <w:rPr>
                <w:rFonts w:ascii="FangSong_GB2312" w:hAnsi="FangSong_GB2312" w:eastAsia="FangSong_GB2312" w:cs="FangSong_GB2312"/>
                <w:sz w:val="24"/>
                <w:szCs w:val="24"/>
                <w:spacing w:val="1"/>
              </w:rPr>
              <w:t>款；违反本条例第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二十四条第一项、第三项、第六项、第七项、</w:t>
            </w:r>
            <w:r>
              <w:rPr>
                <w:rFonts w:ascii="FangSong_GB2312" w:hAnsi="FangSong_GB2312" w:eastAsia="FangSong_GB2312" w:cs="FangSong_GB2312"/>
                <w:sz w:val="24"/>
                <w:szCs w:val="24"/>
                <w:spacing w:val="1"/>
              </w:rPr>
              <w:t>第八项规定的，处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五十万元以上一百万元以下的罚款；情节严重</w:t>
            </w:r>
            <w:r>
              <w:rPr>
                <w:rFonts w:ascii="FangSong_GB2312" w:hAnsi="FangSong_GB2312" w:eastAsia="FangSong_GB2312" w:cs="FangSong_GB2312"/>
                <w:sz w:val="24"/>
                <w:szCs w:val="24"/>
                <w:spacing w:val="1"/>
              </w:rPr>
              <w:t>的，报经有批准权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的人民政府批准，责令停业、关闭。</w:t>
            </w:r>
          </w:p>
        </w:tc>
      </w:tr>
      <w:tr>
        <w:trPr>
          <w:trHeight w:val="634" w:hRule="atLeast"/>
        </w:trPr>
        <w:tc>
          <w:tcPr>
            <w:tcW w:w="4135" w:type="dxa"/>
            <w:vAlign w:val="top"/>
            <w:gridSpan w:val="3"/>
          </w:tcPr>
          <w:p>
            <w:pPr>
              <w:ind w:left="1514"/>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454"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437" w:lineRule="auto"/>
              <w:rPr>
                <w:rFonts w:ascii="Arial"/>
                <w:sz w:val="21"/>
              </w:rPr>
            </w:pPr>
            <w:r/>
          </w:p>
          <w:p>
            <w:pPr>
              <w:ind w:left="52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废水类别</w:t>
            </w:r>
          </w:p>
        </w:tc>
        <w:tc>
          <w:tcPr>
            <w:tcW w:w="685" w:type="dxa"/>
            <w:vAlign w:val="top"/>
            <w:vMerge w:val="restart"/>
            <w:tcBorders>
              <w:bottom w:val="nil"/>
            </w:tcBorders>
          </w:tcPr>
          <w:p>
            <w:pPr>
              <w:spacing w:line="43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34" w:right="265" w:firstLine="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向水体排放含低放射性物质</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的废水、热废水的</w:t>
            </w:r>
          </w:p>
        </w:tc>
        <w:tc>
          <w:tcPr>
            <w:tcW w:w="1068" w:type="dxa"/>
            <w:vAlign w:val="top"/>
          </w:tcPr>
          <w:p>
            <w:pPr>
              <w:ind w:left="19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4" w:right="265" w:firstLine="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向水体排放含病原体的污水</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rPr>
              <w:t>的</w:t>
            </w:r>
          </w:p>
        </w:tc>
        <w:tc>
          <w:tcPr>
            <w:tcW w:w="1068" w:type="dxa"/>
            <w:vAlign w:val="top"/>
          </w:tcPr>
          <w:p>
            <w:pPr>
              <w:ind w:left="136"/>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5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废水去向</w:t>
            </w:r>
          </w:p>
        </w:tc>
        <w:tc>
          <w:tcPr>
            <w:tcW w:w="685"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4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向江河中排放的</w:t>
            </w:r>
          </w:p>
        </w:tc>
        <w:tc>
          <w:tcPr>
            <w:tcW w:w="1068" w:type="dxa"/>
            <w:vAlign w:val="top"/>
          </w:tcPr>
          <w:p>
            <w:pPr>
              <w:ind w:left="25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34" w:right="104" w:firstLine="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向水库、湖泊、地下水中排放</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的</w:t>
            </w:r>
          </w:p>
        </w:tc>
        <w:tc>
          <w:tcPr>
            <w:tcW w:w="1068" w:type="dxa"/>
            <w:vAlign w:val="top"/>
          </w:tcPr>
          <w:p>
            <w:pPr>
              <w:ind w:left="192"/>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08" w:right="104" w:firstLine="6"/>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风景名胜区水体、重要渔业水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体和其他具有特殊经济文化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价值水体中排放的</w:t>
            </w:r>
          </w:p>
        </w:tc>
        <w:tc>
          <w:tcPr>
            <w:tcW w:w="1068" w:type="dxa"/>
            <w:vAlign w:val="top"/>
          </w:tcPr>
          <w:p>
            <w:pPr>
              <w:spacing w:line="277"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9" w:right="265" w:firstLine="2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向生活饮用水水源保护区或</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准保护区内水体中排放的</w:t>
            </w:r>
          </w:p>
        </w:tc>
        <w:tc>
          <w:tcPr>
            <w:tcW w:w="1068" w:type="dxa"/>
            <w:vAlign w:val="top"/>
          </w:tcPr>
          <w:p>
            <w:pPr>
              <w:ind w:left="13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4" w:lineRule="auto"/>
              <w:rPr>
                <w:rFonts w:ascii="Arial"/>
                <w:sz w:val="21"/>
              </w:rPr>
            </w:pPr>
            <w:r/>
          </w:p>
          <w:p>
            <w:pPr>
              <w:ind w:left="245"/>
              <w:spacing w:before="7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4"/>
              </w:rPr>
              <w:t>一年内违法次数</w:t>
            </w:r>
          </w:p>
        </w:tc>
        <w:tc>
          <w:tcPr>
            <w:tcW w:w="685" w:type="dxa"/>
            <w:vAlign w:val="top"/>
            <w:vMerge w:val="restart"/>
            <w:tcBorders>
              <w:bottom w:val="nil"/>
            </w:tcBorders>
          </w:tcPr>
          <w:p>
            <w:pPr>
              <w:spacing w:line="464" w:lineRule="auto"/>
              <w:rPr>
                <w:rFonts w:ascii="Arial"/>
                <w:sz w:val="21"/>
              </w:rPr>
            </w:pPr>
            <w:r/>
          </w:p>
          <w:p>
            <w:pPr>
              <w:ind w:left="192"/>
              <w:spacing w:before="72" w:line="23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6"/>
              </w:rPr>
              <w:t>20%</w:t>
            </w:r>
          </w:p>
        </w:tc>
        <w:tc>
          <w:tcPr>
            <w:tcW w:w="3255"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5"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76" w:hRule="atLeast"/>
        </w:trPr>
        <w:tc>
          <w:tcPr>
            <w:tcW w:w="1454" w:type="dxa"/>
            <w:vAlign w:val="top"/>
            <w:vMerge w:val="restart"/>
            <w:tcBorders>
              <w:bottom w:val="nil"/>
            </w:tcBorders>
          </w:tcPr>
          <w:p>
            <w:pPr>
              <w:ind w:left="135"/>
              <w:spacing w:before="7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3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7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7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4" w:right="265"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20"/>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110</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未采取防渗漏等措施，或者未建设地下水水质监测井进行监测的</w:t>
            </w:r>
          </w:p>
        </w:tc>
      </w:tr>
      <w:tr>
        <w:trPr>
          <w:trHeight w:val="4728" w:hRule="atLeast"/>
        </w:trPr>
        <w:tc>
          <w:tcPr>
            <w:tcW w:w="145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0" w:right="35" w:firstLine="14"/>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第一款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化学品生产企业以及工业集聚区、矿山开采区、</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rPr>
              <w:t>尾矿库、危险废物处置场、垃圾填埋场等的</w:t>
            </w:r>
            <w:r>
              <w:rPr>
                <w:rFonts w:ascii="FangSong_GB2312" w:hAnsi="FangSong_GB2312" w:eastAsia="FangSong_GB2312" w:cs="FangSong_GB2312"/>
                <w:sz w:val="24"/>
                <w:szCs w:val="24"/>
                <w:spacing w:val="-1"/>
              </w:rPr>
              <w:t>运营、管理单位，应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当采取防渗漏等措施，并建设地下水水质监</w:t>
            </w:r>
            <w:r>
              <w:rPr>
                <w:rFonts w:ascii="FangSong_GB2312" w:hAnsi="FangSong_GB2312" w:eastAsia="FangSong_GB2312" w:cs="FangSong_GB2312"/>
                <w:sz w:val="24"/>
                <w:szCs w:val="24"/>
                <w:spacing w:val="-1"/>
              </w:rPr>
              <w:t>测井进行监测，防止</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地下水污染。</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18" w:right="106" w:hanging="1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（七）</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未采取防渗漏等措施，或者未建设地下水水质监测井进行</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5"/>
              </w:rPr>
              <w:t>监测的；</w:t>
            </w:r>
          </w:p>
          <w:p>
            <w:pPr>
              <w:ind w:left="120" w:right="168" w:hanging="3"/>
              <w:spacing w:before="3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有前款第三项、第四项、第六项、第七项、</w:t>
            </w:r>
            <w:r>
              <w:rPr>
                <w:rFonts w:ascii="FangSong_GB2312" w:hAnsi="FangSong_GB2312" w:eastAsia="FangSong_GB2312" w:cs="FangSong_GB2312"/>
                <w:sz w:val="24"/>
                <w:szCs w:val="24"/>
                <w:spacing w:val="-1"/>
              </w:rPr>
              <w:t>第八项行为之一的，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处二万元以上二十万元以下的罚款。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ind w:left="495" w:right="122" w:hanging="360"/>
              <w:spacing w:before="20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84"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84"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55" w:type="dxa"/>
            <w:vAlign w:val="top"/>
          </w:tcPr>
          <w:p>
            <w:pPr>
              <w:ind w:left="114" w:right="26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未建设地下水水质监测井进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行监测的</w:t>
            </w:r>
          </w:p>
        </w:tc>
        <w:tc>
          <w:tcPr>
            <w:tcW w:w="1068" w:type="dxa"/>
            <w:vAlign w:val="top"/>
          </w:tcPr>
          <w:p>
            <w:pPr>
              <w:ind w:left="19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未采取防渗漏等措施的</w:t>
            </w:r>
          </w:p>
        </w:tc>
        <w:tc>
          <w:tcPr>
            <w:tcW w:w="1068"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51" w:hRule="atLeast"/>
        </w:trPr>
        <w:tc>
          <w:tcPr>
            <w:tcW w:w="1454" w:type="dxa"/>
            <w:vAlign w:val="top"/>
          </w:tcPr>
          <w:p>
            <w:pPr>
              <w:ind w:left="135"/>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996" w:type="dxa"/>
            <w:vAlign w:val="top"/>
          </w:tcPr>
          <w:p>
            <w:pPr>
              <w:ind w:left="158"/>
              <w:spacing w:before="5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p>
        </w:tc>
        <w:tc>
          <w:tcPr>
            <w:tcW w:w="685" w:type="dxa"/>
            <w:vAlign w:val="top"/>
          </w:tcPr>
          <w:p>
            <w:pPr>
              <w:ind w:left="177"/>
              <w:spacing w:before="56"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56"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21"/>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639" w:hRule="atLeast"/>
        </w:trPr>
        <w:tc>
          <w:tcPr>
            <w:tcW w:w="1454" w:type="dxa"/>
            <w:vAlign w:val="top"/>
          </w:tcPr>
          <w:p>
            <w:pPr>
              <w:ind w:left="495" w:right="122" w:hanging="3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996" w:type="dxa"/>
            <w:vAlign w:val="top"/>
          </w:tcPr>
          <w:p>
            <w:pPr>
              <w:ind w:left="290"/>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响或生态破坏</w:t>
            </w:r>
          </w:p>
        </w:tc>
        <w:tc>
          <w:tcPr>
            <w:tcW w:w="685" w:type="dxa"/>
            <w:vAlign w:val="top"/>
          </w:tcPr>
          <w:p>
            <w:pPr>
              <w:rPr>
                <w:rFonts w:ascii="Arial"/>
                <w:sz w:val="21"/>
              </w:rPr>
            </w:pPr>
            <w:r/>
          </w:p>
        </w:tc>
        <w:tc>
          <w:tcPr>
            <w:tcW w:w="3255" w:type="dxa"/>
            <w:vAlign w:val="top"/>
          </w:tcPr>
          <w:p>
            <w:pPr>
              <w:ind w:left="134" w:right="26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22"/>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111</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8" w:right="176" w:hanging="6"/>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加油站等的地下油罐未使用双层罐或者采取建造防渗池等其他有</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效措施，或者未进行防渗漏监测的</w:t>
            </w:r>
          </w:p>
        </w:tc>
      </w:tr>
      <w:tr>
        <w:trPr>
          <w:trHeight w:val="4413" w:hRule="atLeast"/>
        </w:trPr>
        <w:tc>
          <w:tcPr>
            <w:tcW w:w="145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0" w:right="169" w:firstLine="14"/>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加油站等的地下油罐应当使用双层</w:t>
            </w:r>
            <w:r>
              <w:rPr>
                <w:rFonts w:ascii="FangSong_GB2312" w:hAnsi="FangSong_GB2312" w:eastAsia="FangSong_GB2312" w:cs="FangSong_GB2312"/>
                <w:sz w:val="24"/>
                <w:szCs w:val="24"/>
                <w:spacing w:val="-2"/>
              </w:rPr>
              <w:t>罐或者采取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建造防渗池等其他有效措施，并进行防渗漏</w:t>
            </w:r>
            <w:r>
              <w:rPr>
                <w:rFonts w:ascii="FangSong_GB2312" w:hAnsi="FangSong_GB2312" w:eastAsia="FangSong_GB2312" w:cs="FangSong_GB2312"/>
                <w:sz w:val="24"/>
                <w:szCs w:val="24"/>
                <w:spacing w:val="-1"/>
              </w:rPr>
              <w:t>监测，防止地下水污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染。</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11" w:right="106" w:hanging="4"/>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（八）</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
              </w:rPr>
              <w:t>加油站等的地下油罐未使用双层罐或者采取建造防渗池等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其他有效措施，或者未进行防渗漏监测的；</w:t>
            </w:r>
          </w:p>
          <w:p>
            <w:pPr>
              <w:ind w:left="120" w:right="168" w:hanging="3"/>
              <w:spacing w:before="37"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有前款第三项、第四项、第六项、第七项、</w:t>
            </w:r>
            <w:r>
              <w:rPr>
                <w:rFonts w:ascii="FangSong_GB2312" w:hAnsi="FangSong_GB2312" w:eastAsia="FangSong_GB2312" w:cs="FangSong_GB2312"/>
                <w:sz w:val="24"/>
                <w:szCs w:val="24"/>
                <w:spacing w:val="-1"/>
              </w:rPr>
              <w:t>第八项行为之一的，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处二万元以上二十万元以下的罚款。</w:t>
            </w:r>
          </w:p>
        </w:tc>
      </w:tr>
      <w:tr>
        <w:trPr>
          <w:trHeight w:val="635" w:hRule="atLeast"/>
        </w:trPr>
        <w:tc>
          <w:tcPr>
            <w:tcW w:w="4135" w:type="dxa"/>
            <w:vAlign w:val="top"/>
            <w:gridSpan w:val="3"/>
          </w:tcPr>
          <w:p>
            <w:pPr>
              <w:ind w:left="1514"/>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47" w:hRule="atLeast"/>
        </w:trPr>
        <w:tc>
          <w:tcPr>
            <w:tcW w:w="1454" w:type="dxa"/>
            <w:vAlign w:val="top"/>
            <w:vMerge w:val="restart"/>
            <w:tcBorders>
              <w:bottom w:val="nil"/>
            </w:tcBorders>
          </w:tcPr>
          <w:p>
            <w:pPr>
              <w:ind w:left="495" w:right="122" w:hanging="360"/>
              <w:spacing w:before="26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46"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46"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55" w:type="dxa"/>
            <w:vAlign w:val="top"/>
          </w:tcPr>
          <w:p>
            <w:pPr>
              <w:ind w:left="114"/>
              <w:spacing w:before="10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未进行防渗漏监测的</w:t>
            </w:r>
          </w:p>
        </w:tc>
        <w:tc>
          <w:tcPr>
            <w:tcW w:w="1068" w:type="dxa"/>
            <w:vAlign w:val="top"/>
          </w:tcPr>
          <w:p>
            <w:pPr>
              <w:ind w:left="196"/>
              <w:spacing w:before="1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5" w:right="265" w:hanging="2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未使用双层罐或者采取建造</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防渗池等其他有效措施的</w:t>
            </w:r>
          </w:p>
        </w:tc>
        <w:tc>
          <w:tcPr>
            <w:tcW w:w="1068" w:type="dxa"/>
            <w:vAlign w:val="top"/>
          </w:tcPr>
          <w:p>
            <w:pPr>
              <w:ind w:left="13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5"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7" w:hRule="atLeast"/>
        </w:trPr>
        <w:tc>
          <w:tcPr>
            <w:tcW w:w="1454" w:type="dxa"/>
            <w:vAlign w:val="top"/>
            <w:vMerge w:val="restart"/>
            <w:tcBorders>
              <w:bottom w:val="nil"/>
            </w:tcBorders>
          </w:tcPr>
          <w:p>
            <w:pPr>
              <w:ind w:left="253" w:right="245" w:firstLine="7"/>
              <w:spacing w:before="85"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85"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4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8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8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5" w:hRule="atLeast"/>
        </w:trPr>
        <w:tc>
          <w:tcPr>
            <w:tcW w:w="1454" w:type="dxa"/>
            <w:vAlign w:val="top"/>
            <w:vMerge w:val="restart"/>
            <w:tcBorders>
              <w:bottom w:val="nil"/>
            </w:tcBorders>
          </w:tcPr>
          <w:p>
            <w:pPr>
              <w:ind w:left="145" w:right="81" w:hanging="10"/>
              <w:spacing w:before="7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4"/>
                <w:w w:val="94"/>
              </w:rPr>
              <w:t>对社会影响或</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26"/>
                <w:w w:val="94"/>
              </w:rPr>
              <w:t>生态破坏程度</w:t>
            </w:r>
          </w:p>
        </w:tc>
        <w:tc>
          <w:tcPr>
            <w:tcW w:w="1996" w:type="dxa"/>
            <w:vAlign w:val="top"/>
            <w:vMerge w:val="restart"/>
            <w:tcBorders>
              <w:bottom w:val="nil"/>
            </w:tcBorders>
          </w:tcPr>
          <w:p>
            <w:pPr>
              <w:ind w:left="289" w:right="157" w:hanging="131"/>
              <w:spacing w:before="7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ind w:left="177"/>
              <w:spacing w:before="22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6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4"/>
              <w:spacing w:before="42"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068" w:type="dxa"/>
            <w:vAlign w:val="top"/>
          </w:tcPr>
          <w:p>
            <w:pPr>
              <w:ind w:left="437"/>
              <w:spacing w:before="42"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23"/>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112</w:t>
            </w:r>
          </w:p>
        </w:tc>
      </w:tr>
      <w:tr>
        <w:trPr>
          <w:trHeight w:val="949" w:hRule="atLeast"/>
        </w:trPr>
        <w:tc>
          <w:tcPr>
            <w:tcW w:w="1454" w:type="dxa"/>
            <w:vAlign w:val="top"/>
          </w:tcPr>
          <w:p>
            <w:pPr>
              <w:spacing w:line="242"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08" w:right="176" w:firstLine="3"/>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未按照规定采取防护性措施，或者利用无防渗漏措施的沟渠、坑</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rPr>
              <w:t>塘等输送或者存贮含有毒污染物的废水、含病原</w:t>
            </w:r>
            <w:r>
              <w:rPr>
                <w:rFonts w:ascii="FangSong_GB2312" w:hAnsi="FangSong_GB2312" w:eastAsia="FangSong_GB2312" w:cs="FangSong_GB2312"/>
                <w:sz w:val="24"/>
                <w:szCs w:val="24"/>
                <w:spacing w:val="-1"/>
              </w:rPr>
              <w:t>体的污水或者其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他废弃物的</w:t>
            </w:r>
          </w:p>
        </w:tc>
      </w:tr>
      <w:tr>
        <w:trPr>
          <w:trHeight w:val="4728" w:hRule="atLeast"/>
        </w:trPr>
        <w:tc>
          <w:tcPr>
            <w:tcW w:w="145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4" w:right="169" w:firstLine="10"/>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禁止利用无防渗漏措施的沟渠、坑</w:t>
            </w:r>
            <w:r>
              <w:rPr>
                <w:rFonts w:ascii="FangSong_GB2312" w:hAnsi="FangSong_GB2312" w:eastAsia="FangSong_GB2312" w:cs="FangSong_GB2312"/>
                <w:sz w:val="24"/>
                <w:szCs w:val="24"/>
                <w:spacing w:val="-2"/>
              </w:rPr>
              <w:t>塘等输送或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者存贮含有毒污染物的废水、含病原体的污水和其他废弃物。</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09" w:right="46" w:firstLine="15"/>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有下列行为之一的，由县级以上地方人民政府</w:t>
            </w:r>
            <w:r>
              <w:rPr>
                <w:rFonts w:ascii="FangSong_GB2312" w:hAnsi="FangSong_GB2312" w:eastAsia="FangSong_GB2312" w:cs="FangSong_GB2312"/>
                <w:sz w:val="24"/>
                <w:szCs w:val="24"/>
                <w:spacing w:val="-2"/>
              </w:rPr>
              <w:t>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保护主管部门责令停止违法行为，限期采取治理措施，消除污</w:t>
            </w:r>
            <w:r>
              <w:rPr>
                <w:rFonts w:ascii="FangSong_GB2312" w:hAnsi="FangSong_GB2312" w:eastAsia="FangSong_GB2312" w:cs="FangSong_GB2312"/>
                <w:sz w:val="24"/>
                <w:szCs w:val="24"/>
                <w:spacing w:val="-5"/>
              </w:rPr>
              <w:t>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处以罚款；逾期不采取治理措施的，环境保护</w:t>
            </w:r>
            <w:r>
              <w:rPr>
                <w:rFonts w:ascii="FangSong_GB2312" w:hAnsi="FangSong_GB2312" w:eastAsia="FangSong_GB2312" w:cs="FangSong_GB2312"/>
                <w:sz w:val="24"/>
                <w:szCs w:val="24"/>
                <w:spacing w:val="-1"/>
              </w:rPr>
              <w:t>主管部门可以指定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有治理能力的单位代为治理，所需费用由违法者承担：</w:t>
            </w:r>
          </w:p>
          <w:p>
            <w:pPr>
              <w:ind w:left="111" w:right="106" w:hanging="4"/>
              <w:spacing w:before="3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（九）</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未按照规定采取防护性措施，或者利用无防渗漏措施的沟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渠、坑塘等输送或者存贮含有毒污染物的废水、含病原体的污水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或者其他废弃物的。</w:t>
            </w:r>
          </w:p>
          <w:p>
            <w:pPr>
              <w:ind w:left="114" w:right="109" w:firstLine="3"/>
              <w:spacing w:before="35"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有前款第一项、第二项、第五项、第九项行为之一</w:t>
            </w:r>
            <w:r>
              <w:rPr>
                <w:rFonts w:ascii="FangSong_GB2312" w:hAnsi="FangSong_GB2312" w:eastAsia="FangSong_GB2312" w:cs="FangSong_GB2312"/>
                <w:sz w:val="24"/>
                <w:szCs w:val="24"/>
                <w:spacing w:val="1"/>
              </w:rPr>
              <w:t>的，处十万元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以上一百万元以下的罚款；情节严重的，报经有批准权的人</w:t>
            </w:r>
            <w:r>
              <w:rPr>
                <w:rFonts w:ascii="FangSong_GB2312" w:hAnsi="FangSong_GB2312" w:eastAsia="FangSong_GB2312" w:cs="FangSong_GB2312"/>
                <w:sz w:val="24"/>
                <w:szCs w:val="24"/>
                <w:spacing w:val="1"/>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府批准，责令停业、关闭。</w:t>
            </w:r>
          </w:p>
        </w:tc>
      </w:tr>
      <w:tr>
        <w:trPr>
          <w:trHeight w:val="635" w:hRule="atLeast"/>
        </w:trPr>
        <w:tc>
          <w:tcPr>
            <w:tcW w:w="4135" w:type="dxa"/>
            <w:vAlign w:val="top"/>
            <w:gridSpan w:val="3"/>
          </w:tcPr>
          <w:p>
            <w:pPr>
              <w:ind w:left="151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55" w:type="dxa"/>
            <w:vAlign w:val="top"/>
          </w:tcPr>
          <w:p>
            <w:pPr>
              <w:ind w:left="134" w:right="265" w:hanging="2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未按照规定采取防护性措施</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19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26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1" w:right="104"/>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利用无防渗漏措施的沟渠、坑</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塘等存贮含有毒污染物的废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水、含病原体的污水或者其他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废弃物的</w:t>
            </w:r>
          </w:p>
        </w:tc>
        <w:tc>
          <w:tcPr>
            <w:tcW w:w="1068" w:type="dxa"/>
            <w:vAlign w:val="top"/>
          </w:tcPr>
          <w:p>
            <w:pPr>
              <w:spacing w:line="433"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1" w:right="104"/>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利用无防渗漏措施的沟渠、坑</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塘等输送含有毒污染物的废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水、含病原体的污水或者其他</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废弃物的</w:t>
            </w:r>
          </w:p>
        </w:tc>
        <w:tc>
          <w:tcPr>
            <w:tcW w:w="1068" w:type="dxa"/>
            <w:vAlign w:val="top"/>
          </w:tcPr>
          <w:p>
            <w:pPr>
              <w:spacing w:line="434" w:lineRule="auto"/>
              <w:rPr>
                <w:rFonts w:ascii="Arial"/>
                <w:sz w:val="21"/>
              </w:rPr>
            </w:pPr>
            <w:r/>
          </w:p>
          <w:p>
            <w:pPr>
              <w:ind w:left="1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1"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1"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1"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3"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bl>
    <w:p>
      <w:pPr>
        <w:pStyle w:val="BodyText"/>
        <w:rPr/>
      </w:pPr>
      <w:r/>
    </w:p>
    <w:p>
      <w:pPr>
        <w:sectPr>
          <w:footerReference w:type="default" r:id="rId22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324"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6" w:hRule="atLeast"/>
        </w:trPr>
        <w:tc>
          <w:tcPr>
            <w:tcW w:w="1454" w:type="dxa"/>
            <w:vAlign w:val="top"/>
            <w:vMerge w:val="restart"/>
            <w:tcBorders>
              <w:bottom w:val="nil"/>
            </w:tcBorders>
          </w:tcPr>
          <w:p>
            <w:pPr>
              <w:ind w:left="253" w:right="245" w:firstLine="7"/>
              <w:spacing w:before="8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8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4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7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80"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37" w:hRule="atLeast"/>
        </w:trPr>
        <w:tc>
          <w:tcPr>
            <w:tcW w:w="1454" w:type="dxa"/>
            <w:vAlign w:val="top"/>
            <w:vMerge w:val="restart"/>
            <w:tcBorders>
              <w:bottom w:val="nil"/>
            </w:tcBorders>
          </w:tcPr>
          <w:p>
            <w:pPr>
              <w:ind w:left="135"/>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12"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91"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4" w:right="26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25"/>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113</w:t>
            </w:r>
          </w:p>
        </w:tc>
      </w:tr>
      <w:tr>
        <w:trPr>
          <w:trHeight w:val="1894" w:hRule="atLeast"/>
        </w:trPr>
        <w:tc>
          <w:tcPr>
            <w:tcW w:w="1454" w:type="dxa"/>
            <w:vAlign w:val="top"/>
          </w:tcPr>
          <w:p>
            <w:pPr>
              <w:spacing w:line="356" w:lineRule="auto"/>
              <w:rPr>
                <w:rFonts w:ascii="Arial"/>
                <w:sz w:val="21"/>
              </w:rPr>
            </w:pPr>
            <w:r/>
          </w:p>
          <w:p>
            <w:pPr>
              <w:spacing w:line="356"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7" w:right="176" w:hanging="10"/>
              <w:spacing w:before="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（一）在饮用水水源一级保护区内新建、改建、</w:t>
            </w:r>
            <w:r>
              <w:rPr>
                <w:rFonts w:ascii="FangSong_GB2312" w:hAnsi="FangSong_GB2312" w:eastAsia="FangSong_GB2312" w:cs="FangSong_GB2312"/>
                <w:sz w:val="24"/>
                <w:szCs w:val="24"/>
                <w:spacing w:val="-1"/>
              </w:rPr>
              <w:t>扩建与供水设施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和保护水源无关的建设项目的；</w:t>
            </w:r>
          </w:p>
          <w:p>
            <w:pPr>
              <w:ind w:left="132" w:right="176" w:hanging="25"/>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（二）在饮用水水源二级保护区内新建、改建、</w:t>
            </w:r>
            <w:r>
              <w:rPr>
                <w:rFonts w:ascii="FangSong_GB2312" w:hAnsi="FangSong_GB2312" w:eastAsia="FangSong_GB2312" w:cs="FangSong_GB2312"/>
                <w:sz w:val="24"/>
                <w:szCs w:val="24"/>
                <w:spacing w:val="-1"/>
              </w:rPr>
              <w:t>扩建排放污染物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的建设项目的；</w:t>
            </w:r>
          </w:p>
          <w:p>
            <w:pPr>
              <w:ind w:left="111" w:right="176" w:hanging="4"/>
              <w:spacing w:before="40"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（三）在饮用水水源准保护区内新建、扩建对水</w:t>
            </w:r>
            <w:r>
              <w:rPr>
                <w:rFonts w:ascii="FangSong_GB2312" w:hAnsi="FangSong_GB2312" w:eastAsia="FangSong_GB2312" w:cs="FangSong_GB2312"/>
                <w:sz w:val="24"/>
                <w:szCs w:val="24"/>
                <w:spacing w:val="-1"/>
              </w:rPr>
              <w:t>体污染严重的建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设项目，或者改建建设项目增加排污量的。</w:t>
            </w:r>
          </w:p>
        </w:tc>
      </w:tr>
      <w:tr>
        <w:trPr>
          <w:trHeight w:val="9454" w:hRule="atLeast"/>
        </w:trPr>
        <w:tc>
          <w:tcPr>
            <w:tcW w:w="145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1.《中华人民共和国水污染防治法》</w:t>
            </w:r>
          </w:p>
          <w:p>
            <w:pPr>
              <w:ind w:left="107" w:right="40" w:firstLine="16"/>
              <w:spacing w:before="33"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第六十五条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禁止在饮用水水源一级保护区内新建、改建、扩建与</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供水设施和保护水源无关的建设项目；</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2"/>
              </w:rPr>
              <w:t>已建成的与供水设施和保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护水源无关的建设项目，由县级以上人民政府责令拆除或者关闭。</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rPr>
              <w:t>禁止在饮用水水源一级保护区内从事网箱养殖、旅</w:t>
            </w:r>
            <w:r>
              <w:rPr>
                <w:rFonts w:ascii="FangSong_GB2312" w:hAnsi="FangSong_GB2312" w:eastAsia="FangSong_GB2312" w:cs="FangSong_GB2312"/>
                <w:sz w:val="24"/>
                <w:szCs w:val="24"/>
                <w:spacing w:val="-1"/>
              </w:rPr>
              <w:t>游、游泳、垂</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钓或者其他可能污染饮用水水体的活动。</w:t>
            </w:r>
          </w:p>
          <w:p>
            <w:pPr>
              <w:ind w:left="113" w:right="106" w:firstLine="11"/>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第六十六条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禁止在饮用水水源二级保护区内新建、改建、扩建排</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放污染物的建设项目；</w:t>
            </w:r>
            <w:r>
              <w:rPr>
                <w:rFonts w:ascii="FangSong_GB2312" w:hAnsi="FangSong_GB2312" w:eastAsia="FangSong_GB2312" w:cs="FangSong_GB2312"/>
                <w:sz w:val="24"/>
                <w:szCs w:val="24"/>
                <w:spacing w:val="-70"/>
              </w:rPr>
              <w:t xml:space="preserve"> </w:t>
            </w:r>
            <w:r>
              <w:rPr>
                <w:rFonts w:ascii="FangSong_GB2312" w:hAnsi="FangSong_GB2312" w:eastAsia="FangSong_GB2312" w:cs="FangSong_GB2312"/>
                <w:sz w:val="24"/>
                <w:szCs w:val="24"/>
                <w:spacing w:val="-2"/>
              </w:rPr>
              <w:t>已建成的排放污染物的建设</w:t>
            </w:r>
            <w:r>
              <w:rPr>
                <w:rFonts w:ascii="FangSong_GB2312" w:hAnsi="FangSong_GB2312" w:eastAsia="FangSong_GB2312" w:cs="FangSong_GB2312"/>
                <w:sz w:val="24"/>
                <w:szCs w:val="24"/>
                <w:spacing w:val="-3"/>
              </w:rPr>
              <w:t>项目，由县级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以上人民政府责令拆除或者关闭。</w:t>
            </w:r>
          </w:p>
          <w:p>
            <w:pPr>
              <w:ind w:left="113" w:right="176" w:firstLine="1"/>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在饮用水水源二级保护区内从事网箱养殖、旅游等活动的，应当</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按照规定采取措施，防止污染饮用水水体。</w:t>
            </w:r>
          </w:p>
          <w:p>
            <w:pPr>
              <w:ind w:left="107" w:right="106" w:firstLine="16"/>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第六十七条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禁止在饮用水水源准保护区内新建、扩建对水体污染</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严重的建设项目；改建建设项目，不得增加排污量。</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4" w:right="106" w:firstLine="10"/>
              <w:spacing w:before="35"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第九十一条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有下列行为之一的，由县级以上地</w:t>
            </w:r>
            <w:r>
              <w:rPr>
                <w:rFonts w:ascii="FangSong_GB2312" w:hAnsi="FangSong_GB2312" w:eastAsia="FangSong_GB2312" w:cs="FangSong_GB2312"/>
                <w:sz w:val="24"/>
                <w:szCs w:val="24"/>
                <w:spacing w:val="-4"/>
              </w:rPr>
              <w:t>方人民政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府环境保护主管部门责令停止违法行为，处十万元以上五十万元</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以下的罚款；并报经有批准权的人民政府批准，责令拆除或者关</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6"/>
              </w:rPr>
              <w:t>闭：</w:t>
            </w:r>
          </w:p>
          <w:p>
            <w:pPr>
              <w:ind w:left="117" w:right="176" w:hanging="10"/>
              <w:spacing w:before="2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（一）在饮用水水源一级保护区内新建、改建、</w:t>
            </w:r>
            <w:r>
              <w:rPr>
                <w:rFonts w:ascii="FangSong_GB2312" w:hAnsi="FangSong_GB2312" w:eastAsia="FangSong_GB2312" w:cs="FangSong_GB2312"/>
                <w:sz w:val="24"/>
                <w:szCs w:val="24"/>
                <w:spacing w:val="-1"/>
              </w:rPr>
              <w:t>扩建与供水设施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和保护水源无关的建设项目的；</w:t>
            </w:r>
          </w:p>
          <w:p>
            <w:pPr>
              <w:ind w:left="132" w:right="176" w:hanging="25"/>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（二）在饮用水水源二级保护区内新建、改建、</w:t>
            </w:r>
            <w:r>
              <w:rPr>
                <w:rFonts w:ascii="FangSong_GB2312" w:hAnsi="FangSong_GB2312" w:eastAsia="FangSong_GB2312" w:cs="FangSong_GB2312"/>
                <w:sz w:val="24"/>
                <w:szCs w:val="24"/>
                <w:spacing w:val="-1"/>
              </w:rPr>
              <w:t>扩建排放污染物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的建设项目的；</w:t>
            </w:r>
          </w:p>
          <w:p>
            <w:pPr>
              <w:ind w:left="111" w:right="176" w:hanging="4"/>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（三）在饮用水水源准保护区内新建、扩建对水</w:t>
            </w:r>
            <w:r>
              <w:rPr>
                <w:rFonts w:ascii="FangSong_GB2312" w:hAnsi="FangSong_GB2312" w:eastAsia="FangSong_GB2312" w:cs="FangSong_GB2312"/>
                <w:sz w:val="24"/>
                <w:szCs w:val="24"/>
                <w:spacing w:val="-1"/>
              </w:rPr>
              <w:t>体污染严重的建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设项目，或者改建建设项目增加排污量的。</w:t>
            </w:r>
          </w:p>
          <w:p>
            <w:pPr>
              <w:spacing w:line="273" w:lineRule="auto"/>
              <w:rPr>
                <w:rFonts w:ascii="Arial"/>
                <w:sz w:val="21"/>
              </w:rPr>
            </w:pPr>
            <w:r/>
          </w:p>
          <w:p>
            <w:pPr>
              <w:ind w:left="130"/>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《白洋淀生态环境治理和保护条例》</w:t>
            </w:r>
          </w:p>
          <w:p>
            <w:pPr>
              <w:ind w:left="120" w:right="100" w:firstLine="3"/>
              <w:spacing w:before="39" w:line="34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第二十六条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第二款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在饮用水水源保护区内，禁止设置排污</w:t>
            </w:r>
            <w:r>
              <w:rPr>
                <w:rFonts w:ascii="FangSong_GB2312" w:hAnsi="FangSong_GB2312" w:eastAsia="FangSong_GB2312" w:cs="FangSong_GB2312"/>
                <w:sz w:val="24"/>
                <w:szCs w:val="24"/>
                <w:spacing w:val="-57"/>
              </w:rPr>
              <w:t xml:space="preserve"> </w:t>
            </w:r>
            <w:r>
              <w:rPr>
                <w:rFonts w:ascii="FangSong_GB2312" w:hAnsi="FangSong_GB2312" w:eastAsia="FangSong_GB2312" w:cs="FangSong_GB2312"/>
                <w:sz w:val="24"/>
                <w:szCs w:val="24"/>
                <w:spacing w:val="-5"/>
              </w:rPr>
              <w:t>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4.</w:t>
            </w:r>
            <w:r>
              <w:rPr>
                <w:rFonts w:ascii="FangSong_GB2312" w:hAnsi="FangSong_GB2312" w:eastAsia="FangSong_GB2312" w:cs="FangSong_GB2312"/>
                <w:sz w:val="24"/>
                <w:szCs w:val="24"/>
                <w:b/>
                <w:bCs/>
                <w:spacing w:val="-3"/>
              </w:rPr>
              <w:t>《白洋淀生态环境治理和保护条例》</w:t>
            </w:r>
          </w:p>
        </w:tc>
      </w:tr>
    </w:tbl>
    <w:p>
      <w:pPr>
        <w:pStyle w:val="BodyText"/>
        <w:rPr/>
      </w:pPr>
      <w:r/>
    </w:p>
    <w:p>
      <w:pPr>
        <w:sectPr>
          <w:footerReference w:type="default" r:id="rId226"/>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1383" w:hRule="atLeast"/>
        </w:trPr>
        <w:tc>
          <w:tcPr>
            <w:tcW w:w="1454" w:type="dxa"/>
            <w:vAlign w:val="top"/>
          </w:tcPr>
          <w:p>
            <w:pPr>
              <w:rPr>
                <w:rFonts w:ascii="Arial"/>
                <w:sz w:val="21"/>
              </w:rPr>
            </w:pPr>
            <w:r/>
          </w:p>
        </w:tc>
        <w:tc>
          <w:tcPr>
            <w:tcW w:w="7004" w:type="dxa"/>
            <w:vAlign w:val="top"/>
            <w:gridSpan w:val="4"/>
          </w:tcPr>
          <w:p>
            <w:pPr>
              <w:ind w:left="114" w:right="106" w:firstLine="10"/>
              <w:spacing w:before="44"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在饮用水水源保护区内设置排污口</w:t>
            </w:r>
            <w:r>
              <w:rPr>
                <w:rFonts w:ascii="FangSong_GB2312" w:hAnsi="FangSong_GB2312" w:eastAsia="FangSong_GB2312" w:cs="FangSong_GB2312"/>
                <w:sz w:val="24"/>
                <w:szCs w:val="24"/>
                <w:spacing w:val="-4"/>
              </w:rPr>
              <w:t>的，由县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级以上人民政府责令限期拆除，处十万元以上五十万元以下的罚</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款；逾期不拆除的，强制拆除，所需费用由违法者承担，处五十</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万元以上一百万元以下的罚款，并可以责令停产整治。</w:t>
            </w:r>
          </w:p>
        </w:tc>
      </w:tr>
      <w:tr>
        <w:trPr>
          <w:trHeight w:val="635" w:hRule="atLeast"/>
        </w:trPr>
        <w:tc>
          <w:tcPr>
            <w:tcW w:w="4135" w:type="dxa"/>
            <w:vAlign w:val="top"/>
            <w:gridSpan w:val="3"/>
          </w:tcPr>
          <w:p>
            <w:pPr>
              <w:ind w:left="1514"/>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5"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48"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4"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5"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454"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55" w:type="dxa"/>
            <w:vAlign w:val="top"/>
          </w:tcPr>
          <w:p>
            <w:pPr>
              <w:ind w:left="112" w:right="104" w:firstLine="4"/>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在饮用水水源准保护区内新</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7"/>
              </w:rPr>
              <w:t>建、扩建对水体污染严重的建</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7"/>
              </w:rPr>
              <w:t>设项目，或者改建建设项目增</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加排污量的</w:t>
            </w:r>
          </w:p>
        </w:tc>
        <w:tc>
          <w:tcPr>
            <w:tcW w:w="1068" w:type="dxa"/>
            <w:vAlign w:val="top"/>
          </w:tcPr>
          <w:p>
            <w:pPr>
              <w:spacing w:line="430" w:lineRule="auto"/>
              <w:rPr>
                <w:rFonts w:ascii="Arial"/>
                <w:sz w:val="21"/>
              </w:rPr>
            </w:pPr>
            <w:r/>
          </w:p>
          <w:p>
            <w:pPr>
              <w:ind w:left="19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7" w:right="104"/>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在饮用水水源二级保护区内</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8"/>
              </w:rPr>
              <w:t>新建、改建、扩建排放污染物</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3"/>
              </w:rPr>
              <w:t>的建设项目的</w:t>
            </w:r>
          </w:p>
        </w:tc>
        <w:tc>
          <w:tcPr>
            <w:tcW w:w="1068" w:type="dxa"/>
            <w:vAlign w:val="top"/>
          </w:tcPr>
          <w:p>
            <w:pPr>
              <w:spacing w:line="275"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7" w:right="104"/>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在饮用水水源一级保护区内</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8"/>
              </w:rPr>
              <w:t>新建、改建、扩建与供水设施</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和保护水源无关的建设项目</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的</w:t>
            </w:r>
          </w:p>
        </w:tc>
        <w:tc>
          <w:tcPr>
            <w:tcW w:w="1068" w:type="dxa"/>
            <w:vAlign w:val="top"/>
          </w:tcPr>
          <w:p>
            <w:pPr>
              <w:spacing w:line="432" w:lineRule="auto"/>
              <w:rPr>
                <w:rFonts w:ascii="Arial"/>
                <w:sz w:val="21"/>
              </w:rPr>
            </w:pPr>
            <w:r/>
          </w:p>
          <w:p>
            <w:pPr>
              <w:ind w:left="1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7" w:hRule="atLeast"/>
        </w:trPr>
        <w:tc>
          <w:tcPr>
            <w:tcW w:w="1454" w:type="dxa"/>
            <w:vAlign w:val="top"/>
            <w:vMerge w:val="restart"/>
            <w:tcBorders>
              <w:bottom w:val="nil"/>
            </w:tcBorders>
          </w:tcPr>
          <w:p>
            <w:pPr>
              <w:ind w:left="253" w:right="245" w:firstLine="7"/>
              <w:spacing w:before="8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87"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4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8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82"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36" w:hRule="atLeast"/>
        </w:trPr>
        <w:tc>
          <w:tcPr>
            <w:tcW w:w="1454" w:type="dxa"/>
            <w:vAlign w:val="top"/>
            <w:vMerge w:val="restart"/>
            <w:tcBorders>
              <w:bottom w:val="nil"/>
            </w:tcBorders>
          </w:tcPr>
          <w:p>
            <w:pPr>
              <w:ind w:left="135"/>
              <w:spacing w:before="4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19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7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1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1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13"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14"/>
              <w:spacing w:before="1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068" w:type="dxa"/>
            <w:vAlign w:val="top"/>
          </w:tcPr>
          <w:p>
            <w:pPr>
              <w:ind w:left="437"/>
              <w:spacing w:before="1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27"/>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114</w:t>
            </w:r>
          </w:p>
        </w:tc>
      </w:tr>
      <w:tr>
        <w:trPr>
          <w:trHeight w:val="1264" w:hRule="atLeast"/>
        </w:trPr>
        <w:tc>
          <w:tcPr>
            <w:tcW w:w="1454" w:type="dxa"/>
            <w:vAlign w:val="top"/>
          </w:tcPr>
          <w:p>
            <w:pPr>
              <w:spacing w:line="398"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right="176" w:firstLine="1"/>
              <w:spacing w:before="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在饮用水水源一级保护区内从事网箱养殖或者组织进行旅游、垂</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钓或者其他可能污染饮用水水体的活动的；</w:t>
            </w:r>
          </w:p>
          <w:p>
            <w:pPr>
              <w:ind w:left="119" w:right="176" w:hanging="5"/>
              <w:spacing w:before="37"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个人在饮用水水源一级保护区内游泳、垂钓或者从事其他可能污</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染饮用水水体的活动的</w:t>
            </w:r>
          </w:p>
        </w:tc>
      </w:tr>
      <w:tr>
        <w:trPr>
          <w:trHeight w:val="3783" w:hRule="atLeast"/>
        </w:trPr>
        <w:tc>
          <w:tcPr>
            <w:tcW w:w="1454"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16" w:right="169" w:firstLine="8"/>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禁止在饮用水水源一级保护</w:t>
            </w:r>
            <w:r>
              <w:rPr>
                <w:rFonts w:ascii="FangSong_GB2312" w:hAnsi="FangSong_GB2312" w:eastAsia="FangSong_GB2312" w:cs="FangSong_GB2312"/>
                <w:sz w:val="24"/>
                <w:szCs w:val="24"/>
                <w:spacing w:val="-2"/>
              </w:rPr>
              <w:t>区内从事网箱养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殖、旅游、游泳、垂钓或者其他可能污染饮用水水体的活动。</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2" w:right="46" w:firstLine="12"/>
              <w:spacing w:before="36"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在饮用水水源一级保护区</w:t>
            </w:r>
            <w:r>
              <w:rPr>
                <w:rFonts w:ascii="FangSong_GB2312" w:hAnsi="FangSong_GB2312" w:eastAsia="FangSong_GB2312" w:cs="FangSong_GB2312"/>
                <w:sz w:val="24"/>
                <w:szCs w:val="24"/>
                <w:spacing w:val="-2"/>
              </w:rPr>
              <w:t>内从事网箱养殖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或者组织进行旅游、垂钓或者其他可能污染饮用水水体</w:t>
            </w:r>
            <w:r>
              <w:rPr>
                <w:rFonts w:ascii="FangSong_GB2312" w:hAnsi="FangSong_GB2312" w:eastAsia="FangSong_GB2312" w:cs="FangSong_GB2312"/>
                <w:sz w:val="24"/>
                <w:szCs w:val="24"/>
                <w:spacing w:val="-5"/>
              </w:rPr>
              <w:t>的活动的，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由县级以上地方人民政府环境保护主管部门责令停</w:t>
            </w:r>
            <w:r>
              <w:rPr>
                <w:rFonts w:ascii="FangSong_GB2312" w:hAnsi="FangSong_GB2312" w:eastAsia="FangSong_GB2312" w:cs="FangSong_GB2312"/>
                <w:sz w:val="24"/>
                <w:szCs w:val="24"/>
              </w:rPr>
              <w:t>止违法行为，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处二万元以上十万元以下的罚款。个人在饮用水水源一级保护区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内游泳、垂钓或者从事其他可能污染饮用水水体的活动的，由县</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级以上地方人民政府环境保护主管部门责令停止违法行为，可以</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处五百元以下的罚款。</w:t>
            </w:r>
          </w:p>
        </w:tc>
      </w:tr>
      <w:tr>
        <w:trPr>
          <w:trHeight w:val="635" w:hRule="atLeast"/>
        </w:trPr>
        <w:tc>
          <w:tcPr>
            <w:tcW w:w="4135" w:type="dxa"/>
            <w:vAlign w:val="top"/>
            <w:gridSpan w:val="3"/>
          </w:tcPr>
          <w:p>
            <w:pPr>
              <w:ind w:left="1514"/>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7"/>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3"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461"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461"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55" w:type="dxa"/>
            <w:vAlign w:val="top"/>
          </w:tcPr>
          <w:p>
            <w:pPr>
              <w:ind w:left="114" w:right="265" w:firstLine="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垂钓或从事其他可能污染饮</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用水水体的活动的</w:t>
            </w:r>
          </w:p>
        </w:tc>
        <w:tc>
          <w:tcPr>
            <w:tcW w:w="1068" w:type="dxa"/>
            <w:vAlign w:val="top"/>
          </w:tcPr>
          <w:p>
            <w:pPr>
              <w:ind w:left="19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1"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17"/>
              <w:spacing w:before="5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组织旅游的</w:t>
            </w:r>
          </w:p>
        </w:tc>
        <w:tc>
          <w:tcPr>
            <w:tcW w:w="1068" w:type="dxa"/>
            <w:vAlign w:val="top"/>
          </w:tcPr>
          <w:p>
            <w:pPr>
              <w:ind w:left="136"/>
              <w:spacing w:before="5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网箱养殖的</w:t>
            </w:r>
          </w:p>
        </w:tc>
        <w:tc>
          <w:tcPr>
            <w:tcW w:w="1068"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0"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5" w:type="dxa"/>
            <w:vAlign w:val="top"/>
          </w:tcPr>
          <w:p>
            <w:pPr>
              <w:ind w:left="121" w:right="26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8" w:type="dxa"/>
            <w:vAlign w:val="top"/>
          </w:tcPr>
          <w:p>
            <w:pPr>
              <w:ind w:left="2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7" w:hRule="atLeast"/>
        </w:trPr>
        <w:tc>
          <w:tcPr>
            <w:tcW w:w="1454" w:type="dxa"/>
            <w:vAlign w:val="top"/>
            <w:vMerge w:val="restart"/>
            <w:tcBorders>
              <w:bottom w:val="nil"/>
            </w:tcBorders>
          </w:tcPr>
          <w:p>
            <w:pPr>
              <w:ind w:left="253" w:right="245" w:firstLine="7"/>
              <w:spacing w:before="8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88"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4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9"/>
              <w:spacing w:before="8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82"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5"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13" w:hRule="atLeast"/>
        </w:trPr>
        <w:tc>
          <w:tcPr>
            <w:tcW w:w="1454" w:type="dxa"/>
            <w:vAlign w:val="top"/>
          </w:tcPr>
          <w:p>
            <w:pPr>
              <w:ind w:left="135"/>
              <w:spacing w:before="8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996" w:type="dxa"/>
            <w:vAlign w:val="top"/>
          </w:tcPr>
          <w:p>
            <w:pPr>
              <w:ind w:left="158"/>
              <w:spacing w:before="8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p>
        </w:tc>
        <w:tc>
          <w:tcPr>
            <w:tcW w:w="685" w:type="dxa"/>
            <w:vAlign w:val="top"/>
          </w:tcPr>
          <w:p>
            <w:pPr>
              <w:ind w:left="177"/>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2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5"/>
        <w:gridCol w:w="1068"/>
      </w:tblGrid>
      <w:tr>
        <w:trPr>
          <w:trHeight w:val="639" w:hRule="atLeast"/>
        </w:trPr>
        <w:tc>
          <w:tcPr>
            <w:tcW w:w="1454" w:type="dxa"/>
            <w:vAlign w:val="top"/>
          </w:tcPr>
          <w:p>
            <w:pPr>
              <w:ind w:left="495" w:right="122" w:hanging="3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996" w:type="dxa"/>
            <w:vAlign w:val="top"/>
          </w:tcPr>
          <w:p>
            <w:pPr>
              <w:ind w:left="290"/>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响或生态破坏</w:t>
            </w:r>
          </w:p>
        </w:tc>
        <w:tc>
          <w:tcPr>
            <w:tcW w:w="685" w:type="dxa"/>
            <w:vAlign w:val="top"/>
          </w:tcPr>
          <w:p>
            <w:pPr>
              <w:rPr>
                <w:rFonts w:ascii="Arial"/>
                <w:sz w:val="21"/>
              </w:rPr>
            </w:pPr>
            <w:r/>
          </w:p>
        </w:tc>
        <w:tc>
          <w:tcPr>
            <w:tcW w:w="3255" w:type="dxa"/>
            <w:vAlign w:val="top"/>
          </w:tcPr>
          <w:p>
            <w:pPr>
              <w:ind w:left="134" w:right="26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2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4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河北省生态环境行政处罚裁量规则（水类）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115</w:t>
            </w:r>
          </w:p>
        </w:tc>
      </w:tr>
      <w:tr>
        <w:trPr>
          <w:trHeight w:val="949" w:hRule="atLeast"/>
        </w:trPr>
        <w:tc>
          <w:tcPr>
            <w:tcW w:w="1454" w:type="dxa"/>
            <w:vAlign w:val="top"/>
          </w:tcPr>
          <w:p>
            <w:pPr>
              <w:spacing w:line="242"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0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（一）不按照规定制定水污染事故的应急方案的；</w:t>
            </w:r>
          </w:p>
          <w:p>
            <w:pPr>
              <w:ind w:left="111" w:right="235" w:hanging="4"/>
              <w:spacing w:before="35"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（二）水污染事故发生后，未及时启动水污染事故的应急方案，</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采取有关应急措施的。</w:t>
            </w:r>
          </w:p>
        </w:tc>
      </w:tr>
      <w:tr>
        <w:trPr>
          <w:trHeight w:val="8821" w:hRule="atLeast"/>
        </w:trPr>
        <w:tc>
          <w:tcPr>
            <w:tcW w:w="145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《中华人民共和国水污染防治法》</w:t>
            </w:r>
          </w:p>
          <w:p>
            <w:pPr>
              <w:ind w:left="122" w:right="171" w:firstLine="1"/>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可能发生水污染事故的企业事业单位，应当制</w:t>
            </w:r>
            <w:r>
              <w:rPr>
                <w:rFonts w:ascii="FangSong_GB2312" w:hAnsi="FangSong_GB2312" w:eastAsia="FangSong_GB2312" w:cs="FangSong_GB2312"/>
                <w:sz w:val="24"/>
                <w:szCs w:val="24"/>
                <w:spacing w:val="-2"/>
              </w:rPr>
              <w:t>定有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关水污染事故的应急方案，做好应急准备，并定期进行演练。</w:t>
            </w:r>
          </w:p>
          <w:p>
            <w:pPr>
              <w:ind w:left="110" w:right="176" w:firstLine="17"/>
              <w:spacing w:before="35"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生产、储存危险化学品的企业事业单位，应当采取措施，防止在</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处理安全生产事故过程中产生的可能严重污</w:t>
            </w:r>
            <w:r>
              <w:rPr>
                <w:rFonts w:ascii="FangSong_GB2312" w:hAnsi="FangSong_GB2312" w:eastAsia="FangSong_GB2312" w:cs="FangSong_GB2312"/>
                <w:sz w:val="24"/>
                <w:szCs w:val="24"/>
                <w:spacing w:val="-1"/>
              </w:rPr>
              <w:t>染水体的消防废水、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废液直接排入水体。</w:t>
            </w:r>
          </w:p>
          <w:p>
            <w:pPr>
              <w:ind w:left="124"/>
              <w:spacing w:before="3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企业事业单位发生事故</w:t>
            </w:r>
            <w:r>
              <w:rPr>
                <w:rFonts w:ascii="FangSong_GB2312" w:hAnsi="FangSong_GB2312" w:eastAsia="FangSong_GB2312" w:cs="FangSong_GB2312"/>
                <w:sz w:val="24"/>
                <w:szCs w:val="24"/>
                <w:spacing w:val="-2"/>
              </w:rPr>
              <w:t>或者其他突发性事</w:t>
            </w:r>
          </w:p>
          <w:p>
            <w:pPr>
              <w:ind w:left="111" w:right="176" w:hanging="2"/>
              <w:spacing w:before="33"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件，造成或者可能造成水污染事故的，应当立</w:t>
            </w:r>
            <w:r>
              <w:rPr>
                <w:rFonts w:ascii="FangSong_GB2312" w:hAnsi="FangSong_GB2312" w:eastAsia="FangSong_GB2312" w:cs="FangSong_GB2312"/>
                <w:sz w:val="24"/>
                <w:szCs w:val="24"/>
                <w:spacing w:val="-1"/>
              </w:rPr>
              <w:t>即启动本单位的应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急方案，采取隔离等应急措施，防止水污染物进入水体，并向事</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故发生地的县级以上地方人民政府或者环境保护主管部门报告。</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环境保护主管部门接到报告后，应当及时向本级人民政府报告，</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并抄送有关部门。</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《中华人民共和国水污染防治法》</w:t>
            </w:r>
          </w:p>
          <w:p>
            <w:pPr>
              <w:ind w:left="116" w:right="171" w:firstLine="7"/>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企业事业单位有下列行为之一的，由县级以上</w:t>
            </w:r>
            <w:r>
              <w:rPr>
                <w:rFonts w:ascii="FangSong_GB2312" w:hAnsi="FangSong_GB2312" w:eastAsia="FangSong_GB2312" w:cs="FangSong_GB2312"/>
                <w:sz w:val="24"/>
                <w:szCs w:val="24"/>
                <w:spacing w:val="-2"/>
              </w:rPr>
              <w:t>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政府环境保护主管部门责令改正；情节严重的，处二万元以上十</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万元以下的罚款：</w:t>
            </w:r>
          </w:p>
          <w:p>
            <w:pPr>
              <w:ind w:left="107"/>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（一）不按照规定制定水污染事故的应急方案的；</w:t>
            </w:r>
          </w:p>
          <w:p>
            <w:pPr>
              <w:ind w:left="111" w:right="235" w:hanging="4"/>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（二）水污染事故发生后，未及时启动水污染事故的应急方案，</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采取有关应急措施的。</w:t>
            </w:r>
          </w:p>
          <w:p>
            <w:pPr>
              <w:spacing w:line="273"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《河北省水污染防治条例》</w:t>
            </w:r>
          </w:p>
          <w:p>
            <w:pPr>
              <w:ind w:left="120" w:right="46" w:firstLine="3"/>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第七十三条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违反本条例规定，企业事业单位有下列行为之一的，</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由环境保护主管部门责令改正；情节严重的，处二万元以上十万</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3"/>
              </w:rPr>
              <w:t>元以下的罚款：</w:t>
            </w:r>
          </w:p>
          <w:p>
            <w:pPr>
              <w:ind w:left="10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（一）不按照规定制定水污染事故的应急方案的；</w:t>
            </w:r>
          </w:p>
          <w:p>
            <w:pPr>
              <w:ind w:left="111" w:right="235" w:hanging="4"/>
              <w:spacing w:before="37"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（二）水污染事故发生后，未及时启动水污染事故的应急方案，</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采取有关应急措施的。</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3" w:hRule="atLeast"/>
        </w:trPr>
        <w:tc>
          <w:tcPr>
            <w:tcW w:w="1454" w:type="dxa"/>
            <w:vAlign w:val="top"/>
          </w:tcPr>
          <w:p>
            <w:pPr>
              <w:ind w:left="13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p>
        </w:tc>
        <w:tc>
          <w:tcPr>
            <w:tcW w:w="1996" w:type="dxa"/>
            <w:vAlign w:val="top"/>
          </w:tcPr>
          <w:p>
            <w:pPr>
              <w:ind w:left="28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tcPr>
          <w:p>
            <w:pPr>
              <w:ind w:left="176"/>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3"/>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水污染事故发生后，未及时</w:t>
            </w:r>
          </w:p>
        </w:tc>
        <w:tc>
          <w:tcPr>
            <w:tcW w:w="1122" w:type="dxa"/>
            <w:vAlign w:val="top"/>
          </w:tcPr>
          <w:p>
            <w:pPr>
              <w:ind w:left="223"/>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30"/>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vMerge w:val="restart"/>
            <w:tcBorders>
              <w:bottom w:val="nil"/>
            </w:tcBorders>
          </w:tcPr>
          <w:p>
            <w:pPr>
              <w:ind w:left="496"/>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19" w:right="451" w:hanging="4"/>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启动水污染事故的应急方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案，采取有关应急措施的</w:t>
            </w:r>
          </w:p>
        </w:tc>
        <w:tc>
          <w:tcPr>
            <w:tcW w:w="1122" w:type="dxa"/>
            <w:vAlign w:val="top"/>
          </w:tcPr>
          <w:p>
            <w:pPr>
              <w:rPr>
                <w:rFonts w:ascii="Arial"/>
                <w:sz w:val="21"/>
              </w:rPr>
            </w:pPr>
            <w:r/>
          </w:p>
        </w:tc>
      </w:tr>
      <w:tr>
        <w:trPr>
          <w:trHeight w:val="63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15"/>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不按照规定制定水污染事故</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5"/>
              </w:rPr>
              <w:t>的应急方案的</w:t>
            </w:r>
          </w:p>
        </w:tc>
        <w:tc>
          <w:tcPr>
            <w:tcW w:w="1122" w:type="dxa"/>
            <w:vAlign w:val="top"/>
          </w:tcPr>
          <w:p>
            <w:pPr>
              <w:ind w:left="157"/>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7"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7"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0"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1"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0"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8"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8"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59" w:hRule="atLeast"/>
        </w:trPr>
        <w:tc>
          <w:tcPr>
            <w:tcW w:w="1454" w:type="dxa"/>
            <w:vAlign w:val="top"/>
            <w:vMerge w:val="restart"/>
            <w:tcBorders>
              <w:bottom w:val="nil"/>
            </w:tcBorders>
          </w:tcPr>
          <w:p>
            <w:pPr>
              <w:ind w:left="135"/>
              <w:spacing w:before="6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2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0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6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63"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31"/>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bookmarkStart w:name="bookmark18" w:id="21"/>
            <w:bookmarkEnd w:id="21"/>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116</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right="176" w:hanging="4"/>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土壤污染重点监管单位未制定、实施自行监测方案，或者未将监</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2"/>
              </w:rPr>
              <w:t>测数据报生态环境主管部门的</w:t>
            </w:r>
          </w:p>
        </w:tc>
      </w:tr>
      <w:tr>
        <w:trPr>
          <w:trHeight w:val="9136"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07" w:right="106" w:firstLine="16"/>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土壤污染重点监管单位应当履行下</w:t>
            </w:r>
            <w:r>
              <w:rPr>
                <w:rFonts w:ascii="FangSong_GB2312" w:hAnsi="FangSong_GB2312" w:eastAsia="FangSong_GB2312" w:cs="FangSong_GB2312"/>
                <w:sz w:val="24"/>
                <w:szCs w:val="24"/>
                <w:spacing w:val="-4"/>
              </w:rPr>
              <w:t>列义务：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严格控制有毒有害物质排放，并按年度向生态环境主管部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门报告排放情况；</w:t>
            </w:r>
          </w:p>
          <w:p>
            <w:pPr>
              <w:ind w:left="118" w:right="106" w:hanging="1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建立土壤污染隐患排查制度，保证持续有效防止有毒有害</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物质渗漏、流失、扬散；</w:t>
            </w:r>
          </w:p>
          <w:p>
            <w:pPr>
              <w:ind w:left="111" w:right="106" w:hanging="4"/>
              <w:spacing w:before="34"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制定、实施自行监测方案，并将监测数据报生态环境主管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部门。</w:t>
            </w:r>
          </w:p>
          <w:p>
            <w:pPr>
              <w:spacing w:line="26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2" w:right="171" w:firstLine="12"/>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府生态环境主管部门或者其他负有土壤污染防治监督管理职责的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部门责令改正，处以罚款；拒不改正的，责令停产整治：</w:t>
            </w:r>
          </w:p>
          <w:p>
            <w:pPr>
              <w:ind w:left="111" w:right="109" w:hanging="4"/>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（一）土壤污染重点监管单位未制定、实施自行监测方案，或者</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未将监测数据报生态环境主管部门的；</w:t>
            </w:r>
          </w:p>
          <w:p>
            <w:pPr>
              <w:ind w:left="117"/>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w:t>
            </w:r>
          </w:p>
          <w:p>
            <w:pPr>
              <w:spacing w:line="269"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w:t>
            </w:r>
            <w:r>
              <w:rPr>
                <w:rFonts w:ascii="FangSong_GB2312" w:hAnsi="FangSong_GB2312" w:eastAsia="FangSong_GB2312" w:cs="FangSong_GB2312"/>
                <w:sz w:val="24"/>
                <w:szCs w:val="24"/>
                <w:spacing w:val="-46"/>
              </w:rPr>
              <w:t xml:space="preserve"> </w:t>
            </w:r>
            <w:r>
              <w:rPr>
                <w:rFonts w:ascii="FangSong_GB2312" w:hAnsi="FangSong_GB2312" w:eastAsia="FangSong_GB2312" w:cs="FangSong_GB2312"/>
                <w:sz w:val="24"/>
                <w:szCs w:val="24"/>
                <w:b/>
                <w:bCs/>
                <w:spacing w:val="-4"/>
              </w:rPr>
              <w:t>《河北省土壤污染防治条例》</w:t>
            </w:r>
          </w:p>
          <w:p>
            <w:pPr>
              <w:ind w:left="124"/>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第二十一条</w:t>
            </w:r>
            <w:r>
              <w:rPr>
                <w:rFonts w:ascii="FangSong_GB2312" w:hAnsi="FangSong_GB2312" w:eastAsia="FangSong_GB2312" w:cs="FangSong_GB2312"/>
                <w:sz w:val="24"/>
                <w:szCs w:val="24"/>
                <w:spacing w:val="100"/>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3"/>
              </w:rPr>
              <w:t>土壤污染重点监管单位应当履行下列义务：</w:t>
            </w:r>
          </w:p>
          <w:p>
            <w:pPr>
              <w:ind w:left="111" w:right="40" w:hanging="4"/>
              <w:spacing w:before="4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（三）制定、实施自行监测方案，按照相关技术规范要求开展土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4"/>
              </w:rPr>
              <w:t>壤、地下水环境监测，并将监测数据报所在地生态环境主管部门。</w:t>
            </w:r>
          </w:p>
          <w:p>
            <w:pPr>
              <w:spacing w:line="271"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b/>
                <w:bCs/>
                <w:spacing w:val="-3"/>
              </w:rPr>
              <w:t>《河北省土壤污染防治条例》</w:t>
            </w:r>
          </w:p>
          <w:p>
            <w:pPr>
              <w:ind w:left="113" w:right="106"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1"/>
              </w:rPr>
              <w:t>管部门或者其他负有土壤污染防治监督管理职责的部门责</w:t>
            </w:r>
            <w:r>
              <w:rPr>
                <w:rFonts w:ascii="FangSong_GB2312" w:hAnsi="FangSong_GB2312" w:eastAsia="FangSong_GB2312" w:cs="FangSong_GB2312"/>
                <w:sz w:val="24"/>
                <w:szCs w:val="24"/>
                <w:spacing w:val="10"/>
              </w:rPr>
              <w:t>令改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正，处以罚款；拒不改正的，责令停产整治：</w:t>
            </w:r>
          </w:p>
          <w:p>
            <w:pPr>
              <w:ind w:left="111" w:right="109" w:hanging="4"/>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（一）土壤污染重点监管单位未制定、实施自行监测方案，或者</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未将监测数据报生态环境主管部门的；</w:t>
            </w:r>
          </w:p>
          <w:p>
            <w:pPr>
              <w:ind w:left="117"/>
              <w:spacing w:before="38"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7" w:hRule="atLeast"/>
        </w:trPr>
        <w:tc>
          <w:tcPr>
            <w:tcW w:w="1454" w:type="dxa"/>
            <w:vAlign w:val="top"/>
          </w:tcPr>
          <w:p>
            <w:pPr>
              <w:ind w:left="495" w:right="122" w:hanging="360"/>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tcPr>
          <w:p>
            <w:pPr>
              <w:ind w:left="285"/>
              <w:spacing w:before="20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tcPr>
          <w:p>
            <w:pPr>
              <w:ind w:left="17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right="270"/>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土壤污染重点监管单位制</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6"/>
              </w:rPr>
              <w:t>定、实施了自行监测方案，</w:t>
            </w:r>
          </w:p>
        </w:tc>
        <w:tc>
          <w:tcPr>
            <w:tcW w:w="1122" w:type="dxa"/>
            <w:vAlign w:val="top"/>
          </w:tcPr>
          <w:p>
            <w:pPr>
              <w:ind w:left="22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23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24" w:right="211" w:hanging="11"/>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但未将监测数据报生态环境</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主管部门的</w:t>
            </w:r>
          </w:p>
        </w:tc>
        <w:tc>
          <w:tcPr>
            <w:tcW w:w="1122" w:type="dxa"/>
            <w:vAlign w:val="top"/>
          </w:tcPr>
          <w:p>
            <w:pPr>
              <w:rPr>
                <w:rFonts w:ascii="Arial"/>
                <w:sz w:val="21"/>
              </w:rPr>
            </w:pPr>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57" w:right="211" w:hanging="40"/>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土壤污染重点监管单位制定</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5"/>
              </w:rPr>
              <w:t>自行监测方案，但未实施的</w:t>
            </w:r>
          </w:p>
        </w:tc>
        <w:tc>
          <w:tcPr>
            <w:tcW w:w="1122" w:type="dxa"/>
            <w:vAlign w:val="top"/>
          </w:tcPr>
          <w:p>
            <w:pPr>
              <w:ind w:left="16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土壤污染重点监管单位未制</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定自行监测方案的</w:t>
            </w:r>
          </w:p>
        </w:tc>
        <w:tc>
          <w:tcPr>
            <w:tcW w:w="1122" w:type="dxa"/>
            <w:vAlign w:val="top"/>
          </w:tcPr>
          <w:p>
            <w:pPr>
              <w:ind w:left="157"/>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6"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6"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9" w:hRule="atLeast"/>
        </w:trPr>
        <w:tc>
          <w:tcPr>
            <w:tcW w:w="1454" w:type="dxa"/>
            <w:vAlign w:val="top"/>
            <w:vMerge w:val="restart"/>
            <w:tcBorders>
              <w:bottom w:val="nil"/>
            </w:tcBorders>
          </w:tcPr>
          <w:p>
            <w:pPr>
              <w:ind w:left="135"/>
              <w:spacing w:before="8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3"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33"/>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117</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5"/>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土壤污染重点监管单位篡改、伪造监测数据的</w:t>
            </w:r>
          </w:p>
        </w:tc>
      </w:tr>
      <w:tr>
        <w:trPr>
          <w:trHeight w:val="8506" w:hRule="atLeast"/>
        </w:trPr>
        <w:tc>
          <w:tcPr>
            <w:tcW w:w="145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08" w:right="169" w:firstLine="1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土壤污染重点监管单位应当</w:t>
            </w:r>
            <w:r>
              <w:rPr>
                <w:rFonts w:ascii="FangSong_GB2312" w:hAnsi="FangSong_GB2312" w:eastAsia="FangSong_GB2312" w:cs="FangSong_GB2312"/>
                <w:sz w:val="24"/>
                <w:szCs w:val="24"/>
                <w:spacing w:val="-2"/>
              </w:rPr>
              <w:t>对监测数据的真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实性和准确性负责。生态环境主管部门发现土壤</w:t>
            </w:r>
            <w:r>
              <w:rPr>
                <w:rFonts w:ascii="FangSong_GB2312" w:hAnsi="FangSong_GB2312" w:eastAsia="FangSong_GB2312" w:cs="FangSong_GB2312"/>
                <w:sz w:val="24"/>
                <w:szCs w:val="24"/>
                <w:spacing w:val="-1"/>
              </w:rPr>
              <w:t>污染重点监管单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位监测数据异常，应当及时进行调查。</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2" w:right="171" w:firstLine="12"/>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府生态环境主管部门或者其他负有土壤污染防治监督管理职责的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部门责令改正，处以罚款；拒不改正的，责令停产整治：</w:t>
            </w:r>
          </w:p>
          <w:p>
            <w:pPr>
              <w:ind w:left="107"/>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（二）土壤污染重点监管单位篡改、伪造监测数据的；</w:t>
            </w:r>
          </w:p>
          <w:p>
            <w:pPr>
              <w:ind w:left="115" w:right="176" w:firstLine="2"/>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w:t>
            </w:r>
            <w:r>
              <w:rPr>
                <w:rFonts w:ascii="FangSong_GB2312" w:hAnsi="FangSong_GB2312" w:eastAsia="FangSong_GB2312" w:cs="FangSong_GB2312"/>
                <w:sz w:val="24"/>
                <w:szCs w:val="24"/>
                <w:spacing w:val="-46"/>
              </w:rPr>
              <w:t xml:space="preserve"> </w:t>
            </w:r>
            <w:r>
              <w:rPr>
                <w:rFonts w:ascii="FangSong_GB2312" w:hAnsi="FangSong_GB2312" w:eastAsia="FangSong_GB2312" w:cs="FangSong_GB2312"/>
                <w:sz w:val="24"/>
                <w:szCs w:val="24"/>
                <w:b/>
                <w:bCs/>
                <w:spacing w:val="-4"/>
              </w:rPr>
              <w:t>《河北省土壤污染防治条例》</w:t>
            </w:r>
          </w:p>
          <w:p>
            <w:pPr>
              <w:ind w:left="117" w:right="106" w:firstLine="6"/>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第二十一条</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b/>
                <w:bCs/>
                <w:spacing w:val="4"/>
              </w:rPr>
              <w:t>第三款</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土壤污染重点监管单位应当对监测数</w:t>
            </w:r>
            <w:r>
              <w:rPr>
                <w:rFonts w:ascii="FangSong_GB2312" w:hAnsi="FangSong_GB2312" w:eastAsia="FangSong_GB2312" w:cs="FangSong_GB2312"/>
                <w:sz w:val="24"/>
                <w:szCs w:val="24"/>
                <w:spacing w:val="3"/>
              </w:rPr>
              <w:t>据的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真实性和准确性负责。生态环境主管部门发现土壤</w:t>
            </w:r>
            <w:r>
              <w:rPr>
                <w:rFonts w:ascii="FangSong_GB2312" w:hAnsi="FangSong_GB2312" w:eastAsia="FangSong_GB2312" w:cs="FangSong_GB2312"/>
                <w:sz w:val="24"/>
                <w:szCs w:val="24"/>
                <w:spacing w:val="1"/>
              </w:rPr>
              <w:t>污染重点监管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单位监测数据异常，应当及时进行调查。</w:t>
            </w:r>
          </w:p>
          <w:p>
            <w:pPr>
              <w:spacing w:line="273"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b/>
                <w:bCs/>
                <w:spacing w:val="-3"/>
              </w:rPr>
              <w:t>《河北省土壤污染防治条例》</w:t>
            </w:r>
          </w:p>
          <w:p>
            <w:pPr>
              <w:ind w:left="113" w:right="106"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1"/>
              </w:rPr>
              <w:t>管部门或者其他负有土壤污染防治监督管理职责的部门责</w:t>
            </w:r>
            <w:r>
              <w:rPr>
                <w:rFonts w:ascii="FangSong_GB2312" w:hAnsi="FangSong_GB2312" w:eastAsia="FangSong_GB2312" w:cs="FangSong_GB2312"/>
                <w:sz w:val="24"/>
                <w:szCs w:val="24"/>
                <w:spacing w:val="10"/>
              </w:rPr>
              <w:t>令改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正，处以罚款；拒不改正的，责令停产整治：</w:t>
            </w:r>
          </w:p>
          <w:p>
            <w:pPr>
              <w:ind w:left="107"/>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（二）土壤污染重点监管单位篡改、伪造监测数据的；</w:t>
            </w:r>
          </w:p>
          <w:p>
            <w:pPr>
              <w:ind w:left="115" w:right="176" w:firstLine="2"/>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5" w:right="122" w:hanging="360"/>
              <w:spacing w:before="22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98" w:lineRule="auto"/>
              <w:rPr>
                <w:rFonts w:ascii="Arial"/>
                <w:sz w:val="21"/>
              </w:rPr>
            </w:pPr>
            <w:r/>
          </w:p>
          <w:p>
            <w:pPr>
              <w:ind w:left="525"/>
              <w:spacing w:before="7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持续时间</w:t>
            </w:r>
          </w:p>
        </w:tc>
        <w:tc>
          <w:tcPr>
            <w:tcW w:w="685" w:type="dxa"/>
            <w:vAlign w:val="top"/>
            <w:vMerge w:val="restart"/>
            <w:tcBorders>
              <w:bottom w:val="nil"/>
            </w:tcBorders>
          </w:tcPr>
          <w:p>
            <w:pPr>
              <w:spacing w:line="298"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不足</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11"/>
              </w:rPr>
              <w:t>5</w:t>
            </w:r>
            <w:r>
              <w:rPr>
                <w:rFonts w:ascii="FangSong_GB2312" w:hAnsi="FangSong_GB2312" w:eastAsia="FangSong_GB2312" w:cs="FangSong_GB2312"/>
                <w:sz w:val="24"/>
                <w:szCs w:val="24"/>
                <w:spacing w:val="-45"/>
              </w:rPr>
              <w:t xml:space="preserve"> </w:t>
            </w:r>
            <w:r>
              <w:rPr>
                <w:rFonts w:ascii="FangSong_GB2312" w:hAnsi="FangSong_GB2312" w:eastAsia="FangSong_GB2312" w:cs="FangSong_GB2312"/>
                <w:sz w:val="24"/>
                <w:szCs w:val="24"/>
                <w:spacing w:val="-11"/>
              </w:rPr>
              <w:t>天的</w:t>
            </w:r>
          </w:p>
        </w:tc>
        <w:tc>
          <w:tcPr>
            <w:tcW w:w="1122" w:type="dxa"/>
            <w:vAlign w:val="top"/>
          </w:tcPr>
          <w:p>
            <w:pPr>
              <w:ind w:left="2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4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天以上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8"/>
              </w:rPr>
              <w:t>20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8"/>
              </w:rPr>
              <w:t>天以下的</w:t>
            </w:r>
          </w:p>
        </w:tc>
        <w:tc>
          <w:tcPr>
            <w:tcW w:w="1122" w:type="dxa"/>
            <w:vAlign w:val="top"/>
          </w:tcPr>
          <w:p>
            <w:pPr>
              <w:ind w:left="163"/>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天以上的</w:t>
            </w:r>
          </w:p>
        </w:tc>
        <w:tc>
          <w:tcPr>
            <w:tcW w:w="1122" w:type="dxa"/>
            <w:vAlign w:val="top"/>
          </w:tcPr>
          <w:p>
            <w:pPr>
              <w:ind w:left="15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bl>
    <w:p>
      <w:pPr>
        <w:pStyle w:val="BodyText"/>
        <w:rPr/>
      </w:pPr>
      <w:r/>
    </w:p>
    <w:p>
      <w:pPr>
        <w:sectPr>
          <w:footerReference w:type="default" r:id="rId23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1"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2"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1"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14" w:hRule="atLeast"/>
        </w:trPr>
        <w:tc>
          <w:tcPr>
            <w:tcW w:w="1454" w:type="dxa"/>
            <w:vAlign w:val="top"/>
            <w:vMerge w:val="restart"/>
            <w:tcBorders>
              <w:bottom w:val="nil"/>
            </w:tcBorders>
          </w:tcPr>
          <w:p>
            <w:pPr>
              <w:ind w:left="135"/>
              <w:spacing w:before="9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5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9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9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35"/>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118</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4" w:right="176"/>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土壤污染重点监管单位未按年度报告有毒有害物质排放情况，或</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者未建立土壤污染隐患排查制度的</w:t>
            </w:r>
          </w:p>
        </w:tc>
      </w:tr>
      <w:tr>
        <w:trPr>
          <w:trHeight w:val="8821" w:hRule="atLeast"/>
        </w:trPr>
        <w:tc>
          <w:tcPr>
            <w:tcW w:w="145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07" w:right="106" w:firstLine="16"/>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土壤污染重点监管单位应当履行下</w:t>
            </w:r>
            <w:r>
              <w:rPr>
                <w:rFonts w:ascii="FangSong_GB2312" w:hAnsi="FangSong_GB2312" w:eastAsia="FangSong_GB2312" w:cs="FangSong_GB2312"/>
                <w:sz w:val="24"/>
                <w:szCs w:val="24"/>
                <w:spacing w:val="-4"/>
              </w:rPr>
              <w:t>列义务：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严格控制有毒有害物质排放，并按年度向生态环境主管部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门报告排放情况；</w:t>
            </w:r>
          </w:p>
          <w:p>
            <w:pPr>
              <w:ind w:left="118" w:right="106" w:hanging="1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建立土壤污染隐患排查制度，保证持续有效防止有毒有害</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物质渗漏、流失、扬散；</w:t>
            </w:r>
          </w:p>
          <w:p>
            <w:pPr>
              <w:ind w:left="111" w:right="106" w:hanging="4"/>
              <w:spacing w:before="34"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制定、实施自行监测方案，并将监测数据报生态环境主管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部门。</w:t>
            </w:r>
          </w:p>
          <w:p>
            <w:pPr>
              <w:ind w:left="121"/>
              <w:spacing w:before="2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2" w:right="171" w:firstLine="12"/>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府生态环境主管部门或者其他负有土壤污染防治监督管理职责的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部门责令改正，处以罚款；拒不改正的，责令停产整治：</w:t>
            </w:r>
          </w:p>
          <w:p>
            <w:pPr>
              <w:ind w:left="118" w:right="176" w:hanging="11"/>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（三）土壤污染重点监管单位未按年度报告有毒</w:t>
            </w:r>
            <w:r>
              <w:rPr>
                <w:rFonts w:ascii="FangSong_GB2312" w:hAnsi="FangSong_GB2312" w:eastAsia="FangSong_GB2312" w:cs="FangSong_GB2312"/>
                <w:sz w:val="24"/>
                <w:szCs w:val="24"/>
                <w:spacing w:val="-1"/>
              </w:rPr>
              <w:t>有害物质排放情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况，或者未建立土壤污染隐患排查制度的；</w:t>
            </w:r>
          </w:p>
          <w:p>
            <w:pPr>
              <w:ind w:left="117"/>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w:t>
            </w:r>
            <w:r>
              <w:rPr>
                <w:rFonts w:ascii="FangSong_GB2312" w:hAnsi="FangSong_GB2312" w:eastAsia="FangSong_GB2312" w:cs="FangSong_GB2312"/>
                <w:sz w:val="24"/>
                <w:szCs w:val="24"/>
                <w:spacing w:val="-46"/>
              </w:rPr>
              <w:t xml:space="preserve"> </w:t>
            </w:r>
            <w:r>
              <w:rPr>
                <w:rFonts w:ascii="FangSong_GB2312" w:hAnsi="FangSong_GB2312" w:eastAsia="FangSong_GB2312" w:cs="FangSong_GB2312"/>
                <w:sz w:val="24"/>
                <w:szCs w:val="24"/>
                <w:b/>
                <w:bCs/>
                <w:spacing w:val="-4"/>
              </w:rPr>
              <w:t>《河北省土壤污染防治条例》</w:t>
            </w:r>
          </w:p>
          <w:p>
            <w:pPr>
              <w:ind w:left="124"/>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第二十一条</w:t>
            </w:r>
            <w:r>
              <w:rPr>
                <w:rFonts w:ascii="FangSong_GB2312" w:hAnsi="FangSong_GB2312" w:eastAsia="FangSong_GB2312" w:cs="FangSong_GB2312"/>
                <w:sz w:val="24"/>
                <w:szCs w:val="24"/>
                <w:spacing w:val="-20"/>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3"/>
              </w:rPr>
              <w:t>土壤污染重点监管单位应当履行下列义务：</w:t>
            </w:r>
          </w:p>
          <w:p>
            <w:pPr>
              <w:ind w:left="121" w:right="176" w:hanging="14"/>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（一）严格控制有毒有害物质排放，并按年度向</w:t>
            </w:r>
            <w:r>
              <w:rPr>
                <w:rFonts w:ascii="FangSong_GB2312" w:hAnsi="FangSong_GB2312" w:eastAsia="FangSong_GB2312" w:cs="FangSong_GB2312"/>
                <w:sz w:val="24"/>
                <w:szCs w:val="24"/>
                <w:spacing w:val="-1"/>
              </w:rPr>
              <w:t>所在地生态环境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主管部门报告排放情况；</w:t>
            </w:r>
          </w:p>
          <w:p>
            <w:pPr>
              <w:spacing w:line="270"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b/>
                <w:bCs/>
                <w:spacing w:val="-3"/>
              </w:rPr>
              <w:t>《河北省土壤污染防治条例》</w:t>
            </w:r>
          </w:p>
          <w:p>
            <w:pPr>
              <w:ind w:left="113" w:right="106"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1"/>
              </w:rPr>
              <w:t>管部门或者其他负有土壤污染防治监督管理职责的部门责</w:t>
            </w:r>
            <w:r>
              <w:rPr>
                <w:rFonts w:ascii="FangSong_GB2312" w:hAnsi="FangSong_GB2312" w:eastAsia="FangSong_GB2312" w:cs="FangSong_GB2312"/>
                <w:sz w:val="24"/>
                <w:szCs w:val="24"/>
                <w:spacing w:val="10"/>
              </w:rPr>
              <w:t>令改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正，处以罚款；拒不改正的，责令停产整治：</w:t>
            </w:r>
          </w:p>
          <w:p>
            <w:pPr>
              <w:ind w:left="118" w:right="109" w:hanging="11"/>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（三）土壤污染重点监管单位未按年度报告有毒有害物质排放情</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况、未建立土壤污染隐患排查制度或者未开展隐患排查的；</w:t>
            </w:r>
          </w:p>
          <w:p>
            <w:pPr>
              <w:ind w:left="117"/>
              <w:spacing w:before="40"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2" w:hRule="atLeast"/>
        </w:trPr>
        <w:tc>
          <w:tcPr>
            <w:tcW w:w="1454" w:type="dxa"/>
            <w:vAlign w:val="top"/>
          </w:tcPr>
          <w:p>
            <w:pPr>
              <w:ind w:left="495" w:right="122" w:hanging="360"/>
              <w:spacing w:before="20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tcPr>
          <w:p>
            <w:pPr>
              <w:spacing w:line="27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tcPr>
          <w:p>
            <w:pPr>
              <w:spacing w:line="27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right="211"/>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土壤污染重点监管单位未按</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年度报告有毒有害物质排放</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7"/>
              </w:rPr>
              <w:t>情况</w:t>
            </w:r>
          </w:p>
        </w:tc>
        <w:tc>
          <w:tcPr>
            <w:tcW w:w="1122" w:type="dxa"/>
            <w:vAlign w:val="top"/>
          </w:tcPr>
          <w:p>
            <w:pPr>
              <w:spacing w:line="279"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36"/>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4" w:right="211" w:hanging="7"/>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土壤污染重点监管单位未建</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立土壤污染隐患排查制度的</w:t>
            </w:r>
          </w:p>
        </w:tc>
        <w:tc>
          <w:tcPr>
            <w:tcW w:w="1122" w:type="dxa"/>
            <w:vAlign w:val="top"/>
          </w:tcPr>
          <w:p>
            <w:pPr>
              <w:ind w:left="1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9" w:hRule="atLeast"/>
        </w:trPr>
        <w:tc>
          <w:tcPr>
            <w:tcW w:w="1454" w:type="dxa"/>
            <w:vAlign w:val="top"/>
            <w:vMerge w:val="restart"/>
            <w:tcBorders>
              <w:bottom w:val="nil"/>
            </w:tcBorders>
          </w:tcPr>
          <w:p>
            <w:pPr>
              <w:spacing w:line="445"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5"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5"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2"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7" w:hRule="atLeast"/>
        </w:trPr>
        <w:tc>
          <w:tcPr>
            <w:tcW w:w="1454" w:type="dxa"/>
            <w:vAlign w:val="top"/>
            <w:vMerge w:val="restart"/>
            <w:tcBorders>
              <w:bottom w:val="nil"/>
            </w:tcBorders>
          </w:tcPr>
          <w:p>
            <w:pPr>
              <w:ind w:left="135"/>
              <w:spacing w:before="5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46"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37"/>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119</w:t>
            </w:r>
          </w:p>
        </w:tc>
      </w:tr>
      <w:tr>
        <w:trPr>
          <w:trHeight w:val="949" w:hRule="atLeast"/>
        </w:trPr>
        <w:tc>
          <w:tcPr>
            <w:tcW w:w="1454" w:type="dxa"/>
            <w:vAlign w:val="top"/>
          </w:tcPr>
          <w:p>
            <w:pPr>
              <w:spacing w:line="242"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2" w:right="176" w:firstLine="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拆除设施、设备或者建筑物、构筑物，企业事业单位未采取相应</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的土壤污染防治措施或者土壤污染重点监管单位未制定、实施土</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壤污染防治工作方案的</w:t>
            </w:r>
          </w:p>
        </w:tc>
      </w:tr>
      <w:tr>
        <w:trPr>
          <w:trHeight w:val="10399" w:hRule="atLeast"/>
        </w:trPr>
        <w:tc>
          <w:tcPr>
            <w:tcW w:w="145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7" w:right="46" w:firstLine="6"/>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第二十二条</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9"/>
              </w:rPr>
              <w:t>企业事业单位拆除设施、设备或者建筑物、构筑物的，</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应当采取相应的土壤污染防治措施。</w:t>
            </w:r>
          </w:p>
          <w:p>
            <w:pPr>
              <w:ind w:left="117" w:right="176" w:hanging="2"/>
              <w:spacing w:before="35"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土壤污染重点监管单位拆除设施、设备或者建筑物、构筑物的，</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应当制定包括应急措施在内的土壤污染防治工作方案，报地方人</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民政府生态环境、工业和信息化主管部门备案并实施。</w:t>
            </w:r>
          </w:p>
          <w:p>
            <w:pPr>
              <w:spacing w:line="271"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2" w:right="171" w:firstLine="12"/>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府生态环境主管部门或者其他负有土壤污染防治监督管理职责的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部门责令改正，处以罚款；拒不改正的，责令停产整治：</w:t>
            </w:r>
          </w:p>
          <w:p>
            <w:pPr>
              <w:ind w:left="114" w:right="176" w:hanging="7"/>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（四）拆除设施、设备或者建筑物、构筑物，企</w:t>
            </w:r>
            <w:r>
              <w:rPr>
                <w:rFonts w:ascii="FangSong_GB2312" w:hAnsi="FangSong_GB2312" w:eastAsia="FangSong_GB2312" w:cs="FangSong_GB2312"/>
                <w:sz w:val="24"/>
                <w:szCs w:val="24"/>
                <w:spacing w:val="-1"/>
              </w:rPr>
              <w:t>业事业单位未采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取相应的土壤污染防治措施或者土壤污染重点监管单位未制定、</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实施土壤污染防治工作方案的；</w:t>
            </w:r>
          </w:p>
          <w:p>
            <w:pPr>
              <w:ind w:left="115" w:right="176" w:firstLine="2"/>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17" w:right="35" w:firstLine="6"/>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0"/>
              </w:rPr>
              <w:t>第二十三条</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10"/>
              </w:rPr>
              <w:t>企业事业单位拆除设施、设备或者建筑物、构筑物的，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应当采取相应的土壤污染防治措施，安全处置残留物料、污染物、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污染设施和设备，防范拆除活动污染土壤。</w:t>
            </w:r>
          </w:p>
          <w:p>
            <w:pPr>
              <w:ind w:left="117" w:right="176" w:firstLine="477"/>
              <w:spacing w:before="38" w:line="238"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土壤污染重点监管单位拆除设施、设备或者建筑物、构筑物</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的，应当制定土壤污染防治工作方案并组织实施，方案包括被拆</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除设施、设备或者建筑物、构筑物的基本情况，残留物料、污染</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物、污染设施和设备的安全处置以及应急措施，土壤污染防治要</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求和对周边环境的污染防治措施等内容。土壤污染防治工作方案</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应当在拆除活动十五个工作日前报所在地生态环境、工业和信息</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化主管部门备案。拆除活动相关记录应当归档保存。</w:t>
            </w:r>
          </w:p>
          <w:p>
            <w:pPr>
              <w:spacing w:line="273"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3" w:right="106" w:firstLine="11"/>
              <w:spacing w:before="36"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1"/>
              </w:rPr>
              <w:t>管部门或者其他负有土壤污染防治监督管理职责的部门责</w:t>
            </w:r>
            <w:r>
              <w:rPr>
                <w:rFonts w:ascii="FangSong_GB2312" w:hAnsi="FangSong_GB2312" w:eastAsia="FangSong_GB2312" w:cs="FangSong_GB2312"/>
                <w:sz w:val="24"/>
                <w:szCs w:val="24"/>
                <w:spacing w:val="10"/>
              </w:rPr>
              <w:t>令改</w:t>
            </w:r>
          </w:p>
        </w:tc>
      </w:tr>
    </w:tbl>
    <w:p>
      <w:pPr>
        <w:pStyle w:val="BodyText"/>
        <w:rPr/>
      </w:pPr>
      <w:r/>
    </w:p>
    <w:p>
      <w:pPr>
        <w:sectPr>
          <w:footerReference w:type="default" r:id="rId23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2213" w:hRule="atLeast"/>
        </w:trPr>
        <w:tc>
          <w:tcPr>
            <w:tcW w:w="1454" w:type="dxa"/>
            <w:vAlign w:val="top"/>
          </w:tcPr>
          <w:p>
            <w:pPr>
              <w:rPr>
                <w:rFonts w:ascii="Arial"/>
                <w:sz w:val="21"/>
              </w:rPr>
            </w:pPr>
            <w:r/>
          </w:p>
        </w:tc>
        <w:tc>
          <w:tcPr>
            <w:tcW w:w="7004" w:type="dxa"/>
            <w:vAlign w:val="top"/>
            <w:gridSpan w:val="4"/>
          </w:tcPr>
          <w:p>
            <w:pPr>
              <w:ind w:left="119"/>
              <w:spacing w:before="4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正，处以罚款；拒不改正的，责令停产整治：</w:t>
            </w:r>
          </w:p>
          <w:p>
            <w:pPr>
              <w:ind w:left="114" w:right="176" w:hanging="7"/>
              <w:spacing w:before="37"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（四）拆除设施、设备或者建筑物、构筑物，企</w:t>
            </w:r>
            <w:r>
              <w:rPr>
                <w:rFonts w:ascii="FangSong_GB2312" w:hAnsi="FangSong_GB2312" w:eastAsia="FangSong_GB2312" w:cs="FangSong_GB2312"/>
                <w:sz w:val="24"/>
                <w:szCs w:val="24"/>
                <w:spacing w:val="-1"/>
              </w:rPr>
              <w:t>业事业单位未采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取相应的土壤污染防治措施或者土壤污染重点监管单位未制定、</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实施土壤污染防治工作方案的；</w:t>
            </w:r>
          </w:p>
          <w:p>
            <w:pPr>
              <w:ind w:left="115" w:right="176" w:firstLine="2"/>
              <w:spacing w:before="40"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tc>
      </w:tr>
      <w:tr>
        <w:trPr>
          <w:trHeight w:val="634" w:hRule="atLeast"/>
        </w:trPr>
        <w:tc>
          <w:tcPr>
            <w:tcW w:w="4135" w:type="dxa"/>
            <w:vAlign w:val="top"/>
            <w:gridSpan w:val="3"/>
          </w:tcPr>
          <w:p>
            <w:pPr>
              <w:ind w:left="1514"/>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7"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54"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5" w:right="211"/>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企业事业单位已制定但未实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施相应的土壤污染防治措施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spacing w:line="276"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right="211"/>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土壤污染重点监管单位未制</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定、实施土壤污染防治工作</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5"/>
              </w:rPr>
              <w:t>方案的</w:t>
            </w:r>
          </w:p>
        </w:tc>
        <w:tc>
          <w:tcPr>
            <w:tcW w:w="1122" w:type="dxa"/>
            <w:vAlign w:val="top"/>
          </w:tcPr>
          <w:p>
            <w:pPr>
              <w:spacing w:line="277"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0"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13" w:hRule="atLeast"/>
        </w:trPr>
        <w:tc>
          <w:tcPr>
            <w:tcW w:w="1454" w:type="dxa"/>
            <w:vAlign w:val="top"/>
            <w:vMerge w:val="restart"/>
            <w:tcBorders>
              <w:bottom w:val="nil"/>
            </w:tcBorders>
          </w:tcPr>
          <w:p>
            <w:pPr>
              <w:ind w:left="135"/>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5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3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3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河北省生态环境行政处罚裁量规则（土壤类）</w:t>
            </w:r>
          </w:p>
        </w:tc>
      </w:tr>
      <w:tr>
        <w:trPr>
          <w:trHeight w:val="635"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120</w:t>
            </w:r>
          </w:p>
        </w:tc>
      </w:tr>
      <w:tr>
        <w:trPr>
          <w:trHeight w:val="635" w:hRule="atLeast"/>
        </w:trPr>
        <w:tc>
          <w:tcPr>
            <w:tcW w:w="1454" w:type="dxa"/>
            <w:vAlign w:val="top"/>
          </w:tcPr>
          <w:p>
            <w:pPr>
              <w:ind w:left="177"/>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尾矿库运营、管理单位未按照规定采取措施防止土壤污染的</w:t>
            </w:r>
          </w:p>
        </w:tc>
      </w:tr>
      <w:tr>
        <w:trPr>
          <w:trHeight w:val="9766" w:hRule="atLeast"/>
        </w:trPr>
        <w:tc>
          <w:tcPr>
            <w:tcW w:w="145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3" w:right="47"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尾矿库运营、管理单位应当</w:t>
            </w:r>
            <w:r>
              <w:rPr>
                <w:rFonts w:ascii="FangSong_GB2312" w:hAnsi="FangSong_GB2312" w:eastAsia="FangSong_GB2312" w:cs="FangSong_GB2312"/>
                <w:sz w:val="24"/>
                <w:szCs w:val="24"/>
                <w:spacing w:val="-2"/>
              </w:rPr>
              <w:t>按照规定，加强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尾矿库的安全管理，采取措施防止土壤污染。危库、险库、病库</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以及其他需要重点监管的尾矿库的运营、管理单位</w:t>
            </w:r>
            <w:r>
              <w:rPr>
                <w:rFonts w:ascii="FangSong_GB2312" w:hAnsi="FangSong_GB2312" w:eastAsia="FangSong_GB2312" w:cs="FangSong_GB2312"/>
                <w:sz w:val="24"/>
                <w:szCs w:val="24"/>
                <w:spacing w:val="-5"/>
              </w:rPr>
              <w:t>应当按照规定，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进行土壤污染状况监测和定期评估。</w:t>
            </w:r>
          </w:p>
          <w:p>
            <w:pPr>
              <w:spacing w:line="273"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3" w:right="170" w:firstLine="12"/>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府生态环境主管部门或者其他负有土壤污染防治监督管理职责的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部门责令改正，处以罚款；拒不改正的，责令停产整治：</w:t>
            </w:r>
          </w:p>
          <w:p>
            <w:pPr>
              <w:ind w:left="133" w:right="175" w:hanging="25"/>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（五）尾矿库运营、管理单位未按照规定采取措</w:t>
            </w:r>
            <w:r>
              <w:rPr>
                <w:rFonts w:ascii="FangSong_GB2312" w:hAnsi="FangSong_GB2312" w:eastAsia="FangSong_GB2312" w:cs="FangSong_GB2312"/>
                <w:sz w:val="24"/>
                <w:szCs w:val="24"/>
                <w:spacing w:val="-1"/>
              </w:rPr>
              <w:t>施防止土壤污染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p>
            <w:pPr>
              <w:ind w:left="116" w:right="175" w:firstLine="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p>
            <w:pPr>
              <w:spacing w:line="269" w:lineRule="auto"/>
              <w:rPr>
                <w:rFonts w:ascii="Arial"/>
                <w:sz w:val="21"/>
              </w:rPr>
            </w:pPr>
            <w:r/>
          </w:p>
          <w:p>
            <w:pPr>
              <w:ind w:left="13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w:t>
            </w:r>
            <w:r>
              <w:rPr>
                <w:rFonts w:ascii="FangSong_GB2312" w:hAnsi="FangSong_GB2312" w:eastAsia="FangSong_GB2312" w:cs="FangSong_GB2312"/>
                <w:sz w:val="24"/>
                <w:szCs w:val="24"/>
                <w:spacing w:val="-46"/>
              </w:rPr>
              <w:t xml:space="preserve"> </w:t>
            </w:r>
            <w:r>
              <w:rPr>
                <w:rFonts w:ascii="FangSong_GB2312" w:hAnsi="FangSong_GB2312" w:eastAsia="FangSong_GB2312" w:cs="FangSong_GB2312"/>
                <w:sz w:val="24"/>
                <w:szCs w:val="24"/>
                <w:b/>
                <w:bCs/>
                <w:spacing w:val="-4"/>
              </w:rPr>
              <w:t>《河北省土壤污染防治条例》</w:t>
            </w:r>
          </w:p>
          <w:p>
            <w:pPr>
              <w:ind w:left="110" w:right="107" w:firstLine="15"/>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尾矿库运营、管理单位应当按</w:t>
            </w:r>
            <w:r>
              <w:rPr>
                <w:rFonts w:ascii="FangSong_GB2312" w:hAnsi="FangSong_GB2312" w:eastAsia="FangSong_GB2312" w:cs="FangSong_GB2312"/>
                <w:sz w:val="24"/>
                <w:szCs w:val="24"/>
                <w:spacing w:val="-4"/>
              </w:rPr>
              <w:t>照规定加强尾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矿库的安全管理，采取措施防止土壤污染。危</w:t>
            </w:r>
            <w:r>
              <w:rPr>
                <w:rFonts w:ascii="FangSong_GB2312" w:hAnsi="FangSong_GB2312" w:eastAsia="FangSong_GB2312" w:cs="FangSong_GB2312"/>
                <w:sz w:val="24"/>
                <w:szCs w:val="24"/>
                <w:spacing w:val="-1"/>
              </w:rPr>
              <w:t>库、险库、病库以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及其他需要重点监管的尾矿库运营、管理单位</w:t>
            </w:r>
            <w:r>
              <w:rPr>
                <w:rFonts w:ascii="FangSong_GB2312" w:hAnsi="FangSong_GB2312" w:eastAsia="FangSong_GB2312" w:cs="FangSong_GB2312"/>
                <w:sz w:val="24"/>
                <w:szCs w:val="24"/>
                <w:spacing w:val="-1"/>
              </w:rPr>
              <w:t>应当按照规定进行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土壤污染状况监测和定期评估。</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4" w:right="107" w:firstLine="11"/>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1"/>
              </w:rPr>
              <w:t>管部门或者其他负有土壤污染防治监督管理职责的部门责</w:t>
            </w:r>
            <w:r>
              <w:rPr>
                <w:rFonts w:ascii="FangSong_GB2312" w:hAnsi="FangSong_GB2312" w:eastAsia="FangSong_GB2312" w:cs="FangSong_GB2312"/>
                <w:sz w:val="24"/>
                <w:szCs w:val="24"/>
                <w:spacing w:val="10"/>
              </w:rPr>
              <w:t>令改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正，处以罚款；拒不改正的，责令停产整治：</w:t>
            </w:r>
          </w:p>
          <w:p>
            <w:pPr>
              <w:ind w:left="133" w:right="175" w:hanging="25"/>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（五）矿山企业以及尾矿库运营、管理单位未按</w:t>
            </w:r>
            <w:r>
              <w:rPr>
                <w:rFonts w:ascii="FangSong_GB2312" w:hAnsi="FangSong_GB2312" w:eastAsia="FangSong_GB2312" w:cs="FangSong_GB2312"/>
                <w:sz w:val="24"/>
                <w:szCs w:val="24"/>
                <w:spacing w:val="-1"/>
              </w:rPr>
              <w:t>照规定采取措施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防止土壤污染的；</w:t>
            </w:r>
          </w:p>
          <w:p>
            <w:pPr>
              <w:ind w:left="116" w:right="175" w:firstLine="2"/>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tc>
      </w:tr>
      <w:tr>
        <w:trPr>
          <w:trHeight w:val="635" w:hRule="atLeast"/>
        </w:trPr>
        <w:tc>
          <w:tcPr>
            <w:tcW w:w="4135" w:type="dxa"/>
            <w:vAlign w:val="top"/>
            <w:gridSpan w:val="3"/>
          </w:tcPr>
          <w:p>
            <w:pPr>
              <w:ind w:left="151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346" w:hRule="atLeast"/>
        </w:trPr>
        <w:tc>
          <w:tcPr>
            <w:tcW w:w="1454" w:type="dxa"/>
            <w:vAlign w:val="top"/>
          </w:tcPr>
          <w:p>
            <w:pPr>
              <w:ind w:left="499"/>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65"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27"/>
              <w:spacing w:before="65"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p>
        </w:tc>
        <w:tc>
          <w:tcPr>
            <w:tcW w:w="3201" w:type="dxa"/>
            <w:vAlign w:val="top"/>
          </w:tcPr>
          <w:p>
            <w:pPr>
              <w:ind w:left="1389"/>
              <w:spacing w:before="64"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65"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bl>
    <w:p>
      <w:pPr>
        <w:pStyle w:val="BodyText"/>
        <w:rPr/>
      </w:pPr>
      <w:r/>
    </w:p>
    <w:p>
      <w:pPr>
        <w:sectPr>
          <w:footerReference w:type="default" r:id="rId240"/>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48"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ind w:left="160"/>
              <w:spacing w:before="53"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23"/>
              </w:rPr>
              <w:t>比例</w:t>
            </w:r>
          </w:p>
        </w:tc>
        <w:tc>
          <w:tcPr>
            <w:tcW w:w="3201" w:type="dxa"/>
            <w:vAlign w:val="top"/>
          </w:tcPr>
          <w:p>
            <w:pPr>
              <w:rPr>
                <w:rFonts w:ascii="Arial"/>
                <w:sz w:val="21"/>
              </w:rPr>
            </w:pPr>
            <w:r/>
          </w:p>
        </w:tc>
        <w:tc>
          <w:tcPr>
            <w:tcW w:w="1122" w:type="dxa"/>
            <w:vAlign w:val="top"/>
          </w:tcPr>
          <w:p>
            <w:pPr>
              <w:rPr>
                <w:rFonts w:ascii="Arial"/>
                <w:sz w:val="21"/>
              </w:rPr>
            </w:pPr>
            <w:r/>
          </w:p>
        </w:tc>
      </w:tr>
      <w:tr>
        <w:trPr>
          <w:trHeight w:val="949" w:hRule="atLeast"/>
        </w:trPr>
        <w:tc>
          <w:tcPr>
            <w:tcW w:w="1454" w:type="dxa"/>
            <w:vAlign w:val="top"/>
            <w:vMerge w:val="restart"/>
            <w:tcBorders>
              <w:bottom w:val="nil"/>
            </w:tcBorders>
          </w:tcPr>
          <w:p>
            <w:pPr>
              <w:spacing w:line="436"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23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right="209" w:firstLine="6"/>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尾矿库运营、管理单位已采</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取防止土壤污染措施，未严</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格按照规定的</w:t>
            </w:r>
          </w:p>
        </w:tc>
        <w:tc>
          <w:tcPr>
            <w:tcW w:w="1122" w:type="dxa"/>
            <w:vAlign w:val="top"/>
          </w:tcPr>
          <w:p>
            <w:pPr>
              <w:spacing w:line="274"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8" w:right="209" w:firstLine="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尾矿库运营、管理单位未采</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取措施防止土壤污染的</w:t>
            </w:r>
          </w:p>
        </w:tc>
        <w:tc>
          <w:tcPr>
            <w:tcW w:w="1122" w:type="dxa"/>
            <w:vAlign w:val="top"/>
          </w:tcPr>
          <w:p>
            <w:pPr>
              <w:ind w:left="156"/>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6"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6"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3"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5" w:right="243" w:firstLine="7"/>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9" w:right="276" w:hanging="480"/>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ind w:left="136"/>
              <w:spacing w:before="4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4"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0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3"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41"/>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121</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7"/>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尾矿库运营、管理单位未按照规定进行土壤污染状况监测的</w:t>
            </w:r>
          </w:p>
        </w:tc>
      </w:tr>
      <w:tr>
        <w:trPr>
          <w:trHeight w:val="8506" w:hRule="atLeast"/>
        </w:trPr>
        <w:tc>
          <w:tcPr>
            <w:tcW w:w="145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2" w:right="46"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尾矿库运营、管理单位应当</w:t>
            </w:r>
            <w:r>
              <w:rPr>
                <w:rFonts w:ascii="FangSong_GB2312" w:hAnsi="FangSong_GB2312" w:eastAsia="FangSong_GB2312" w:cs="FangSong_GB2312"/>
                <w:sz w:val="24"/>
                <w:szCs w:val="24"/>
                <w:spacing w:val="-2"/>
              </w:rPr>
              <w:t>按照规定，加强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尾矿库的安全管理，采取措施防止土壤污染。危库、险库、病库</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以及其他需要重点监管的尾矿库的运营、管理单位应当</w:t>
            </w:r>
            <w:r>
              <w:rPr>
                <w:rFonts w:ascii="FangSong_GB2312" w:hAnsi="FangSong_GB2312" w:eastAsia="FangSong_GB2312" w:cs="FangSong_GB2312"/>
                <w:sz w:val="24"/>
                <w:szCs w:val="24"/>
                <w:spacing w:val="-5"/>
              </w:rPr>
              <w:t>按照规定，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进行土壤污染状况监测和定期评估。</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2" w:right="171" w:firstLine="12"/>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府生态环境主管部门或者其他负有土壤污染防治监督管理职责的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部门责令改正，处以罚款；拒不改正的，责令停产整治：</w:t>
            </w:r>
          </w:p>
          <w:p>
            <w:pPr>
              <w:ind w:left="132" w:right="176" w:hanging="25"/>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（六）尾矿库运营、管理单位未按照规定进行土</w:t>
            </w:r>
            <w:r>
              <w:rPr>
                <w:rFonts w:ascii="FangSong_GB2312" w:hAnsi="FangSong_GB2312" w:eastAsia="FangSong_GB2312" w:cs="FangSong_GB2312"/>
                <w:sz w:val="24"/>
                <w:szCs w:val="24"/>
                <w:spacing w:val="-1"/>
              </w:rPr>
              <w:t>壤污染状况监测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p>
            <w:pPr>
              <w:ind w:left="11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09" w:right="106" w:firstLine="15"/>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尾矿库运营、管理单位应当按照规</w:t>
            </w:r>
            <w:r>
              <w:rPr>
                <w:rFonts w:ascii="FangSong_GB2312" w:hAnsi="FangSong_GB2312" w:eastAsia="FangSong_GB2312" w:cs="FangSong_GB2312"/>
                <w:sz w:val="24"/>
                <w:szCs w:val="24"/>
                <w:spacing w:val="-4"/>
              </w:rPr>
              <w:t>定加强尾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矿库的安全管理，采取措施防止土壤污染。危</w:t>
            </w:r>
            <w:r>
              <w:rPr>
                <w:rFonts w:ascii="FangSong_GB2312" w:hAnsi="FangSong_GB2312" w:eastAsia="FangSong_GB2312" w:cs="FangSong_GB2312"/>
                <w:sz w:val="24"/>
                <w:szCs w:val="24"/>
                <w:spacing w:val="-1"/>
              </w:rPr>
              <w:t>库、险库、病库以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及其他需要重点监管的尾矿库运营、管理单位</w:t>
            </w:r>
            <w:r>
              <w:rPr>
                <w:rFonts w:ascii="FangSong_GB2312" w:hAnsi="FangSong_GB2312" w:eastAsia="FangSong_GB2312" w:cs="FangSong_GB2312"/>
                <w:sz w:val="24"/>
                <w:szCs w:val="24"/>
                <w:spacing w:val="-1"/>
              </w:rPr>
              <w:t>应当按照规定进行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土壤污染状况监测和定期评估。</w:t>
            </w:r>
          </w:p>
          <w:p>
            <w:pPr>
              <w:spacing w:line="270"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3" w:right="106"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1"/>
              </w:rPr>
              <w:t>管部门或者其他负有土壤污染防治监督管理职责的部门责</w:t>
            </w:r>
            <w:r>
              <w:rPr>
                <w:rFonts w:ascii="FangSong_GB2312" w:hAnsi="FangSong_GB2312" w:eastAsia="FangSong_GB2312" w:cs="FangSong_GB2312"/>
                <w:sz w:val="24"/>
                <w:szCs w:val="24"/>
                <w:spacing w:val="10"/>
              </w:rPr>
              <w:t>令改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正，处以罚款；拒不改正的，责令停产整治：</w:t>
            </w:r>
          </w:p>
          <w:p>
            <w:pPr>
              <w:ind w:left="132" w:right="176" w:hanging="2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（六）尾矿库运营、管理单位未按照规定进行土</w:t>
            </w:r>
            <w:r>
              <w:rPr>
                <w:rFonts w:ascii="FangSong_GB2312" w:hAnsi="FangSong_GB2312" w:eastAsia="FangSong_GB2312" w:cs="FangSong_GB2312"/>
                <w:sz w:val="24"/>
                <w:szCs w:val="24"/>
                <w:spacing w:val="-1"/>
              </w:rPr>
              <w:t>壤污染状况监测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p>
            <w:pPr>
              <w:ind w:left="117"/>
              <w:spacing w:before="38"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2" w:hRule="atLeast"/>
        </w:trPr>
        <w:tc>
          <w:tcPr>
            <w:tcW w:w="1454" w:type="dxa"/>
            <w:vAlign w:val="top"/>
          </w:tcPr>
          <w:p>
            <w:pPr>
              <w:ind w:left="495" w:right="122" w:hanging="360"/>
              <w:spacing w:before="20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tcPr>
          <w:p>
            <w:pPr>
              <w:spacing w:line="27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tcPr>
          <w:p>
            <w:pPr>
              <w:spacing w:line="27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right="211" w:firstLine="5"/>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尾矿库运营、管理单位已进</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行土壤污染状况监测，但未</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按照规定的</w:t>
            </w:r>
          </w:p>
        </w:tc>
        <w:tc>
          <w:tcPr>
            <w:tcW w:w="1122" w:type="dxa"/>
            <w:vAlign w:val="top"/>
          </w:tcPr>
          <w:p>
            <w:pPr>
              <w:spacing w:line="279"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4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14" w:right="211" w:firstLine="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尾矿库运营、管理单位未进</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行土壤污染状况监测的</w:t>
            </w:r>
          </w:p>
        </w:tc>
        <w:tc>
          <w:tcPr>
            <w:tcW w:w="1122" w:type="dxa"/>
            <w:vAlign w:val="top"/>
          </w:tcPr>
          <w:p>
            <w:pPr>
              <w:ind w:left="1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9" w:hRule="atLeast"/>
        </w:trPr>
        <w:tc>
          <w:tcPr>
            <w:tcW w:w="1454" w:type="dxa"/>
            <w:vAlign w:val="top"/>
            <w:vMerge w:val="restart"/>
            <w:tcBorders>
              <w:bottom w:val="nil"/>
            </w:tcBorders>
          </w:tcPr>
          <w:p>
            <w:pPr>
              <w:spacing w:line="445"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5"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5"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3" w:hRule="atLeast"/>
        </w:trPr>
        <w:tc>
          <w:tcPr>
            <w:tcW w:w="1454" w:type="dxa"/>
            <w:vAlign w:val="top"/>
            <w:vMerge w:val="restart"/>
            <w:tcBorders>
              <w:bottom w:val="nil"/>
            </w:tcBorders>
          </w:tcPr>
          <w:p>
            <w:pPr>
              <w:ind w:left="135"/>
              <w:spacing w:before="8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4"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43"/>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2681"/>
        <w:gridCol w:w="4323"/>
      </w:tblGrid>
      <w:tr>
        <w:trPr>
          <w:trHeight w:val="700" w:hRule="atLeast"/>
        </w:trPr>
        <w:tc>
          <w:tcPr>
            <w:tcW w:w="8458" w:type="dxa"/>
            <w:vAlign w:val="top"/>
            <w:gridSpan w:val="3"/>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2"/>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122</w:t>
            </w:r>
          </w:p>
        </w:tc>
      </w:tr>
      <w:tr>
        <w:trPr>
          <w:trHeight w:val="950" w:hRule="atLeast"/>
        </w:trPr>
        <w:tc>
          <w:tcPr>
            <w:tcW w:w="1454" w:type="dxa"/>
            <w:vAlign w:val="top"/>
          </w:tcPr>
          <w:p>
            <w:pPr>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2"/>
          </w:tcPr>
          <w:p>
            <w:pPr>
              <w:ind w:left="119" w:right="176" w:hanging="9"/>
              <w:spacing w:before="39"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建设和运行生活垃圾处置设施、污水集中处</w:t>
            </w:r>
            <w:r>
              <w:rPr>
                <w:rFonts w:ascii="FangSong_GB2312" w:hAnsi="FangSong_GB2312" w:eastAsia="FangSong_GB2312" w:cs="FangSong_GB2312"/>
                <w:sz w:val="24"/>
                <w:szCs w:val="24"/>
                <w:spacing w:val="-1"/>
              </w:rPr>
              <w:t>理设施、固体废物处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置设施，未依照法律法规和相关标准的要求采取措施防止土壤污</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9"/>
              </w:rPr>
              <w:t>染的</w:t>
            </w:r>
          </w:p>
        </w:tc>
      </w:tr>
      <w:tr>
        <w:trPr>
          <w:trHeight w:val="10081" w:hRule="atLeast"/>
        </w:trPr>
        <w:tc>
          <w:tcPr>
            <w:tcW w:w="145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2"/>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2" w:right="166" w:firstLine="1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建设和运行污水集中处理设施、</w:t>
            </w:r>
            <w:r>
              <w:rPr>
                <w:rFonts w:ascii="FangSong_GB2312" w:hAnsi="FangSong_GB2312" w:eastAsia="FangSong_GB2312" w:cs="FangSong_GB2312"/>
                <w:sz w:val="24"/>
                <w:szCs w:val="24"/>
                <w:spacing w:val="-2"/>
              </w:rPr>
              <w:t>固体废物处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置设施，应当依照法律法规和相关标准的要求，采取措施防止土</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壤污染。</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2" w:right="171" w:firstLine="12"/>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府生态环境主管部门或者其他负有土壤污染防治监督管理职责的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部门责令改正，处以罚款；拒不改正的，责令停产整治：</w:t>
            </w:r>
          </w:p>
          <w:p>
            <w:pPr>
              <w:ind w:left="129" w:right="176" w:hanging="22"/>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（七）建设和运行污水集中处理设施、固体废物</w:t>
            </w:r>
            <w:r>
              <w:rPr>
                <w:rFonts w:ascii="FangSong_GB2312" w:hAnsi="FangSong_GB2312" w:eastAsia="FangSong_GB2312" w:cs="FangSong_GB2312"/>
                <w:sz w:val="24"/>
                <w:szCs w:val="24"/>
                <w:spacing w:val="-1"/>
              </w:rPr>
              <w:t>处置设施，未依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照法律法规和相关标准的要求采取措施防止土壤</w:t>
            </w:r>
            <w:r>
              <w:rPr>
                <w:rFonts w:ascii="FangSong_GB2312" w:hAnsi="FangSong_GB2312" w:eastAsia="FangSong_GB2312" w:cs="FangSong_GB2312"/>
                <w:sz w:val="24"/>
                <w:szCs w:val="24"/>
                <w:spacing w:val="-2"/>
              </w:rPr>
              <w:t>污染的。</w:t>
            </w:r>
          </w:p>
          <w:p>
            <w:pPr>
              <w:ind w:left="115" w:right="176" w:firstLine="2"/>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09" w:right="106" w:firstLine="15"/>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尾矿库运营、管理单位应当按照规</w:t>
            </w:r>
            <w:r>
              <w:rPr>
                <w:rFonts w:ascii="FangSong_GB2312" w:hAnsi="FangSong_GB2312" w:eastAsia="FangSong_GB2312" w:cs="FangSong_GB2312"/>
                <w:sz w:val="24"/>
                <w:szCs w:val="24"/>
                <w:spacing w:val="-4"/>
              </w:rPr>
              <w:t>定加强尾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矿库的安全管理，采取措施防止土壤污染。危</w:t>
            </w:r>
            <w:r>
              <w:rPr>
                <w:rFonts w:ascii="FangSong_GB2312" w:hAnsi="FangSong_GB2312" w:eastAsia="FangSong_GB2312" w:cs="FangSong_GB2312"/>
                <w:sz w:val="24"/>
                <w:szCs w:val="24"/>
                <w:spacing w:val="-1"/>
              </w:rPr>
              <w:t>库、险库、病库以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及其他需要重点监管的尾矿库运营、管理单位</w:t>
            </w:r>
            <w:r>
              <w:rPr>
                <w:rFonts w:ascii="FangSong_GB2312" w:hAnsi="FangSong_GB2312" w:eastAsia="FangSong_GB2312" w:cs="FangSong_GB2312"/>
                <w:sz w:val="24"/>
                <w:szCs w:val="24"/>
                <w:spacing w:val="-1"/>
              </w:rPr>
              <w:t>应当按照规定进行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土壤污染状况监测和定期评估。</w:t>
            </w:r>
          </w:p>
          <w:p>
            <w:pPr>
              <w:spacing w:line="270"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3" w:right="106"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第七十六条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1"/>
              </w:rPr>
              <w:t>管部门或者其他负有土壤污染防治监督管理职责的部门责</w:t>
            </w:r>
            <w:r>
              <w:rPr>
                <w:rFonts w:ascii="FangSong_GB2312" w:hAnsi="FangSong_GB2312" w:eastAsia="FangSong_GB2312" w:cs="FangSong_GB2312"/>
                <w:sz w:val="24"/>
                <w:szCs w:val="24"/>
                <w:spacing w:val="10"/>
              </w:rPr>
              <w:t>令改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正，处以罚款；拒不改正的，责令停产整治：</w:t>
            </w:r>
          </w:p>
          <w:p>
            <w:pPr>
              <w:ind w:left="114" w:right="176" w:hanging="7"/>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（七）建设和运行生活垃圾处置设施、固体废物</w:t>
            </w:r>
            <w:r>
              <w:rPr>
                <w:rFonts w:ascii="FangSong_GB2312" w:hAnsi="FangSong_GB2312" w:eastAsia="FangSong_GB2312" w:cs="FangSong_GB2312"/>
                <w:sz w:val="24"/>
                <w:szCs w:val="24"/>
                <w:spacing w:val="-1"/>
              </w:rPr>
              <w:t>处置设施、污水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集中处理设施，未按照法律、法规和相关标准的要求采取措施防</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止土壤污染的。有前款规定行为之一的，处二万元以上二十万元</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以下的罚款；</w:t>
            </w:r>
          </w:p>
          <w:p>
            <w:pPr>
              <w:ind w:left="115" w:right="176" w:firstLine="2"/>
              <w:spacing w:before="36"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有前款规定行为之一的，处二万元以上二十万元以下的罚款；有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前款第二项、第四项、第五项、第七项规定行为之一，造成严重</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后果的，处二十万元以上二百万元以下的罚款。</w:t>
            </w:r>
          </w:p>
        </w:tc>
      </w:tr>
      <w:tr>
        <w:trPr>
          <w:trHeight w:val="637" w:hRule="atLeast"/>
        </w:trPr>
        <w:tc>
          <w:tcPr>
            <w:tcW w:w="4135" w:type="dxa"/>
            <w:vAlign w:val="top"/>
            <w:gridSpan w:val="2"/>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bl>
    <w:p>
      <w:pPr>
        <w:pStyle w:val="BodyText"/>
        <w:rPr/>
      </w:pPr>
      <w:r/>
    </w:p>
    <w:p>
      <w:pPr>
        <w:sectPr>
          <w:footerReference w:type="default" r:id="rId24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4"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4" w:hRule="atLeast"/>
        </w:trPr>
        <w:tc>
          <w:tcPr>
            <w:tcW w:w="1454" w:type="dxa"/>
            <w:vAlign w:val="top"/>
            <w:vMerge w:val="restart"/>
            <w:tcBorders>
              <w:bottom w:val="nil"/>
            </w:tcBorders>
          </w:tcPr>
          <w:p>
            <w:pPr>
              <w:ind w:left="495" w:right="122" w:hanging="360"/>
              <w:spacing w:before="20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80"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80"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3" w:right="270" w:firstLine="4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已采取防止土壤污染措施，</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但未按照规定的</w:t>
            </w:r>
          </w:p>
        </w:tc>
        <w:tc>
          <w:tcPr>
            <w:tcW w:w="1122" w:type="dxa"/>
            <w:vAlign w:val="top"/>
          </w:tcPr>
          <w:p>
            <w:pPr>
              <w:ind w:left="22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未采取防止土壤污染措施的</w:t>
            </w:r>
          </w:p>
        </w:tc>
        <w:tc>
          <w:tcPr>
            <w:tcW w:w="1122" w:type="dxa"/>
            <w:vAlign w:val="top"/>
          </w:tcPr>
          <w:p>
            <w:pPr>
              <w:ind w:left="15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6"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6"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2"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1" w:hRule="atLeast"/>
        </w:trPr>
        <w:tc>
          <w:tcPr>
            <w:tcW w:w="1454" w:type="dxa"/>
            <w:vAlign w:val="top"/>
            <w:vMerge w:val="restart"/>
            <w:tcBorders>
              <w:bottom w:val="nil"/>
            </w:tcBorders>
          </w:tcPr>
          <w:p>
            <w:pPr>
              <w:ind w:left="135"/>
              <w:spacing w:before="6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2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04"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6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6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45"/>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123</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2" w:right="176" w:firstLine="18"/>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向农用地排放重金属或者其他有毒有害物质含量超标的污水、污</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泥，以及可能造成土壤污染的清淤底泥、尾矿、矿渣等的</w:t>
            </w:r>
          </w:p>
        </w:tc>
      </w:tr>
      <w:tr>
        <w:trPr>
          <w:trHeight w:val="8746" w:hRule="atLeast"/>
        </w:trPr>
        <w:tc>
          <w:tcPr>
            <w:tcW w:w="145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7" w:right="176" w:firstLine="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禁止向农用地排放重金属或者</w:t>
            </w:r>
            <w:r>
              <w:rPr>
                <w:rFonts w:ascii="FangSong_GB2312" w:hAnsi="FangSong_GB2312" w:eastAsia="FangSong_GB2312" w:cs="FangSong_GB2312"/>
                <w:sz w:val="24"/>
                <w:szCs w:val="24"/>
                <w:spacing w:val="-2"/>
              </w:rPr>
              <w:t>其他有毒有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害物质含量超标的污水、污泥，以及可能造成土壤污染的清淤底</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泥、尾矿、矿渣等。</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5" w:right="171" w:firstLine="9"/>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违反本法规定，向农用地排放重金属或者其他</w:t>
            </w:r>
            <w:r>
              <w:rPr>
                <w:rFonts w:ascii="FangSong_GB2312" w:hAnsi="FangSong_GB2312" w:eastAsia="FangSong_GB2312" w:cs="FangSong_GB2312"/>
                <w:sz w:val="24"/>
                <w:szCs w:val="24"/>
                <w:spacing w:val="-2"/>
              </w:rPr>
              <w:t>有毒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有害物质含量超标的污水、污泥，以及可能造成土壤污染的清淤</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底泥、尾矿、矿渣等的，由地方人民政府生态环境主管部门责令</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改正，处十万元以上五十万元以下的罚款；情节严重的，处五十</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万元以上二百万元以下的罚款，并可以将案件移送公安机关，对</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直接负责的主管人员和其他直接责任人员处五日以上十五日以下</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的拘留；有违法所得的，没收违法所得。</w:t>
            </w:r>
          </w:p>
          <w:p>
            <w:pPr>
              <w:spacing w:line="265"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17" w:right="176" w:firstLine="6"/>
              <w:spacing w:before="35"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禁止向农用地排放重金属或者其他有毒有</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害物质含量超标的污水、污泥，以及可能造成土壤污染的清淤底</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泥、尾矿、矿渣等。</w:t>
            </w:r>
          </w:p>
          <w:p>
            <w:pPr>
              <w:spacing w:line="266"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3" w:right="106" w:firstLine="11"/>
              <w:spacing w:before="36"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违反本条例规定，向农用地排放重金属或者其他有毒</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有害物质含量超标的污水、污泥，以及可能造成土壤污染的清淤</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底泥、尾矿、矿渣等的，由生态环境主管部门责令改正，处十万</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元以上五十万元以下的罚款；情节严重的，处五十万元以上二百</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万元以下的罚款，并可以依法将案件移送公安机关，由公安机关</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按照《中华人民共和国土壤污染防治法》的规定对直接负责的主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管人员和其他直接责任人员处以拘留；有违法所得的，没收违法</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所得。</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ind w:left="495" w:right="122" w:hanging="360"/>
              <w:spacing w:before="5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404"/>
              <w:spacing w:before="21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农用地类型</w:t>
            </w:r>
          </w:p>
        </w:tc>
        <w:tc>
          <w:tcPr>
            <w:tcW w:w="685" w:type="dxa"/>
            <w:vAlign w:val="top"/>
            <w:vMerge w:val="restart"/>
            <w:tcBorders>
              <w:bottom w:val="nil"/>
            </w:tcBorders>
          </w:tcPr>
          <w:p>
            <w:pPr>
              <w:ind w:left="177"/>
              <w:spacing w:before="21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0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严格管控类农用地</w:t>
            </w:r>
          </w:p>
        </w:tc>
        <w:tc>
          <w:tcPr>
            <w:tcW w:w="1122" w:type="dxa"/>
            <w:vAlign w:val="top"/>
          </w:tcPr>
          <w:p>
            <w:pPr>
              <w:ind w:left="28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4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0"/>
              <w:spacing w:before="5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安全利用类农用地</w:t>
            </w:r>
          </w:p>
        </w:tc>
        <w:tc>
          <w:tcPr>
            <w:tcW w:w="1122" w:type="dxa"/>
            <w:vAlign w:val="top"/>
          </w:tcPr>
          <w:p>
            <w:pPr>
              <w:ind w:left="219"/>
              <w:spacing w:before="5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246"/>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vMerge w:val="restart"/>
            <w:tcBorders>
              <w:bottom w:val="nil"/>
            </w:tcBorders>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14"/>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优先保护类农用地</w:t>
            </w:r>
          </w:p>
        </w:tc>
        <w:tc>
          <w:tcPr>
            <w:tcW w:w="1122" w:type="dxa"/>
            <w:vAlign w:val="top"/>
          </w:tcPr>
          <w:p>
            <w:pPr>
              <w:ind w:left="16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41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污染物类型</w:t>
            </w:r>
          </w:p>
        </w:tc>
        <w:tc>
          <w:tcPr>
            <w:tcW w:w="685"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right="211" w:hanging="2"/>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排放重金属或者其他有毒有</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害物质含量超标的污水、污</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8"/>
              </w:rPr>
              <w:t>泥的</w:t>
            </w:r>
          </w:p>
        </w:tc>
        <w:tc>
          <w:tcPr>
            <w:tcW w:w="1122" w:type="dxa"/>
            <w:vAlign w:val="top"/>
          </w:tcPr>
          <w:p>
            <w:pPr>
              <w:spacing w:line="274"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9" w:right="211" w:hanging="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排放可能造成土壤污染的清</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淤底泥、尾矿、矿渣等的</w:t>
            </w:r>
          </w:p>
        </w:tc>
        <w:tc>
          <w:tcPr>
            <w:tcW w:w="1122" w:type="dxa"/>
            <w:vAlign w:val="top"/>
          </w:tcPr>
          <w:p>
            <w:pPr>
              <w:ind w:left="22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restart"/>
            <w:tcBorders>
              <w:bottom w:val="nil"/>
            </w:tcBorders>
          </w:tcPr>
          <w:p>
            <w:pPr>
              <w:spacing w:line="446"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6"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31" w:hRule="atLeast"/>
        </w:trPr>
        <w:tc>
          <w:tcPr>
            <w:tcW w:w="1454" w:type="dxa"/>
            <w:vAlign w:val="top"/>
            <w:vMerge w:val="restart"/>
            <w:tcBorders>
              <w:bottom w:val="nil"/>
            </w:tcBorders>
          </w:tcPr>
          <w:p>
            <w:pPr>
              <w:ind w:left="135"/>
              <w:spacing w:before="15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31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8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4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spacing w:before="37" w:line="214" w:lineRule="auto"/>
        <w:jc w:val="right"/>
        <w:rPr>
          <w:rFonts w:ascii="SimSun" w:hAnsi="SimSun" w:eastAsia="SimSun" w:cs="SimSun"/>
          <w:sz w:val="24"/>
          <w:szCs w:val="24"/>
        </w:rPr>
      </w:pPr>
      <w:r>
        <w:rPr>
          <w:rFonts w:ascii="FangSong_GB2312" w:hAnsi="FangSong_GB2312" w:eastAsia="FangSong_GB2312" w:cs="FangSong_GB2312"/>
          <w:sz w:val="24"/>
          <w:szCs w:val="24"/>
          <w:spacing w:val="-1"/>
        </w:rPr>
        <w:t>注释：处以罚款五十万元以上二百万元以下的</w:t>
      </w:r>
      <w:r>
        <w:rPr>
          <w:rFonts w:ascii="FangSong_GB2312" w:hAnsi="FangSong_GB2312" w:eastAsia="FangSong_GB2312" w:cs="FangSong_GB2312"/>
          <w:sz w:val="24"/>
          <w:szCs w:val="24"/>
          <w:spacing w:val="-2"/>
        </w:rPr>
        <w:t>，及时移交公安机关采取行政拘留措施</w:t>
      </w:r>
      <w:r>
        <w:rPr>
          <w:rFonts w:ascii="SimSun" w:hAnsi="SimSun" w:eastAsia="SimSun" w:cs="SimSun"/>
          <w:sz w:val="24"/>
          <w:szCs w:val="24"/>
          <w:spacing w:val="-2"/>
        </w:rPr>
        <w:t>。</w:t>
      </w:r>
    </w:p>
    <w:p>
      <w:pPr>
        <w:spacing w:line="214" w:lineRule="auto"/>
        <w:sectPr>
          <w:footerReference w:type="default" r:id="rId247"/>
          <w:pgSz w:w="11905" w:h="16839"/>
          <w:pgMar w:top="1431" w:right="1408" w:bottom="1156" w:left="1330" w:header="0" w:footer="994" w:gutter="0"/>
        </w:sectPr>
        <w:rPr>
          <w:rFonts w:ascii="SimSun" w:hAnsi="SimSun" w:eastAsia="SimSun" w:cs="SimSun"/>
          <w:sz w:val="24"/>
          <w:szCs w:val="24"/>
        </w:rPr>
      </w:pPr>
    </w:p>
    <w:p>
      <w:pPr>
        <w:spacing w:before="18"/>
        <w:rPr/>
      </w:pPr>
      <w:r/>
    </w:p>
    <w:p>
      <w:pPr>
        <w:spacing w:before="18"/>
        <w:rPr/>
      </w:pPr>
      <w:r/>
    </w:p>
    <w:p>
      <w:pPr>
        <w:spacing w:before="18"/>
        <w:rPr/>
      </w:pPr>
      <w:r/>
    </w:p>
    <w:p>
      <w:pPr>
        <w:spacing w:before="18"/>
        <w:rPr/>
      </w:pPr>
      <w:r/>
    </w:p>
    <w:p>
      <w:pPr>
        <w:spacing w:before="17"/>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124</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0" w:right="176" w:firstLine="4"/>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将重金属或者其他有毒有害物质含量超标的工业固体废物、生活</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垃圾或者污染土壤用于土地复垦的</w:t>
            </w:r>
          </w:p>
        </w:tc>
      </w:tr>
      <w:tr>
        <w:trPr>
          <w:trHeight w:val="5950" w:hRule="atLeast"/>
        </w:trPr>
        <w:tc>
          <w:tcPr>
            <w:tcW w:w="1454"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0" w:right="166" w:firstLine="14"/>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禁止将重金属或者其他有毒有害</w:t>
            </w:r>
            <w:r>
              <w:rPr>
                <w:rFonts w:ascii="FangSong_GB2312" w:hAnsi="FangSong_GB2312" w:eastAsia="FangSong_GB2312" w:cs="FangSong_GB2312"/>
                <w:sz w:val="24"/>
                <w:szCs w:val="24"/>
                <w:spacing w:val="-2"/>
              </w:rPr>
              <w:t>物质含量超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标的工业固体废物、生活垃圾或者污染土壤用于土地复垦。</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7" w:right="46" w:firstLine="6"/>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违反本法规定，将重金属或者其他有毒有害物</w:t>
            </w:r>
            <w:r>
              <w:rPr>
                <w:rFonts w:ascii="FangSong_GB2312" w:hAnsi="FangSong_GB2312" w:eastAsia="FangSong_GB2312" w:cs="FangSong_GB2312"/>
                <w:sz w:val="24"/>
                <w:szCs w:val="24"/>
                <w:spacing w:val="-2"/>
              </w:rPr>
              <w:t>质含</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量超标的工业固体废物、生活垃圾或者污</w:t>
            </w:r>
            <w:r>
              <w:rPr>
                <w:rFonts w:ascii="FangSong_GB2312" w:hAnsi="FangSong_GB2312" w:eastAsia="FangSong_GB2312" w:cs="FangSong_GB2312"/>
                <w:sz w:val="24"/>
                <w:szCs w:val="24"/>
                <w:spacing w:val="-5"/>
              </w:rPr>
              <w:t>染土壤用于土地复垦的，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由地方人民政府生态环境主管部门责令改正，处十万元以上一百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万元以下的罚款；有违法所得的，没收违法所得。</w:t>
            </w:r>
          </w:p>
          <w:p>
            <w:pPr>
              <w:spacing w:line="269"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07" w:right="274" w:firstLine="16"/>
              <w:spacing w:before="33"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第三十二条</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b/>
                <w:bCs/>
                <w:spacing w:val="-2"/>
              </w:rPr>
              <w:t>第二款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禁止将重金属或者其他有毒有害物质</w:t>
            </w:r>
            <w:r>
              <w:rPr>
                <w:rFonts w:ascii="FangSong_GB2312" w:hAnsi="FangSong_GB2312" w:eastAsia="FangSong_GB2312" w:cs="FangSong_GB2312"/>
                <w:sz w:val="24"/>
                <w:szCs w:val="24"/>
                <w:spacing w:val="-3"/>
              </w:rPr>
              <w:t>含量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超标的工业固体废物、生活垃圾或者污染土壤用</w:t>
            </w:r>
            <w:r>
              <w:rPr>
                <w:rFonts w:ascii="FangSong_GB2312" w:hAnsi="FangSong_GB2312" w:eastAsia="FangSong_GB2312" w:cs="FangSong_GB2312"/>
                <w:sz w:val="24"/>
                <w:szCs w:val="24"/>
                <w:spacing w:val="-1"/>
              </w:rPr>
              <w:t>于土地复垦。</w:t>
            </w:r>
          </w:p>
          <w:p>
            <w:pPr>
              <w:spacing w:line="268"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4" w:right="46" w:firstLine="10"/>
              <w:spacing w:before="35"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违反本条例规定，将重金属或者其他有毒有害物质含</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量超标的工业固体废物、生活垃圾或者污染土壤用</w:t>
            </w:r>
            <w:r>
              <w:rPr>
                <w:rFonts w:ascii="FangSong_GB2312" w:hAnsi="FangSong_GB2312" w:eastAsia="FangSong_GB2312" w:cs="FangSong_GB2312"/>
                <w:sz w:val="24"/>
                <w:szCs w:val="24"/>
                <w:spacing w:val="-5"/>
              </w:rPr>
              <w:t>于土地复垦的，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由生态环境主管部门责令改正，处十万元以上一百万元以下的罚</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款；有违法所得的，没收违法所得。</w:t>
            </w:r>
          </w:p>
        </w:tc>
      </w:tr>
      <w:tr>
        <w:trPr>
          <w:trHeight w:val="635" w:hRule="atLeast"/>
        </w:trPr>
        <w:tc>
          <w:tcPr>
            <w:tcW w:w="4135" w:type="dxa"/>
            <w:vAlign w:val="top"/>
            <w:gridSpan w:val="3"/>
          </w:tcPr>
          <w:p>
            <w:pPr>
              <w:ind w:left="1514"/>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438"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right="211" w:firstLine="1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生活垃圾或者污染土壤用于</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3"/>
              </w:rPr>
              <w:t>土地复垦的</w:t>
            </w:r>
          </w:p>
        </w:tc>
        <w:tc>
          <w:tcPr>
            <w:tcW w:w="1122" w:type="dxa"/>
            <w:vAlign w:val="top"/>
          </w:tcPr>
          <w:p>
            <w:pPr>
              <w:ind w:left="22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1" w:right="211" w:hanging="4"/>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将重金属或者其他有毒有害</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物质含量超标的工业固体废</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3"/>
              </w:rPr>
              <w:t>物用于土地复垦的</w:t>
            </w:r>
          </w:p>
        </w:tc>
        <w:tc>
          <w:tcPr>
            <w:tcW w:w="1122" w:type="dxa"/>
            <w:vAlign w:val="top"/>
          </w:tcPr>
          <w:p>
            <w:pPr>
              <w:spacing w:line="277"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7"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7"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2" w:hRule="atLeast"/>
        </w:trPr>
        <w:tc>
          <w:tcPr>
            <w:tcW w:w="1454" w:type="dxa"/>
            <w:vAlign w:val="top"/>
          </w:tcPr>
          <w:p>
            <w:pPr>
              <w:ind w:left="25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tcPr>
          <w:p>
            <w:pPr>
              <w:ind w:left="278"/>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tcPr>
          <w:p>
            <w:pPr>
              <w:ind w:left="18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4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21" w:right="211"/>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5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58" w:hRule="atLeast"/>
        </w:trPr>
        <w:tc>
          <w:tcPr>
            <w:tcW w:w="1454" w:type="dxa"/>
            <w:vAlign w:val="top"/>
            <w:vMerge w:val="restart"/>
            <w:tcBorders>
              <w:bottom w:val="nil"/>
            </w:tcBorders>
          </w:tcPr>
          <w:p>
            <w:pPr>
              <w:ind w:left="135"/>
              <w:spacing w:before="6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2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01"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6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62"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4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125</w:t>
            </w:r>
          </w:p>
        </w:tc>
      </w:tr>
      <w:tr>
        <w:trPr>
          <w:trHeight w:val="949" w:hRule="atLeast"/>
        </w:trPr>
        <w:tc>
          <w:tcPr>
            <w:tcW w:w="1454" w:type="dxa"/>
            <w:vAlign w:val="top"/>
          </w:tcPr>
          <w:p>
            <w:pPr>
              <w:spacing w:line="242"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10" w:right="176" w:firstLine="1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受委托从事土壤污染状况调查和土壤污染风险评估、风险管控效</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rPr>
              <w:t>果评估、修复效果评估活动的单位，出具虚</w:t>
            </w:r>
            <w:r>
              <w:rPr>
                <w:rFonts w:ascii="FangSong_GB2312" w:hAnsi="FangSong_GB2312" w:eastAsia="FangSong_GB2312" w:cs="FangSong_GB2312"/>
                <w:sz w:val="24"/>
                <w:szCs w:val="24"/>
                <w:spacing w:val="-1"/>
              </w:rPr>
              <w:t>假调查报告、风险评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估报告、风险管控效果评估报告、修复效果评估报告的</w:t>
            </w:r>
          </w:p>
        </w:tc>
      </w:tr>
      <w:tr>
        <w:trPr>
          <w:trHeight w:val="10313" w:hRule="atLeast"/>
        </w:trPr>
        <w:tc>
          <w:tcPr>
            <w:tcW w:w="145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5" w:right="106" w:firstLine="9"/>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从事土壤污染状况调查和土壤污染风险评估、风险管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控、修复、风险管控效果评估、修复效果评估、后期管理等活动</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的单位，应当具备相应的专业能力。</w:t>
            </w:r>
          </w:p>
          <w:p>
            <w:pPr>
              <w:ind w:left="110" w:right="35"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受委托从事前款活动的单位对其出具的调查报告、风险</w:t>
            </w:r>
            <w:r>
              <w:rPr>
                <w:rFonts w:ascii="FangSong_GB2312" w:hAnsi="FangSong_GB2312" w:eastAsia="FangSong_GB2312" w:cs="FangSong_GB2312"/>
                <w:sz w:val="24"/>
                <w:szCs w:val="24"/>
                <w:spacing w:val="-5"/>
              </w:rPr>
              <w:t>评估报告、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风险管控效果评估报告、修复效果评估报告的</w:t>
            </w:r>
            <w:r>
              <w:rPr>
                <w:rFonts w:ascii="FangSong_GB2312" w:hAnsi="FangSong_GB2312" w:eastAsia="FangSong_GB2312" w:cs="FangSong_GB2312"/>
                <w:sz w:val="24"/>
                <w:szCs w:val="24"/>
              </w:rPr>
              <w:t>真实性、准确性、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完整性负责，并按照约定对风险管控、修复</w:t>
            </w:r>
            <w:r>
              <w:rPr>
                <w:rFonts w:ascii="FangSong_GB2312" w:hAnsi="FangSong_GB2312" w:eastAsia="FangSong_GB2312" w:cs="FangSong_GB2312"/>
                <w:sz w:val="24"/>
                <w:szCs w:val="24"/>
                <w:spacing w:val="-1"/>
              </w:rPr>
              <w:t>、后期管理等活动结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果负责。</w:t>
            </w:r>
          </w:p>
          <w:p>
            <w:pPr>
              <w:spacing w:line="273"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3" w:right="171" w:firstLine="11"/>
              <w:spacing w:before="3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违反本法规定，受委托从事土壤污染状况调查和土壤</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污染风险评估、风险管控效果评估、修复效果评</w:t>
            </w:r>
            <w:r>
              <w:rPr>
                <w:rFonts w:ascii="FangSong_GB2312" w:hAnsi="FangSong_GB2312" w:eastAsia="FangSong_GB2312" w:cs="FangSong_GB2312"/>
                <w:sz w:val="24"/>
                <w:szCs w:val="24"/>
                <w:spacing w:val="-1"/>
              </w:rPr>
              <w:t>估活动的单位，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出具虚假调查报告、风险评估报告、风险管控效果评估报告、修</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复效果评估报告的，由地方人民政府生态环境主管部门处十万元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以上五十万元以下的罚款；情节严重的，禁止从事上述业务，并</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处五十万元以上一百万元以下的罚款；有违法所得的，没收违法</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所得。</w:t>
            </w:r>
          </w:p>
          <w:p>
            <w:pPr>
              <w:spacing w:line="263"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13" w:right="106" w:firstLine="11"/>
              <w:spacing w:before="34"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第四十二条</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4"/>
              </w:rPr>
              <w:t>从事土壤污染状况调查和土壤污染风险评估</w:t>
            </w:r>
            <w:r>
              <w:rPr>
                <w:rFonts w:ascii="FangSong_GB2312" w:hAnsi="FangSong_GB2312" w:eastAsia="FangSong_GB2312" w:cs="FangSong_GB2312"/>
                <w:sz w:val="24"/>
                <w:szCs w:val="24"/>
                <w:spacing w:val="-5"/>
              </w:rPr>
              <w:t>、风险管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控、修复、风险管控效果评估、修复效果评估、后期管理等活动</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的单位，应当具备相应的专业能力，包括具备与其承担业务相适</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应的工作场所、相关专业技术人员和设备等，并加强专业技术人</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员生态环境保护法律法规、管理政策和专业知识培训，建立质量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管理体系。</w:t>
            </w:r>
          </w:p>
          <w:p>
            <w:pPr>
              <w:ind w:left="113" w:right="176" w:firstLine="489"/>
              <w:spacing w:before="31"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受委托从事前款活动的单位对其出具的调查报告、风险评估</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报告、风险管控效果评估报告、修复效果评估报告的真实性、准</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确性、完整性负责，并按照约定对风险管控、修复、后期管理等</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活动结果负责。</w:t>
            </w:r>
          </w:p>
          <w:p>
            <w:pPr>
              <w:spacing w:line="266"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5" w:right="157" w:firstLine="9"/>
              <w:spacing w:before="32"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违反本条例规定，受委托从事土壤污染状况调查和</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土壤污染风险评估、风险管控效果评估、修复效果评估活动的单</w:t>
            </w:r>
          </w:p>
        </w:tc>
      </w:tr>
    </w:tbl>
    <w:p>
      <w:pPr>
        <w:pStyle w:val="BodyText"/>
        <w:rPr/>
      </w:pPr>
      <w:r/>
    </w:p>
    <w:p>
      <w:pPr>
        <w:sectPr>
          <w:footerReference w:type="default" r:id="rId250"/>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718"/>
        <w:gridCol w:w="984"/>
        <w:gridCol w:w="3191"/>
        <w:gridCol w:w="1111"/>
      </w:tblGrid>
      <w:tr>
        <w:trPr>
          <w:trHeight w:val="1254" w:hRule="atLeast"/>
        </w:trPr>
        <w:tc>
          <w:tcPr>
            <w:tcW w:w="1454" w:type="dxa"/>
            <w:vAlign w:val="top"/>
          </w:tcPr>
          <w:p>
            <w:pPr>
              <w:rPr>
                <w:rFonts w:ascii="Arial"/>
                <w:sz w:val="21"/>
              </w:rPr>
            </w:pPr>
            <w:r/>
          </w:p>
        </w:tc>
        <w:tc>
          <w:tcPr>
            <w:tcW w:w="7004" w:type="dxa"/>
            <w:vAlign w:val="top"/>
            <w:gridSpan w:val="4"/>
          </w:tcPr>
          <w:p>
            <w:pPr>
              <w:ind w:left="107" w:right="35"/>
              <w:spacing w:before="42"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位，出具虚假调查报告、风险评估报告、风险管控效果评估报告、</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rPr>
              <w:t>修复效果评估报告的，由生态环境主管部门处十万</w:t>
            </w:r>
            <w:r>
              <w:rPr>
                <w:rFonts w:ascii="FangSong_GB2312" w:hAnsi="FangSong_GB2312" w:eastAsia="FangSong_GB2312" w:cs="FangSong_GB2312"/>
                <w:sz w:val="24"/>
                <w:szCs w:val="24"/>
                <w:spacing w:val="-1"/>
              </w:rPr>
              <w:t>元以上五十万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元以下的罚款；情节严重的，禁止从事上述业务，</w:t>
            </w:r>
            <w:r>
              <w:rPr>
                <w:rFonts w:ascii="FangSong_GB2312" w:hAnsi="FangSong_GB2312" w:eastAsia="FangSong_GB2312" w:cs="FangSong_GB2312"/>
                <w:sz w:val="24"/>
                <w:szCs w:val="24"/>
                <w:spacing w:val="-1"/>
              </w:rPr>
              <w:t>并处五十万元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以上一百万元以下的罚款；有违法所得的，没</w:t>
            </w:r>
            <w:r>
              <w:rPr>
                <w:rFonts w:ascii="FangSong_GB2312" w:hAnsi="FangSong_GB2312" w:eastAsia="FangSong_GB2312" w:cs="FangSong_GB2312"/>
                <w:sz w:val="24"/>
                <w:szCs w:val="24"/>
                <w:spacing w:val="-1"/>
              </w:rPr>
              <w:t>收违法所得。</w:t>
            </w:r>
          </w:p>
        </w:tc>
      </w:tr>
      <w:tr>
        <w:trPr>
          <w:trHeight w:val="634" w:hRule="atLeast"/>
        </w:trPr>
        <w:tc>
          <w:tcPr>
            <w:tcW w:w="4156" w:type="dxa"/>
            <w:vAlign w:val="top"/>
            <w:gridSpan w:val="3"/>
          </w:tcPr>
          <w:p>
            <w:pPr>
              <w:ind w:left="1524"/>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02" w:type="dxa"/>
            <w:vAlign w:val="top"/>
            <w:gridSpan w:val="2"/>
          </w:tcPr>
          <w:p>
            <w:pPr>
              <w:ind w:left="1609"/>
              <w:spacing w:before="17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18" w:type="dxa"/>
            <w:vAlign w:val="top"/>
          </w:tcPr>
          <w:p>
            <w:pPr>
              <w:ind w:left="430"/>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84" w:type="dxa"/>
            <w:vAlign w:val="top"/>
          </w:tcPr>
          <w:p>
            <w:pPr>
              <w:ind w:left="309" w:right="268" w:hanging="32"/>
              <w:spacing w:before="49"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191" w:type="dxa"/>
            <w:vAlign w:val="top"/>
          </w:tcPr>
          <w:p>
            <w:pPr>
              <w:ind w:left="1384"/>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1" w:type="dxa"/>
            <w:vAlign w:val="top"/>
          </w:tcPr>
          <w:p>
            <w:pPr>
              <w:ind w:left="239"/>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302" w:lineRule="auto"/>
              <w:rPr>
                <w:rFonts w:ascii="Arial"/>
                <w:sz w:val="21"/>
              </w:rPr>
            </w:pPr>
            <w:r/>
          </w:p>
          <w:p>
            <w:pPr>
              <w:spacing w:line="303"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71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4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984"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3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191" w:type="dxa"/>
            <w:vAlign w:val="top"/>
          </w:tcPr>
          <w:p>
            <w:pPr>
              <w:ind w:left="14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出具虚假调查报告的</w:t>
            </w:r>
          </w:p>
        </w:tc>
        <w:tc>
          <w:tcPr>
            <w:tcW w:w="1111" w:type="dxa"/>
            <w:vAlign w:val="top"/>
          </w:tcPr>
          <w:p>
            <w:pPr>
              <w:ind w:left="2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bottom w:val="nil"/>
            </w:tcBorders>
          </w:tcPr>
          <w:p>
            <w:pPr>
              <w:rPr>
                <w:rFonts w:ascii="Arial"/>
                <w:sz w:val="21"/>
              </w:rPr>
            </w:pPr>
            <w:r/>
          </w:p>
        </w:tc>
        <w:tc>
          <w:tcPr>
            <w:tcW w:w="1718" w:type="dxa"/>
            <w:vAlign w:val="top"/>
            <w:vMerge w:val="continue"/>
            <w:tcBorders>
              <w:top w:val="nil"/>
              <w:bottom w:val="nil"/>
            </w:tcBorders>
          </w:tcPr>
          <w:p>
            <w:pPr>
              <w:rPr>
                <w:rFonts w:ascii="Arial"/>
                <w:sz w:val="21"/>
              </w:rPr>
            </w:pPr>
            <w:r/>
          </w:p>
        </w:tc>
        <w:tc>
          <w:tcPr>
            <w:tcW w:w="984" w:type="dxa"/>
            <w:vAlign w:val="top"/>
            <w:vMerge w:val="continue"/>
            <w:tcBorders>
              <w:top w:val="nil"/>
              <w:bottom w:val="nil"/>
            </w:tcBorders>
          </w:tcPr>
          <w:p>
            <w:pPr>
              <w:rPr>
                <w:rFonts w:ascii="Arial"/>
                <w:sz w:val="21"/>
              </w:rPr>
            </w:pPr>
            <w:r/>
          </w:p>
        </w:tc>
        <w:tc>
          <w:tcPr>
            <w:tcW w:w="3191" w:type="dxa"/>
            <w:vAlign w:val="top"/>
          </w:tcPr>
          <w:p>
            <w:pPr>
              <w:ind w:left="14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出具虚假风险评估报告的</w:t>
            </w:r>
          </w:p>
        </w:tc>
        <w:tc>
          <w:tcPr>
            <w:tcW w:w="1111" w:type="dxa"/>
            <w:vAlign w:val="top"/>
          </w:tcPr>
          <w:p>
            <w:pPr>
              <w:ind w:left="15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54" w:type="dxa"/>
            <w:vAlign w:val="top"/>
            <w:vMerge w:val="continue"/>
            <w:tcBorders>
              <w:top w:val="nil"/>
              <w:bottom w:val="nil"/>
            </w:tcBorders>
          </w:tcPr>
          <w:p>
            <w:pPr>
              <w:rPr>
                <w:rFonts w:ascii="Arial"/>
                <w:sz w:val="21"/>
              </w:rPr>
            </w:pPr>
            <w:r/>
          </w:p>
        </w:tc>
        <w:tc>
          <w:tcPr>
            <w:tcW w:w="1718" w:type="dxa"/>
            <w:vAlign w:val="top"/>
            <w:vMerge w:val="continue"/>
            <w:tcBorders>
              <w:top w:val="nil"/>
              <w:bottom w:val="nil"/>
            </w:tcBorders>
          </w:tcPr>
          <w:p>
            <w:pPr>
              <w:rPr>
                <w:rFonts w:ascii="Arial"/>
                <w:sz w:val="21"/>
              </w:rPr>
            </w:pPr>
            <w:r/>
          </w:p>
        </w:tc>
        <w:tc>
          <w:tcPr>
            <w:tcW w:w="984" w:type="dxa"/>
            <w:vAlign w:val="top"/>
            <w:vMerge w:val="continue"/>
            <w:tcBorders>
              <w:top w:val="nil"/>
              <w:bottom w:val="nil"/>
            </w:tcBorders>
          </w:tcPr>
          <w:p>
            <w:pPr>
              <w:rPr>
                <w:rFonts w:ascii="Arial"/>
                <w:sz w:val="21"/>
              </w:rPr>
            </w:pPr>
            <w:r/>
          </w:p>
        </w:tc>
        <w:tc>
          <w:tcPr>
            <w:tcW w:w="3191" w:type="dxa"/>
            <w:vAlign w:val="top"/>
          </w:tcPr>
          <w:p>
            <w:pPr>
              <w:ind w:left="122" w:right="200" w:firstLine="23"/>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出具虚假风险管控效果评估</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报告的</w:t>
            </w:r>
          </w:p>
        </w:tc>
        <w:tc>
          <w:tcPr>
            <w:tcW w:w="1111" w:type="dxa"/>
            <w:vAlign w:val="top"/>
          </w:tcPr>
          <w:p>
            <w:pPr>
              <w:ind w:left="151"/>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4" w:hRule="atLeast"/>
        </w:trPr>
        <w:tc>
          <w:tcPr>
            <w:tcW w:w="1454" w:type="dxa"/>
            <w:vAlign w:val="top"/>
            <w:vMerge w:val="continue"/>
            <w:tcBorders>
              <w:top w:val="nil"/>
            </w:tcBorders>
          </w:tcPr>
          <w:p>
            <w:pPr>
              <w:rPr>
                <w:rFonts w:ascii="Arial"/>
                <w:sz w:val="21"/>
              </w:rPr>
            </w:pPr>
            <w:r/>
          </w:p>
        </w:tc>
        <w:tc>
          <w:tcPr>
            <w:tcW w:w="1718" w:type="dxa"/>
            <w:vAlign w:val="top"/>
            <w:vMerge w:val="continue"/>
            <w:tcBorders>
              <w:top w:val="nil"/>
            </w:tcBorders>
          </w:tcPr>
          <w:p>
            <w:pPr>
              <w:rPr>
                <w:rFonts w:ascii="Arial"/>
                <w:sz w:val="21"/>
              </w:rPr>
            </w:pPr>
            <w:r/>
          </w:p>
        </w:tc>
        <w:tc>
          <w:tcPr>
            <w:tcW w:w="984" w:type="dxa"/>
            <w:vAlign w:val="top"/>
            <w:vMerge w:val="continue"/>
            <w:tcBorders>
              <w:top w:val="nil"/>
            </w:tcBorders>
          </w:tcPr>
          <w:p>
            <w:pPr>
              <w:rPr>
                <w:rFonts w:ascii="Arial"/>
                <w:sz w:val="21"/>
              </w:rPr>
            </w:pPr>
            <w:r/>
          </w:p>
        </w:tc>
        <w:tc>
          <w:tcPr>
            <w:tcW w:w="3191" w:type="dxa"/>
            <w:vAlign w:val="top"/>
          </w:tcPr>
          <w:p>
            <w:pPr>
              <w:ind w:left="135" w:right="200" w:firstLine="1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出具虚假修复效果评估报告</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rPr>
              <w:t>的</w:t>
            </w:r>
          </w:p>
        </w:tc>
        <w:tc>
          <w:tcPr>
            <w:tcW w:w="1111" w:type="dxa"/>
            <w:vAlign w:val="top"/>
          </w:tcPr>
          <w:p>
            <w:pPr>
              <w:ind w:left="16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18" w:type="dxa"/>
            <w:vAlign w:val="top"/>
            <w:vMerge w:val="restart"/>
            <w:tcBorders>
              <w:bottom w:val="nil"/>
            </w:tcBorders>
          </w:tcPr>
          <w:p>
            <w:pPr>
              <w:spacing w:line="293" w:lineRule="auto"/>
              <w:rPr>
                <w:rFonts w:ascii="Arial"/>
                <w:sz w:val="21"/>
              </w:rPr>
            </w:pPr>
            <w:r/>
          </w:p>
          <w:p>
            <w:pPr>
              <w:ind w:left="749" w:right="139"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84" w:type="dxa"/>
            <w:vAlign w:val="top"/>
            <w:vMerge w:val="restart"/>
            <w:tcBorders>
              <w:bottom w:val="nil"/>
            </w:tcBorders>
          </w:tcPr>
          <w:p>
            <w:pPr>
              <w:spacing w:line="450" w:lineRule="auto"/>
              <w:rPr>
                <w:rFonts w:ascii="Arial"/>
                <w:sz w:val="21"/>
              </w:rPr>
            </w:pPr>
            <w:r/>
          </w:p>
          <w:p>
            <w:pPr>
              <w:ind w:left="3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1"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1" w:type="dxa"/>
            <w:vAlign w:val="top"/>
          </w:tcPr>
          <w:p>
            <w:pPr>
              <w:ind w:left="45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718" w:type="dxa"/>
            <w:vAlign w:val="top"/>
            <w:vMerge w:val="continue"/>
            <w:tcBorders>
              <w:top w:val="nil"/>
              <w:bottom w:val="nil"/>
            </w:tcBorders>
          </w:tcPr>
          <w:p>
            <w:pPr>
              <w:rPr>
                <w:rFonts w:ascii="Arial"/>
                <w:sz w:val="21"/>
              </w:rPr>
            </w:pPr>
            <w:r/>
          </w:p>
        </w:tc>
        <w:tc>
          <w:tcPr>
            <w:tcW w:w="984" w:type="dxa"/>
            <w:vAlign w:val="top"/>
            <w:vMerge w:val="continue"/>
            <w:tcBorders>
              <w:top w:val="nil"/>
              <w:bottom w:val="nil"/>
            </w:tcBorders>
          </w:tcPr>
          <w:p>
            <w:pPr>
              <w:rPr>
                <w:rFonts w:ascii="Arial"/>
                <w:sz w:val="21"/>
              </w:rPr>
            </w:pPr>
            <w:r/>
          </w:p>
        </w:tc>
        <w:tc>
          <w:tcPr>
            <w:tcW w:w="319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1"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718" w:type="dxa"/>
            <w:vAlign w:val="top"/>
            <w:vMerge w:val="continue"/>
            <w:tcBorders>
              <w:top w:val="nil"/>
              <w:bottom w:val="nil"/>
            </w:tcBorders>
          </w:tcPr>
          <w:p>
            <w:pPr>
              <w:rPr>
                <w:rFonts w:ascii="Arial"/>
                <w:sz w:val="21"/>
              </w:rPr>
            </w:pPr>
            <w:r/>
          </w:p>
        </w:tc>
        <w:tc>
          <w:tcPr>
            <w:tcW w:w="984" w:type="dxa"/>
            <w:vAlign w:val="top"/>
            <w:vMerge w:val="continue"/>
            <w:tcBorders>
              <w:top w:val="nil"/>
              <w:bottom w:val="nil"/>
            </w:tcBorders>
          </w:tcPr>
          <w:p>
            <w:pPr>
              <w:rPr>
                <w:rFonts w:ascii="Arial"/>
                <w:sz w:val="21"/>
              </w:rPr>
            </w:pPr>
            <w:r/>
          </w:p>
        </w:tc>
        <w:tc>
          <w:tcPr>
            <w:tcW w:w="319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1"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718" w:type="dxa"/>
            <w:vAlign w:val="top"/>
            <w:vMerge w:val="continue"/>
            <w:tcBorders>
              <w:top w:val="nil"/>
            </w:tcBorders>
          </w:tcPr>
          <w:p>
            <w:pPr>
              <w:rPr>
                <w:rFonts w:ascii="Arial"/>
                <w:sz w:val="21"/>
              </w:rPr>
            </w:pPr>
            <w:r/>
          </w:p>
        </w:tc>
        <w:tc>
          <w:tcPr>
            <w:tcW w:w="984" w:type="dxa"/>
            <w:vAlign w:val="top"/>
            <w:vMerge w:val="continue"/>
            <w:tcBorders>
              <w:top w:val="nil"/>
            </w:tcBorders>
          </w:tcPr>
          <w:p>
            <w:pPr>
              <w:rPr>
                <w:rFonts w:ascii="Arial"/>
                <w:sz w:val="21"/>
              </w:rPr>
            </w:pPr>
            <w:r/>
          </w:p>
        </w:tc>
        <w:tc>
          <w:tcPr>
            <w:tcW w:w="319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1" w:type="dxa"/>
            <w:vAlign w:val="top"/>
          </w:tcPr>
          <w:p>
            <w:pPr>
              <w:ind w:left="39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18" w:type="dxa"/>
            <w:vAlign w:val="top"/>
            <w:vMerge w:val="restart"/>
            <w:tcBorders>
              <w:bottom w:val="nil"/>
            </w:tcBorders>
          </w:tcPr>
          <w:p>
            <w:pPr>
              <w:spacing w:line="444" w:lineRule="auto"/>
              <w:rPr>
                <w:rFonts w:ascii="Arial"/>
                <w:sz w:val="21"/>
              </w:rPr>
            </w:pPr>
            <w:r/>
          </w:p>
          <w:p>
            <w:pPr>
              <w:ind w:left="13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984" w:type="dxa"/>
            <w:vAlign w:val="top"/>
            <w:vMerge w:val="restart"/>
            <w:tcBorders>
              <w:bottom w:val="nil"/>
            </w:tcBorders>
          </w:tcPr>
          <w:p>
            <w:pPr>
              <w:spacing w:line="443" w:lineRule="auto"/>
              <w:rPr>
                <w:rFonts w:ascii="Arial"/>
                <w:sz w:val="21"/>
              </w:rPr>
            </w:pPr>
            <w:r/>
          </w:p>
          <w:p>
            <w:pPr>
              <w:ind w:left="33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1" w:type="dxa"/>
            <w:vAlign w:val="top"/>
          </w:tcPr>
          <w:p>
            <w:pPr>
              <w:ind w:left="45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718" w:type="dxa"/>
            <w:vAlign w:val="top"/>
            <w:vMerge w:val="continue"/>
            <w:tcBorders>
              <w:top w:val="nil"/>
              <w:bottom w:val="nil"/>
            </w:tcBorders>
          </w:tcPr>
          <w:p>
            <w:pPr>
              <w:rPr>
                <w:rFonts w:ascii="Arial"/>
                <w:sz w:val="21"/>
              </w:rPr>
            </w:pPr>
            <w:r/>
          </w:p>
        </w:tc>
        <w:tc>
          <w:tcPr>
            <w:tcW w:w="984" w:type="dxa"/>
            <w:vAlign w:val="top"/>
            <w:vMerge w:val="continue"/>
            <w:tcBorders>
              <w:top w:val="nil"/>
              <w:bottom w:val="nil"/>
            </w:tcBorders>
          </w:tcPr>
          <w:p>
            <w:pPr>
              <w:rPr>
                <w:rFonts w:ascii="Arial"/>
                <w:sz w:val="21"/>
              </w:rPr>
            </w:pPr>
            <w:r/>
          </w:p>
        </w:tc>
        <w:tc>
          <w:tcPr>
            <w:tcW w:w="3191" w:type="dxa"/>
            <w:vAlign w:val="top"/>
          </w:tcPr>
          <w:p>
            <w:pPr>
              <w:ind w:left="122" w:right="20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1" w:type="dxa"/>
            <w:vAlign w:val="top"/>
          </w:tcPr>
          <w:p>
            <w:pPr>
              <w:ind w:left="27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718" w:type="dxa"/>
            <w:vAlign w:val="top"/>
            <w:vMerge w:val="continue"/>
            <w:tcBorders>
              <w:top w:val="nil"/>
            </w:tcBorders>
          </w:tcPr>
          <w:p>
            <w:pPr>
              <w:rPr>
                <w:rFonts w:ascii="Arial"/>
                <w:sz w:val="21"/>
              </w:rPr>
            </w:pPr>
            <w:r/>
          </w:p>
        </w:tc>
        <w:tc>
          <w:tcPr>
            <w:tcW w:w="984" w:type="dxa"/>
            <w:vAlign w:val="top"/>
            <w:vMerge w:val="continue"/>
            <w:tcBorders>
              <w:top w:val="nil"/>
            </w:tcBorders>
          </w:tcPr>
          <w:p>
            <w:pPr>
              <w:rPr>
                <w:rFonts w:ascii="Arial"/>
                <w:sz w:val="21"/>
              </w:rPr>
            </w:pPr>
            <w:r/>
          </w:p>
        </w:tc>
        <w:tc>
          <w:tcPr>
            <w:tcW w:w="319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1" w:type="dxa"/>
            <w:vAlign w:val="top"/>
          </w:tcPr>
          <w:p>
            <w:pPr>
              <w:ind w:left="2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718" w:type="dxa"/>
            <w:vAlign w:val="top"/>
            <w:vMerge w:val="restart"/>
            <w:tcBorders>
              <w:bottom w:val="nil"/>
            </w:tcBorders>
          </w:tcPr>
          <w:p>
            <w:pPr>
              <w:ind w:left="619" w:right="139" w:hanging="480"/>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984" w:type="dxa"/>
            <w:vAlign w:val="top"/>
            <w:vMerge w:val="restart"/>
            <w:tcBorders>
              <w:bottom w:val="nil"/>
            </w:tcBorders>
          </w:tcPr>
          <w:p>
            <w:pPr>
              <w:ind w:left="334"/>
              <w:spacing w:before="21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1" w:type="dxa"/>
            <w:vAlign w:val="top"/>
          </w:tcPr>
          <w:p>
            <w:pPr>
              <w:ind w:left="119"/>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1" w:type="dxa"/>
            <w:vAlign w:val="top"/>
          </w:tcPr>
          <w:p>
            <w:pPr>
              <w:ind w:left="217"/>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718" w:type="dxa"/>
            <w:vAlign w:val="top"/>
            <w:vMerge w:val="continue"/>
            <w:tcBorders>
              <w:top w:val="nil"/>
            </w:tcBorders>
          </w:tcPr>
          <w:p>
            <w:pPr>
              <w:rPr>
                <w:rFonts w:ascii="Arial"/>
                <w:sz w:val="21"/>
              </w:rPr>
            </w:pPr>
            <w:r/>
          </w:p>
        </w:tc>
        <w:tc>
          <w:tcPr>
            <w:tcW w:w="984" w:type="dxa"/>
            <w:vAlign w:val="top"/>
            <w:vMerge w:val="continue"/>
            <w:tcBorders>
              <w:top w:val="nil"/>
            </w:tcBorders>
          </w:tcPr>
          <w:p>
            <w:pPr>
              <w:rPr>
                <w:rFonts w:ascii="Arial"/>
                <w:sz w:val="21"/>
              </w:rPr>
            </w:pPr>
            <w:r/>
          </w:p>
        </w:tc>
        <w:tc>
          <w:tcPr>
            <w:tcW w:w="319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1" w:type="dxa"/>
            <w:vAlign w:val="top"/>
          </w:tcPr>
          <w:p>
            <w:pPr>
              <w:ind w:left="45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ind w:left="135"/>
              <w:spacing w:before="4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718" w:type="dxa"/>
            <w:vAlign w:val="top"/>
            <w:vMerge w:val="restart"/>
            <w:tcBorders>
              <w:bottom w:val="nil"/>
            </w:tcBorders>
          </w:tcPr>
          <w:p>
            <w:pPr>
              <w:ind w:left="139"/>
              <w:spacing w:before="4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50"/>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50"/>
              <w:spacing w:before="3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84" w:type="dxa"/>
            <w:vAlign w:val="top"/>
            <w:vMerge w:val="restart"/>
            <w:tcBorders>
              <w:bottom w:val="nil"/>
            </w:tcBorders>
          </w:tcPr>
          <w:p>
            <w:pPr>
              <w:spacing w:line="284" w:lineRule="auto"/>
              <w:rPr>
                <w:rFonts w:ascii="Arial"/>
                <w:sz w:val="21"/>
              </w:rPr>
            </w:pPr>
            <w:r/>
          </w:p>
          <w:p>
            <w:pPr>
              <w:ind w:left="3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1" w:type="dxa"/>
            <w:vAlign w:val="top"/>
          </w:tcPr>
          <w:p>
            <w:pPr>
              <w:ind w:left="1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1" w:type="dxa"/>
            <w:vAlign w:val="top"/>
          </w:tcPr>
          <w:p>
            <w:pPr>
              <w:ind w:left="2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718" w:type="dxa"/>
            <w:vAlign w:val="top"/>
            <w:vMerge w:val="continue"/>
            <w:tcBorders>
              <w:top w:val="nil"/>
            </w:tcBorders>
          </w:tcPr>
          <w:p>
            <w:pPr>
              <w:rPr>
                <w:rFonts w:ascii="Arial"/>
                <w:sz w:val="21"/>
              </w:rPr>
            </w:pPr>
            <w:r/>
          </w:p>
        </w:tc>
        <w:tc>
          <w:tcPr>
            <w:tcW w:w="984" w:type="dxa"/>
            <w:vAlign w:val="top"/>
            <w:vMerge w:val="continue"/>
            <w:tcBorders>
              <w:top w:val="nil"/>
            </w:tcBorders>
          </w:tcPr>
          <w:p>
            <w:pPr>
              <w:rPr>
                <w:rFonts w:ascii="Arial"/>
                <w:sz w:val="21"/>
              </w:rPr>
            </w:pPr>
            <w:r/>
          </w:p>
        </w:tc>
        <w:tc>
          <w:tcPr>
            <w:tcW w:w="3191" w:type="dxa"/>
            <w:vAlign w:val="top"/>
          </w:tcPr>
          <w:p>
            <w:pPr>
              <w:ind w:left="134" w:right="200"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1" w:type="dxa"/>
            <w:vAlign w:val="top"/>
          </w:tcPr>
          <w:p>
            <w:pPr>
              <w:ind w:left="459"/>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51"/>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55"/>
              <w:spacing w:before="233" w:line="188" w:lineRule="auto"/>
              <w:rPr>
                <w:rFonts w:ascii="FangSong_GB2312" w:hAnsi="FangSong_GB2312" w:eastAsia="FangSong_GB2312" w:cs="FangSong_GB2312"/>
                <w:sz w:val="22"/>
                <w:szCs w:val="22"/>
              </w:rPr>
            </w:pPr>
            <w:r>
              <w:rPr>
                <w:rFonts w:ascii="FangSong_GB2312" w:hAnsi="FangSong_GB2312" w:eastAsia="FangSong_GB2312" w:cs="FangSong_GB2312"/>
                <w:sz w:val="22"/>
                <w:szCs w:val="22"/>
                <w:spacing w:val="-8"/>
              </w:rPr>
              <w:t>126</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未单独收集、存放开发建设过程中剥离的表土的</w:t>
            </w:r>
          </w:p>
        </w:tc>
      </w:tr>
      <w:tr>
        <w:trPr>
          <w:trHeight w:val="7806" w:hRule="atLeast"/>
        </w:trPr>
        <w:tc>
          <w:tcPr>
            <w:tcW w:w="145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7" w:right="106" w:firstLine="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第三十三条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b/>
                <w:bCs/>
                <w:spacing w:val="-4"/>
              </w:rPr>
              <w:t>第一款</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4"/>
              </w:rPr>
              <w:t>国家加强对土壤资源的保</w:t>
            </w:r>
            <w:r>
              <w:rPr>
                <w:rFonts w:ascii="FangSong_GB2312" w:hAnsi="FangSong_GB2312" w:eastAsia="FangSong_GB2312" w:cs="FangSong_GB2312"/>
                <w:sz w:val="24"/>
                <w:szCs w:val="24"/>
                <w:spacing w:val="-5"/>
              </w:rPr>
              <w:t>护和合理利用。对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开发建设过程中剥离的表土，应当单独收集和存放，符合条件的</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应当优先用于土地复垦、土壤改良、造地和绿化等。</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2.《中华人民共和国土壤污染防治法》</w:t>
            </w:r>
          </w:p>
          <w:p>
            <w:pPr>
              <w:ind w:left="113" w:right="171" w:firstLine="11"/>
              <w:spacing w:before="40"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府生态环境主管部门责令改正，处十万元以上五十万元以下的罚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款；情节严重的，处五十万元以上一百万元以下的罚款；有违法</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所得的，没收违法所得；对直接负责的主管人员和其他直接责任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人员处五千元以上二万元以下的罚款：</w:t>
            </w:r>
          </w:p>
          <w:p>
            <w:pPr>
              <w:ind w:left="107"/>
              <w:spacing w:before="3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（一）未单独收集、存放开发建设过程中</w:t>
            </w:r>
            <w:r>
              <w:rPr>
                <w:rFonts w:ascii="FangSong_GB2312" w:hAnsi="FangSong_GB2312" w:eastAsia="FangSong_GB2312" w:cs="FangSong_GB2312"/>
                <w:sz w:val="24"/>
                <w:szCs w:val="24"/>
                <w:spacing w:val="-1"/>
              </w:rPr>
              <w:t>剥离的表土的；</w:t>
            </w:r>
          </w:p>
          <w:p>
            <w:pPr>
              <w:spacing w:line="263"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17" w:right="176" w:firstLine="6"/>
              <w:spacing w:before="35"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第三十二条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2"/>
              </w:rPr>
              <w:t>本省加强对土壤资源的保护和合理利用。对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开发建设过程中剥离的表土，应当单独收集和存放，符合条件的</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应当优先用于土地复垦、土壤改良、造地和绿化等。</w:t>
            </w:r>
          </w:p>
          <w:p>
            <w:pPr>
              <w:spacing w:line="263"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2" w:right="46" w:firstLine="12"/>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部门责令改正，处十万元以上五十万元以下的罚款；情</w:t>
            </w:r>
            <w:r>
              <w:rPr>
                <w:rFonts w:ascii="FangSong_GB2312" w:hAnsi="FangSong_GB2312" w:eastAsia="FangSong_GB2312" w:cs="FangSong_GB2312"/>
                <w:sz w:val="24"/>
                <w:szCs w:val="24"/>
                <w:spacing w:val="-5"/>
              </w:rPr>
              <w:t>节严重的，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处五十万元以上一百万元以下的罚款；有违法所得的，没收违法</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所得；对直接负责的主管人员和其他直接责任人员处五千元以上</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二万元以下的罚款：</w:t>
            </w:r>
          </w:p>
          <w:p>
            <w:pPr>
              <w:ind w:left="107"/>
              <w:spacing w:before="32"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（一）未单独收集、存放开发建设过程中剥离的表土的；</w:t>
            </w:r>
          </w:p>
        </w:tc>
      </w:tr>
      <w:tr>
        <w:trPr>
          <w:trHeight w:val="635" w:hRule="atLeast"/>
        </w:trPr>
        <w:tc>
          <w:tcPr>
            <w:tcW w:w="4135" w:type="dxa"/>
            <w:vAlign w:val="top"/>
            <w:gridSpan w:val="3"/>
          </w:tcPr>
          <w:p>
            <w:pPr>
              <w:ind w:left="151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439"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08" w:right="211" w:firstLine="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建设过程中剥离的表土与固</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体废物、生活垃圾混入的</w:t>
            </w:r>
          </w:p>
        </w:tc>
        <w:tc>
          <w:tcPr>
            <w:tcW w:w="1122" w:type="dxa"/>
            <w:vAlign w:val="top"/>
          </w:tcPr>
          <w:p>
            <w:pPr>
              <w:ind w:left="22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5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3" w:right="211" w:hanging="1"/>
              <w:spacing w:before="45"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建设过程中剥离的表土混入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有毒有害物体，影响回填使</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5"/>
              </w:rPr>
              <w:t>用的</w:t>
            </w:r>
          </w:p>
        </w:tc>
        <w:tc>
          <w:tcPr>
            <w:tcW w:w="1122" w:type="dxa"/>
            <w:vAlign w:val="top"/>
          </w:tcPr>
          <w:p>
            <w:pPr>
              <w:spacing w:line="278"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bl>
    <w:p>
      <w:pPr>
        <w:pStyle w:val="BodyText"/>
        <w:rPr/>
      </w:pPr>
      <w:r/>
    </w:p>
    <w:p>
      <w:pPr>
        <w:sectPr>
          <w:footerReference w:type="default" r:id="rId25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1"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2"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1"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38" w:hRule="atLeast"/>
        </w:trPr>
        <w:tc>
          <w:tcPr>
            <w:tcW w:w="1454" w:type="dxa"/>
            <w:vAlign w:val="top"/>
            <w:vMerge w:val="restart"/>
            <w:tcBorders>
              <w:bottom w:val="nil"/>
            </w:tcBorders>
          </w:tcPr>
          <w:p>
            <w:pPr>
              <w:ind w:left="135"/>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1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91"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5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5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53"/>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8458" w:type="dxa"/>
            <w:vAlign w:val="top"/>
            <w:gridSpan w:val="5"/>
          </w:tcPr>
          <w:p>
            <w:pPr>
              <w:ind w:left="228"/>
              <w:spacing w:before="79"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4"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127</w:t>
            </w:r>
          </w:p>
        </w:tc>
      </w:tr>
      <w:tr>
        <w:trPr>
          <w:trHeight w:val="635" w:hRule="atLeast"/>
        </w:trPr>
        <w:tc>
          <w:tcPr>
            <w:tcW w:w="1454" w:type="dxa"/>
            <w:vAlign w:val="top"/>
          </w:tcPr>
          <w:p>
            <w:pPr>
              <w:ind w:left="17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4"/>
              <w:spacing w:before="19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实施风险管控、修复活动对土壤、周边环境造成新的污染的</w:t>
            </w:r>
          </w:p>
        </w:tc>
      </w:tr>
      <w:tr>
        <w:trPr>
          <w:trHeight w:val="8143" w:hRule="atLeast"/>
        </w:trPr>
        <w:tc>
          <w:tcPr>
            <w:tcW w:w="145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2" w:right="169" w:firstLine="12"/>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实施风险管控、修复活动，</w:t>
            </w:r>
            <w:r>
              <w:rPr>
                <w:rFonts w:ascii="FangSong_GB2312" w:hAnsi="FangSong_GB2312" w:eastAsia="FangSong_GB2312" w:cs="FangSong_GB2312"/>
                <w:sz w:val="24"/>
                <w:szCs w:val="24"/>
                <w:spacing w:val="-2"/>
              </w:rPr>
              <w:t>不得对土壤和周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边环境造成新的污染。</w:t>
            </w:r>
          </w:p>
          <w:p>
            <w:pPr>
              <w:spacing w:line="274"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3" w:right="171" w:firstLine="11"/>
              <w:spacing w:before="37"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府生态环境主管部门责令改正，处十万元以上五十万元以下的罚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款；情节严重的，处五十万元以上一百万元以下的罚款；有违法</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所得的，没收违法所得；对直接负责的主管人员和其他直接责任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人员处五千元以上二万元以下的罚款：</w:t>
            </w:r>
          </w:p>
          <w:p>
            <w:pPr>
              <w:ind w:left="132" w:right="109" w:hanging="25"/>
              <w:spacing w:before="3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（二）实施风险管控、修复活动对土壤、周边环境造成新的污染</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5"/>
              </w:rPr>
              <w:t>的；</w:t>
            </w:r>
          </w:p>
          <w:p>
            <w:pPr>
              <w:spacing w:line="267"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12" w:right="109" w:firstLine="12"/>
              <w:spacing w:before="38"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实施风险管控、修复活动，不得</w:t>
            </w:r>
            <w:r>
              <w:rPr>
                <w:rFonts w:ascii="FangSong_GB2312" w:hAnsi="FangSong_GB2312" w:eastAsia="FangSong_GB2312" w:cs="FangSong_GB2312"/>
                <w:sz w:val="24"/>
                <w:szCs w:val="24"/>
              </w:rPr>
              <w:t>对土壤和周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边环境造成新的污染。对活动中产生的废水、废气和固体废物，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应当按照法律、法规和相关标准的要求进行处理、处置。</w:t>
            </w:r>
          </w:p>
          <w:p>
            <w:pPr>
              <w:spacing w:line="266"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2" w:right="46" w:firstLine="12"/>
              <w:spacing w:before="33"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部门责令改正，处十万元以上五十万元以下的罚款；情</w:t>
            </w:r>
            <w:r>
              <w:rPr>
                <w:rFonts w:ascii="FangSong_GB2312" w:hAnsi="FangSong_GB2312" w:eastAsia="FangSong_GB2312" w:cs="FangSong_GB2312"/>
                <w:sz w:val="24"/>
                <w:szCs w:val="24"/>
                <w:spacing w:val="-5"/>
              </w:rPr>
              <w:t>节严重的，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处五十万元以上一百万元以下的罚款；有违法所得的，没收违法</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所得；对直接负责的主管人员和其他直接责任人员处五千元以上</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二万元以下的罚款：</w:t>
            </w:r>
          </w:p>
          <w:p>
            <w:pPr>
              <w:ind w:left="132" w:right="109" w:hanging="25"/>
              <w:spacing w:before="3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（二）实施风险管控、修复活动对土壤、周边环境造成新的污染</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5"/>
              </w:rPr>
              <w:t>的；</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84"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43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43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right="211" w:firstLine="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对工业用地土壤、周边环境</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造成新的污染的</w:t>
            </w:r>
          </w:p>
        </w:tc>
        <w:tc>
          <w:tcPr>
            <w:tcW w:w="1122" w:type="dxa"/>
            <w:vAlign w:val="top"/>
          </w:tcPr>
          <w:p>
            <w:pPr>
              <w:ind w:left="22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right="211" w:firstLine="1"/>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对农业用地土壤、周边环境</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造成新的污染的</w:t>
            </w:r>
          </w:p>
        </w:tc>
        <w:tc>
          <w:tcPr>
            <w:tcW w:w="1122" w:type="dxa"/>
            <w:vAlign w:val="top"/>
          </w:tcPr>
          <w:p>
            <w:pPr>
              <w:ind w:left="1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bl>
    <w:p>
      <w:pPr>
        <w:pStyle w:val="BodyText"/>
        <w:rPr/>
      </w:pPr>
      <w:r/>
    </w:p>
    <w:p>
      <w:pPr>
        <w:sectPr>
          <w:footerReference w:type="default" r:id="rId25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1"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2"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1"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9" w:hRule="atLeast"/>
        </w:trPr>
        <w:tc>
          <w:tcPr>
            <w:tcW w:w="1454" w:type="dxa"/>
            <w:vAlign w:val="top"/>
            <w:vMerge w:val="restart"/>
            <w:tcBorders>
              <w:bottom w:val="nil"/>
            </w:tcBorders>
          </w:tcPr>
          <w:p>
            <w:pPr>
              <w:ind w:left="135"/>
              <w:spacing w:before="8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3"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55"/>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78"/>
        <w:gridCol w:w="739"/>
        <w:gridCol w:w="3330"/>
        <w:gridCol w:w="1057"/>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128</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40" w:right="176" w:hanging="16"/>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转运污染土壤，未将运输时间、方式、线路和污染土壤数量、去</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向、最终处置措施等提前报所在地和接收地生态环境主管部门的</w:t>
            </w:r>
          </w:p>
        </w:tc>
      </w:tr>
      <w:tr>
        <w:trPr>
          <w:trHeight w:val="9429" w:hRule="atLeast"/>
        </w:trPr>
        <w:tc>
          <w:tcPr>
            <w:tcW w:w="145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3" w:right="106" w:firstLine="11"/>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修复施工单位转运污染土壤的，应</w:t>
            </w:r>
            <w:r>
              <w:rPr>
                <w:rFonts w:ascii="FangSong_GB2312" w:hAnsi="FangSong_GB2312" w:eastAsia="FangSong_GB2312" w:cs="FangSong_GB2312"/>
                <w:sz w:val="24"/>
                <w:szCs w:val="24"/>
                <w:spacing w:val="-4"/>
              </w:rPr>
              <w:t>当制定转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运计划，将运输时间、方式、线路和污染土壤数量、去向、最终</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处置措施等，提前报所在地和接收地生态环境主管部门。</w:t>
            </w:r>
          </w:p>
          <w:p>
            <w:pPr>
              <w:ind w:left="121"/>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3" w:right="171"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府生态环境主管部门责令改正，处十万元以上五十万元以下的罚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款；情节严重的，处五十万元以上一百万元以下的罚款；有违法</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所得的，没收违法所得；对直接负责的主管人员和其他直接责任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人员处五千元以上二万元以下的罚款：</w:t>
            </w:r>
          </w:p>
          <w:p>
            <w:pPr>
              <w:ind w:left="111" w:right="176" w:hanging="4"/>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（三）转运污染土壤，未将运输时间、方式、线</w:t>
            </w:r>
            <w:r>
              <w:rPr>
                <w:rFonts w:ascii="FangSong_GB2312" w:hAnsi="FangSong_GB2312" w:eastAsia="FangSong_GB2312" w:cs="FangSong_GB2312"/>
                <w:sz w:val="24"/>
                <w:szCs w:val="24"/>
                <w:spacing w:val="-1"/>
              </w:rPr>
              <w:t>路和污染土壤数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量、去向、最终处置措施等提前报所在地和接收地生态环境主管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部门的；</w:t>
            </w:r>
          </w:p>
          <w:p>
            <w:pPr>
              <w:spacing w:line="272"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10" w:right="46" w:firstLine="14"/>
              <w:spacing w:before="35"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修复施工单位转运污染土壤的，应当制定转运计划，将</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运输时间、方式、线路和污染土壤数量、去向、最终处置措</w:t>
            </w:r>
            <w:r>
              <w:rPr>
                <w:rFonts w:ascii="FangSong_GB2312" w:hAnsi="FangSong_GB2312" w:eastAsia="FangSong_GB2312" w:cs="FangSong_GB2312"/>
                <w:sz w:val="24"/>
                <w:szCs w:val="24"/>
                <w:spacing w:val="-5"/>
              </w:rPr>
              <w:t>施等，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提前报所在地和接收地生态环境主管部门。</w:t>
            </w:r>
            <w:r>
              <w:rPr>
                <w:rFonts w:ascii="FangSong_GB2312" w:hAnsi="FangSong_GB2312" w:eastAsia="FangSong_GB2312" w:cs="FangSong_GB2312"/>
                <w:sz w:val="24"/>
                <w:szCs w:val="24"/>
                <w:spacing w:val="-1"/>
              </w:rPr>
              <w:t>转运的污染土壤属于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危险废物的，修复施工单位应当按照法律、</w:t>
            </w:r>
            <w:r>
              <w:rPr>
                <w:rFonts w:ascii="FangSong_GB2312" w:hAnsi="FangSong_GB2312" w:eastAsia="FangSong_GB2312" w:cs="FangSong_GB2312"/>
                <w:sz w:val="24"/>
                <w:szCs w:val="24"/>
                <w:spacing w:val="-1"/>
              </w:rPr>
              <w:t>法规和相关标准的要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求进行处置。</w:t>
            </w:r>
          </w:p>
          <w:p>
            <w:pPr>
              <w:spacing w:line="269"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2" w:right="46" w:firstLine="12"/>
              <w:spacing w:before="31"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部门责令改正，处十万元以上五十万元以下的罚款；情</w:t>
            </w:r>
            <w:r>
              <w:rPr>
                <w:rFonts w:ascii="FangSong_GB2312" w:hAnsi="FangSong_GB2312" w:eastAsia="FangSong_GB2312" w:cs="FangSong_GB2312"/>
                <w:sz w:val="24"/>
                <w:szCs w:val="24"/>
                <w:spacing w:val="-5"/>
              </w:rPr>
              <w:t>节严重的，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处五十万元以上一百万元以下的罚款；有违法所得的，没收违法</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所得；对直接负责的主管人员和其他直接责任人员处五千元以上</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二万元以下的罚款：</w:t>
            </w:r>
          </w:p>
          <w:p>
            <w:pPr>
              <w:ind w:left="111" w:right="176" w:hanging="4"/>
              <w:spacing w:before="3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（三）转运污染土壤，未将运输时间、方式、线</w:t>
            </w:r>
            <w:r>
              <w:rPr>
                <w:rFonts w:ascii="FangSong_GB2312" w:hAnsi="FangSong_GB2312" w:eastAsia="FangSong_GB2312" w:cs="FangSong_GB2312"/>
                <w:sz w:val="24"/>
                <w:szCs w:val="24"/>
                <w:spacing w:val="-1"/>
              </w:rPr>
              <w:t>路和污染土壤数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量、去向、最终处置措施等提前报所在地和接收地生态环境主管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部门的；</w:t>
            </w:r>
          </w:p>
        </w:tc>
      </w:tr>
      <w:tr>
        <w:trPr>
          <w:trHeight w:val="635" w:hRule="atLeast"/>
        </w:trPr>
        <w:tc>
          <w:tcPr>
            <w:tcW w:w="4071" w:type="dxa"/>
            <w:vAlign w:val="top"/>
            <w:gridSpan w:val="3"/>
          </w:tcPr>
          <w:p>
            <w:pPr>
              <w:ind w:left="148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87" w:type="dxa"/>
            <w:vAlign w:val="top"/>
            <w:gridSpan w:val="2"/>
          </w:tcPr>
          <w:p>
            <w:pPr>
              <w:ind w:left="165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7"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78" w:type="dxa"/>
            <w:vAlign w:val="top"/>
          </w:tcPr>
          <w:p>
            <w:pPr>
              <w:ind w:left="509"/>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39" w:type="dxa"/>
            <w:vAlign w:val="top"/>
          </w:tcPr>
          <w:p>
            <w:pPr>
              <w:ind w:left="185" w:right="147" w:hanging="32"/>
              <w:spacing w:before="52"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30" w:type="dxa"/>
            <w:vAlign w:val="top"/>
          </w:tcPr>
          <w:p>
            <w:pPr>
              <w:ind w:left="1454"/>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57" w:type="dxa"/>
            <w:vAlign w:val="top"/>
          </w:tcPr>
          <w:p>
            <w:pPr>
              <w:ind w:left="212"/>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bl>
    <w:p>
      <w:pPr>
        <w:pStyle w:val="BodyText"/>
        <w:rPr/>
      </w:pPr>
      <w:r/>
    </w:p>
    <w:p>
      <w:pPr>
        <w:sectPr>
          <w:footerReference w:type="default" r:id="rId256"/>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878"/>
        <w:gridCol w:w="739"/>
        <w:gridCol w:w="3330"/>
        <w:gridCol w:w="1057"/>
      </w:tblGrid>
      <w:tr>
        <w:trPr>
          <w:trHeight w:val="324" w:hRule="atLeast"/>
        </w:trPr>
        <w:tc>
          <w:tcPr>
            <w:tcW w:w="1454"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78" w:type="dxa"/>
            <w:vAlign w:val="top"/>
            <w:vMerge w:val="restart"/>
            <w:tcBorders>
              <w:bottom w:val="nil"/>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ind w:left="22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39" w:type="dxa"/>
            <w:vAlign w:val="top"/>
            <w:vMerge w:val="restart"/>
            <w:tcBorders>
              <w:bottom w:val="nil"/>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ind w:left="203"/>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330" w:type="dxa"/>
            <w:vAlign w:val="top"/>
          </w:tcPr>
          <w:p>
            <w:pPr>
              <w:ind w:left="13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涉及污染土壤数量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6"/>
              </w:rPr>
              <w:t>吨以下的</w:t>
            </w:r>
          </w:p>
        </w:tc>
        <w:tc>
          <w:tcPr>
            <w:tcW w:w="1057" w:type="dxa"/>
            <w:vAlign w:val="top"/>
          </w:tcPr>
          <w:p>
            <w:pPr>
              <w:ind w:left="18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4" w:hRule="atLeast"/>
        </w:trPr>
        <w:tc>
          <w:tcPr>
            <w:tcW w:w="1454" w:type="dxa"/>
            <w:vAlign w:val="top"/>
            <w:vMerge w:val="continue"/>
            <w:tcBorders>
              <w:top w:val="nil"/>
              <w:bottom w:val="nil"/>
            </w:tcBorders>
          </w:tcPr>
          <w:p>
            <w:pPr>
              <w:rPr>
                <w:rFonts w:ascii="Arial"/>
                <w:sz w:val="21"/>
              </w:rPr>
            </w:pPr>
            <w:r/>
          </w:p>
        </w:tc>
        <w:tc>
          <w:tcPr>
            <w:tcW w:w="1878"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330" w:type="dxa"/>
            <w:vAlign w:val="top"/>
          </w:tcPr>
          <w:p>
            <w:pPr>
              <w:ind w:left="129" w:right="103" w:firstLine="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涉及污染土壤数量</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7"/>
              </w:rPr>
              <w:t>5</w:t>
            </w:r>
            <w:r>
              <w:rPr>
                <w:rFonts w:ascii="FangSong_GB2312" w:hAnsi="FangSong_GB2312" w:eastAsia="FangSong_GB2312" w:cs="FangSong_GB2312"/>
                <w:sz w:val="24"/>
                <w:szCs w:val="24"/>
                <w:spacing w:val="-57"/>
              </w:rPr>
              <w:t xml:space="preserve"> </w:t>
            </w:r>
            <w:r>
              <w:rPr>
                <w:rFonts w:ascii="FangSong_GB2312" w:hAnsi="FangSong_GB2312" w:eastAsia="FangSong_GB2312" w:cs="FangSong_GB2312"/>
                <w:sz w:val="24"/>
                <w:szCs w:val="24"/>
                <w:spacing w:val="-7"/>
              </w:rPr>
              <w:t>吨以上</w:t>
            </w:r>
            <w:r>
              <w:rPr>
                <w:rFonts w:ascii="FangSong_GB2312" w:hAnsi="FangSong_GB2312" w:eastAsia="FangSong_GB2312" w:cs="FangSong_GB2312"/>
                <w:sz w:val="24"/>
                <w:szCs w:val="24"/>
                <w:spacing w:val="-57"/>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057" w:type="dxa"/>
            <w:vAlign w:val="top"/>
          </w:tcPr>
          <w:p>
            <w:pPr>
              <w:ind w:left="473" w:right="166" w:hanging="284"/>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11%-20</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w:t>
            </w:r>
          </w:p>
        </w:tc>
      </w:tr>
      <w:tr>
        <w:trPr>
          <w:trHeight w:val="634" w:hRule="atLeast"/>
        </w:trPr>
        <w:tc>
          <w:tcPr>
            <w:tcW w:w="1454" w:type="dxa"/>
            <w:vAlign w:val="top"/>
            <w:vMerge w:val="continue"/>
            <w:tcBorders>
              <w:top w:val="nil"/>
              <w:bottom w:val="nil"/>
            </w:tcBorders>
          </w:tcPr>
          <w:p>
            <w:pPr>
              <w:rPr>
                <w:rFonts w:ascii="Arial"/>
                <w:sz w:val="21"/>
              </w:rPr>
            </w:pPr>
            <w:r/>
          </w:p>
        </w:tc>
        <w:tc>
          <w:tcPr>
            <w:tcW w:w="1878"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330" w:type="dxa"/>
            <w:vAlign w:val="top"/>
          </w:tcPr>
          <w:p>
            <w:pPr>
              <w:ind w:left="131"/>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涉及污染土壤数量</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25"/>
              <w:spacing w:before="3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吨以下的</w:t>
            </w:r>
          </w:p>
        </w:tc>
        <w:tc>
          <w:tcPr>
            <w:tcW w:w="1057" w:type="dxa"/>
            <w:vAlign w:val="top"/>
          </w:tcPr>
          <w:p>
            <w:pPr>
              <w:ind w:left="474" w:right="166" w:hanging="29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21%-30</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w:t>
            </w:r>
          </w:p>
        </w:tc>
      </w:tr>
      <w:tr>
        <w:trPr>
          <w:trHeight w:val="634" w:hRule="atLeast"/>
        </w:trPr>
        <w:tc>
          <w:tcPr>
            <w:tcW w:w="1454" w:type="dxa"/>
            <w:vAlign w:val="top"/>
            <w:vMerge w:val="continue"/>
            <w:tcBorders>
              <w:top w:val="nil"/>
            </w:tcBorders>
          </w:tcPr>
          <w:p>
            <w:pPr>
              <w:rPr>
                <w:rFonts w:ascii="Arial"/>
                <w:sz w:val="21"/>
              </w:rPr>
            </w:pPr>
            <w:r/>
          </w:p>
        </w:tc>
        <w:tc>
          <w:tcPr>
            <w:tcW w:w="1878"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3330" w:type="dxa"/>
            <w:vAlign w:val="top"/>
          </w:tcPr>
          <w:p>
            <w:pPr>
              <w:ind w:left="136" w:right="218" w:hanging="5"/>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涉及污染土壤数量</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057" w:type="dxa"/>
            <w:vAlign w:val="top"/>
          </w:tcPr>
          <w:p>
            <w:pPr>
              <w:ind w:left="474" w:right="166" w:hanging="28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78" w:type="dxa"/>
            <w:vAlign w:val="top"/>
            <w:vMerge w:val="restart"/>
            <w:tcBorders>
              <w:bottom w:val="nil"/>
            </w:tcBorders>
          </w:tcPr>
          <w:p>
            <w:pPr>
              <w:spacing w:line="292" w:lineRule="auto"/>
              <w:rPr>
                <w:rFonts w:ascii="Arial"/>
                <w:sz w:val="21"/>
              </w:rPr>
            </w:pPr>
            <w:r/>
          </w:p>
          <w:p>
            <w:pPr>
              <w:ind w:left="831" w:right="217"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39" w:type="dxa"/>
            <w:vAlign w:val="top"/>
            <w:vMerge w:val="restart"/>
            <w:tcBorders>
              <w:bottom w:val="nil"/>
            </w:tcBorders>
          </w:tcPr>
          <w:p>
            <w:pPr>
              <w:spacing w:line="449" w:lineRule="auto"/>
              <w:rPr>
                <w:rFonts w:ascii="Arial"/>
                <w:sz w:val="21"/>
              </w:rPr>
            </w:pPr>
            <w:r/>
          </w:p>
          <w:p>
            <w:pPr>
              <w:ind w:left="20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0"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57" w:type="dxa"/>
            <w:vAlign w:val="top"/>
          </w:tcPr>
          <w:p>
            <w:pPr>
              <w:ind w:left="4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878"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330"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57" w:type="dxa"/>
            <w:vAlign w:val="top"/>
          </w:tcPr>
          <w:p>
            <w:pPr>
              <w:ind w:left="36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878"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330"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57" w:type="dxa"/>
            <w:vAlign w:val="top"/>
          </w:tcPr>
          <w:p>
            <w:pPr>
              <w:ind w:left="36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878"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3330"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57" w:type="dxa"/>
            <w:vAlign w:val="top"/>
          </w:tcPr>
          <w:p>
            <w:pPr>
              <w:ind w:left="36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78" w:type="dxa"/>
            <w:vAlign w:val="top"/>
            <w:vMerge w:val="restart"/>
            <w:tcBorders>
              <w:bottom w:val="nil"/>
            </w:tcBorders>
          </w:tcPr>
          <w:p>
            <w:pPr>
              <w:spacing w:line="443" w:lineRule="auto"/>
              <w:rPr>
                <w:rFonts w:ascii="Arial"/>
                <w:sz w:val="21"/>
              </w:rPr>
            </w:pPr>
            <w:r/>
          </w:p>
          <w:p>
            <w:pPr>
              <w:ind w:left="221"/>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39" w:type="dxa"/>
            <w:vAlign w:val="top"/>
            <w:vMerge w:val="restart"/>
            <w:tcBorders>
              <w:bottom w:val="nil"/>
            </w:tcBorders>
          </w:tcPr>
          <w:p>
            <w:pPr>
              <w:spacing w:line="442" w:lineRule="auto"/>
              <w:rPr>
                <w:rFonts w:ascii="Arial"/>
                <w:sz w:val="21"/>
              </w:rPr>
            </w:pPr>
            <w:r/>
          </w:p>
          <w:p>
            <w:pPr>
              <w:ind w:left="21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0" w:type="dxa"/>
            <w:vAlign w:val="top"/>
          </w:tcPr>
          <w:p>
            <w:pPr>
              <w:ind w:left="1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57" w:type="dxa"/>
            <w:vAlign w:val="top"/>
          </w:tcPr>
          <w:p>
            <w:pPr>
              <w:ind w:left="43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878"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330" w:type="dxa"/>
            <w:vAlign w:val="top"/>
          </w:tcPr>
          <w:p>
            <w:pPr>
              <w:ind w:left="123" w:right="33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57" w:type="dxa"/>
            <w:vAlign w:val="top"/>
          </w:tcPr>
          <w:p>
            <w:pPr>
              <w:ind w:left="249"/>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878"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3330"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57" w:type="dxa"/>
            <w:vAlign w:val="top"/>
          </w:tcPr>
          <w:p>
            <w:pPr>
              <w:ind w:left="18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78" w:type="dxa"/>
            <w:vAlign w:val="top"/>
            <w:vMerge w:val="restart"/>
            <w:tcBorders>
              <w:bottom w:val="nil"/>
            </w:tcBorders>
          </w:tcPr>
          <w:p>
            <w:pPr>
              <w:ind w:left="701" w:right="217" w:hanging="480"/>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39" w:type="dxa"/>
            <w:vAlign w:val="top"/>
            <w:vMerge w:val="restart"/>
            <w:tcBorders>
              <w:bottom w:val="nil"/>
            </w:tcBorders>
          </w:tcPr>
          <w:p>
            <w:pPr>
              <w:ind w:left="210"/>
              <w:spacing w:before="21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0" w:type="dxa"/>
            <w:vAlign w:val="top"/>
          </w:tcPr>
          <w:p>
            <w:pPr>
              <w:ind w:left="120"/>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57" w:type="dxa"/>
            <w:vAlign w:val="top"/>
          </w:tcPr>
          <w:p>
            <w:pPr>
              <w:ind w:left="189"/>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878"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333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57" w:type="dxa"/>
            <w:vAlign w:val="top"/>
          </w:tcPr>
          <w:p>
            <w:pPr>
              <w:ind w:left="43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ind w:left="135"/>
              <w:spacing w:before="4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78" w:type="dxa"/>
            <w:vAlign w:val="top"/>
            <w:vMerge w:val="restart"/>
            <w:tcBorders>
              <w:bottom w:val="nil"/>
            </w:tcBorders>
          </w:tcPr>
          <w:p>
            <w:pPr>
              <w:ind w:left="221"/>
              <w:spacing w:before="4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2"/>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2"/>
              <w:spacing w:before="3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39" w:type="dxa"/>
            <w:vAlign w:val="top"/>
            <w:vMerge w:val="restart"/>
            <w:tcBorders>
              <w:bottom w:val="nil"/>
            </w:tcBorders>
          </w:tcPr>
          <w:p>
            <w:pPr>
              <w:spacing w:line="284" w:lineRule="auto"/>
              <w:rPr>
                <w:rFonts w:ascii="Arial"/>
                <w:sz w:val="21"/>
              </w:rPr>
            </w:pPr>
            <w:r/>
          </w:p>
          <w:p>
            <w:pPr>
              <w:ind w:left="20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0"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57" w:type="dxa"/>
            <w:vAlign w:val="top"/>
          </w:tcPr>
          <w:p>
            <w:pPr>
              <w:ind w:left="18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878"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3330" w:type="dxa"/>
            <w:vAlign w:val="top"/>
          </w:tcPr>
          <w:p>
            <w:pPr>
              <w:ind w:left="135" w:right="338"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57" w:type="dxa"/>
            <w:vAlign w:val="top"/>
          </w:tcPr>
          <w:p>
            <w:pPr>
              <w:ind w:left="43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57"/>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129</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right="176"/>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未达到土壤污染风险评估报告确定的风险管控、修复目标的建设</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用地地块，开工建设与风险管控、修复无关的项目的</w:t>
            </w:r>
          </w:p>
        </w:tc>
      </w:tr>
      <w:tr>
        <w:trPr>
          <w:trHeight w:val="8480" w:hRule="atLeast"/>
        </w:trPr>
        <w:tc>
          <w:tcPr>
            <w:tcW w:w="145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07" w:right="35" w:firstLine="16"/>
              <w:spacing w:before="35"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未达到土壤污染风险评估报告</w:t>
            </w:r>
            <w:r>
              <w:rPr>
                <w:rFonts w:ascii="FangSong_GB2312" w:hAnsi="FangSong_GB2312" w:eastAsia="FangSong_GB2312" w:cs="FangSong_GB2312"/>
                <w:sz w:val="24"/>
                <w:szCs w:val="24"/>
                <w:spacing w:val="-2"/>
              </w:rPr>
              <w:t>确定的风险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管控、修复目标的建设用地地块，禁止开工建设任何与风险管控、</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修复无关的项目。</w:t>
            </w:r>
          </w:p>
          <w:p>
            <w:pPr>
              <w:spacing w:line="268"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3" w:right="171"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违反本法规定，有下列行为之一的，由地方人</w:t>
            </w:r>
            <w:r>
              <w:rPr>
                <w:rFonts w:ascii="FangSong_GB2312" w:hAnsi="FangSong_GB2312" w:eastAsia="FangSong_GB2312" w:cs="FangSong_GB2312"/>
                <w:sz w:val="24"/>
                <w:szCs w:val="24"/>
                <w:spacing w:val="-2"/>
              </w:rPr>
              <w:t>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府生态环境主管部门责令改正，处十万元以上五十万元以下的罚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款；情节严重的，处五十万元以上一百万元以下的罚款；有违法</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所得的，没收违法所得；对直接负责的主管人员和其他直接责任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人员处五千元以上二万元以下的罚款：</w:t>
            </w:r>
          </w:p>
          <w:p>
            <w:pPr>
              <w:ind w:left="132" w:right="176" w:hanging="25"/>
              <w:spacing w:before="39"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（四）未达到土壤污染风险评估报告确定的风险</w:t>
            </w:r>
            <w:r>
              <w:rPr>
                <w:rFonts w:ascii="FangSong_GB2312" w:hAnsi="FangSong_GB2312" w:eastAsia="FangSong_GB2312" w:cs="FangSong_GB2312"/>
                <w:sz w:val="24"/>
                <w:szCs w:val="24"/>
                <w:spacing w:val="-1"/>
              </w:rPr>
              <w:t>管控、修复目标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的建设用地地块，开工建设与风险管控、修复无关</w:t>
            </w:r>
            <w:r>
              <w:rPr>
                <w:rFonts w:ascii="FangSong_GB2312" w:hAnsi="FangSong_GB2312" w:eastAsia="FangSong_GB2312" w:cs="FangSong_GB2312"/>
                <w:sz w:val="24"/>
                <w:szCs w:val="24"/>
                <w:spacing w:val="-2"/>
              </w:rPr>
              <w:t>的项目的。</w:t>
            </w:r>
          </w:p>
          <w:p>
            <w:pPr>
              <w:spacing w:line="271" w:lineRule="auto"/>
              <w:rPr>
                <w:rFonts w:ascii="Arial"/>
                <w:sz w:val="21"/>
              </w:rPr>
            </w:pPr>
            <w:r/>
          </w:p>
          <w:p>
            <w:pPr>
              <w:ind w:left="1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07" w:right="35" w:firstLine="16"/>
              <w:spacing w:before="34"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第四款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未达到土壤污染风险评估报告</w:t>
            </w:r>
            <w:r>
              <w:rPr>
                <w:rFonts w:ascii="FangSong_GB2312" w:hAnsi="FangSong_GB2312" w:eastAsia="FangSong_GB2312" w:cs="FangSong_GB2312"/>
                <w:sz w:val="24"/>
                <w:szCs w:val="24"/>
                <w:spacing w:val="-2"/>
              </w:rPr>
              <w:t>确定的风险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管控、修复目标的建设用地地块，禁止开工建设任何与风险管控、</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修复无关的项目。</w:t>
            </w:r>
          </w:p>
          <w:p>
            <w:pPr>
              <w:spacing w:line="265" w:lineRule="auto"/>
              <w:rPr>
                <w:rFonts w:ascii="Arial"/>
                <w:sz w:val="21"/>
              </w:rPr>
            </w:pPr>
            <w:r/>
          </w:p>
          <w:p>
            <w:pPr>
              <w:ind w:left="12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2" w:right="46" w:firstLine="12"/>
              <w:spacing w:before="33"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违反本条例规定，有下列行为之一的，由生态环境主管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部门责令改正，处十万元以上五十万元以下的罚款；情</w:t>
            </w:r>
            <w:r>
              <w:rPr>
                <w:rFonts w:ascii="FangSong_GB2312" w:hAnsi="FangSong_GB2312" w:eastAsia="FangSong_GB2312" w:cs="FangSong_GB2312"/>
                <w:sz w:val="24"/>
                <w:szCs w:val="24"/>
                <w:spacing w:val="-5"/>
              </w:rPr>
              <w:t>节严重的，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处五十万元以上一百万元以下的罚款；有违法所得的，没收违法</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所得；对直接负责的主管人员和其他直接责任人员处五千元以上</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二万元以下的罚款：</w:t>
            </w:r>
          </w:p>
          <w:p>
            <w:pPr>
              <w:ind w:left="154" w:right="40" w:hanging="47"/>
              <w:spacing w:before="3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（四）未达到土壤污染风险评估报告确定的风险</w:t>
            </w:r>
            <w:r>
              <w:rPr>
                <w:rFonts w:ascii="FangSong_GB2312" w:hAnsi="FangSong_GB2312" w:eastAsia="FangSong_GB2312" w:cs="FangSong_GB2312"/>
                <w:sz w:val="24"/>
                <w:szCs w:val="24"/>
                <w:spacing w:val="-1"/>
              </w:rPr>
              <w:t>管控目标、修复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目标的建设用地地块，开工建设与风险管控、修复无关的项目的。</w:t>
            </w:r>
          </w:p>
        </w:tc>
      </w:tr>
      <w:tr>
        <w:trPr>
          <w:trHeight w:val="635" w:hRule="atLeast"/>
        </w:trPr>
        <w:tc>
          <w:tcPr>
            <w:tcW w:w="4135" w:type="dxa"/>
            <w:vAlign w:val="top"/>
            <w:gridSpan w:val="3"/>
          </w:tcPr>
          <w:p>
            <w:pPr>
              <w:ind w:left="151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81"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43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43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0" w:right="211" w:firstLine="3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已开工建设但主体工程未建</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rPr>
              <w:t>成</w:t>
            </w:r>
          </w:p>
        </w:tc>
        <w:tc>
          <w:tcPr>
            <w:tcW w:w="1122" w:type="dxa"/>
            <w:vAlign w:val="top"/>
          </w:tcPr>
          <w:p>
            <w:pPr>
              <w:ind w:left="22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8" w:right="211" w:hanging="4"/>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主体工程已建成但尚未投入</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生产或者使用的</w:t>
            </w:r>
          </w:p>
        </w:tc>
        <w:tc>
          <w:tcPr>
            <w:tcW w:w="1122" w:type="dxa"/>
            <w:vAlign w:val="top"/>
          </w:tcPr>
          <w:p>
            <w:pPr>
              <w:ind w:left="1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25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14" w:right="211" w:firstLine="1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主体工程已投入生产或者使</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用的</w:t>
            </w:r>
          </w:p>
        </w:tc>
        <w:tc>
          <w:tcPr>
            <w:tcW w:w="1122" w:type="dxa"/>
            <w:vAlign w:val="top"/>
          </w:tcPr>
          <w:p>
            <w:pPr>
              <w:ind w:left="1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9" w:hRule="atLeast"/>
        </w:trPr>
        <w:tc>
          <w:tcPr>
            <w:tcW w:w="1454" w:type="dxa"/>
            <w:vAlign w:val="top"/>
            <w:vMerge w:val="restart"/>
            <w:tcBorders>
              <w:bottom w:val="nil"/>
            </w:tcBorders>
          </w:tcPr>
          <w:p>
            <w:pPr>
              <w:spacing w:line="445"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5"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5"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2"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25" w:hRule="atLeast"/>
        </w:trPr>
        <w:tc>
          <w:tcPr>
            <w:tcW w:w="1454" w:type="dxa"/>
            <w:vAlign w:val="top"/>
            <w:vMerge w:val="restart"/>
            <w:tcBorders>
              <w:bottom w:val="nil"/>
            </w:tcBorders>
          </w:tcPr>
          <w:p>
            <w:pPr>
              <w:ind w:left="135"/>
              <w:spacing w:before="10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5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35"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5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130</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5"/>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土壤污染责任人或者土地使用权人未按照规定实施后期管理的</w:t>
            </w:r>
          </w:p>
        </w:tc>
      </w:tr>
      <w:tr>
        <w:trPr>
          <w:trHeight w:val="3153" w:hRule="atLeast"/>
        </w:trPr>
        <w:tc>
          <w:tcPr>
            <w:tcW w:w="1454"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3" w:right="106" w:firstLine="11"/>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第三款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风险管控、修复活动完成后，需要</w:t>
            </w:r>
            <w:r>
              <w:rPr>
                <w:rFonts w:ascii="FangSong_GB2312" w:hAnsi="FangSong_GB2312" w:eastAsia="FangSong_GB2312" w:cs="FangSong_GB2312"/>
                <w:sz w:val="24"/>
                <w:szCs w:val="24"/>
                <w:spacing w:val="-4"/>
              </w:rPr>
              <w:t>实施后期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管理的，土壤污染责任人应当按照要求实施后期管理。</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2" w:right="171" w:firstLine="12"/>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违反本法规定，土壤污染责任人或者土地使用</w:t>
            </w:r>
            <w:r>
              <w:rPr>
                <w:rFonts w:ascii="FangSong_GB2312" w:hAnsi="FangSong_GB2312" w:eastAsia="FangSong_GB2312" w:cs="FangSong_GB2312"/>
                <w:sz w:val="24"/>
                <w:szCs w:val="24"/>
                <w:spacing w:val="-2"/>
              </w:rPr>
              <w:t>权人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未按照规定实施后期管理的，由地方人民政府生态环境主管部门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或者其他负有土壤污染防治监督管理职责的部门责令改正，处一</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万元以上五万元以下的罚款；情节严重的，处五万元以上五十万</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元以下的罚款。</w:t>
            </w:r>
          </w:p>
        </w:tc>
      </w:tr>
      <w:tr>
        <w:trPr>
          <w:trHeight w:val="635" w:hRule="atLeast"/>
        </w:trPr>
        <w:tc>
          <w:tcPr>
            <w:tcW w:w="4135" w:type="dxa"/>
            <w:vAlign w:val="top"/>
            <w:gridSpan w:val="3"/>
          </w:tcPr>
          <w:p>
            <w:pPr>
              <w:ind w:left="1514"/>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ind w:left="495" w:right="122" w:hanging="360"/>
              <w:spacing w:before="24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25" w:lineRule="auto"/>
              <w:rPr>
                <w:rFonts w:ascii="Arial"/>
                <w:sz w:val="21"/>
              </w:rPr>
            </w:pPr>
            <w:r/>
          </w:p>
          <w:p>
            <w:pPr>
              <w:ind w:left="23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25"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1" w:right="211" w:firstLine="3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已实施后期管理，但未按照</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6"/>
              </w:rPr>
              <w:t>要求的</w:t>
            </w:r>
          </w:p>
        </w:tc>
        <w:tc>
          <w:tcPr>
            <w:tcW w:w="1122" w:type="dxa"/>
            <w:vAlign w:val="top"/>
          </w:tcPr>
          <w:p>
            <w:pPr>
              <w:ind w:left="22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未实施后期管理的</w:t>
            </w:r>
          </w:p>
        </w:tc>
        <w:tc>
          <w:tcPr>
            <w:tcW w:w="1122" w:type="dxa"/>
            <w:vAlign w:val="top"/>
          </w:tcPr>
          <w:p>
            <w:pPr>
              <w:ind w:left="157"/>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81" w:right="157" w:hanging="723"/>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查</w:t>
            </w:r>
          </w:p>
        </w:tc>
        <w:tc>
          <w:tcPr>
            <w:tcW w:w="685" w:type="dxa"/>
            <w:vAlign w:val="top"/>
            <w:vMerge w:val="restart"/>
            <w:tcBorders>
              <w:bottom w:val="nil"/>
            </w:tcBorders>
          </w:tcPr>
          <w:p>
            <w:pPr>
              <w:ind w:left="183"/>
              <w:spacing w:before="2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32" w:hRule="atLeast"/>
        </w:trPr>
        <w:tc>
          <w:tcPr>
            <w:tcW w:w="1454" w:type="dxa"/>
            <w:vAlign w:val="top"/>
            <w:vMerge w:val="restart"/>
            <w:tcBorders>
              <w:bottom w:val="nil"/>
            </w:tcBorders>
          </w:tcPr>
          <w:p>
            <w:pPr>
              <w:ind w:left="135"/>
              <w:spacing w:before="15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31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8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14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14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60"/>
          <w:pgSz w:w="11905" w:h="16839"/>
          <w:pgMar w:top="1431" w:right="1785" w:bottom="1156" w:left="1330"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150"/>
      </w:tblGrid>
      <w:tr>
        <w:trPr>
          <w:trHeight w:val="700" w:hRule="atLeast"/>
        </w:trPr>
        <w:tc>
          <w:tcPr>
            <w:tcW w:w="8540" w:type="dxa"/>
            <w:vAlign w:val="top"/>
            <w:gridSpan w:val="5"/>
          </w:tcPr>
          <w:p>
            <w:pPr>
              <w:ind w:left="269"/>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河北省生态环境行政处罚裁量规则（土壤类）</w:t>
            </w:r>
          </w:p>
        </w:tc>
      </w:tr>
      <w:tr>
        <w:trPr>
          <w:trHeight w:val="634" w:hRule="atLeast"/>
        </w:trPr>
        <w:tc>
          <w:tcPr>
            <w:tcW w:w="1454" w:type="dxa"/>
            <w:vAlign w:val="top"/>
          </w:tcPr>
          <w:p>
            <w:pPr>
              <w:ind w:left="451"/>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86" w:type="dxa"/>
            <w:vAlign w:val="top"/>
            <w:gridSpan w:val="4"/>
          </w:tcPr>
          <w:p>
            <w:pPr>
              <w:ind w:left="3384"/>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131</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86" w:type="dxa"/>
            <w:vAlign w:val="top"/>
            <w:gridSpan w:val="4"/>
          </w:tcPr>
          <w:p>
            <w:pPr>
              <w:ind w:left="107"/>
              <w:spacing w:before="19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被检查者拒不配合检查，或者在接受检查时弄虚作假的</w:t>
            </w:r>
          </w:p>
        </w:tc>
      </w:tr>
      <w:tr>
        <w:trPr>
          <w:trHeight w:val="3153" w:hRule="atLeast"/>
        </w:trPr>
        <w:tc>
          <w:tcPr>
            <w:tcW w:w="1454"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86" w:type="dxa"/>
            <w:vAlign w:val="top"/>
            <w:gridSpan w:val="4"/>
          </w:tcPr>
          <w:p>
            <w:pPr>
              <w:ind w:left="12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0" w:right="68" w:firstLine="14"/>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被检查者应当配合检查工作，如实反映</w:t>
            </w:r>
            <w:r>
              <w:rPr>
                <w:rFonts w:ascii="FangSong_GB2312" w:hAnsi="FangSong_GB2312" w:eastAsia="FangSong_GB2312" w:cs="FangSong_GB2312"/>
                <w:sz w:val="24"/>
                <w:szCs w:val="24"/>
                <w:spacing w:val="-4"/>
              </w:rPr>
              <w:t>情况，</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提供必要的资料。</w:t>
            </w:r>
          </w:p>
          <w:p>
            <w:pPr>
              <w:spacing w:line="270"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20" w:right="107" w:firstLine="71"/>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违反本法规定，被检查者拒不配合检查，或者</w:t>
            </w:r>
            <w:r>
              <w:rPr>
                <w:rFonts w:ascii="FangSong_GB2312" w:hAnsi="FangSong_GB2312" w:eastAsia="FangSong_GB2312" w:cs="FangSong_GB2312"/>
                <w:sz w:val="24"/>
                <w:szCs w:val="24"/>
                <w:spacing w:val="-2"/>
              </w:rPr>
              <w:t>在接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受检查时弄虚作假的，由地方人民政府生态环境主管部门或者其他</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负有土壤污染防治监督管理职责的部门责令改正，处二万元以上二</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十万元以下的罚款；对直接负责的主管人员和其他直接责任人员处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五千元以上二万元以下的罚款。</w:t>
            </w:r>
          </w:p>
        </w:tc>
      </w:tr>
      <w:tr>
        <w:trPr>
          <w:trHeight w:val="635" w:hRule="atLeast"/>
        </w:trPr>
        <w:tc>
          <w:tcPr>
            <w:tcW w:w="3910" w:type="dxa"/>
            <w:vAlign w:val="top"/>
            <w:gridSpan w:val="3"/>
          </w:tcPr>
          <w:p>
            <w:pPr>
              <w:ind w:left="1402"/>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630" w:type="dxa"/>
            <w:vAlign w:val="top"/>
            <w:gridSpan w:val="2"/>
          </w:tcPr>
          <w:p>
            <w:pPr>
              <w:ind w:left="177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1"/>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3" w:right="161"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0" w:type="dxa"/>
            <w:vAlign w:val="top"/>
          </w:tcPr>
          <w:p>
            <w:pPr>
              <w:ind w:left="259"/>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771"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22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480" w:type="dxa"/>
            <w:vAlign w:val="top"/>
          </w:tcPr>
          <w:p>
            <w:pPr>
              <w:ind w:left="11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分钟以内</w:t>
            </w:r>
          </w:p>
        </w:tc>
        <w:tc>
          <w:tcPr>
            <w:tcW w:w="1150" w:type="dxa"/>
            <w:vAlign w:val="top"/>
          </w:tcPr>
          <w:p>
            <w:pPr>
              <w:ind w:left="23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6"/>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150" w:type="dxa"/>
            <w:vAlign w:val="top"/>
          </w:tcPr>
          <w:p>
            <w:pPr>
              <w:ind w:left="176"/>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150" w:type="dxa"/>
            <w:vAlign w:val="top"/>
          </w:tcPr>
          <w:p>
            <w:pPr>
              <w:ind w:left="17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6" w:right="104"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围堵、留滞执法人员或拒绝提供</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0"/>
              </w:rPr>
              <w:t>资料</w:t>
            </w:r>
          </w:p>
        </w:tc>
        <w:tc>
          <w:tcPr>
            <w:tcW w:w="1150" w:type="dxa"/>
            <w:vAlign w:val="top"/>
          </w:tcPr>
          <w:p>
            <w:pPr>
              <w:ind w:left="18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150" w:type="dxa"/>
            <w:vAlign w:val="top"/>
          </w:tcPr>
          <w:p>
            <w:pPr>
              <w:ind w:left="17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400" w:hRule="atLeast"/>
        </w:trPr>
        <w:tc>
          <w:tcPr>
            <w:tcW w:w="1454" w:type="dxa"/>
            <w:vAlign w:val="top"/>
            <w:vMerge w:val="continue"/>
            <w:tcBorders>
              <w:top w:val="nil"/>
              <w:bottom w:val="nil"/>
            </w:tcBorders>
          </w:tcPr>
          <w:p>
            <w:pPr>
              <w:rPr>
                <w:rFonts w:ascii="Arial"/>
                <w:sz w:val="21"/>
              </w:rPr>
            </w:pPr>
            <w:r/>
          </w:p>
        </w:tc>
        <w:tc>
          <w:tcPr>
            <w:tcW w:w="1685" w:type="dxa"/>
            <w:vAlign w:val="top"/>
            <w:vMerge w:val="restart"/>
            <w:tcBorders>
              <w:bottom w:val="nil"/>
            </w:tcBorders>
          </w:tcPr>
          <w:p>
            <w:pPr>
              <w:ind w:left="128"/>
              <w:spacing w:before="2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8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150" w:type="dxa"/>
            <w:vAlign w:val="top"/>
          </w:tcPr>
          <w:p>
            <w:pPr>
              <w:ind w:left="131"/>
              <w:spacing w:before="84"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150" w:type="dxa"/>
            <w:vAlign w:val="top"/>
          </w:tcPr>
          <w:p>
            <w:pPr>
              <w:ind w:left="18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292" w:lineRule="auto"/>
              <w:rPr>
                <w:rFonts w:ascii="Arial"/>
                <w:sz w:val="21"/>
              </w:rPr>
            </w:pPr>
            <w:r/>
          </w:p>
          <w:p>
            <w:pPr>
              <w:ind w:left="735" w:right="120"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1" w:type="dxa"/>
            <w:vAlign w:val="top"/>
            <w:vMerge w:val="restart"/>
            <w:tcBorders>
              <w:bottom w:val="nil"/>
            </w:tcBorders>
          </w:tcPr>
          <w:p>
            <w:pPr>
              <w:spacing w:line="449"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0" w:type="dxa"/>
            <w:vAlign w:val="top"/>
          </w:tcPr>
          <w:p>
            <w:pPr>
              <w:ind w:left="4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0" w:type="dxa"/>
            <w:vAlign w:val="top"/>
          </w:tcPr>
          <w:p>
            <w:pPr>
              <w:ind w:left="41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0" w:type="dxa"/>
            <w:vAlign w:val="top"/>
          </w:tcPr>
          <w:p>
            <w:pPr>
              <w:ind w:left="41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0" w:type="dxa"/>
            <w:vAlign w:val="top"/>
          </w:tcPr>
          <w:p>
            <w:pPr>
              <w:ind w:left="4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5"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50" w:type="dxa"/>
            <w:vAlign w:val="top"/>
          </w:tcPr>
          <w:p>
            <w:pPr>
              <w:ind w:left="4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1" w:right="248" w:hanging="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150" w:type="dxa"/>
            <w:vAlign w:val="top"/>
          </w:tcPr>
          <w:p>
            <w:pPr>
              <w:ind w:left="29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0" w:type="dxa"/>
            <w:vAlign w:val="top"/>
          </w:tcPr>
          <w:p>
            <w:pPr>
              <w:ind w:left="2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44" w:hRule="atLeast"/>
        </w:trPr>
        <w:tc>
          <w:tcPr>
            <w:tcW w:w="1454" w:type="dxa"/>
            <w:vAlign w:val="top"/>
          </w:tcPr>
          <w:p>
            <w:pPr>
              <w:ind w:left="135"/>
              <w:spacing w:before="10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685" w:type="dxa"/>
            <w:vAlign w:val="top"/>
          </w:tcPr>
          <w:p>
            <w:pPr>
              <w:ind w:left="125"/>
              <w:spacing w:before="10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71" w:type="dxa"/>
            <w:vAlign w:val="top"/>
          </w:tcPr>
          <w:p>
            <w:pPr>
              <w:rPr>
                <w:rFonts w:ascii="Arial"/>
                <w:sz w:val="21"/>
              </w:rPr>
            </w:pPr>
            <w:r/>
          </w:p>
        </w:tc>
        <w:tc>
          <w:tcPr>
            <w:tcW w:w="3480" w:type="dxa"/>
            <w:vAlign w:val="top"/>
          </w:tcPr>
          <w:p>
            <w:pPr>
              <w:ind w:left="119"/>
              <w:spacing w:before="1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0" w:type="dxa"/>
            <w:vAlign w:val="top"/>
          </w:tcPr>
          <w:p>
            <w:pPr>
              <w:ind w:left="236"/>
              <w:spacing w:before="1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61"/>
          <w:pgSz w:w="11905" w:h="16839"/>
          <w:pgMar w:top="1431" w:right="1785" w:bottom="1156" w:left="1330" w:header="0" w:footer="994" w:gutter="0"/>
        </w:sectPr>
        <w:rPr/>
      </w:pPr>
    </w:p>
    <w:p>
      <w:pPr>
        <w:spacing w:before="92"/>
        <w:rPr/>
      </w:pPr>
      <w:r/>
    </w:p>
    <w:p>
      <w:pPr>
        <w:spacing w:before="91"/>
        <w:rPr/>
      </w:pPr>
      <w:r/>
    </w:p>
    <w:tbl>
      <w:tblPr>
        <w:tblStyle w:val="TableNormal"/>
        <w:tblW w:w="85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150"/>
      </w:tblGrid>
      <w:tr>
        <w:trPr>
          <w:trHeight w:val="639" w:hRule="atLeast"/>
        </w:trPr>
        <w:tc>
          <w:tcPr>
            <w:tcW w:w="1454" w:type="dxa"/>
            <w:vAlign w:val="top"/>
          </w:tcPr>
          <w:p>
            <w:pPr>
              <w:ind w:left="495" w:right="122" w:hanging="3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685" w:type="dxa"/>
            <w:vAlign w:val="top"/>
          </w:tcPr>
          <w:p>
            <w:pPr>
              <w:ind w:left="736" w:right="120"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71" w:type="dxa"/>
            <w:vAlign w:val="top"/>
          </w:tcPr>
          <w:p>
            <w:pPr>
              <w:ind w:left="222"/>
              <w:spacing w:before="4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6"/>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150" w:type="dxa"/>
            <w:vAlign w:val="top"/>
          </w:tcPr>
          <w:p>
            <w:pPr>
              <w:ind w:left="47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62"/>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700" w:hRule="atLeast"/>
        </w:trPr>
        <w:tc>
          <w:tcPr>
            <w:tcW w:w="8458" w:type="dxa"/>
            <w:vAlign w:val="top"/>
            <w:gridSpan w:val="2"/>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河北省生态环境行政处罚裁量规则（土壤类）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132</w:t>
            </w:r>
          </w:p>
        </w:tc>
      </w:tr>
      <w:tr>
        <w:trPr>
          <w:trHeight w:val="1879" w:hRule="atLeast"/>
        </w:trPr>
        <w:tc>
          <w:tcPr>
            <w:tcW w:w="1454" w:type="dxa"/>
            <w:vAlign w:val="top"/>
          </w:tcPr>
          <w:p>
            <w:pPr>
              <w:spacing w:line="351" w:lineRule="auto"/>
              <w:rPr>
                <w:rFonts w:ascii="Arial"/>
                <w:sz w:val="21"/>
              </w:rPr>
            </w:pPr>
            <w:r/>
          </w:p>
          <w:p>
            <w:pPr>
              <w:spacing w:line="351"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07"/>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（一）未按照规定进行土壤污染状况调查的；</w:t>
            </w:r>
          </w:p>
          <w:p>
            <w:pPr>
              <w:ind w:left="107"/>
              <w:spacing w:before="3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（二）未按照规定进行土壤污染风险评估的；</w:t>
            </w:r>
          </w:p>
          <w:p>
            <w:pPr>
              <w:ind w:left="10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（三）未按照规定采取风险管控措施的；</w:t>
            </w:r>
          </w:p>
          <w:p>
            <w:pPr>
              <w:ind w:left="107"/>
              <w:spacing w:before="3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（四）未按照规定实施修复的；</w:t>
            </w:r>
          </w:p>
          <w:p>
            <w:pPr>
              <w:ind w:left="112" w:right="176" w:hanging="5"/>
              <w:spacing w:before="3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（五）风险管控、修复活动完成后，未另行委托</w:t>
            </w:r>
            <w:r>
              <w:rPr>
                <w:rFonts w:ascii="FangSong_GB2312" w:hAnsi="FangSong_GB2312" w:eastAsia="FangSong_GB2312" w:cs="FangSong_GB2312"/>
                <w:sz w:val="24"/>
                <w:szCs w:val="24"/>
                <w:spacing w:val="-1"/>
              </w:rPr>
              <w:t>有关单位对风险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管控效果、修复效果进行评估的。</w:t>
            </w:r>
          </w:p>
        </w:tc>
      </w:tr>
      <w:tr>
        <w:trPr>
          <w:trHeight w:val="9454" w:hRule="atLeast"/>
        </w:trPr>
        <w:tc>
          <w:tcPr>
            <w:tcW w:w="145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7"/>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5" w:right="106" w:firstLine="9"/>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第五十九条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对土壤污染状况普查、详查和监测、现场检查表明有</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土壤污染风险的建设用地地块，地方人民政府生态环境主管部门</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应当要求土地使用权人按照规定进行土壤污染状况调查。</w:t>
            </w:r>
          </w:p>
          <w:p>
            <w:pPr>
              <w:ind w:left="119" w:right="176" w:hanging="7"/>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用途变更为住宅、公共管理与公共服务用地的，变更前应当按照</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规定进行土壤污染状况调查。</w:t>
            </w:r>
          </w:p>
          <w:p>
            <w:pPr>
              <w:ind w:left="106" w:right="176" w:firstLine="1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前两款规定的土壤污染状况调查报告应当报地方人民政府生态环</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rPr>
              <w:t>境主管部门，由地方人民政府生态环境主管部门会同</w:t>
            </w:r>
            <w:r>
              <w:rPr>
                <w:rFonts w:ascii="FangSong_GB2312" w:hAnsi="FangSong_GB2312" w:eastAsia="FangSong_GB2312" w:cs="FangSong_GB2312"/>
                <w:sz w:val="24"/>
                <w:szCs w:val="24"/>
                <w:spacing w:val="-1"/>
              </w:rPr>
              <w:t>自然资源主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管部门组织评审。</w:t>
            </w:r>
          </w:p>
          <w:p>
            <w:pPr>
              <w:ind w:left="112" w:right="176" w:firstLine="12"/>
              <w:spacing w:before="33"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对土壤污染状况调查报告评审表明污染物含量超过土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壤污染风险管控标准的建设用地地块，土壤污染责任人、土地使</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用权人应当按照国务院生态环境主管部门的规定进行土壤污染风</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险评估，并将土壤污染风险评估报告报省级人民政府生态环境主</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管部门。</w:t>
            </w:r>
          </w:p>
          <w:p>
            <w:pPr>
              <w:ind w:left="124"/>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对建设用地土壤污染风险管控和修复名录</w:t>
            </w:r>
            <w:r>
              <w:rPr>
                <w:rFonts w:ascii="FangSong_GB2312" w:hAnsi="FangSong_GB2312" w:eastAsia="FangSong_GB2312" w:cs="FangSong_GB2312"/>
                <w:sz w:val="24"/>
                <w:szCs w:val="24"/>
                <w:spacing w:val="-2"/>
              </w:rPr>
              <w:t>中的地</w:t>
            </w:r>
          </w:p>
          <w:p>
            <w:pPr>
              <w:ind w:left="114" w:right="176" w:firstLine="1"/>
              <w:spacing w:before="42"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块，土壤污染责任人应当按照国家有关规定以及土壤污染风险评</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估报告的要求，采取相应的风险管控措施，并定期向地方人民政</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府生态环境主管部门报告。风险管控措施应当包括地下水污染防</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3"/>
              </w:rPr>
              <w:t>治的内容。</w:t>
            </w:r>
          </w:p>
          <w:p>
            <w:pPr>
              <w:ind w:left="113" w:right="171" w:firstLine="11"/>
              <w:spacing w:before="35"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对建设用地土壤污染风险管控和修复名录中需</w:t>
            </w:r>
            <w:r>
              <w:rPr>
                <w:rFonts w:ascii="FangSong_GB2312" w:hAnsi="FangSong_GB2312" w:eastAsia="FangSong_GB2312" w:cs="FangSong_GB2312"/>
                <w:sz w:val="24"/>
                <w:szCs w:val="24"/>
                <w:spacing w:val="-2"/>
              </w:rPr>
              <w:t>要实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施修复的地块，土壤污染责任人应当结合土地利用总体规划和城</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乡规划编制修复方案，报地方人民政府生态环境主管部门备案并</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实施。修复方案应当包括地下水污染防治的内容。</w:t>
            </w:r>
          </w:p>
          <w:p>
            <w:pPr>
              <w:ind w:left="110" w:right="171" w:firstLine="14"/>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风险管控、修复活动完成后，土壤污染责任人</w:t>
            </w:r>
            <w:r>
              <w:rPr>
                <w:rFonts w:ascii="FangSong_GB2312" w:hAnsi="FangSong_GB2312" w:eastAsia="FangSong_GB2312" w:cs="FangSong_GB2312"/>
                <w:sz w:val="24"/>
                <w:szCs w:val="24"/>
                <w:spacing w:val="-2"/>
              </w:rPr>
              <w:t>应当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另行委托有关单位对风险管控效果、修复效</w:t>
            </w:r>
            <w:r>
              <w:rPr>
                <w:rFonts w:ascii="FangSong_GB2312" w:hAnsi="FangSong_GB2312" w:eastAsia="FangSong_GB2312" w:cs="FangSong_GB2312"/>
                <w:sz w:val="24"/>
                <w:szCs w:val="24"/>
                <w:spacing w:val="-1"/>
              </w:rPr>
              <w:t>果进行评估，并将效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果评估报告报地方人民政府生态环境主管部门备案。</w:t>
            </w:r>
          </w:p>
          <w:p>
            <w:pPr>
              <w:ind w:left="112" w:right="171" w:firstLine="12"/>
              <w:spacing w:before="3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土壤污染重点监管单位生产经营用地的用途变</w:t>
            </w:r>
            <w:r>
              <w:rPr>
                <w:rFonts w:ascii="FangSong_GB2312" w:hAnsi="FangSong_GB2312" w:eastAsia="FangSong_GB2312" w:cs="FangSong_GB2312"/>
                <w:sz w:val="24"/>
                <w:szCs w:val="24"/>
                <w:spacing w:val="-2"/>
              </w:rPr>
              <w:t>更或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者在其土地使用权收回、转让前，应当由土地使用权人按照规定</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进行土壤污染状况调查。土壤污染状况调查报告应当作为不动产</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登记资料送交地方人民政府不动产登记机构，并报地方人民政府</w:t>
            </w:r>
          </w:p>
        </w:tc>
      </w:tr>
    </w:tbl>
    <w:p>
      <w:pPr>
        <w:pStyle w:val="BodyText"/>
        <w:rPr/>
      </w:pPr>
      <w:r/>
    </w:p>
    <w:p>
      <w:pPr>
        <w:sectPr>
          <w:footerReference w:type="default" r:id="rId263"/>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13098" w:hRule="atLeast"/>
        </w:trPr>
        <w:tc>
          <w:tcPr>
            <w:tcW w:w="1454" w:type="dxa"/>
            <w:vAlign w:val="top"/>
          </w:tcPr>
          <w:p>
            <w:pPr>
              <w:rPr>
                <w:rFonts w:ascii="Arial"/>
                <w:sz w:val="21"/>
              </w:rPr>
            </w:pPr>
            <w:r/>
          </w:p>
        </w:tc>
        <w:tc>
          <w:tcPr>
            <w:tcW w:w="7004" w:type="dxa"/>
            <w:vAlign w:val="top"/>
          </w:tcPr>
          <w:p>
            <w:pPr>
              <w:ind w:left="127"/>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生态环境主管部门备案。</w:t>
            </w:r>
          </w:p>
          <w:p>
            <w:pPr>
              <w:spacing w:line="271" w:lineRule="auto"/>
              <w:rPr>
                <w:rFonts w:ascii="Arial"/>
                <w:sz w:val="21"/>
              </w:rPr>
            </w:pPr>
            <w:r/>
          </w:p>
          <w:p>
            <w:pPr>
              <w:ind w:left="121"/>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14" w:right="171" w:firstLine="10"/>
              <w:spacing w:before="3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第九十四条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违反本法规定，土壤污染责任人或者土地使用</w:t>
            </w:r>
            <w:r>
              <w:rPr>
                <w:rFonts w:ascii="FangSong_GB2312" w:hAnsi="FangSong_GB2312" w:eastAsia="FangSong_GB2312" w:cs="FangSong_GB2312"/>
                <w:sz w:val="24"/>
                <w:szCs w:val="24"/>
                <w:spacing w:val="-2"/>
              </w:rPr>
              <w:t>权人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有下列行为之一的，由地方人民政府生态环境主管部门或者其他</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负有土壤污染防治监督管理职责的部门责令改正，处二万元以上</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二十万元以下的罚款；拒不改正的，处二十万元以上一百万元以</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下的罚款，并委托他人代为履行，所需费用由土壤污染责任人或</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者土地使用权人承担；对直接负责的主管人员和其他直接责任人</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员处五千元以上二万元以下的罚款：</w:t>
            </w:r>
          </w:p>
          <w:p>
            <w:pPr>
              <w:ind w:left="107"/>
              <w:spacing w:before="3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（一）未按照规定进行土壤污染状况调查的；</w:t>
            </w:r>
          </w:p>
          <w:p>
            <w:pPr>
              <w:ind w:left="107"/>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（二）未按照规定进行土壤污染风险评估的；</w:t>
            </w:r>
          </w:p>
          <w:p>
            <w:pPr>
              <w:ind w:left="107"/>
              <w:spacing w:before="3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（三）未按照规定采取风险管控措施的；</w:t>
            </w:r>
          </w:p>
          <w:p>
            <w:pPr>
              <w:ind w:left="107"/>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（四）未按照规定实施修复的；</w:t>
            </w:r>
          </w:p>
          <w:p>
            <w:pPr>
              <w:ind w:left="112" w:right="176" w:hanging="5"/>
              <w:spacing w:before="33"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（五）风险管控、修复活动完成后，未另行委托</w:t>
            </w:r>
            <w:r>
              <w:rPr>
                <w:rFonts w:ascii="FangSong_GB2312" w:hAnsi="FangSong_GB2312" w:eastAsia="FangSong_GB2312" w:cs="FangSong_GB2312"/>
                <w:sz w:val="24"/>
                <w:szCs w:val="24"/>
                <w:spacing w:val="-1"/>
              </w:rPr>
              <w:t>有关单位对风险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管控效果、修复效果进行评估的。</w:t>
            </w:r>
          </w:p>
          <w:p>
            <w:pPr>
              <w:ind w:left="119" w:right="176" w:hanging="4"/>
              <w:spacing w:before="33"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土壤污染责任人或者土地使用权人有前款第三项、第四项规定行</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为之一，情节严重的，地方人民政府生态环境主管部门或者其他</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负有土壤污染防治监督管理职责的部门可以将案件移送公安机</w:t>
            </w:r>
          </w:p>
          <w:p>
            <w:pPr>
              <w:ind w:left="156" w:right="176" w:hanging="34"/>
              <w:spacing w:before="3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关，对直接负责的主管人员和其他直接责任人员处五日以上十五</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8"/>
              </w:rPr>
              <w:t>日以下的拘留。</w:t>
            </w:r>
          </w:p>
          <w:p>
            <w:pPr>
              <w:spacing w:line="265" w:lineRule="auto"/>
              <w:rPr>
                <w:rFonts w:ascii="Arial"/>
                <w:sz w:val="21"/>
              </w:rPr>
            </w:pPr>
            <w:r/>
          </w:p>
          <w:p>
            <w:pPr>
              <w:ind w:left="1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09" w:right="106" w:firstLine="15"/>
              <w:spacing w:before="32"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第五十四条</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4"/>
              </w:rPr>
              <w:t>对土壤污染状况普查、详查和监测、现场检查</w:t>
            </w:r>
            <w:r>
              <w:rPr>
                <w:rFonts w:ascii="FangSong_GB2312" w:hAnsi="FangSong_GB2312" w:eastAsia="FangSong_GB2312" w:cs="FangSong_GB2312"/>
                <w:sz w:val="24"/>
                <w:szCs w:val="24"/>
                <w:spacing w:val="-5"/>
              </w:rPr>
              <w:t>表明有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土壤污染风险的建设用地地块，生态环境主管</w:t>
            </w:r>
            <w:r>
              <w:rPr>
                <w:rFonts w:ascii="FangSong_GB2312" w:hAnsi="FangSong_GB2312" w:eastAsia="FangSong_GB2312" w:cs="FangSong_GB2312"/>
                <w:sz w:val="24"/>
                <w:szCs w:val="24"/>
                <w:spacing w:val="-1"/>
              </w:rPr>
              <w:t>部门应当要求土地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使用权人按照规定进行土壤污染状况调查。</w:t>
            </w:r>
          </w:p>
          <w:p>
            <w:pPr>
              <w:ind w:left="113" w:right="176" w:firstLine="479"/>
              <w:spacing w:before="32"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用途变更为住宅、公共管理与公共服务用地的，变更前应当</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按照规定进行土壤污染状况调查。</w:t>
            </w:r>
          </w:p>
          <w:p>
            <w:pPr>
              <w:ind w:left="112" w:right="176" w:firstLine="486"/>
              <w:spacing w:before="34"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前两款规定的土壤污染状况调查报告应当报所在地生态环境</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主管部门。生态环境主管部门自收到调查报告之日起，应当会同</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自然资源等主管部门在三十个工作日内组织完成评审。需要开展</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抽样检测的，其时间不计算在内。</w:t>
            </w:r>
          </w:p>
          <w:p>
            <w:pPr>
              <w:ind w:left="112" w:right="176" w:firstLine="12"/>
              <w:spacing w:before="3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土壤污染重点监管单位生产经营用地的用途变更或</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者在其土地使用权收回、转让前，应当由土地使用权人按照规定</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进行土壤污染状况调查。土壤污染状况调查报告应当作为不动产</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登记资料送交所在地不动产登记机构，并报所在地生态环境主管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部门备案。</w:t>
            </w:r>
          </w:p>
          <w:p>
            <w:pPr>
              <w:ind w:left="106" w:right="176" w:firstLine="17"/>
              <w:spacing w:before="36"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对土壤污染状况调查表明污染物含量超过土壤污染</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rPr>
              <w:t>风险管控标准的建设用地地块，土壤污染责任人、土</w:t>
            </w:r>
            <w:r>
              <w:rPr>
                <w:rFonts w:ascii="FangSong_GB2312" w:hAnsi="FangSong_GB2312" w:eastAsia="FangSong_GB2312" w:cs="FangSong_GB2312"/>
                <w:sz w:val="24"/>
                <w:szCs w:val="24"/>
                <w:spacing w:val="-1"/>
              </w:rPr>
              <w:t>地使用权人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应当按照国家有关规定进行土壤污染风险评估，并将</w:t>
            </w:r>
            <w:r>
              <w:rPr>
                <w:rFonts w:ascii="FangSong_GB2312" w:hAnsi="FangSong_GB2312" w:eastAsia="FangSong_GB2312" w:cs="FangSong_GB2312"/>
                <w:sz w:val="24"/>
                <w:szCs w:val="24"/>
                <w:spacing w:val="-1"/>
              </w:rPr>
              <w:t>土壤污染风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险评估报告报省人民政府生态环境主管部门。省人民</w:t>
            </w:r>
            <w:r>
              <w:rPr>
                <w:rFonts w:ascii="FangSong_GB2312" w:hAnsi="FangSong_GB2312" w:eastAsia="FangSong_GB2312" w:cs="FangSong_GB2312"/>
                <w:sz w:val="24"/>
                <w:szCs w:val="24"/>
                <w:spacing w:val="-1"/>
              </w:rPr>
              <w:t>政府生态环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境主管部门自收到风险评估报告之日起，应当按照国</w:t>
            </w:r>
            <w:r>
              <w:rPr>
                <w:rFonts w:ascii="FangSong_GB2312" w:hAnsi="FangSong_GB2312" w:eastAsia="FangSong_GB2312" w:cs="FangSong_GB2312"/>
                <w:sz w:val="24"/>
                <w:szCs w:val="24"/>
                <w:spacing w:val="-1"/>
              </w:rPr>
              <w:t>家有关规定</w:t>
            </w:r>
          </w:p>
        </w:tc>
      </w:tr>
    </w:tbl>
    <w:p>
      <w:pPr>
        <w:pStyle w:val="BodyText"/>
        <w:rPr/>
      </w:pPr>
      <w:r/>
    </w:p>
    <w:p>
      <w:pPr>
        <w:sectPr>
          <w:footerReference w:type="default" r:id="rId26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7004"/>
      </w:tblGrid>
      <w:tr>
        <w:trPr>
          <w:trHeight w:val="12768" w:hRule="atLeast"/>
        </w:trPr>
        <w:tc>
          <w:tcPr>
            <w:tcW w:w="1454" w:type="dxa"/>
            <w:vAlign w:val="top"/>
          </w:tcPr>
          <w:p>
            <w:pPr>
              <w:rPr>
                <w:rFonts w:ascii="Arial"/>
                <w:sz w:val="21"/>
              </w:rPr>
            </w:pPr>
            <w:r/>
          </w:p>
        </w:tc>
        <w:tc>
          <w:tcPr>
            <w:tcW w:w="7004" w:type="dxa"/>
            <w:vAlign w:val="top"/>
          </w:tcPr>
          <w:p>
            <w:pPr>
              <w:ind w:left="107" w:right="176" w:firstLine="8"/>
              <w:spacing w:before="40"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会同自然资源等主管部门在三十个工作日内组织完成评审，将需</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rPr>
              <w:t>要实施风险管控、修复的地块纳入建设用地土壤污</w:t>
            </w:r>
            <w:r>
              <w:rPr>
                <w:rFonts w:ascii="FangSong_GB2312" w:hAnsi="FangSong_GB2312" w:eastAsia="FangSong_GB2312" w:cs="FangSong_GB2312"/>
                <w:sz w:val="24"/>
                <w:szCs w:val="24"/>
                <w:spacing w:val="-1"/>
              </w:rPr>
              <w:t>染风险管控和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修复名录。需要开展抽样检测的，其时间不计算在内。</w:t>
            </w:r>
          </w:p>
          <w:p>
            <w:pPr>
              <w:ind w:left="115" w:right="96" w:firstLine="9"/>
              <w:spacing w:before="33"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第五十七条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对建设用地土壤污染风险管控和修复名录中的地块，</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土壤污染责任人应当按照国家有关规定以及土壤污染风险评估报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告的要求，制定风险管控方案，采取下列风险管控措施，并定期</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向所在地生态环境主管部门报告：</w:t>
            </w:r>
          </w:p>
          <w:p>
            <w:pPr>
              <w:ind w:left="587"/>
              <w:spacing w:before="3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（一）及时移除或者清理污染源；</w:t>
            </w:r>
          </w:p>
          <w:p>
            <w:pPr>
              <w:ind w:left="587"/>
              <w:spacing w:before="3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（二）采取污染隔离、阻断等措施防止污染扩散；</w:t>
            </w:r>
          </w:p>
          <w:p>
            <w:pPr>
              <w:ind w:left="587"/>
              <w:spacing w:before="3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（三）开展土壤、地表水、地下水、空气环境监测；</w:t>
            </w:r>
          </w:p>
          <w:p>
            <w:pPr>
              <w:ind w:left="587"/>
              <w:spacing w:before="3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（四）发现污染扩散的，及时采取有效补救措施；</w:t>
            </w:r>
          </w:p>
          <w:p>
            <w:pPr>
              <w:ind w:left="58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（五）其他风险管控措施。</w:t>
            </w:r>
          </w:p>
          <w:p>
            <w:pPr>
              <w:ind w:left="113" w:right="176" w:firstLine="11"/>
              <w:spacing w:before="3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对建设用地土壤污染风险管控和修复名录中需要实</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施修复的地块，土壤污染责任人应当根据规划土地用途编制修复</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方案，报所在地生态环境主管部门备案并实施。修复方案应当包</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括修复范围和目标、技术路线和二次污染防范措施、地下水污染</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防治等内容。</w:t>
            </w:r>
          </w:p>
          <w:p>
            <w:pPr>
              <w:ind w:left="114" w:right="106" w:firstLine="10"/>
              <w:spacing w:before="34"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第六十条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风险管控、修复活动完成后，土壤污染责任人应当另行</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委托有关单位对风险管控效果、修复效果进行评估，并将效果评</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估报告报所在地生态环境主管部门备案。</w:t>
            </w:r>
          </w:p>
          <w:p>
            <w:pPr>
              <w:spacing w:line="267" w:lineRule="auto"/>
              <w:rPr>
                <w:rFonts w:ascii="Arial"/>
                <w:sz w:val="21"/>
              </w:rPr>
            </w:pPr>
            <w:r/>
          </w:p>
          <w:p>
            <w:pPr>
              <w:ind w:left="12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4.《河北省土壤污染防治条例》</w:t>
            </w:r>
          </w:p>
          <w:p>
            <w:pPr>
              <w:ind w:left="114" w:right="106" w:firstLine="10"/>
              <w:spacing w:before="34"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违反本条例规定，土壤污染责任人或者土地使用权人</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有下列行为之一的，由生态环境主管部门或者其他负有土壤污染</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防治监督管理职责的部门责令改正，处二万元以上二十万元以下</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的罚款；拒不改正的，处二十万元以上一百万元以下的罚款，并</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委托他人代为履行，所需费用由土壤污染责任人或者土地使用权</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人承担；对直接负责的主管人员和其他直接负责人员处五千元以</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上二万元以下的罚款：</w:t>
            </w:r>
          </w:p>
          <w:p>
            <w:pPr>
              <w:ind w:left="587"/>
              <w:spacing w:before="3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（一）未按照规定进行土壤污染状况调查的；</w:t>
            </w:r>
          </w:p>
          <w:p>
            <w:pPr>
              <w:ind w:left="587"/>
              <w:spacing w:before="3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（二）未按照规定进行土壤污染风险评估的；</w:t>
            </w:r>
          </w:p>
          <w:p>
            <w:pPr>
              <w:ind w:left="58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（三）未按照规定采取风险管控措施的；</w:t>
            </w:r>
          </w:p>
          <w:p>
            <w:pPr>
              <w:ind w:left="58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（四）未按照规定实施修复的；</w:t>
            </w:r>
          </w:p>
          <w:p>
            <w:pPr>
              <w:ind w:left="113" w:right="176" w:firstLine="474"/>
              <w:spacing w:before="31"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（五）风险管控、修复活动完成后，未另行</w:t>
            </w:r>
            <w:r>
              <w:rPr>
                <w:rFonts w:ascii="FangSong_GB2312" w:hAnsi="FangSong_GB2312" w:eastAsia="FangSong_GB2312" w:cs="FangSong_GB2312"/>
                <w:sz w:val="24"/>
                <w:szCs w:val="24"/>
                <w:spacing w:val="-1"/>
              </w:rPr>
              <w:t>委托有关单位对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风险管控效果、修复效果进行评估的。</w:t>
            </w:r>
          </w:p>
          <w:p>
            <w:pPr>
              <w:ind w:left="111" w:right="176" w:firstLine="483"/>
              <w:spacing w:before="3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土壤污染责任人或者土地使用权人有前款第三项、第四项规</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定行为之一，情节严重的，生态环境主管部门或者其他负有土壤</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污染防治监督管理职责的部门可以依法将案件移送公安机关，由</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公安机关按照《中华人民共和国土壤污染防治法》的规定对直接</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负责的主管人员和其他直接责任人员处以拘留。</w:t>
            </w:r>
          </w:p>
        </w:tc>
      </w:tr>
    </w:tbl>
    <w:p>
      <w:pPr>
        <w:pStyle w:val="BodyText"/>
        <w:rPr/>
      </w:pPr>
      <w:r/>
    </w:p>
    <w:p>
      <w:pPr>
        <w:sectPr>
          <w:footerReference w:type="default" r:id="rId265"/>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639" w:hRule="atLeast"/>
        </w:trPr>
        <w:tc>
          <w:tcPr>
            <w:tcW w:w="3910" w:type="dxa"/>
            <w:vAlign w:val="top"/>
            <w:gridSpan w:val="3"/>
          </w:tcPr>
          <w:p>
            <w:pPr>
              <w:ind w:left="140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54" w:type="dxa"/>
            <w:vAlign w:val="top"/>
          </w:tcPr>
          <w:p>
            <w:pPr>
              <w:ind w:left="50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1"/>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3" w:right="161" w:hanging="32"/>
              <w:spacing w:before="47"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9"/>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8"/>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579" w:hRule="atLeast"/>
        </w:trPr>
        <w:tc>
          <w:tcPr>
            <w:tcW w:w="1454"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13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4" w:right="104" w:firstLine="42"/>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已进行土壤污染状况调查/已进</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行风险评估/已采取风险管控措</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施/已实施修复/已另行委托有</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8"/>
              </w:rPr>
              <w:t>关单位对风险管控效果、修复效</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果进行评估，但未按照要求的</w:t>
            </w:r>
          </w:p>
        </w:tc>
        <w:tc>
          <w:tcPr>
            <w:tcW w:w="1068" w:type="dxa"/>
            <w:vAlign w:val="top"/>
          </w:tcPr>
          <w:p>
            <w:pPr>
              <w:spacing w:line="294" w:lineRule="auto"/>
              <w:rPr>
                <w:rFonts w:ascii="Arial"/>
                <w:sz w:val="21"/>
              </w:rPr>
            </w:pPr>
            <w:r/>
          </w:p>
          <w:p>
            <w:pPr>
              <w:spacing w:line="294" w:lineRule="auto"/>
              <w:rPr>
                <w:rFonts w:ascii="Arial"/>
                <w:sz w:val="21"/>
              </w:rPr>
            </w:pPr>
            <w:r/>
          </w:p>
          <w:p>
            <w:pPr>
              <w:ind w:left="19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1579"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right="128" w:firstLine="1"/>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未进行土壤污染状况调查/未进</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行土壤污染风险评估/未采取风</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险管控措施/未实施修复/未另</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行委托有关单位对风险管控效</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果、修复效果进行评估的</w:t>
            </w:r>
          </w:p>
        </w:tc>
        <w:tc>
          <w:tcPr>
            <w:tcW w:w="1068" w:type="dxa"/>
            <w:vAlign w:val="top"/>
          </w:tcPr>
          <w:p>
            <w:pPr>
              <w:spacing w:line="295" w:lineRule="auto"/>
              <w:rPr>
                <w:rFonts w:ascii="Arial"/>
                <w:sz w:val="21"/>
              </w:rPr>
            </w:pPr>
            <w:r/>
          </w:p>
          <w:p>
            <w:pPr>
              <w:spacing w:line="295" w:lineRule="auto"/>
              <w:rPr>
                <w:rFonts w:ascii="Arial"/>
                <w:sz w:val="21"/>
              </w:rPr>
            </w:pPr>
            <w:r/>
          </w:p>
          <w:p>
            <w:pPr>
              <w:ind w:left="1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291" w:lineRule="auto"/>
              <w:rPr>
                <w:rFonts w:ascii="Arial"/>
                <w:sz w:val="21"/>
              </w:rPr>
            </w:pPr>
            <w:r/>
          </w:p>
          <w:p>
            <w:pPr>
              <w:ind w:left="735" w:right="120"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1" w:type="dxa"/>
            <w:vAlign w:val="top"/>
            <w:vMerge w:val="restart"/>
            <w:tcBorders>
              <w:bottom w:val="nil"/>
            </w:tcBorders>
          </w:tcPr>
          <w:p>
            <w:pPr>
              <w:spacing w:line="449"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3" w:lineRule="auto"/>
              <w:rPr>
                <w:rFonts w:ascii="Arial"/>
                <w:sz w:val="21"/>
              </w:rPr>
            </w:pPr>
            <w:r/>
          </w:p>
          <w:p>
            <w:pPr>
              <w:ind w:left="125"/>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1" w:right="248" w:hanging="8"/>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3" w:right="24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5" w:right="120"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7"/>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3" w:hRule="atLeast"/>
        </w:trPr>
        <w:tc>
          <w:tcPr>
            <w:tcW w:w="1454" w:type="dxa"/>
            <w:vAlign w:val="top"/>
            <w:vMerge w:val="restart"/>
            <w:tcBorders>
              <w:bottom w:val="nil"/>
            </w:tcBorders>
          </w:tcPr>
          <w:p>
            <w:pPr>
              <w:ind w:left="135"/>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2"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5"/>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6"/>
              <w:spacing w:before="37"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8"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9"/>
              <w:spacing w:before="10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6"/>
              <w:spacing w:before="1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06"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6"/>
              <w:spacing w:before="13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7"/>
              <w:spacing w:before="13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ind w:left="100"/>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注释：处以罚款二十万元以上一百万元以下的，符合移送行政拘留条件的，及时移交公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安机关采取行政拘留措施。</w:t>
      </w:r>
    </w:p>
    <w:p>
      <w:pPr>
        <w:spacing w:line="228" w:lineRule="auto"/>
        <w:sectPr>
          <w:footerReference w:type="default" r:id="rId266"/>
          <w:pgSz w:w="11905" w:h="16839"/>
          <w:pgMar w:top="1431" w:right="1417" w:bottom="1156" w:left="1330" w:header="0" w:footer="994" w:gutter="0"/>
        </w:sectPr>
        <w:rPr>
          <w:rFonts w:ascii="FangSong_GB2312" w:hAnsi="FangSong_GB2312" w:eastAsia="FangSong_GB2312" w:cs="FangSong_GB2312"/>
          <w:sz w:val="24"/>
          <w:szCs w:val="24"/>
        </w:rPr>
      </w:pPr>
    </w:p>
    <w:p>
      <w:pPr>
        <w:spacing w:before="4"/>
        <w:rPr/>
      </w:pPr>
      <w:r/>
    </w:p>
    <w:p>
      <w:pPr>
        <w:spacing w:before="4"/>
        <w:rPr/>
      </w:pPr>
      <w:r/>
    </w:p>
    <w:p>
      <w:pPr>
        <w:spacing w:before="4"/>
        <w:rPr/>
      </w:pPr>
      <w:r/>
    </w:p>
    <w:p>
      <w:pPr>
        <w:spacing w:before="3"/>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0"/>
        <w:gridCol w:w="7074"/>
      </w:tblGrid>
      <w:tr>
        <w:trPr>
          <w:trHeight w:val="735" w:hRule="atLeast"/>
        </w:trPr>
        <w:tc>
          <w:tcPr>
            <w:tcW w:w="8564" w:type="dxa"/>
            <w:vAlign w:val="top"/>
            <w:gridSpan w:val="2"/>
          </w:tcPr>
          <w:p>
            <w:pPr>
              <w:ind w:left="281"/>
              <w:spacing w:before="128" w:line="231"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河北省生态环境行政处罚裁量规则（土壤类）</w:t>
            </w:r>
          </w:p>
        </w:tc>
      </w:tr>
      <w:tr>
        <w:trPr>
          <w:trHeight w:val="635" w:hRule="atLeast"/>
        </w:trPr>
        <w:tc>
          <w:tcPr>
            <w:tcW w:w="1490" w:type="dxa"/>
            <w:vAlign w:val="top"/>
          </w:tcPr>
          <w:p>
            <w:pPr>
              <w:ind w:left="470"/>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74" w:type="dxa"/>
            <w:vAlign w:val="top"/>
          </w:tcPr>
          <w:p>
            <w:pPr>
              <w:ind w:left="3376"/>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133</w:t>
            </w:r>
          </w:p>
        </w:tc>
      </w:tr>
      <w:tr>
        <w:trPr>
          <w:trHeight w:val="2209" w:hRule="atLeast"/>
        </w:trPr>
        <w:tc>
          <w:tcPr>
            <w:tcW w:w="1490" w:type="dxa"/>
            <w:vAlign w:val="top"/>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ind w:left="195"/>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74" w:type="dxa"/>
            <w:vAlign w:val="top"/>
          </w:tcPr>
          <w:p>
            <w:pPr>
              <w:ind w:left="119" w:right="124" w:hanging="10"/>
              <w:spacing w:before="4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土壤污染重点监管单位未按照规定将土壤污</w:t>
            </w:r>
            <w:r>
              <w:rPr>
                <w:rFonts w:ascii="FangSong_GB2312" w:hAnsi="FangSong_GB2312" w:eastAsia="FangSong_GB2312" w:cs="FangSong_GB2312"/>
                <w:sz w:val="24"/>
                <w:szCs w:val="24"/>
                <w:spacing w:val="-1"/>
              </w:rPr>
              <w:t>染防治工作方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案报地方人民政府生态环境、工业和信息化主管部门备案的；</w:t>
            </w:r>
          </w:p>
          <w:p>
            <w:pPr>
              <w:ind w:left="113" w:right="36" w:hanging="4"/>
              <w:spacing w:before="38"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（二）土壤污染责任人或者土地使用权人未</w:t>
            </w:r>
            <w:r>
              <w:rPr>
                <w:rFonts w:ascii="FangSong_GB2312" w:hAnsi="FangSong_GB2312" w:eastAsia="FangSong_GB2312" w:cs="FangSong_GB2312"/>
                <w:sz w:val="24"/>
                <w:szCs w:val="24"/>
                <w:spacing w:val="-2"/>
              </w:rPr>
              <w:t>按照规定将修复方案、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效果评估报告报地方人民政府生态环境、农业农村、林业草原主管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部门备案的；</w:t>
            </w:r>
          </w:p>
          <w:p>
            <w:pPr>
              <w:ind w:left="115" w:right="124" w:hanging="6"/>
              <w:spacing w:before="36"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土地使用权人未按照规定将土壤污染状况调</w:t>
            </w:r>
            <w:r>
              <w:rPr>
                <w:rFonts w:ascii="FangSong_GB2312" w:hAnsi="FangSong_GB2312" w:eastAsia="FangSong_GB2312" w:cs="FangSong_GB2312"/>
                <w:sz w:val="24"/>
                <w:szCs w:val="24"/>
                <w:spacing w:val="-1"/>
              </w:rPr>
              <w:t>查报告报地方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人民政府生态环境主管部门备案的。</w:t>
            </w:r>
          </w:p>
        </w:tc>
      </w:tr>
      <w:tr>
        <w:trPr>
          <w:trHeight w:val="9139" w:hRule="atLeast"/>
        </w:trPr>
        <w:tc>
          <w:tcPr>
            <w:tcW w:w="1490"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0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74" w:type="dxa"/>
            <w:vAlign w:val="top"/>
          </w:tcPr>
          <w:p>
            <w:pPr>
              <w:ind w:left="129"/>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《中华人民共和国土壤污染防治法》</w:t>
            </w:r>
          </w:p>
          <w:p>
            <w:pPr>
              <w:ind w:left="119" w:right="46" w:firstLine="6"/>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0"/>
              </w:rPr>
              <w:t>第二十二条</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0"/>
              </w:rPr>
              <w:t>企业事业单位拆除设施、设备或者建</w:t>
            </w:r>
            <w:r>
              <w:rPr>
                <w:rFonts w:ascii="FangSong_GB2312" w:hAnsi="FangSong_GB2312" w:eastAsia="FangSong_GB2312" w:cs="FangSong_GB2312"/>
                <w:sz w:val="24"/>
                <w:szCs w:val="24"/>
                <w:spacing w:val="-11"/>
              </w:rPr>
              <w:t>筑物、构筑物的，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应当采取相应的土壤污染防治措施。</w:t>
            </w:r>
          </w:p>
          <w:p>
            <w:pPr>
              <w:ind w:left="116" w:right="107"/>
              <w:spacing w:before="37"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土壤污染重点监管单位拆除设施、设备或者建筑物、构筑物的，应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当制定包括应急措施在内的土壤污染防治工作方案，报地方人民政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府生态环境、工业和信息化主管部门备案并实施。</w:t>
            </w:r>
          </w:p>
          <w:p>
            <w:pPr>
              <w:ind w:left="115" w:right="107" w:firstLine="11"/>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对建设用地土壤污染风险管控和修复名录</w:t>
            </w:r>
            <w:r>
              <w:rPr>
                <w:rFonts w:ascii="FangSong_GB2312" w:hAnsi="FangSong_GB2312" w:eastAsia="FangSong_GB2312" w:cs="FangSong_GB2312"/>
                <w:sz w:val="24"/>
                <w:szCs w:val="24"/>
                <w:spacing w:val="-2"/>
              </w:rPr>
              <w:t>中需要实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施修复的地块，土壤污染责任人应当结合土地利用总体规划和城乡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规划编制修复方案，报地方人民政府生态环境主管部门备案并实</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施。修复方案应当包括地下水污染防治的内容。</w:t>
            </w:r>
          </w:p>
          <w:p>
            <w:pPr>
              <w:ind w:left="114" w:right="107" w:firstLine="12"/>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第六十五条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风险管控、修复活动完成后，土壤污染责任人应当另</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4"/>
              </w:rPr>
              <w:t>行委托有关单位对风险管控效果、修复效果进行评估，并将效果评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估报告报地方人民政府生态环境主管部门备案。</w:t>
            </w:r>
          </w:p>
          <w:p>
            <w:pPr>
              <w:ind w:left="108" w:right="107" w:firstLine="17"/>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土壤污染重点监管单位生产经营用地的用</w:t>
            </w:r>
            <w:r>
              <w:rPr>
                <w:rFonts w:ascii="FangSong_GB2312" w:hAnsi="FangSong_GB2312" w:eastAsia="FangSong_GB2312" w:cs="FangSong_GB2312"/>
                <w:sz w:val="24"/>
                <w:szCs w:val="24"/>
                <w:spacing w:val="-2"/>
              </w:rPr>
              <w:t>途变更或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者在其土地使用权收回、转让前，应当由土地使用权人按照规定进</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行土壤污染状况调查。土壤污染状况调查报告应当作为不动产登记</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资料送交地方人民政府不动产登记机构，并报地方人民政府生态环</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境主管部门备案。</w:t>
            </w:r>
          </w:p>
          <w:p>
            <w:pPr>
              <w:spacing w:line="274" w:lineRule="auto"/>
              <w:rPr>
                <w:rFonts w:ascii="Arial"/>
                <w:sz w:val="21"/>
              </w:rPr>
            </w:pPr>
            <w:r/>
          </w:p>
          <w:p>
            <w:pPr>
              <w:ind w:left="12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《中华人民共和国土壤污染防治法》</w:t>
            </w:r>
          </w:p>
          <w:p>
            <w:pPr>
              <w:ind w:left="109" w:right="56" w:firstLine="16"/>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第九十五条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违反本法规定，有下列行为之一的，由地方人民政府</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0"/>
              </w:rPr>
              <w:t>有关部门责令改正；拒不改正的，处一万元以上五万元以下的罚款：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土壤污染重点监管单位未按照规定将土壤污</w:t>
            </w:r>
            <w:r>
              <w:rPr>
                <w:rFonts w:ascii="FangSong_GB2312" w:hAnsi="FangSong_GB2312" w:eastAsia="FangSong_GB2312" w:cs="FangSong_GB2312"/>
                <w:sz w:val="24"/>
                <w:szCs w:val="24"/>
                <w:spacing w:val="-1"/>
              </w:rPr>
              <w:t>染防治工作方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案报地方人民政府生态环境、工业和信息化主管</w:t>
            </w:r>
            <w:r>
              <w:rPr>
                <w:rFonts w:ascii="FangSong_GB2312" w:hAnsi="FangSong_GB2312" w:eastAsia="FangSong_GB2312" w:cs="FangSong_GB2312"/>
                <w:sz w:val="24"/>
                <w:szCs w:val="24"/>
                <w:spacing w:val="-1"/>
              </w:rPr>
              <w:t>部门备案的；</w:t>
            </w:r>
          </w:p>
          <w:p>
            <w:pPr>
              <w:ind w:left="113" w:right="36" w:hanging="4"/>
              <w:spacing w:before="39"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（二）土壤污染责任人或者土地使用权人未</w:t>
            </w:r>
            <w:r>
              <w:rPr>
                <w:rFonts w:ascii="FangSong_GB2312" w:hAnsi="FangSong_GB2312" w:eastAsia="FangSong_GB2312" w:cs="FangSong_GB2312"/>
                <w:sz w:val="24"/>
                <w:szCs w:val="24"/>
                <w:spacing w:val="-2"/>
              </w:rPr>
              <w:t>按照规定将修复方案、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效果评估报告报地方人民政府生态环境、农业农村、林业草原主管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部门备案的；</w:t>
            </w:r>
          </w:p>
          <w:p>
            <w:pPr>
              <w:ind w:left="115" w:right="124" w:hanging="6"/>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土地使用权人未按照规定将土壤污染状况调</w:t>
            </w:r>
            <w:r>
              <w:rPr>
                <w:rFonts w:ascii="FangSong_GB2312" w:hAnsi="FangSong_GB2312" w:eastAsia="FangSong_GB2312" w:cs="FangSong_GB2312"/>
                <w:sz w:val="24"/>
                <w:szCs w:val="24"/>
                <w:spacing w:val="-1"/>
              </w:rPr>
              <w:t>查报告报地方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人民政府生态环境主管部门备案的。</w:t>
            </w:r>
          </w:p>
        </w:tc>
      </w:tr>
    </w:tbl>
    <w:p>
      <w:pPr>
        <w:pStyle w:val="BodyText"/>
        <w:rPr/>
      </w:pPr>
      <w:r/>
    </w:p>
    <w:p>
      <w:pPr>
        <w:sectPr>
          <w:footerReference w:type="default" r:id="rId267"/>
          <w:pgSz w:w="11905" w:h="16839"/>
          <w:pgMar w:top="1431" w:right="1785" w:bottom="1156" w:left="1304"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3"/>
        <w:gridCol w:w="1996"/>
        <w:gridCol w:w="684"/>
        <w:gridCol w:w="3201"/>
        <w:gridCol w:w="1200"/>
      </w:tblGrid>
      <w:tr>
        <w:trPr>
          <w:trHeight w:val="11030" w:hRule="atLeast"/>
        </w:trPr>
        <w:tc>
          <w:tcPr>
            <w:tcW w:w="1483" w:type="dxa"/>
            <w:vAlign w:val="top"/>
          </w:tcPr>
          <w:p>
            <w:pPr>
              <w:rPr>
                <w:rFonts w:ascii="Arial"/>
                <w:sz w:val="21"/>
              </w:rPr>
            </w:pPr>
            <w:r/>
          </w:p>
        </w:tc>
        <w:tc>
          <w:tcPr>
            <w:tcW w:w="7081" w:type="dxa"/>
            <w:vAlign w:val="top"/>
            <w:gridSpan w:val="4"/>
          </w:tcPr>
          <w:p>
            <w:pPr>
              <w:spacing w:line="278" w:lineRule="auto"/>
              <w:rPr>
                <w:rFonts w:ascii="Arial"/>
                <w:sz w:val="21"/>
              </w:rPr>
            </w:pPr>
            <w:r/>
          </w:p>
          <w:p>
            <w:pPr>
              <w:ind w:left="13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3.《河北省土壤污染防治条例》</w:t>
            </w:r>
          </w:p>
          <w:p>
            <w:pPr>
              <w:ind w:left="126" w:right="46" w:firstLine="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第二十三条</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7"/>
              </w:rPr>
              <w:t>企业事业单位拆除设施、设备或者建筑物、构筑物的，</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应当采取相应的土壤污染防治措施，安全处置残留物料、污染物、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污染设施和设备，防范拆除活动污染土壤。</w:t>
            </w:r>
          </w:p>
          <w:p>
            <w:pPr>
              <w:ind w:left="121" w:right="46" w:firstLine="482"/>
              <w:spacing w:before="37"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土壤污染重点监管单位拆除设施、设备或者建筑物、构筑物的，</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应当制定土壤污染防治工作方案并组织实施，方案包括被拆除设</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施、设备或者建筑物、构筑物的基本情况，残留物料、污染物、污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染设施和设备的安全处置以及应急措施，土壤污染防治要求和对周</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边环境的污染防治措施等内容。土壤污染防治工作方案应当在拆除</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活动十五个工作日前报所在地生态环境、工业和信息化主管部门备</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案。拆除活动相关记录应当归档保存。</w:t>
            </w:r>
          </w:p>
          <w:p>
            <w:pPr>
              <w:ind w:left="133"/>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土壤污染重点监管单位生产经营用地的用途变更或</w:t>
            </w:r>
          </w:p>
          <w:p>
            <w:pPr>
              <w:ind w:left="121" w:right="107" w:firstLine="1"/>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者在其土地使用权收回、转让前，应当由土地使用权人按照规定进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行土壤污染状况调查。土壤污染状况调查报告应当作为不动产登记</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资料送交所在地不动产登记机构，并报所在地生态环境主管部门备</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5"/>
              </w:rPr>
              <w:t>案。</w:t>
            </w:r>
          </w:p>
          <w:p>
            <w:pPr>
              <w:ind w:left="133"/>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对建设用地土壤污染风险管控和修复名录中需要实</w:t>
            </w:r>
          </w:p>
          <w:p>
            <w:pPr>
              <w:ind w:left="126" w:right="107" w:hanging="4"/>
              <w:spacing w:before="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施修复的地块，土壤污染责任人应当根据规划土地用途编制修复方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案，报所在地生态环境主管部门备案并实施。修复方案应</w:t>
            </w:r>
            <w:r>
              <w:rPr>
                <w:rFonts w:ascii="FangSong_GB2312" w:hAnsi="FangSong_GB2312" w:eastAsia="FangSong_GB2312" w:cs="FangSong_GB2312"/>
                <w:sz w:val="24"/>
                <w:szCs w:val="24"/>
                <w:spacing w:val="-5"/>
              </w:rPr>
              <w:t>当包括修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复范围和目标、技术路线和二次污染防范措施、地下水污</w:t>
            </w:r>
            <w:r>
              <w:rPr>
                <w:rFonts w:ascii="FangSong_GB2312" w:hAnsi="FangSong_GB2312" w:eastAsia="FangSong_GB2312" w:cs="FangSong_GB2312"/>
                <w:sz w:val="24"/>
                <w:szCs w:val="24"/>
                <w:spacing w:val="-5"/>
              </w:rPr>
              <w:t>染防治等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内容。</w:t>
            </w:r>
          </w:p>
          <w:p>
            <w:pPr>
              <w:ind w:left="126" w:right="107" w:firstLine="6"/>
              <w:spacing w:before="34"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风险管控、修复活动完成后，土壤污染责任人应当另行</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4"/>
              </w:rPr>
              <w:t>委托有关单位对风险管控效果、修复效果进行评估，并将</w:t>
            </w:r>
            <w:r>
              <w:rPr>
                <w:rFonts w:ascii="FangSong_GB2312" w:hAnsi="FangSong_GB2312" w:eastAsia="FangSong_GB2312" w:cs="FangSong_GB2312"/>
                <w:sz w:val="24"/>
                <w:szCs w:val="24"/>
                <w:spacing w:val="-5"/>
              </w:rPr>
              <w:t>效果评估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报告报所在地生态环境主管部门备案。</w:t>
            </w:r>
          </w:p>
          <w:p>
            <w:pPr>
              <w:spacing w:line="271" w:lineRule="auto"/>
              <w:rPr>
                <w:rFonts w:ascii="Arial"/>
                <w:sz w:val="21"/>
              </w:rPr>
            </w:pPr>
            <w:r/>
          </w:p>
          <w:p>
            <w:pPr>
              <w:ind w:left="1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4.《河北省土壤污染防治条例》</w:t>
            </w:r>
          </w:p>
          <w:p>
            <w:pPr>
              <w:ind w:left="119" w:right="107" w:firstLine="14"/>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违反本条例规定，有下列行为之一的，由有关部门责</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令改正；拒不改正的，处一万元以上五万元以下的罚款：</w:t>
            </w:r>
          </w:p>
          <w:p>
            <w:pPr>
              <w:ind w:left="127" w:right="107" w:hanging="11"/>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（一）土壤污染重点监管单位未按照规定将土壤污染防治工作方案</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报生态环境、工业和信息化主管部门备案的；</w:t>
            </w:r>
          </w:p>
          <w:p>
            <w:pPr>
              <w:ind w:left="126" w:right="53" w:hanging="10"/>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（二）土壤污染责任人或者土地使用权人未按照规定将修复方案、</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0"/>
              </w:rPr>
              <w:t>效果评估报告报生态环境、农业农村、林业和草原主管</w:t>
            </w:r>
            <w:r>
              <w:rPr>
                <w:rFonts w:ascii="FangSong_GB2312" w:hAnsi="FangSong_GB2312" w:eastAsia="FangSong_GB2312" w:cs="FangSong_GB2312"/>
                <w:sz w:val="24"/>
                <w:szCs w:val="24"/>
                <w:spacing w:val="-11"/>
              </w:rPr>
              <w:t>部门备案的；</w:t>
            </w:r>
          </w:p>
          <w:p>
            <w:pPr>
              <w:ind w:left="115" w:right="107" w:firstLine="1"/>
              <w:spacing w:before="39"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（三）土地使用权人未按照规定将土壤污染状况调查报告报生态环</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境主管部门备案的。</w:t>
            </w:r>
          </w:p>
        </w:tc>
      </w:tr>
      <w:tr>
        <w:trPr>
          <w:trHeight w:val="635" w:hRule="atLeast"/>
        </w:trPr>
        <w:tc>
          <w:tcPr>
            <w:tcW w:w="4163" w:type="dxa"/>
            <w:vAlign w:val="top"/>
            <w:gridSpan w:val="3"/>
          </w:tcPr>
          <w:p>
            <w:pPr>
              <w:ind w:left="1526"/>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1" w:type="dxa"/>
            <w:vAlign w:val="top"/>
            <w:gridSpan w:val="2"/>
          </w:tcPr>
          <w:p>
            <w:pPr>
              <w:ind w:left="165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3" w:type="dxa"/>
            <w:vAlign w:val="top"/>
          </w:tcPr>
          <w:p>
            <w:pPr>
              <w:ind w:left="512"/>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4"/>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4" w:type="dxa"/>
            <w:vAlign w:val="top"/>
          </w:tcPr>
          <w:p>
            <w:pPr>
              <w:ind w:left="155" w:right="12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6"/>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200" w:type="dxa"/>
            <w:vAlign w:val="top"/>
          </w:tcPr>
          <w:p>
            <w:pPr>
              <w:ind w:left="282"/>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7" w:hRule="atLeast"/>
        </w:trPr>
        <w:tc>
          <w:tcPr>
            <w:tcW w:w="1483" w:type="dxa"/>
            <w:vAlign w:val="top"/>
          </w:tcPr>
          <w:p>
            <w:pPr>
              <w:ind w:left="507" w:right="137" w:hanging="358"/>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tcPr>
          <w:p>
            <w:pPr>
              <w:ind w:left="282"/>
              <w:spacing w:before="19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4" w:type="dxa"/>
            <w:vAlign w:val="top"/>
          </w:tcPr>
          <w:p>
            <w:pPr>
              <w:ind w:left="17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8" w:right="213" w:firstLine="34"/>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已制定土壤污染防治工作方</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案/已委托有关单位对风险</w:t>
            </w:r>
          </w:p>
        </w:tc>
        <w:tc>
          <w:tcPr>
            <w:tcW w:w="1200" w:type="dxa"/>
            <w:vAlign w:val="top"/>
          </w:tcPr>
          <w:p>
            <w:pPr>
              <w:ind w:left="26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268"/>
          <w:pgSz w:w="11905" w:h="16839"/>
          <w:pgMar w:top="1431" w:right="1785" w:bottom="1156" w:left="1304"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996"/>
        <w:gridCol w:w="685"/>
        <w:gridCol w:w="3201"/>
        <w:gridCol w:w="1202"/>
      </w:tblGrid>
      <w:tr>
        <w:trPr>
          <w:trHeight w:val="1583" w:hRule="atLeast"/>
        </w:trPr>
        <w:tc>
          <w:tcPr>
            <w:tcW w:w="1480"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14" w:right="211"/>
              <w:spacing w:before="45"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管控效果、修复效果进行评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估/已按规定土壤污染状况</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调查报告，但未按规定报地</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方人民政府生态环境主管部</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门备案</w:t>
            </w:r>
          </w:p>
        </w:tc>
        <w:tc>
          <w:tcPr>
            <w:tcW w:w="1202" w:type="dxa"/>
            <w:vAlign w:val="top"/>
          </w:tcPr>
          <w:p>
            <w:pPr>
              <w:rPr>
                <w:rFonts w:ascii="Arial"/>
                <w:sz w:val="21"/>
              </w:rPr>
            </w:pPr>
            <w:r/>
          </w:p>
        </w:tc>
      </w:tr>
      <w:tr>
        <w:trPr>
          <w:trHeight w:val="1579" w:hRule="atLeast"/>
        </w:trPr>
        <w:tc>
          <w:tcPr>
            <w:tcW w:w="1480"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right="211" w:firstLine="120"/>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未制定土壤污染防治工作</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方案/未委托有关单位对风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险管控效果、修复效果进行</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评估/未按规定土壤污染状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况调查报告</w:t>
            </w:r>
          </w:p>
        </w:tc>
        <w:tc>
          <w:tcPr>
            <w:tcW w:w="1202" w:type="dxa"/>
            <w:vAlign w:val="top"/>
          </w:tcPr>
          <w:p>
            <w:pPr>
              <w:spacing w:line="293" w:lineRule="auto"/>
              <w:rPr>
                <w:rFonts w:ascii="Arial"/>
                <w:sz w:val="21"/>
              </w:rPr>
            </w:pPr>
            <w:r/>
          </w:p>
          <w:p>
            <w:pPr>
              <w:spacing w:line="294" w:lineRule="auto"/>
              <w:rPr>
                <w:rFonts w:ascii="Arial"/>
                <w:sz w:val="21"/>
              </w:rPr>
            </w:pPr>
            <w:r/>
          </w:p>
          <w:p>
            <w:pPr>
              <w:ind w:left="19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0" w:type="dxa"/>
            <w:vAlign w:val="top"/>
            <w:vMerge w:val="restart"/>
            <w:tcBorders>
              <w:bottom w:val="nil"/>
            </w:tcBorders>
          </w:tcPr>
          <w:p>
            <w:pPr>
              <w:spacing w:line="446"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6"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202" w:type="dxa"/>
            <w:vAlign w:val="top"/>
          </w:tcPr>
          <w:p>
            <w:pPr>
              <w:ind w:left="49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202" w:type="dxa"/>
            <w:vAlign w:val="top"/>
          </w:tcPr>
          <w:p>
            <w:pPr>
              <w:ind w:left="44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202" w:type="dxa"/>
            <w:vAlign w:val="top"/>
          </w:tcPr>
          <w:p>
            <w:pPr>
              <w:ind w:left="44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202" w:type="dxa"/>
            <w:vAlign w:val="top"/>
          </w:tcPr>
          <w:p>
            <w:pPr>
              <w:ind w:left="43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vMerge w:val="restart"/>
            <w:tcBorders>
              <w:bottom w:val="nil"/>
            </w:tcBorders>
          </w:tcPr>
          <w:p>
            <w:pPr>
              <w:spacing w:line="442"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202" w:type="dxa"/>
            <w:vAlign w:val="top"/>
          </w:tcPr>
          <w:p>
            <w:pPr>
              <w:ind w:left="5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202" w:type="dxa"/>
            <w:vAlign w:val="top"/>
          </w:tcPr>
          <w:p>
            <w:pPr>
              <w:ind w:left="322"/>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202" w:type="dxa"/>
            <w:vAlign w:val="top"/>
          </w:tcPr>
          <w:p>
            <w:pPr>
              <w:ind w:left="25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80" w:type="dxa"/>
            <w:vAlign w:val="top"/>
            <w:vMerge w:val="restart"/>
            <w:tcBorders>
              <w:bottom w:val="nil"/>
            </w:tcBorders>
          </w:tcPr>
          <w:p>
            <w:pPr>
              <w:ind w:left="267" w:right="257" w:firstLine="7"/>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202" w:type="dxa"/>
            <w:vAlign w:val="top"/>
          </w:tcPr>
          <w:p>
            <w:pPr>
              <w:ind w:left="262"/>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202" w:type="dxa"/>
            <w:vAlign w:val="top"/>
          </w:tcPr>
          <w:p>
            <w:pPr>
              <w:ind w:left="5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80" w:type="dxa"/>
            <w:vAlign w:val="top"/>
            <w:vMerge w:val="restart"/>
            <w:tcBorders>
              <w:bottom w:val="nil"/>
            </w:tcBorders>
          </w:tcPr>
          <w:p>
            <w:pPr>
              <w:ind w:left="149"/>
              <w:spacing w:before="8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7"/>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202" w:type="dxa"/>
            <w:vAlign w:val="top"/>
          </w:tcPr>
          <w:p>
            <w:pPr>
              <w:ind w:left="262"/>
              <w:spacing w:before="79"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202" w:type="dxa"/>
            <w:vAlign w:val="top"/>
          </w:tcPr>
          <w:p>
            <w:pPr>
              <w:ind w:left="50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69"/>
          <w:pgSz w:w="11905" w:h="16839"/>
          <w:pgMar w:top="1431" w:right="1785" w:bottom="1156" w:left="1304"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310"/>
              <w:spacing w:before="109" w:line="225" w:lineRule="auto"/>
              <w:rPr>
                <w:rFonts w:ascii="FZXiaoBiaoSong-B05S" w:hAnsi="FZXiaoBiaoSong-B05S" w:eastAsia="FZXiaoBiaoSong-B05S" w:cs="FZXiaoBiaoSong-B05S"/>
                <w:sz w:val="40"/>
                <w:szCs w:val="40"/>
              </w:rPr>
            </w:pPr>
            <w:bookmarkStart w:name="bookmark19" w:id="22"/>
            <w:bookmarkEnd w:id="22"/>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134</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34" w:right="176" w:hanging="2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产生、收集、贮存、运输、利用、处置固体废物的单位未依法及</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时公开固体废物污染环境防治信息的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6" w:right="169" w:firstLine="17"/>
              <w:spacing w:before="36"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产生、收集、贮存、运输、</w:t>
            </w:r>
            <w:r>
              <w:rPr>
                <w:rFonts w:ascii="FangSong_GB2312" w:hAnsi="FangSong_GB2312" w:eastAsia="FangSong_GB2312" w:cs="FangSong_GB2312"/>
                <w:sz w:val="24"/>
                <w:szCs w:val="24"/>
                <w:spacing w:val="-2"/>
              </w:rPr>
              <w:t>利用、处置固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体废物的单位，应当依法及时公开固体废物污染环境防治信息，</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主动接受社会监督。</w:t>
            </w:r>
          </w:p>
          <w:p>
            <w:pPr>
              <w:spacing w:line="268"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07" w:right="176"/>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（一）产生、收集、贮存、运输、利用、处置固</w:t>
            </w:r>
            <w:r>
              <w:rPr>
                <w:rFonts w:ascii="FangSong_GB2312" w:hAnsi="FangSong_GB2312" w:eastAsia="FangSong_GB2312" w:cs="FangSong_GB2312"/>
                <w:sz w:val="24"/>
                <w:szCs w:val="24"/>
                <w:spacing w:val="-1"/>
              </w:rPr>
              <w:t>体废物的单位未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依法及时公开固体废物污染环境防治信息的；</w:t>
            </w:r>
          </w:p>
          <w:p>
            <w:pPr>
              <w:ind w:left="124" w:right="176" w:hanging="7"/>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有前款第一项、第八项行为之一，处五万元以上二十万元以下的</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8"/>
              </w:rPr>
              <w:t>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84" w:hRule="atLeast"/>
        </w:trPr>
        <w:tc>
          <w:tcPr>
            <w:tcW w:w="1454" w:type="dxa"/>
            <w:vAlign w:val="top"/>
            <w:vMerge w:val="restart"/>
            <w:tcBorders>
              <w:bottom w:val="nil"/>
            </w:tcBorders>
          </w:tcPr>
          <w:p>
            <w:pPr>
              <w:ind w:left="495" w:right="122" w:hanging="360"/>
              <w:spacing w:before="11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5"/>
              <w:spacing w:before="2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ind w:left="176"/>
              <w:spacing w:before="2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spacing w:before="7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持续时间</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7"/>
              </w:rPr>
              <w:t>天以内的</w:t>
            </w:r>
          </w:p>
        </w:tc>
        <w:tc>
          <w:tcPr>
            <w:tcW w:w="1122" w:type="dxa"/>
            <w:vAlign w:val="top"/>
          </w:tcPr>
          <w:p>
            <w:pPr>
              <w:ind w:left="223"/>
              <w:spacing w:before="75"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spacing w:before="8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持续时间</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7"/>
              </w:rPr>
              <w:t>天以上的</w:t>
            </w:r>
          </w:p>
        </w:tc>
        <w:tc>
          <w:tcPr>
            <w:tcW w:w="1122" w:type="dxa"/>
            <w:vAlign w:val="top"/>
          </w:tcPr>
          <w:p>
            <w:pPr>
              <w:ind w:left="157"/>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50"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0"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3" w:hRule="atLeast"/>
        </w:trPr>
        <w:tc>
          <w:tcPr>
            <w:tcW w:w="1454" w:type="dxa"/>
            <w:vAlign w:val="top"/>
            <w:vMerge w:val="restart"/>
            <w:tcBorders>
              <w:bottom w:val="nil"/>
            </w:tcBorders>
          </w:tcPr>
          <w:p>
            <w:pPr>
              <w:ind w:left="135"/>
              <w:spacing w:before="8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0"/>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135</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right="176" w:firstLine="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生活垃圾处理单位未按照国家有关规定安装使用监测设备、实时</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监测污染物的排放情况并公开污染排放数据的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1" w:right="40" w:firstLine="13"/>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生活垃圾处理单位应当按照国家有关规定，安</w:t>
            </w:r>
            <w:r>
              <w:rPr>
                <w:rFonts w:ascii="FangSong_GB2312" w:hAnsi="FangSong_GB2312" w:eastAsia="FangSong_GB2312" w:cs="FangSong_GB2312"/>
                <w:sz w:val="24"/>
                <w:szCs w:val="24"/>
                <w:spacing w:val="-2"/>
              </w:rPr>
              <w:t>装使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用监测设备，实时监测污染物的排放情况，将污染排放数据实时</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公开。监测设备应当与所在地生态环境主管部门的监控设备联网。</w:t>
            </w:r>
          </w:p>
          <w:p>
            <w:pPr>
              <w:spacing w:line="272"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23" w:right="35" w:hanging="16"/>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（二）生活垃圾处理单位未按照国家有关规定安装使用监测设备、</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实时监测污染物的排放情况并公开污染排放数据的；</w:t>
            </w:r>
          </w:p>
          <w:p>
            <w:pPr>
              <w:ind w:left="121" w:right="176" w:hanging="4"/>
              <w:spacing w:before="37"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有前款第二项、第三项、第四项、第五项、第六项、第九项、第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十项、第十一项行为之一，处十万元以上一百万元以下的罚款；</w:t>
            </w:r>
          </w:p>
        </w:tc>
      </w:tr>
      <w:tr>
        <w:trPr>
          <w:trHeight w:val="635" w:hRule="atLeast"/>
        </w:trPr>
        <w:tc>
          <w:tcPr>
            <w:tcW w:w="4135" w:type="dxa"/>
            <w:vAlign w:val="top"/>
            <w:gridSpan w:val="3"/>
          </w:tcPr>
          <w:p>
            <w:pPr>
              <w:ind w:left="151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54" w:type="dxa"/>
            <w:vAlign w:val="top"/>
            <w:vMerge w:val="restart"/>
            <w:tcBorders>
              <w:bottom w:val="nil"/>
            </w:tcBorders>
          </w:tcPr>
          <w:p>
            <w:pPr>
              <w:spacing w:line="320" w:lineRule="auto"/>
              <w:rPr>
                <w:rFonts w:ascii="Arial"/>
                <w:sz w:val="21"/>
              </w:rPr>
            </w:pPr>
            <w:r/>
          </w:p>
          <w:p>
            <w:pPr>
              <w:spacing w:line="321"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1" w:right="211" w:firstLine="3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已安装监测设备，实时监测</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污染物的排放情况，但未公</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开污染物排放数据的</w:t>
            </w:r>
          </w:p>
        </w:tc>
        <w:tc>
          <w:tcPr>
            <w:tcW w:w="1122" w:type="dxa"/>
            <w:vAlign w:val="top"/>
          </w:tcPr>
          <w:p>
            <w:pPr>
              <w:spacing w:line="277"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firstLine="3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已安装监测设备，但未实时</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监测污染物的排放情况的</w:t>
            </w:r>
          </w:p>
        </w:tc>
        <w:tc>
          <w:tcPr>
            <w:tcW w:w="1122" w:type="dxa"/>
            <w:vAlign w:val="top"/>
          </w:tcPr>
          <w:p>
            <w:pPr>
              <w:ind w:left="1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未安装监测设备的</w:t>
            </w:r>
          </w:p>
        </w:tc>
        <w:tc>
          <w:tcPr>
            <w:tcW w:w="1122" w:type="dxa"/>
            <w:vAlign w:val="top"/>
          </w:tcPr>
          <w:p>
            <w:pPr>
              <w:ind w:left="157"/>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6"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5"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0"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0"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1"/>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96" w:hRule="atLeast"/>
        </w:trPr>
        <w:tc>
          <w:tcPr>
            <w:tcW w:w="1454" w:type="dxa"/>
            <w:vAlign w:val="top"/>
            <w:vMerge w:val="restart"/>
            <w:tcBorders>
              <w:bottom w:val="nil"/>
            </w:tcBorders>
          </w:tcPr>
          <w:p>
            <w:pPr>
              <w:ind w:left="135"/>
              <w:spacing w:before="8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0"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6"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2"/>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136</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5"/>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将列入限期淘汰名录被淘汰的设备转让给他人使用的</w:t>
            </w:r>
          </w:p>
        </w:tc>
      </w:tr>
      <w:tr>
        <w:trPr>
          <w:trHeight w:val="3468" w:hRule="atLeast"/>
        </w:trPr>
        <w:tc>
          <w:tcPr>
            <w:tcW w:w="145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2" w:right="106" w:firstLine="12"/>
              <w:spacing w:before="3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列入限期淘汰名录被淘汰的设备，不得转让给他人使</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5"/>
              </w:rPr>
              <w:t>用。</w:t>
            </w:r>
          </w:p>
          <w:p>
            <w:pPr>
              <w:spacing w:line="266"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0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（三）将列入限期淘汰名录被淘汰的设备转让</w:t>
            </w:r>
            <w:r>
              <w:rPr>
                <w:rFonts w:ascii="FangSong_GB2312" w:hAnsi="FangSong_GB2312" w:eastAsia="FangSong_GB2312" w:cs="FangSong_GB2312"/>
                <w:sz w:val="24"/>
                <w:szCs w:val="24"/>
                <w:spacing w:val="-1"/>
              </w:rPr>
              <w:t>给他人使用的；</w:t>
            </w:r>
          </w:p>
          <w:p>
            <w:pPr>
              <w:ind w:left="121" w:right="176" w:hanging="4"/>
              <w:spacing w:before="37"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有前款第二项、第三项、第四项、第五项、第六项、第九项、第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十项、第十一项行为之一，处十万元以上一百万元以下的罚款；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84" w:hRule="atLeast"/>
        </w:trPr>
        <w:tc>
          <w:tcPr>
            <w:tcW w:w="1454" w:type="dxa"/>
            <w:vAlign w:val="top"/>
            <w:vMerge w:val="restart"/>
            <w:tcBorders>
              <w:bottom w:val="nil"/>
            </w:tcBorders>
          </w:tcPr>
          <w:p>
            <w:pPr>
              <w:spacing w:line="448"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spacing w:before="7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设备原值&lt;50</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万的</w:t>
            </w:r>
          </w:p>
        </w:tc>
        <w:tc>
          <w:tcPr>
            <w:tcW w:w="1122" w:type="dxa"/>
            <w:vAlign w:val="top"/>
          </w:tcPr>
          <w:p>
            <w:pPr>
              <w:ind w:left="223"/>
              <w:spacing w:before="7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万≤设备原值&lt;100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万的</w:t>
            </w:r>
          </w:p>
        </w:tc>
        <w:tc>
          <w:tcPr>
            <w:tcW w:w="1122" w:type="dxa"/>
            <w:vAlign w:val="top"/>
          </w:tcPr>
          <w:p>
            <w:pPr>
              <w:ind w:left="163"/>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9"/>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5"/>
              </w:rPr>
              <w:t>万≤设备原值&lt;200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万的</w:t>
            </w:r>
          </w:p>
        </w:tc>
        <w:tc>
          <w:tcPr>
            <w:tcW w:w="1122" w:type="dxa"/>
            <w:vAlign w:val="top"/>
          </w:tcPr>
          <w:p>
            <w:pPr>
              <w:ind w:left="157"/>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设备原值≥200</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万的</w:t>
            </w:r>
          </w:p>
        </w:tc>
        <w:tc>
          <w:tcPr>
            <w:tcW w:w="1122" w:type="dxa"/>
            <w:vAlign w:val="top"/>
          </w:tcPr>
          <w:p>
            <w:pPr>
              <w:ind w:left="167"/>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37" w:hRule="atLeast"/>
        </w:trPr>
        <w:tc>
          <w:tcPr>
            <w:tcW w:w="1454" w:type="dxa"/>
            <w:vAlign w:val="top"/>
            <w:vMerge w:val="restart"/>
            <w:tcBorders>
              <w:bottom w:val="nil"/>
            </w:tcBorders>
          </w:tcPr>
          <w:p>
            <w:pPr>
              <w:spacing w:line="45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5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5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3" w:hRule="atLeast"/>
        </w:trPr>
        <w:tc>
          <w:tcPr>
            <w:tcW w:w="1454" w:type="dxa"/>
            <w:vAlign w:val="top"/>
            <w:vMerge w:val="restart"/>
            <w:tcBorders>
              <w:bottom w:val="nil"/>
            </w:tcBorders>
          </w:tcPr>
          <w:p>
            <w:pPr>
              <w:ind w:left="135"/>
              <w:spacing w:before="8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2"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3"/>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5"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137</w:t>
            </w:r>
          </w:p>
        </w:tc>
      </w:tr>
      <w:tr>
        <w:trPr>
          <w:trHeight w:val="949" w:hRule="atLeast"/>
        </w:trPr>
        <w:tc>
          <w:tcPr>
            <w:tcW w:w="1454" w:type="dxa"/>
            <w:vAlign w:val="top"/>
          </w:tcPr>
          <w:p>
            <w:pPr>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9" w:right="176" w:hanging="4"/>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在生态保护红线区域、永久基本农田集中区域和其他需要特别保</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护的区域内，建设工业固体废物、危险废物集中贮存、利用、处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置的设施、场所和生活垃圾填埋场的</w:t>
            </w:r>
          </w:p>
        </w:tc>
      </w:tr>
      <w:tr>
        <w:trPr>
          <w:trHeight w:val="4413" w:hRule="atLeast"/>
        </w:trPr>
        <w:tc>
          <w:tcPr>
            <w:tcW w:w="145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8" w:right="171" w:firstLine="16"/>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在生态保护红线区域、永久基本农田集中区域</w:t>
            </w:r>
            <w:r>
              <w:rPr>
                <w:rFonts w:ascii="FangSong_GB2312" w:hAnsi="FangSong_GB2312" w:eastAsia="FangSong_GB2312" w:cs="FangSong_GB2312"/>
                <w:sz w:val="24"/>
                <w:szCs w:val="24"/>
                <w:spacing w:val="-2"/>
              </w:rPr>
              <w:t>和其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他需要特别保护的区域内，禁止建设工业固体废</w:t>
            </w:r>
            <w:r>
              <w:rPr>
                <w:rFonts w:ascii="FangSong_GB2312" w:hAnsi="FangSong_GB2312" w:eastAsia="FangSong_GB2312" w:cs="FangSong_GB2312"/>
                <w:sz w:val="24"/>
                <w:szCs w:val="24"/>
                <w:spacing w:val="-1"/>
              </w:rPr>
              <w:t>物、危险废物集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中贮存、利用、处置的设施、场所和生活垃圾填埋场。</w:t>
            </w:r>
          </w:p>
          <w:p>
            <w:pPr>
              <w:spacing w:line="271"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11" w:right="176" w:hanging="4"/>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（四）在生态保护红线区域、永久基本农田集中</w:t>
            </w:r>
            <w:r>
              <w:rPr>
                <w:rFonts w:ascii="FangSong_GB2312" w:hAnsi="FangSong_GB2312" w:eastAsia="FangSong_GB2312" w:cs="FangSong_GB2312"/>
                <w:sz w:val="24"/>
                <w:szCs w:val="24"/>
                <w:spacing w:val="-1"/>
              </w:rPr>
              <w:t>区域和其他需要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特别保护的区域内，建设工业固体废物、危险废物集中贮存、利</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用、处置的设施、场所和生活垃圾填埋场的；</w:t>
            </w:r>
          </w:p>
          <w:p>
            <w:pPr>
              <w:ind w:left="121" w:right="176" w:hanging="4"/>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有前款第二项、第三项、第四项、第五项、第六项、第九项、第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十项、第十一项行为之一，处十万元以上一百万元以下的罚款；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4" w:right="103" w:hanging="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贮存、处置、填埋能力为</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6"/>
              </w:rPr>
              <w:t>1000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立方米以下的</w:t>
            </w:r>
          </w:p>
        </w:tc>
        <w:tc>
          <w:tcPr>
            <w:tcW w:w="1122" w:type="dxa"/>
            <w:vAlign w:val="top"/>
          </w:tcPr>
          <w:p>
            <w:pPr>
              <w:ind w:left="22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4" w:right="103" w:hanging="4"/>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贮存、处置、填埋能力为</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6"/>
              </w:rPr>
              <w:t>1000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立方米以上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spacing w:val="-45"/>
              </w:rPr>
              <w:t xml:space="preserve"> </w:t>
            </w:r>
            <w:r>
              <w:rPr>
                <w:rFonts w:ascii="FangSong_GB2312" w:hAnsi="FangSong_GB2312" w:eastAsia="FangSong_GB2312" w:cs="FangSong_GB2312"/>
                <w:sz w:val="24"/>
                <w:szCs w:val="24"/>
                <w:spacing w:val="-5"/>
              </w:rPr>
              <w:t>立方米以下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spacing w:line="277"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4" w:right="103" w:hanging="4"/>
              <w:spacing w:before="45" w:line="229"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贮存、处置、填埋能力为</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6"/>
              </w:rPr>
              <w:t>5000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立方米以上</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5"/>
              </w:rPr>
              <w:t>10000</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5"/>
              </w:rPr>
              <w:t>立方米以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下的</w:t>
            </w:r>
          </w:p>
        </w:tc>
        <w:tc>
          <w:tcPr>
            <w:tcW w:w="1122" w:type="dxa"/>
            <w:vAlign w:val="top"/>
          </w:tcPr>
          <w:p>
            <w:pPr>
              <w:spacing w:line="278"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9" w:right="451" w:hanging="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贮存、处置、填埋能力为</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10000</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5"/>
              </w:rPr>
              <w:t>立方米以上的</w:t>
            </w:r>
          </w:p>
        </w:tc>
        <w:tc>
          <w:tcPr>
            <w:tcW w:w="1122" w:type="dxa"/>
            <w:vAlign w:val="top"/>
          </w:tcPr>
          <w:p>
            <w:pPr>
              <w:ind w:left="16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44" w:hRule="atLeast"/>
        </w:trPr>
        <w:tc>
          <w:tcPr>
            <w:tcW w:w="1454" w:type="dxa"/>
            <w:vAlign w:val="top"/>
            <w:vMerge w:val="restart"/>
            <w:tcBorders>
              <w:bottom w:val="nil"/>
            </w:tcBorders>
          </w:tcPr>
          <w:p>
            <w:pPr>
              <w:spacing w:line="461"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1"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05" w:hRule="atLeast"/>
        </w:trPr>
        <w:tc>
          <w:tcPr>
            <w:tcW w:w="1454" w:type="dxa"/>
            <w:vAlign w:val="top"/>
          </w:tcPr>
          <w:p>
            <w:pPr>
              <w:ind w:left="254"/>
              <w:spacing w:before="8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tcPr>
          <w:p>
            <w:pPr>
              <w:ind w:left="278"/>
              <w:spacing w:before="85"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tcPr>
          <w:p>
            <w:pPr>
              <w:ind w:left="183"/>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8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21" w:right="211"/>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3" w:right="245" w:firstLine="7"/>
              <w:spacing w:before="5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54" w:type="dxa"/>
            <w:vAlign w:val="top"/>
            <w:vMerge w:val="restart"/>
            <w:tcBorders>
              <w:bottom w:val="nil"/>
            </w:tcBorders>
          </w:tcPr>
          <w:p>
            <w:pPr>
              <w:ind w:left="135"/>
              <w:spacing w:before="8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79"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5"/>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138</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6" w:right="176" w:firstLine="7"/>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转移固体废物出省、</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3"/>
              </w:rPr>
              <w:t>自治区、直辖市行政区域贮存、处置未经批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准的</w:t>
            </w:r>
          </w:p>
        </w:tc>
      </w:tr>
      <w:tr>
        <w:trPr>
          <w:trHeight w:val="504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0" w:right="46" w:firstLine="14"/>
              <w:spacing w:before="41"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转移固体废物出省、自治区、直辖</w:t>
            </w:r>
            <w:r>
              <w:rPr>
                <w:rFonts w:ascii="FangSong_GB2312" w:hAnsi="FangSong_GB2312" w:eastAsia="FangSong_GB2312" w:cs="FangSong_GB2312"/>
                <w:sz w:val="24"/>
                <w:szCs w:val="24"/>
                <w:spacing w:val="-4"/>
              </w:rPr>
              <w:t>市行政区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域贮存、处置的，应当向固体废物移出地的省、</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2"/>
              </w:rPr>
              <w:t>自</w:t>
            </w:r>
            <w:r>
              <w:rPr>
                <w:rFonts w:ascii="FangSong_GB2312" w:hAnsi="FangSong_GB2312" w:eastAsia="FangSong_GB2312" w:cs="FangSong_GB2312"/>
                <w:sz w:val="24"/>
                <w:szCs w:val="24"/>
                <w:spacing w:val="-3"/>
              </w:rPr>
              <w:t>治区、直辖市</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人民政府生态环境主管部门提出申请。移出地的省</w:t>
            </w:r>
            <w:r>
              <w:rPr>
                <w:rFonts w:ascii="FangSong_GB2312" w:hAnsi="FangSong_GB2312" w:eastAsia="FangSong_GB2312" w:cs="FangSong_GB2312"/>
                <w:sz w:val="24"/>
                <w:szCs w:val="24"/>
                <w:spacing w:val="-3"/>
              </w:rPr>
              <w:t>、</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3"/>
              </w:rPr>
              <w:t>自治区、直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辖市人民政府生态环境主管部门应当及时商经接受</w:t>
            </w:r>
            <w:r>
              <w:rPr>
                <w:rFonts w:ascii="FangSong_GB2312" w:hAnsi="FangSong_GB2312" w:eastAsia="FangSong_GB2312" w:cs="FangSong_GB2312"/>
                <w:sz w:val="24"/>
                <w:szCs w:val="24"/>
                <w:spacing w:val="-3"/>
              </w:rPr>
              <w:t>地的省、</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3"/>
              </w:rPr>
              <w:t>自治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区、直辖市人民政府生态环境主管部门同意</w:t>
            </w:r>
            <w:r>
              <w:rPr>
                <w:rFonts w:ascii="FangSong_GB2312" w:hAnsi="FangSong_GB2312" w:eastAsia="FangSong_GB2312" w:cs="FangSong_GB2312"/>
                <w:sz w:val="24"/>
                <w:szCs w:val="24"/>
                <w:spacing w:val="-1"/>
              </w:rPr>
              <w:t>后，在规定期限内批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准转移该固体废物出省、自治区、直辖市行政区域。未经批</w:t>
            </w:r>
            <w:r>
              <w:rPr>
                <w:rFonts w:ascii="FangSong_GB2312" w:hAnsi="FangSong_GB2312" w:eastAsia="FangSong_GB2312" w:cs="FangSong_GB2312"/>
                <w:sz w:val="24"/>
                <w:szCs w:val="24"/>
                <w:spacing w:val="-5"/>
              </w:rPr>
              <w:t>准的，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不得转移。</w:t>
            </w:r>
          </w:p>
          <w:p>
            <w:pPr>
              <w:ind w:left="121"/>
              <w:spacing w:before="3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11" w:right="176" w:hanging="4"/>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（五）转移固体废物出省、</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2"/>
              </w:rPr>
              <w:t>自治区、直辖市行政区域贮存</w:t>
            </w:r>
            <w:r>
              <w:rPr>
                <w:rFonts w:ascii="FangSong_GB2312" w:hAnsi="FangSong_GB2312" w:eastAsia="FangSong_GB2312" w:cs="FangSong_GB2312"/>
                <w:sz w:val="24"/>
                <w:szCs w:val="24"/>
                <w:spacing w:val="-3"/>
              </w:rPr>
              <w:t>、处置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未经批准的；</w:t>
            </w:r>
          </w:p>
          <w:p>
            <w:pPr>
              <w:ind w:left="121" w:right="176" w:hanging="4"/>
              <w:spacing w:before="4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有前款第二项、第三项、第四项、第五项、第六项、第九项、第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十项、第十一项行为之一，处十万元以上一百万元以下的罚款；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349"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转移</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吨以下的</w:t>
            </w:r>
          </w:p>
        </w:tc>
        <w:tc>
          <w:tcPr>
            <w:tcW w:w="1122" w:type="dxa"/>
            <w:vAlign w:val="top"/>
          </w:tcPr>
          <w:p>
            <w:pPr>
              <w:ind w:left="2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转移</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10"/>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吨以下的</w:t>
            </w:r>
          </w:p>
        </w:tc>
        <w:tc>
          <w:tcPr>
            <w:tcW w:w="1122" w:type="dxa"/>
            <w:vAlign w:val="top"/>
          </w:tcPr>
          <w:p>
            <w:pPr>
              <w:ind w:left="163"/>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51"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5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转移</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吨以下的</w:t>
            </w:r>
          </w:p>
        </w:tc>
        <w:tc>
          <w:tcPr>
            <w:tcW w:w="1122" w:type="dxa"/>
            <w:vAlign w:val="top"/>
          </w:tcPr>
          <w:p>
            <w:pPr>
              <w:ind w:left="157"/>
              <w:spacing w:before="5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4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转移</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8"/>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吨以上的</w:t>
            </w:r>
          </w:p>
        </w:tc>
        <w:tc>
          <w:tcPr>
            <w:tcW w:w="1122" w:type="dxa"/>
            <w:vAlign w:val="top"/>
          </w:tcPr>
          <w:p>
            <w:pPr>
              <w:ind w:left="167"/>
              <w:spacing w:before="4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02" w:hRule="atLeast"/>
        </w:trPr>
        <w:tc>
          <w:tcPr>
            <w:tcW w:w="145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5" w:hRule="atLeast"/>
        </w:trPr>
        <w:tc>
          <w:tcPr>
            <w:tcW w:w="1454" w:type="dxa"/>
            <w:vAlign w:val="top"/>
          </w:tcPr>
          <w:p>
            <w:pPr>
              <w:ind w:left="261"/>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996" w:type="dxa"/>
            <w:vAlign w:val="top"/>
          </w:tcPr>
          <w:p>
            <w:pPr>
              <w:ind w:left="278"/>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685" w:type="dxa"/>
            <w:vAlign w:val="top"/>
          </w:tcPr>
          <w:p>
            <w:pPr>
              <w:ind w:left="183"/>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276"/>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3" w:hRule="atLeast"/>
        </w:trPr>
        <w:tc>
          <w:tcPr>
            <w:tcW w:w="1454" w:type="dxa"/>
            <w:vAlign w:val="top"/>
          </w:tcPr>
          <w:p>
            <w:pPr>
              <w:ind w:left="253"/>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996" w:type="dxa"/>
            <w:vAlign w:val="top"/>
          </w:tcPr>
          <w:p>
            <w:pPr>
              <w:ind w:left="759"/>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685" w:type="dxa"/>
            <w:vAlign w:val="top"/>
          </w:tcPr>
          <w:p>
            <w:pPr>
              <w:rPr>
                <w:rFonts w:ascii="Arial"/>
                <w:sz w:val="21"/>
              </w:rPr>
            </w:pPr>
            <w:r/>
          </w:p>
        </w:tc>
        <w:tc>
          <w:tcPr>
            <w:tcW w:w="3201" w:type="dxa"/>
            <w:vAlign w:val="top"/>
          </w:tcPr>
          <w:p>
            <w:pPr>
              <w:ind w:left="12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54" w:type="dxa"/>
            <w:vAlign w:val="top"/>
            <w:vMerge w:val="restart"/>
            <w:tcBorders>
              <w:bottom w:val="nil"/>
            </w:tcBorders>
          </w:tcPr>
          <w:p>
            <w:pPr>
              <w:ind w:left="135"/>
              <w:spacing w:before="4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4"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7"/>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139</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4"/>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转移固体废物出省、</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3"/>
              </w:rPr>
              <w:t>自治区、直辖市行政区域利用未报备案的</w:t>
            </w:r>
          </w:p>
        </w:tc>
      </w:tr>
      <w:tr>
        <w:trPr>
          <w:trHeight w:val="4728" w:hRule="atLeast"/>
        </w:trPr>
        <w:tc>
          <w:tcPr>
            <w:tcW w:w="145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2" w:right="106"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转移固体废物出省、自治区、直辖</w:t>
            </w:r>
            <w:r>
              <w:rPr>
                <w:rFonts w:ascii="FangSong_GB2312" w:hAnsi="FangSong_GB2312" w:eastAsia="FangSong_GB2312" w:cs="FangSong_GB2312"/>
                <w:sz w:val="24"/>
                <w:szCs w:val="24"/>
                <w:spacing w:val="-4"/>
              </w:rPr>
              <w:t>市行政区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域利用的，应当报固体废物移出地的省、</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2"/>
              </w:rPr>
              <w:t>自治</w:t>
            </w:r>
            <w:r>
              <w:rPr>
                <w:rFonts w:ascii="FangSong_GB2312" w:hAnsi="FangSong_GB2312" w:eastAsia="FangSong_GB2312" w:cs="FangSong_GB2312"/>
                <w:sz w:val="24"/>
                <w:szCs w:val="24"/>
                <w:spacing w:val="-3"/>
              </w:rPr>
              <w:t>区、直辖市人民政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府生态环境主管部门备案。移出地的省、</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2"/>
              </w:rPr>
              <w:t>自治</w:t>
            </w:r>
            <w:r>
              <w:rPr>
                <w:rFonts w:ascii="FangSong_GB2312" w:hAnsi="FangSong_GB2312" w:eastAsia="FangSong_GB2312" w:cs="FangSong_GB2312"/>
                <w:sz w:val="24"/>
                <w:szCs w:val="24"/>
                <w:spacing w:val="-3"/>
              </w:rPr>
              <w:t>区、直辖市人民政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府生态环境主管部门应当将备案信息通报接受</w:t>
            </w:r>
            <w:r>
              <w:rPr>
                <w:rFonts w:ascii="FangSong_GB2312" w:hAnsi="FangSong_GB2312" w:eastAsia="FangSong_GB2312" w:cs="FangSong_GB2312"/>
                <w:sz w:val="24"/>
                <w:szCs w:val="24"/>
                <w:spacing w:val="-3"/>
              </w:rPr>
              <w:t>地的省、</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3"/>
              </w:rPr>
              <w:t>自治区、</w:t>
            </w:r>
          </w:p>
          <w:p>
            <w:pPr>
              <w:ind w:left="121"/>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直辖市人民政府生态环境主管部门。</w:t>
            </w:r>
          </w:p>
          <w:p>
            <w:pPr>
              <w:spacing w:line="274"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17" w:right="176" w:hanging="10"/>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（六）转移固体废物出省、</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2"/>
              </w:rPr>
              <w:t>自治区、直辖市行政区域利用</w:t>
            </w:r>
            <w:r>
              <w:rPr>
                <w:rFonts w:ascii="FangSong_GB2312" w:hAnsi="FangSong_GB2312" w:eastAsia="FangSong_GB2312" w:cs="FangSong_GB2312"/>
                <w:sz w:val="24"/>
                <w:szCs w:val="24"/>
                <w:spacing w:val="-3"/>
              </w:rPr>
              <w:t>未报备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案的；</w:t>
            </w:r>
          </w:p>
          <w:p>
            <w:pPr>
              <w:ind w:left="121" w:right="176" w:hanging="4"/>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有前款第二项、第三项、第四项、第五项、第六项、第九项、第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十项、第十一项行为之一，处十万元以上一百万元以下的罚款；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rPr>
                <w:rFonts w:ascii="Arial"/>
                <w:sz w:val="21"/>
              </w:rPr>
            </w:pPr>
            <w:r/>
          </w:p>
          <w:p>
            <w:pPr>
              <w:spacing w:line="241"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19" w:lineRule="auto"/>
              <w:rPr>
                <w:rFonts w:ascii="Arial"/>
                <w:sz w:val="21"/>
              </w:rPr>
            </w:pPr>
            <w:r/>
          </w:p>
          <w:p>
            <w:pPr>
              <w:spacing w:line="320"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19" w:lineRule="auto"/>
              <w:rPr>
                <w:rFonts w:ascii="Arial"/>
                <w:sz w:val="21"/>
              </w:rPr>
            </w:pPr>
            <w:r/>
          </w:p>
          <w:p>
            <w:pPr>
              <w:spacing w:line="320"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6"/>
              <w:spacing w:before="11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转移</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吨以下的</w:t>
            </w:r>
          </w:p>
        </w:tc>
        <w:tc>
          <w:tcPr>
            <w:tcW w:w="1122" w:type="dxa"/>
            <w:vAlign w:val="top"/>
          </w:tcPr>
          <w:p>
            <w:pPr>
              <w:ind w:left="223"/>
              <w:spacing w:before="1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转移</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吨以下的</w:t>
            </w:r>
          </w:p>
        </w:tc>
        <w:tc>
          <w:tcPr>
            <w:tcW w:w="1122" w:type="dxa"/>
            <w:vAlign w:val="top"/>
          </w:tcPr>
          <w:p>
            <w:pPr>
              <w:ind w:left="163"/>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转移</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9"/>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9"/>
              </w:rPr>
              <w:t>30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吨以下的</w:t>
            </w:r>
          </w:p>
        </w:tc>
        <w:tc>
          <w:tcPr>
            <w:tcW w:w="1122" w:type="dxa"/>
            <w:vAlign w:val="top"/>
          </w:tcPr>
          <w:p>
            <w:pPr>
              <w:ind w:left="157"/>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8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转移</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10"/>
              </w:rPr>
              <w:t>30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吨以上的</w:t>
            </w:r>
          </w:p>
        </w:tc>
        <w:tc>
          <w:tcPr>
            <w:tcW w:w="1122" w:type="dxa"/>
            <w:vAlign w:val="top"/>
          </w:tcPr>
          <w:p>
            <w:pPr>
              <w:ind w:left="167"/>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54" w:type="dxa"/>
            <w:vAlign w:val="top"/>
            <w:vMerge w:val="restart"/>
            <w:tcBorders>
              <w:bottom w:val="nil"/>
            </w:tcBorders>
          </w:tcPr>
          <w:p>
            <w:pPr>
              <w:spacing w:line="4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02" w:hRule="atLeast"/>
        </w:trPr>
        <w:tc>
          <w:tcPr>
            <w:tcW w:w="1454"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8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5" w:hRule="atLeast"/>
        </w:trPr>
        <w:tc>
          <w:tcPr>
            <w:tcW w:w="1454" w:type="dxa"/>
            <w:vAlign w:val="top"/>
          </w:tcPr>
          <w:p>
            <w:pPr>
              <w:ind w:left="261"/>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996" w:type="dxa"/>
            <w:vAlign w:val="top"/>
          </w:tcPr>
          <w:p>
            <w:pPr>
              <w:ind w:left="278"/>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685" w:type="dxa"/>
            <w:vAlign w:val="top"/>
          </w:tcPr>
          <w:p>
            <w:pPr>
              <w:ind w:left="183"/>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27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3" w:hRule="atLeast"/>
        </w:trPr>
        <w:tc>
          <w:tcPr>
            <w:tcW w:w="1454" w:type="dxa"/>
            <w:vAlign w:val="top"/>
          </w:tcPr>
          <w:p>
            <w:pPr>
              <w:ind w:left="253"/>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996" w:type="dxa"/>
            <w:vAlign w:val="top"/>
          </w:tcPr>
          <w:p>
            <w:pPr>
              <w:ind w:left="759"/>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685" w:type="dxa"/>
            <w:vAlign w:val="top"/>
          </w:tcPr>
          <w:p>
            <w:pPr>
              <w:rPr>
                <w:rFonts w:ascii="Arial"/>
                <w:sz w:val="21"/>
              </w:rPr>
            </w:pPr>
            <w:r/>
          </w:p>
        </w:tc>
        <w:tc>
          <w:tcPr>
            <w:tcW w:w="3201" w:type="dxa"/>
            <w:vAlign w:val="top"/>
          </w:tcPr>
          <w:p>
            <w:pPr>
              <w:ind w:left="12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6" w:hRule="atLeast"/>
        </w:trPr>
        <w:tc>
          <w:tcPr>
            <w:tcW w:w="1454" w:type="dxa"/>
            <w:vAlign w:val="top"/>
            <w:vMerge w:val="restart"/>
            <w:tcBorders>
              <w:bottom w:val="nil"/>
            </w:tcBorders>
          </w:tcPr>
          <w:p>
            <w:pPr>
              <w:ind w:left="135"/>
              <w:spacing w:before="6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2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03"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6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7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140</w:t>
            </w:r>
          </w:p>
        </w:tc>
      </w:tr>
      <w:tr>
        <w:trPr>
          <w:trHeight w:val="950" w:hRule="atLeast"/>
        </w:trPr>
        <w:tc>
          <w:tcPr>
            <w:tcW w:w="1454" w:type="dxa"/>
            <w:vAlign w:val="top"/>
          </w:tcPr>
          <w:p>
            <w:pPr>
              <w:spacing w:line="242" w:lineRule="auto"/>
              <w:rPr>
                <w:rFonts w:ascii="Arial"/>
                <w:sz w:val="21"/>
              </w:rPr>
            </w:pPr>
            <w:r/>
          </w:p>
          <w:p>
            <w:pPr>
              <w:ind w:left="176"/>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31" w:right="176" w:hanging="16"/>
              <w:spacing w:before="39"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擅自倾倒、堆放、丢弃、遗撒工业固体废物，或者未采取相应防</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范措施，造成工业固体废物扬散、流失、渗漏或者其他环</w:t>
            </w:r>
            <w:r>
              <w:rPr>
                <w:rFonts w:ascii="FangSong_GB2312" w:hAnsi="FangSong_GB2312" w:eastAsia="FangSong_GB2312" w:cs="FangSong_GB2312"/>
                <w:sz w:val="24"/>
                <w:szCs w:val="24"/>
                <w:spacing w:val="-2"/>
              </w:rPr>
              <w:t>境污染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r>
      <w:tr>
        <w:trPr>
          <w:trHeight w:val="4728" w:hRule="atLeast"/>
        </w:trPr>
        <w:tc>
          <w:tcPr>
            <w:tcW w:w="1454" w:type="dxa"/>
            <w:vAlign w:val="top"/>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2" w:right="106" w:firstLine="12"/>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产生、收集、贮存、运输、利用、处置固体废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物的单位和其他生产经营者，应当采取防扬散、防流失、防渗漏</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或者其他防止污染环境的措施，不得擅自倾倒、堆放、丢弃、遗</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撒固体废物。</w:t>
            </w:r>
          </w:p>
          <w:p>
            <w:pPr>
              <w:spacing w:line="270"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06" w:right="176" w:firstLine="1"/>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（七）擅自倾倒、堆放、丢弃、遗撒工业固体废</w:t>
            </w:r>
            <w:r>
              <w:rPr>
                <w:rFonts w:ascii="FangSong_GB2312" w:hAnsi="FangSong_GB2312" w:eastAsia="FangSong_GB2312" w:cs="FangSong_GB2312"/>
                <w:sz w:val="24"/>
                <w:szCs w:val="24"/>
                <w:spacing w:val="-1"/>
              </w:rPr>
              <w:t>物，或者未采取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相应防范措施，造成工业固体废物扬散、流失、渗漏</w:t>
            </w:r>
            <w:r>
              <w:rPr>
                <w:rFonts w:ascii="FangSong_GB2312" w:hAnsi="FangSong_GB2312" w:eastAsia="FangSong_GB2312" w:cs="FangSong_GB2312"/>
                <w:sz w:val="24"/>
                <w:szCs w:val="24"/>
                <w:spacing w:val="-1"/>
              </w:rPr>
              <w:t>或者其他环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境污染的；</w:t>
            </w:r>
          </w:p>
          <w:p>
            <w:pPr>
              <w:ind w:left="113" w:right="235" w:firstLine="4"/>
              <w:spacing w:before="40"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有前款第七项行为，处所需处置费用一倍以上三倍以下的罚款，</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所需处置费用不足十万元的，按十万元计算。</w:t>
            </w:r>
          </w:p>
        </w:tc>
      </w:tr>
      <w:tr>
        <w:trPr>
          <w:trHeight w:val="635" w:hRule="atLeast"/>
        </w:trPr>
        <w:tc>
          <w:tcPr>
            <w:tcW w:w="4135" w:type="dxa"/>
            <w:vAlign w:val="top"/>
            <w:gridSpan w:val="3"/>
          </w:tcPr>
          <w:p>
            <w:pPr>
              <w:ind w:left="1514"/>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54"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right="211" w:firstLine="9"/>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扬散、流失、渗漏或者造成</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其他环境污染的工业固体废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吨以下的</w:t>
            </w:r>
          </w:p>
        </w:tc>
        <w:tc>
          <w:tcPr>
            <w:tcW w:w="1122" w:type="dxa"/>
            <w:vAlign w:val="top"/>
          </w:tcPr>
          <w:p>
            <w:pPr>
              <w:spacing w:line="276"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5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4" w:right="103" w:firstLine="9"/>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扬散、流失、渗漏或者造成</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其他环境污染的工业固体废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物数量</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8"/>
              </w:rPr>
              <w:t>吨以下的</w:t>
            </w:r>
          </w:p>
        </w:tc>
        <w:tc>
          <w:tcPr>
            <w:tcW w:w="1122" w:type="dxa"/>
            <w:vAlign w:val="top"/>
          </w:tcPr>
          <w:p>
            <w:pPr>
              <w:spacing w:line="278"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4" w:right="211" w:firstLine="9"/>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扬散、流失、渗漏或者造成</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其他环境污染的工业固体废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8"/>
              </w:rPr>
              <w:t>物数量</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8"/>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spacing w:line="433"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125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right="211" w:firstLine="9"/>
              <w:spacing w:before="19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扬散、流失、渗漏或者造成</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其他环境污染的工业固体废</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6"/>
              </w:rPr>
              <w:t>物数量</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6"/>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吨以上的</w:t>
            </w:r>
          </w:p>
        </w:tc>
        <w:tc>
          <w:tcPr>
            <w:tcW w:w="1122" w:type="dxa"/>
            <w:vAlign w:val="top"/>
          </w:tcPr>
          <w:p>
            <w:pPr>
              <w:spacing w:line="429" w:lineRule="auto"/>
              <w:rPr>
                <w:rFonts w:ascii="Arial"/>
                <w:sz w:val="21"/>
              </w:rPr>
            </w:pPr>
            <w:r/>
          </w:p>
          <w:p>
            <w:pPr>
              <w:ind w:left="16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bl>
    <w:p>
      <w:pPr>
        <w:pStyle w:val="BodyText"/>
        <w:rPr/>
      </w:pPr>
      <w:r/>
    </w:p>
    <w:p>
      <w:pPr>
        <w:sectPr>
          <w:footerReference w:type="default" r:id="rId280"/>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954"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17" w:right="211"/>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擅自倾倒、堆放、丢弃、遗</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5"/>
              </w:rPr>
              <w:t>撒工业固体废物数量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吨以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下的</w:t>
            </w:r>
          </w:p>
        </w:tc>
        <w:tc>
          <w:tcPr>
            <w:tcW w:w="1122" w:type="dxa"/>
            <w:vAlign w:val="top"/>
          </w:tcPr>
          <w:p>
            <w:pPr>
              <w:spacing w:line="279"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7" w:right="211"/>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擅自倾倒、堆放、丢弃、遗</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8"/>
              </w:rPr>
              <w:t>撒固体废物数量</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8"/>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吨以下的</w:t>
            </w:r>
          </w:p>
        </w:tc>
        <w:tc>
          <w:tcPr>
            <w:tcW w:w="1122" w:type="dxa"/>
            <w:vAlign w:val="top"/>
          </w:tcPr>
          <w:p>
            <w:pPr>
              <w:spacing w:line="275"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right="21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擅自倾倒、堆放、丢弃、遗</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6"/>
              </w:rPr>
              <w:t>撒固体废物数量</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吨以上的</w:t>
            </w:r>
          </w:p>
        </w:tc>
        <w:tc>
          <w:tcPr>
            <w:tcW w:w="1122" w:type="dxa"/>
            <w:vAlign w:val="top"/>
          </w:tcPr>
          <w:p>
            <w:pPr>
              <w:ind w:left="157"/>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411" w:hRule="atLeast"/>
        </w:trPr>
        <w:tc>
          <w:tcPr>
            <w:tcW w:w="1454"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02" w:hRule="atLeast"/>
        </w:trPr>
        <w:tc>
          <w:tcPr>
            <w:tcW w:w="1454"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8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4"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54" w:type="dxa"/>
            <w:vAlign w:val="top"/>
            <w:vMerge w:val="restart"/>
            <w:tcBorders>
              <w:bottom w:val="nil"/>
            </w:tcBorders>
          </w:tcPr>
          <w:p>
            <w:pPr>
              <w:ind w:left="253" w:right="245" w:firstLine="7"/>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48"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7" w:hRule="atLeast"/>
        </w:trPr>
        <w:tc>
          <w:tcPr>
            <w:tcW w:w="1454" w:type="dxa"/>
            <w:vAlign w:val="top"/>
            <w:vMerge w:val="restart"/>
            <w:tcBorders>
              <w:bottom w:val="nil"/>
            </w:tcBorders>
          </w:tcPr>
          <w:p>
            <w:pPr>
              <w:ind w:left="135"/>
              <w:spacing w:before="7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2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0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6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68"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81"/>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141</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产生工业固体废物的单位未建立固体废物管理台账并如实记录的</w:t>
            </w:r>
          </w:p>
        </w:tc>
      </w:tr>
      <w:tr>
        <w:trPr>
          <w:trHeight w:val="7247" w:hRule="atLeast"/>
        </w:trPr>
        <w:tc>
          <w:tcPr>
            <w:tcW w:w="1454"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2" w:right="176" w:firstLine="12"/>
              <w:spacing w:before="34"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产生工业固体废物的单位</w:t>
            </w:r>
            <w:r>
              <w:rPr>
                <w:rFonts w:ascii="FangSong_GB2312" w:hAnsi="FangSong_GB2312" w:eastAsia="FangSong_GB2312" w:cs="FangSong_GB2312"/>
                <w:sz w:val="24"/>
                <w:szCs w:val="24"/>
                <w:spacing w:val="-2"/>
              </w:rPr>
              <w:t>应当建立健全工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业固体废物产生、收集、贮存、运输、利用、处置全过程的污染</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环境防治责任制度，建立工业固体废物管理台账，如实记录产生</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工业固体废物的种类、数量、流向、贮存、利用、处置等信息，</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实现工业固体废物可追溯、可查询，并采取防治工业固体废物污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染环境的措施。</w:t>
            </w:r>
          </w:p>
          <w:p>
            <w:pPr>
              <w:spacing w:line="272"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17" w:right="176" w:hanging="10"/>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（八）产生工业固体废物的单位未建立固体废物</w:t>
            </w:r>
            <w:r>
              <w:rPr>
                <w:rFonts w:ascii="FangSong_GB2312" w:hAnsi="FangSong_GB2312" w:eastAsia="FangSong_GB2312" w:cs="FangSong_GB2312"/>
                <w:sz w:val="24"/>
                <w:szCs w:val="24"/>
                <w:spacing w:val="-1"/>
              </w:rPr>
              <w:t>管理台账并如实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记录的；</w:t>
            </w:r>
          </w:p>
          <w:p>
            <w:pPr>
              <w:ind w:left="124" w:right="176" w:hanging="7"/>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有前款第一项、第八项行为之一，处五万元以上二十万元以下的</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8"/>
              </w:rPr>
              <w:t>罚款；</w:t>
            </w:r>
          </w:p>
          <w:p>
            <w:pPr>
              <w:spacing w:line="270"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《河北省固体废物污染环境防治条例》</w:t>
            </w:r>
          </w:p>
          <w:p>
            <w:pPr>
              <w:ind w:left="110" w:right="171" w:firstLine="14"/>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违反本条例规定，产生工业固体废物的单位，</w:t>
            </w:r>
            <w:r>
              <w:rPr>
                <w:rFonts w:ascii="FangSong_GB2312" w:hAnsi="FangSong_GB2312" w:eastAsia="FangSong_GB2312" w:cs="FangSong_GB2312"/>
                <w:sz w:val="24"/>
                <w:szCs w:val="24"/>
                <w:spacing w:val="-2"/>
              </w:rPr>
              <w:t>未建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立工业固体废物管理台账并如实记录的，由</w:t>
            </w:r>
            <w:r>
              <w:rPr>
                <w:rFonts w:ascii="FangSong_GB2312" w:hAnsi="FangSong_GB2312" w:eastAsia="FangSong_GB2312" w:cs="FangSong_GB2312"/>
                <w:sz w:val="24"/>
                <w:szCs w:val="24"/>
                <w:spacing w:val="-1"/>
              </w:rPr>
              <w:t>生态环境主管部门责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令改正，处五万元以上二十万元以下的罚款</w:t>
            </w:r>
            <w:r>
              <w:rPr>
                <w:rFonts w:ascii="FangSong_GB2312" w:hAnsi="FangSong_GB2312" w:eastAsia="FangSong_GB2312" w:cs="FangSong_GB2312"/>
                <w:sz w:val="24"/>
                <w:szCs w:val="24"/>
                <w:spacing w:val="-1"/>
              </w:rPr>
              <w:t>，没收违法所得；情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节严重的，报经有批准权的人民政府批准，</w:t>
            </w:r>
            <w:r>
              <w:rPr>
                <w:rFonts w:ascii="FangSong_GB2312" w:hAnsi="FangSong_GB2312" w:eastAsia="FangSong_GB2312" w:cs="FangSong_GB2312"/>
                <w:sz w:val="24"/>
                <w:szCs w:val="24"/>
                <w:spacing w:val="-1"/>
              </w:rPr>
              <w:t>可以责令停业或者关</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闭。</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69"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4" w:right="211" w:firstLine="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台账记录不全或更新不及时</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rPr>
              <w:t>的</w:t>
            </w:r>
          </w:p>
        </w:tc>
        <w:tc>
          <w:tcPr>
            <w:tcW w:w="1122" w:type="dxa"/>
            <w:vAlign w:val="top"/>
          </w:tcPr>
          <w:p>
            <w:pPr>
              <w:ind w:left="22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42"/>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台账未如实记录的</w:t>
            </w:r>
          </w:p>
        </w:tc>
        <w:tc>
          <w:tcPr>
            <w:tcW w:w="1122" w:type="dxa"/>
            <w:vAlign w:val="top"/>
          </w:tcPr>
          <w:p>
            <w:pPr>
              <w:ind w:left="163"/>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spacing w:before="8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未建立台账的</w:t>
            </w:r>
          </w:p>
        </w:tc>
        <w:tc>
          <w:tcPr>
            <w:tcW w:w="1122" w:type="dxa"/>
            <w:vAlign w:val="top"/>
          </w:tcPr>
          <w:p>
            <w:pPr>
              <w:ind w:left="157"/>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412" w:hRule="atLeast"/>
        </w:trPr>
        <w:tc>
          <w:tcPr>
            <w:tcW w:w="1454" w:type="dxa"/>
            <w:vAlign w:val="top"/>
            <w:vMerge w:val="restart"/>
            <w:tcBorders>
              <w:bottom w:val="nil"/>
            </w:tcBorders>
          </w:tcPr>
          <w:p>
            <w:pPr>
              <w:ind w:left="253"/>
              <w:spacing w:before="25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ind w:left="177"/>
              <w:spacing w:before="25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ind w:left="177"/>
              <w:spacing w:before="25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0"/>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bl>
    <w:p>
      <w:pPr>
        <w:pStyle w:val="BodyText"/>
        <w:rPr/>
      </w:pPr>
      <w:r/>
    </w:p>
    <w:p>
      <w:pPr>
        <w:sectPr>
          <w:footerReference w:type="default" r:id="rId28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01" w:hRule="atLeast"/>
        </w:trPr>
        <w:tc>
          <w:tcPr>
            <w:tcW w:w="1454" w:type="dxa"/>
            <w:vAlign w:val="top"/>
            <w:vMerge w:val="restart"/>
            <w:tcBorders>
              <w:bottom w:val="nil"/>
            </w:tcBorders>
          </w:tcPr>
          <w:p>
            <w:pPr>
              <w:rPr>
                <w:rFonts w:ascii="Arial"/>
                <w:sz w:val="21"/>
              </w:rPr>
            </w:pPr>
            <w:r/>
          </w:p>
          <w:p>
            <w:pPr>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rPr>
                <w:rFonts w:ascii="Arial"/>
                <w:sz w:val="21"/>
              </w:rPr>
            </w:pPr>
            <w:r/>
          </w:p>
          <w:p>
            <w:pPr>
              <w:spacing w:line="241"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rPr>
                <w:rFonts w:ascii="Arial"/>
                <w:sz w:val="21"/>
              </w:rPr>
            </w:pPr>
            <w:r/>
          </w:p>
          <w:p>
            <w:pPr>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7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3" w:hRule="atLeast"/>
        </w:trPr>
        <w:tc>
          <w:tcPr>
            <w:tcW w:w="1454" w:type="dxa"/>
            <w:vAlign w:val="top"/>
            <w:vMerge w:val="restart"/>
            <w:tcBorders>
              <w:bottom w:val="nil"/>
            </w:tcBorders>
          </w:tcPr>
          <w:p>
            <w:pPr>
              <w:ind w:left="253" w:right="245" w:firstLine="7"/>
              <w:spacing w:before="67"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67"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6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63"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ind w:left="135"/>
              <w:spacing w:before="4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4"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21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83"/>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142</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0" w:right="175" w:hanging="7"/>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产生工业固体废物的单位违反本法规定委托他人运输、利用、处</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置工业固体废物的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3" w:right="107" w:firstLine="12"/>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产生工业固体废物的单位委托</w:t>
            </w:r>
            <w:r>
              <w:rPr>
                <w:rFonts w:ascii="FangSong_GB2312" w:hAnsi="FangSong_GB2312" w:eastAsia="FangSong_GB2312" w:cs="FangSong_GB2312"/>
                <w:sz w:val="24"/>
                <w:szCs w:val="24"/>
                <w:spacing w:val="-4"/>
              </w:rPr>
              <w:t>他人运输、利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用、处置工业固体废物的，应当对受托方的主体资格和技术能力</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进行核实，依法签订书面合同，在合同中约定污染防治要求。</w:t>
            </w:r>
          </w:p>
          <w:p>
            <w:pPr>
              <w:spacing w:line="271"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4" w:right="170" w:firstLine="11"/>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12" w:right="175" w:hanging="4"/>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（九）产生工业固体废物的单位违反本法规定委</w:t>
            </w:r>
            <w:r>
              <w:rPr>
                <w:rFonts w:ascii="FangSong_GB2312" w:hAnsi="FangSong_GB2312" w:eastAsia="FangSong_GB2312" w:cs="FangSong_GB2312"/>
                <w:sz w:val="24"/>
                <w:szCs w:val="24"/>
                <w:spacing w:val="-1"/>
              </w:rPr>
              <w:t>托他人运输、利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用、处置工业固体废物的；</w:t>
            </w:r>
          </w:p>
          <w:p>
            <w:pPr>
              <w:ind w:left="123" w:right="175" w:hanging="4"/>
              <w:spacing w:before="3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有前款第二项、第三项、第四项、第五项、第六项、第九项、第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十项、第十一项行为之一，处十万元以上一百万元以下的罚款；</w:t>
            </w:r>
          </w:p>
        </w:tc>
      </w:tr>
      <w:tr>
        <w:trPr>
          <w:trHeight w:val="635" w:hRule="atLeast"/>
        </w:trPr>
        <w:tc>
          <w:tcPr>
            <w:tcW w:w="4135" w:type="dxa"/>
            <w:vAlign w:val="top"/>
            <w:gridSpan w:val="3"/>
          </w:tcPr>
          <w:p>
            <w:pPr>
              <w:ind w:left="151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357" w:lineRule="auto"/>
              <w:rPr>
                <w:rFonts w:ascii="Arial"/>
                <w:sz w:val="21"/>
              </w:rPr>
            </w:pPr>
            <w:r/>
          </w:p>
          <w:p>
            <w:pPr>
              <w:spacing w:line="357"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0"/>
              <w:spacing w:before="11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吨以下的</w:t>
            </w:r>
          </w:p>
        </w:tc>
        <w:tc>
          <w:tcPr>
            <w:tcW w:w="1122" w:type="dxa"/>
            <w:vAlign w:val="top"/>
          </w:tcPr>
          <w:p>
            <w:pPr>
              <w:ind w:left="222"/>
              <w:spacing w:before="1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5" w:right="104"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9"/>
              </w:rPr>
              <w:t>5</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5" w:right="209" w:firstLine="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下的</w:t>
            </w:r>
          </w:p>
        </w:tc>
        <w:tc>
          <w:tcPr>
            <w:tcW w:w="1122" w:type="dxa"/>
            <w:vAlign w:val="top"/>
          </w:tcPr>
          <w:p>
            <w:pPr>
              <w:ind w:left="15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0"/>
              <w:spacing w:before="8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涉及数量</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吨以上的</w:t>
            </w:r>
          </w:p>
        </w:tc>
        <w:tc>
          <w:tcPr>
            <w:tcW w:w="1122" w:type="dxa"/>
            <w:vAlign w:val="top"/>
          </w:tcPr>
          <w:p>
            <w:pPr>
              <w:ind w:left="166"/>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412" w:hRule="atLeast"/>
        </w:trPr>
        <w:tc>
          <w:tcPr>
            <w:tcW w:w="1454"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02" w:hRule="atLeast"/>
        </w:trPr>
        <w:tc>
          <w:tcPr>
            <w:tcW w:w="1454"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8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2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2" w:hRule="atLeast"/>
        </w:trPr>
        <w:tc>
          <w:tcPr>
            <w:tcW w:w="1454" w:type="dxa"/>
            <w:vAlign w:val="top"/>
          </w:tcPr>
          <w:p>
            <w:pPr>
              <w:ind w:left="26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996" w:type="dxa"/>
            <w:vAlign w:val="top"/>
          </w:tcPr>
          <w:p>
            <w:pPr>
              <w:ind w:left="279"/>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685" w:type="dxa"/>
            <w:vAlign w:val="top"/>
          </w:tcPr>
          <w:p>
            <w:pPr>
              <w:ind w:left="18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284"/>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40" w:hRule="atLeast"/>
        </w:trPr>
        <w:tc>
          <w:tcPr>
            <w:tcW w:w="1454" w:type="dxa"/>
            <w:vAlign w:val="top"/>
          </w:tcPr>
          <w:p>
            <w:pPr>
              <w:ind w:left="255"/>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996" w:type="dxa"/>
            <w:vAlign w:val="top"/>
          </w:tcPr>
          <w:p>
            <w:pPr>
              <w:ind w:left="760"/>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685" w:type="dxa"/>
            <w:vAlign w:val="top"/>
          </w:tcPr>
          <w:p>
            <w:pPr>
              <w:rPr>
                <w:rFonts w:ascii="Arial"/>
                <w:sz w:val="21"/>
              </w:rPr>
            </w:pPr>
            <w:r/>
          </w:p>
        </w:tc>
        <w:tc>
          <w:tcPr>
            <w:tcW w:w="3201" w:type="dxa"/>
            <w:vAlign w:val="top"/>
          </w:tcPr>
          <w:p>
            <w:pPr>
              <w:ind w:left="125"/>
              <w:spacing w:before="5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5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54" w:type="dxa"/>
            <w:vAlign w:val="top"/>
            <w:vMerge w:val="restart"/>
            <w:tcBorders>
              <w:bottom w:val="nil"/>
            </w:tcBorders>
          </w:tcPr>
          <w:p>
            <w:pPr>
              <w:ind w:left="136"/>
              <w:spacing w:before="4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4"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0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7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209" w:hanging="20"/>
              <w:spacing w:before="3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85"/>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13"/>
        <w:gridCol w:w="1110"/>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143</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7"/>
              <w:spacing w:before="19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贮存工业固体废物未采取符合国家环境保护标准的防护措施的，</w:t>
            </w:r>
          </w:p>
        </w:tc>
      </w:tr>
      <w:tr>
        <w:trPr>
          <w:trHeight w:val="4728" w:hRule="atLeast"/>
        </w:trPr>
        <w:tc>
          <w:tcPr>
            <w:tcW w:w="145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5" w:right="106" w:firstLine="9"/>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产生工业固体废物的单位应当根据经济、技术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条件对工业固体废物加以利用；对暂时不利用或者不能利用的，</w:t>
            </w:r>
          </w:p>
          <w:p>
            <w:pPr>
              <w:ind w:left="117" w:right="46"/>
              <w:spacing w:before="38"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应当按照国务院生态环境等主管部门的规</w:t>
            </w:r>
            <w:r>
              <w:rPr>
                <w:rFonts w:ascii="FangSong_GB2312" w:hAnsi="FangSong_GB2312" w:eastAsia="FangSong_GB2312" w:cs="FangSong_GB2312"/>
                <w:sz w:val="24"/>
                <w:szCs w:val="24"/>
                <w:spacing w:val="-5"/>
              </w:rPr>
              <w:t>定建设贮存设施、场所，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安全分类存放，或者采取无害化处置措施。贮存工业固体废物应</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当采取符合国家环境保护标准的防护措施。</w:t>
            </w:r>
          </w:p>
          <w:p>
            <w:pPr>
              <w:spacing w:line="274"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71" w:firstLine="11"/>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违反本法规定，有下列行为之一，由生</w:t>
            </w:r>
            <w:r>
              <w:rPr>
                <w:rFonts w:ascii="FangSong_GB2312" w:hAnsi="FangSong_GB2312" w:eastAsia="FangSong_GB2312" w:cs="FangSong_GB2312"/>
                <w:sz w:val="24"/>
                <w:szCs w:val="24"/>
                <w:spacing w:val="-2"/>
              </w:rPr>
              <w:t>态环境主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管部门责令改正，处以罚款，没收违法所得；情节严重的，报经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有批准权的人民政府批准，可以责令停业或者关闭：</w:t>
            </w:r>
          </w:p>
          <w:p>
            <w:pPr>
              <w:ind w:left="112" w:right="176" w:hanging="5"/>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（十）贮存工业固体废物未采取符合国家环境保</w:t>
            </w:r>
            <w:r>
              <w:rPr>
                <w:rFonts w:ascii="FangSong_GB2312" w:hAnsi="FangSong_GB2312" w:eastAsia="FangSong_GB2312" w:cs="FangSong_GB2312"/>
                <w:sz w:val="24"/>
                <w:szCs w:val="24"/>
                <w:spacing w:val="-1"/>
              </w:rPr>
              <w:t>护标准的防护措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施的；</w:t>
            </w:r>
          </w:p>
          <w:p>
            <w:pPr>
              <w:ind w:left="121" w:right="176" w:hanging="4"/>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有前款第二项、第三项、第四项、第五项、第六项、第九项、第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十项、第十一项行为之一，处十万元以上一百万元以下的罚款；</w:t>
            </w:r>
          </w:p>
        </w:tc>
      </w:tr>
      <w:tr>
        <w:trPr>
          <w:trHeight w:val="635" w:hRule="atLeast"/>
        </w:trPr>
        <w:tc>
          <w:tcPr>
            <w:tcW w:w="4135" w:type="dxa"/>
            <w:vAlign w:val="top"/>
            <w:gridSpan w:val="3"/>
          </w:tcPr>
          <w:p>
            <w:pPr>
              <w:ind w:left="1514"/>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13" w:type="dxa"/>
            <w:vAlign w:val="top"/>
          </w:tcPr>
          <w:p>
            <w:pPr>
              <w:ind w:left="1395"/>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0" w:type="dxa"/>
            <w:vAlign w:val="top"/>
          </w:tcPr>
          <w:p>
            <w:pPr>
              <w:ind w:left="238"/>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356" w:lineRule="auto"/>
              <w:rPr>
                <w:rFonts w:ascii="Arial"/>
                <w:sz w:val="21"/>
              </w:rPr>
            </w:pPr>
            <w:r/>
          </w:p>
          <w:p>
            <w:pPr>
              <w:spacing w:line="357"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13" w:type="dxa"/>
            <w:vAlign w:val="top"/>
          </w:tcPr>
          <w:p>
            <w:pPr>
              <w:ind w:left="129"/>
              <w:spacing w:before="10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吨以下的</w:t>
            </w:r>
          </w:p>
        </w:tc>
        <w:tc>
          <w:tcPr>
            <w:tcW w:w="1110" w:type="dxa"/>
            <w:vAlign w:val="top"/>
          </w:tcPr>
          <w:p>
            <w:pPr>
              <w:ind w:left="216"/>
              <w:spacing w:before="1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13" w:type="dxa"/>
            <w:vAlign w:val="top"/>
          </w:tcPr>
          <w:p>
            <w:pPr>
              <w:ind w:left="134" w:right="103" w:hanging="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9"/>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10" w:type="dxa"/>
            <w:vAlign w:val="top"/>
          </w:tcPr>
          <w:p>
            <w:pPr>
              <w:ind w:left="1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13" w:type="dxa"/>
            <w:vAlign w:val="top"/>
          </w:tcPr>
          <w:p>
            <w:pPr>
              <w:ind w:left="124" w:right="223" w:firstLine="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下的</w:t>
            </w:r>
          </w:p>
        </w:tc>
        <w:tc>
          <w:tcPr>
            <w:tcW w:w="1110" w:type="dxa"/>
            <w:vAlign w:val="top"/>
          </w:tcPr>
          <w:p>
            <w:pPr>
              <w:ind w:left="15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13" w:type="dxa"/>
            <w:vAlign w:val="top"/>
          </w:tcPr>
          <w:p>
            <w:pPr>
              <w:ind w:left="129"/>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涉及数量</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吨以上的</w:t>
            </w:r>
          </w:p>
        </w:tc>
        <w:tc>
          <w:tcPr>
            <w:tcW w:w="1110" w:type="dxa"/>
            <w:vAlign w:val="top"/>
          </w:tcPr>
          <w:p>
            <w:pPr>
              <w:ind w:left="160"/>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412" w:hRule="atLeast"/>
        </w:trPr>
        <w:tc>
          <w:tcPr>
            <w:tcW w:w="1454"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13" w:type="dxa"/>
            <w:vAlign w:val="top"/>
          </w:tcPr>
          <w:p>
            <w:pPr>
              <w:ind w:left="121"/>
              <w:spacing w:before="8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0" w:type="dxa"/>
            <w:vAlign w:val="top"/>
          </w:tcPr>
          <w:p>
            <w:pPr>
              <w:ind w:left="453"/>
              <w:spacing w:before="9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13"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0" w:type="dxa"/>
            <w:vAlign w:val="top"/>
          </w:tcPr>
          <w:p>
            <w:pPr>
              <w:ind w:left="39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13"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0" w:type="dxa"/>
            <w:vAlign w:val="top"/>
          </w:tcPr>
          <w:p>
            <w:pPr>
              <w:ind w:left="3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13"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0" w:type="dxa"/>
            <w:vAlign w:val="top"/>
          </w:tcPr>
          <w:p>
            <w:pPr>
              <w:ind w:left="3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02" w:hRule="atLeast"/>
        </w:trPr>
        <w:tc>
          <w:tcPr>
            <w:tcW w:w="1454" w:type="dxa"/>
            <w:vAlign w:val="top"/>
            <w:vMerge w:val="restart"/>
            <w:tcBorders>
              <w:bottom w:val="nil"/>
            </w:tcBorders>
          </w:tcPr>
          <w:p>
            <w:pPr>
              <w:spacing w:line="32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32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32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13" w:type="dxa"/>
            <w:vAlign w:val="top"/>
          </w:tcPr>
          <w:p>
            <w:pPr>
              <w:ind w:left="113"/>
              <w:spacing w:before="8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0" w:type="dxa"/>
            <w:vAlign w:val="top"/>
          </w:tcPr>
          <w:p>
            <w:pPr>
              <w:ind w:left="458"/>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13" w:type="dxa"/>
            <w:vAlign w:val="top"/>
          </w:tcPr>
          <w:p>
            <w:pPr>
              <w:ind w:left="121" w:right="223"/>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0" w:type="dxa"/>
            <w:vAlign w:val="top"/>
          </w:tcPr>
          <w:p>
            <w:pPr>
              <w:ind w:left="27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286"/>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13"/>
        <w:gridCol w:w="1110"/>
      </w:tblGrid>
      <w:tr>
        <w:trPr>
          <w:trHeight w:val="431"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13" w:type="dxa"/>
            <w:vAlign w:val="top"/>
          </w:tcPr>
          <w:p>
            <w:pPr>
              <w:ind w:left="125"/>
              <w:spacing w:before="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0" w:type="dxa"/>
            <w:vAlign w:val="top"/>
          </w:tcPr>
          <w:p>
            <w:pPr>
              <w:ind w:left="212"/>
              <w:spacing w:before="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60" w:hRule="atLeast"/>
        </w:trPr>
        <w:tc>
          <w:tcPr>
            <w:tcW w:w="1454" w:type="dxa"/>
            <w:vAlign w:val="top"/>
            <w:vMerge w:val="restart"/>
            <w:tcBorders>
              <w:bottom w:val="nil"/>
            </w:tcBorders>
          </w:tcPr>
          <w:p>
            <w:pPr>
              <w:ind w:left="253" w:right="245" w:firstLine="7"/>
              <w:spacing w:before="7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8" w:right="277" w:hanging="480"/>
              <w:spacing w:before="7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3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13" w:type="dxa"/>
            <w:vAlign w:val="top"/>
          </w:tcPr>
          <w:p>
            <w:pPr>
              <w:ind w:left="119"/>
              <w:spacing w:before="5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0" w:type="dxa"/>
            <w:vAlign w:val="top"/>
          </w:tcPr>
          <w:p>
            <w:pPr>
              <w:ind w:left="216"/>
              <w:spacing w:before="6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36"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13" w:type="dxa"/>
            <w:vAlign w:val="top"/>
          </w:tcPr>
          <w:p>
            <w:pPr>
              <w:ind w:left="124"/>
              <w:spacing w:before="4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0" w:type="dxa"/>
            <w:vAlign w:val="top"/>
          </w:tcPr>
          <w:p>
            <w:pPr>
              <w:ind w:left="458"/>
              <w:spacing w:before="4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6" w:hRule="atLeast"/>
        </w:trPr>
        <w:tc>
          <w:tcPr>
            <w:tcW w:w="1454" w:type="dxa"/>
            <w:vAlign w:val="top"/>
            <w:vMerge w:val="restart"/>
            <w:tcBorders>
              <w:bottom w:val="nil"/>
            </w:tcBorders>
          </w:tcPr>
          <w:p>
            <w:pPr>
              <w:ind w:left="135"/>
              <w:spacing w:before="10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6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44"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13" w:type="dxa"/>
            <w:vAlign w:val="top"/>
          </w:tcPr>
          <w:p>
            <w:pPr>
              <w:ind w:left="117"/>
              <w:spacing w:before="1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0" w:type="dxa"/>
            <w:vAlign w:val="top"/>
          </w:tcPr>
          <w:p>
            <w:pPr>
              <w:ind w:left="216"/>
              <w:spacing w:before="1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13" w:type="dxa"/>
            <w:vAlign w:val="top"/>
          </w:tcPr>
          <w:p>
            <w:pPr>
              <w:ind w:left="134" w:right="223"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0" w:type="dxa"/>
            <w:vAlign w:val="top"/>
          </w:tcPr>
          <w:p>
            <w:pPr>
              <w:ind w:left="458"/>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87"/>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7"/>
        <w:gridCol w:w="1066"/>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144</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5" w:right="176" w:firstLine="3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以拖延、围堵、滞留执法人员等方式拒绝、阻挠监督检查，或者</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在接受监督检查时弄虚作假的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8" w:right="176" w:firstLine="16"/>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生态环境主管部门及其环</w:t>
            </w:r>
            <w:r>
              <w:rPr>
                <w:rFonts w:ascii="FangSong_GB2312" w:hAnsi="FangSong_GB2312" w:eastAsia="FangSong_GB2312" w:cs="FangSong_GB2312"/>
                <w:sz w:val="24"/>
                <w:szCs w:val="24"/>
                <w:spacing w:val="-2"/>
              </w:rPr>
              <w:t>境执法机构和其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他负有固体废物污染环境防治监督管理职责的部</w:t>
            </w:r>
            <w:r>
              <w:rPr>
                <w:rFonts w:ascii="FangSong_GB2312" w:hAnsi="FangSong_GB2312" w:eastAsia="FangSong_GB2312" w:cs="FangSong_GB2312"/>
                <w:sz w:val="24"/>
                <w:szCs w:val="24"/>
                <w:spacing w:val="-1"/>
              </w:rPr>
              <w:t>门，在各自职责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范围内有权对从事产生、收集、贮存、运输、利</w:t>
            </w:r>
            <w:r>
              <w:rPr>
                <w:rFonts w:ascii="FangSong_GB2312" w:hAnsi="FangSong_GB2312" w:eastAsia="FangSong_GB2312" w:cs="FangSong_GB2312"/>
                <w:sz w:val="24"/>
                <w:szCs w:val="24"/>
                <w:spacing w:val="-1"/>
              </w:rPr>
              <w:t>用、处置固体废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物等活动的单位和其他生产经营者进行现场检查</w:t>
            </w:r>
            <w:r>
              <w:rPr>
                <w:rFonts w:ascii="FangSong_GB2312" w:hAnsi="FangSong_GB2312" w:eastAsia="FangSong_GB2312" w:cs="FangSong_GB2312"/>
                <w:sz w:val="24"/>
                <w:szCs w:val="24"/>
                <w:spacing w:val="-1"/>
              </w:rPr>
              <w:t>。被检查者应当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如实反映情况，并提供必要的资料。</w:t>
            </w:r>
          </w:p>
          <w:p>
            <w:pPr>
              <w:ind w:left="121"/>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5" w:right="171" w:firstLine="9"/>
              <w:spacing w:before="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违反本法规定，以拖延、围堵、滞留执</w:t>
            </w:r>
            <w:r>
              <w:rPr>
                <w:rFonts w:ascii="FangSong_GB2312" w:hAnsi="FangSong_GB2312" w:eastAsia="FangSong_GB2312" w:cs="FangSong_GB2312"/>
                <w:sz w:val="24"/>
                <w:szCs w:val="24"/>
                <w:spacing w:val="-2"/>
              </w:rPr>
              <w:t>法人员等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方式拒绝、阻挠监督检查，或者在接受监督</w:t>
            </w:r>
            <w:r>
              <w:rPr>
                <w:rFonts w:ascii="FangSong_GB2312" w:hAnsi="FangSong_GB2312" w:eastAsia="FangSong_GB2312" w:cs="FangSong_GB2312"/>
                <w:sz w:val="24"/>
                <w:szCs w:val="24"/>
                <w:spacing w:val="-1"/>
              </w:rPr>
              <w:t>检查时弄虚作假的，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由生态环境主管部门或者其他负有固体废物污染环境防治监督管</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理职责的部门责令改正，处五万元以上二十万元以下的罚款；对</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直接负责的主管人员和其他直接责任人员，处二万元以上十万元</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以下的罚款。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7" w:type="dxa"/>
            <w:vAlign w:val="top"/>
          </w:tcPr>
          <w:p>
            <w:pPr>
              <w:ind w:left="1417"/>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6" w:type="dxa"/>
            <w:vAlign w:val="top"/>
          </w:tcPr>
          <w:p>
            <w:pPr>
              <w:ind w:left="216"/>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ind w:left="28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685"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18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57" w:type="dxa"/>
            <w:vAlign w:val="top"/>
          </w:tcPr>
          <w:p>
            <w:pPr>
              <w:ind w:left="114"/>
              <w:spacing w:before="11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7"/>
              </w:rPr>
              <w:t>分钟以内</w:t>
            </w:r>
          </w:p>
        </w:tc>
        <w:tc>
          <w:tcPr>
            <w:tcW w:w="1066" w:type="dxa"/>
            <w:vAlign w:val="top"/>
          </w:tcPr>
          <w:p>
            <w:pPr>
              <w:ind w:left="194"/>
              <w:spacing w:before="1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7" w:type="dxa"/>
            <w:vAlign w:val="top"/>
          </w:tcPr>
          <w:p>
            <w:pPr>
              <w:ind w:left="114"/>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66" w:type="dxa"/>
            <w:vAlign w:val="top"/>
          </w:tcPr>
          <w:p>
            <w:pPr>
              <w:ind w:left="134"/>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1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7" w:type="dxa"/>
            <w:vAlign w:val="top"/>
          </w:tcPr>
          <w:p>
            <w:pPr>
              <w:ind w:left="140"/>
              <w:spacing w:before="8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66" w:type="dxa"/>
            <w:vAlign w:val="top"/>
          </w:tcPr>
          <w:p>
            <w:pPr>
              <w:ind w:left="128"/>
              <w:spacing w:before="8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7" w:type="dxa"/>
            <w:vAlign w:val="top"/>
          </w:tcPr>
          <w:p>
            <w:pPr>
              <w:ind w:left="109" w:right="103" w:firstLine="2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围堵、留滞执法人员或拒绝提</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供资料</w:t>
            </w:r>
          </w:p>
        </w:tc>
        <w:tc>
          <w:tcPr>
            <w:tcW w:w="1066" w:type="dxa"/>
            <w:vAlign w:val="top"/>
          </w:tcPr>
          <w:p>
            <w:pPr>
              <w:ind w:left="1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7" w:type="dxa"/>
            <w:vAlign w:val="top"/>
          </w:tcPr>
          <w:p>
            <w:pPr>
              <w:ind w:left="112"/>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66" w:type="dxa"/>
            <w:vAlign w:val="top"/>
          </w:tcPr>
          <w:p>
            <w:pPr>
              <w:ind w:left="127"/>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495"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52" w:lineRule="auto"/>
              <w:rPr>
                <w:rFonts w:ascii="Arial"/>
                <w:sz w:val="21"/>
              </w:rPr>
            </w:pPr>
            <w:r/>
          </w:p>
          <w:p>
            <w:pPr>
              <w:ind w:left="28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685" w:type="dxa"/>
            <w:vAlign w:val="top"/>
            <w:vMerge w:val="continue"/>
            <w:tcBorders>
              <w:top w:val="nil"/>
              <w:bottom w:val="nil"/>
            </w:tcBorders>
          </w:tcPr>
          <w:p>
            <w:pPr>
              <w:rPr>
                <w:rFonts w:ascii="Arial"/>
                <w:sz w:val="21"/>
              </w:rPr>
            </w:pPr>
            <w:r/>
          </w:p>
        </w:tc>
        <w:tc>
          <w:tcPr>
            <w:tcW w:w="3257" w:type="dxa"/>
            <w:vAlign w:val="top"/>
          </w:tcPr>
          <w:p>
            <w:pPr>
              <w:ind w:left="112"/>
              <w:spacing w:before="13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066" w:type="dxa"/>
            <w:vAlign w:val="top"/>
          </w:tcPr>
          <w:p>
            <w:pPr>
              <w:ind w:left="131"/>
              <w:spacing w:before="13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9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7" w:type="dxa"/>
            <w:vAlign w:val="top"/>
          </w:tcPr>
          <w:p>
            <w:pPr>
              <w:ind w:left="117"/>
              <w:spacing w:before="8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066" w:type="dxa"/>
            <w:vAlign w:val="top"/>
          </w:tcPr>
          <w:p>
            <w:pPr>
              <w:ind w:left="137"/>
              <w:spacing w:before="8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37" w:hRule="atLeast"/>
        </w:trPr>
        <w:tc>
          <w:tcPr>
            <w:tcW w:w="1454" w:type="dxa"/>
            <w:vAlign w:val="top"/>
            <w:vMerge w:val="restart"/>
            <w:tcBorders>
              <w:bottom w:val="nil"/>
            </w:tcBorders>
          </w:tcPr>
          <w:p>
            <w:pPr>
              <w:spacing w:line="45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7" w:type="dxa"/>
            <w:vAlign w:val="top"/>
          </w:tcPr>
          <w:p>
            <w:pPr>
              <w:ind w:left="121"/>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6" w:type="dxa"/>
            <w:vAlign w:val="top"/>
          </w:tcPr>
          <w:p>
            <w:pPr>
              <w:ind w:left="431"/>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7"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6" w:type="dxa"/>
            <w:vAlign w:val="top"/>
          </w:tcPr>
          <w:p>
            <w:pPr>
              <w:ind w:left="37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57"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6" w:type="dxa"/>
            <w:vAlign w:val="top"/>
          </w:tcPr>
          <w:p>
            <w:pPr>
              <w:ind w:left="37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7"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6" w:type="dxa"/>
            <w:vAlign w:val="top"/>
          </w:tcPr>
          <w:p>
            <w:pPr>
              <w:ind w:left="3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28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8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8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7"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6"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7" w:type="dxa"/>
            <w:vAlign w:val="top"/>
          </w:tcPr>
          <w:p>
            <w:pPr>
              <w:ind w:left="121" w:right="267"/>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6" w:type="dxa"/>
            <w:vAlign w:val="top"/>
          </w:tcPr>
          <w:p>
            <w:pPr>
              <w:ind w:left="254"/>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28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57"/>
        <w:gridCol w:w="1066"/>
      </w:tblGrid>
      <w:tr>
        <w:trPr>
          <w:trHeight w:val="323"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57" w:type="dxa"/>
            <w:vAlign w:val="top"/>
          </w:tcPr>
          <w:p>
            <w:pPr>
              <w:ind w:left="125"/>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6" w:type="dxa"/>
            <w:vAlign w:val="top"/>
          </w:tcPr>
          <w:p>
            <w:pPr>
              <w:ind w:left="190"/>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454" w:type="dxa"/>
            <w:vAlign w:val="top"/>
            <w:vMerge w:val="restart"/>
            <w:tcBorders>
              <w:bottom w:val="nil"/>
            </w:tcBorders>
          </w:tcPr>
          <w:p>
            <w:pPr>
              <w:ind w:left="135"/>
              <w:spacing w:before="4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4"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7" w:type="dxa"/>
            <w:vAlign w:val="top"/>
          </w:tcPr>
          <w:p>
            <w:pPr>
              <w:ind w:left="11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6" w:type="dxa"/>
            <w:vAlign w:val="top"/>
          </w:tcPr>
          <w:p>
            <w:pPr>
              <w:ind w:left="19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57" w:type="dxa"/>
            <w:vAlign w:val="top"/>
          </w:tcPr>
          <w:p>
            <w:pPr>
              <w:ind w:left="134" w:right="103"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2"/>
              </w:rPr>
              <w:t>未造成社会影响与生态破坏</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rPr>
              <w:t>的</w:t>
            </w:r>
          </w:p>
        </w:tc>
        <w:tc>
          <w:tcPr>
            <w:tcW w:w="1066"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8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145</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未依法取得排污许可证产生工业固体废物的</w:t>
            </w:r>
          </w:p>
        </w:tc>
      </w:tr>
      <w:tr>
        <w:trPr>
          <w:trHeight w:val="2944" w:hRule="atLeast"/>
        </w:trPr>
        <w:tc>
          <w:tcPr>
            <w:tcW w:w="1454"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23" w:right="170" w:firstLine="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产生工业固体废物的单位应当取得排污许可证</w:t>
            </w:r>
            <w:r>
              <w:rPr>
                <w:rFonts w:ascii="FangSong_GB2312" w:hAnsi="FangSong_GB2312" w:eastAsia="FangSong_GB2312" w:cs="FangSong_GB2312"/>
                <w:sz w:val="24"/>
                <w:szCs w:val="24"/>
                <w:spacing w:val="-2"/>
              </w:rPr>
              <w:t>。排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污许可的具体办法和实施步骤由国务院规定。</w:t>
            </w:r>
          </w:p>
          <w:p>
            <w:pPr>
              <w:spacing w:line="273"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70" w:firstLine="8"/>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违反本法规定，未依法取得排污许可证</w:t>
            </w:r>
            <w:r>
              <w:rPr>
                <w:rFonts w:ascii="FangSong_GB2312" w:hAnsi="FangSong_GB2312" w:eastAsia="FangSong_GB2312" w:cs="FangSong_GB2312"/>
                <w:sz w:val="24"/>
                <w:szCs w:val="24"/>
                <w:spacing w:val="-2"/>
              </w:rPr>
              <w:t>产生工业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固体废物的，由生态环境主管部门责令改正或者限制生产、停产</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整治，处十万元以上一百万元以下的罚款；情节严重的，报经有</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批准权的人民政府批准，责令停业或者关闭。</w:t>
            </w:r>
          </w:p>
        </w:tc>
      </w:tr>
      <w:tr>
        <w:trPr>
          <w:trHeight w:val="634" w:hRule="atLeast"/>
        </w:trPr>
        <w:tc>
          <w:tcPr>
            <w:tcW w:w="4135" w:type="dxa"/>
            <w:vAlign w:val="top"/>
            <w:gridSpan w:val="3"/>
          </w:tcPr>
          <w:p>
            <w:pPr>
              <w:ind w:left="151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18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35" w:right="209" w:hanging="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列入环境影响登记表类项目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22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5" w:right="209" w:hanging="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列入环境影响报告表类项目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16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209" w:hanging="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列入环境影响报告书类项目</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的</w:t>
            </w:r>
          </w:p>
        </w:tc>
        <w:tc>
          <w:tcPr>
            <w:tcW w:w="1122" w:type="dxa"/>
            <w:vAlign w:val="top"/>
          </w:tcPr>
          <w:p>
            <w:pPr>
              <w:ind w:left="12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8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违法行为形式</w:t>
            </w:r>
          </w:p>
        </w:tc>
        <w:tc>
          <w:tcPr>
            <w:tcW w:w="685"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5" w:right="209" w:hanging="1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产生工业固体废物</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吨以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下的</w:t>
            </w:r>
          </w:p>
        </w:tc>
        <w:tc>
          <w:tcPr>
            <w:tcW w:w="1122" w:type="dxa"/>
            <w:vAlign w:val="top"/>
          </w:tcPr>
          <w:p>
            <w:pPr>
              <w:ind w:left="28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产生工业固体废物</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5"/>
              </w:rPr>
              <w:t>100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吨以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8"/>
              </w:rPr>
              <w:t>500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218"/>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0"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产生工业固体废物</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5"/>
              </w:rPr>
              <w:t>500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吨以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上的</w:t>
            </w:r>
          </w:p>
        </w:tc>
        <w:tc>
          <w:tcPr>
            <w:tcW w:w="1122" w:type="dxa"/>
            <w:vAlign w:val="top"/>
          </w:tcPr>
          <w:p>
            <w:pPr>
              <w:ind w:left="1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37" w:hRule="atLeast"/>
        </w:trPr>
        <w:tc>
          <w:tcPr>
            <w:tcW w:w="1454" w:type="dxa"/>
            <w:vAlign w:val="top"/>
            <w:vMerge w:val="restart"/>
            <w:tcBorders>
              <w:bottom w:val="nil"/>
            </w:tcBorders>
          </w:tcPr>
          <w:p>
            <w:pPr>
              <w:spacing w:line="457"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7"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7"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4"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4"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290"/>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3" w:hRule="atLeast"/>
        </w:trPr>
        <w:tc>
          <w:tcPr>
            <w:tcW w:w="1454" w:type="dxa"/>
            <w:vAlign w:val="top"/>
            <w:vMerge w:val="restart"/>
            <w:tcBorders>
              <w:bottom w:val="nil"/>
            </w:tcBorders>
          </w:tcPr>
          <w:p>
            <w:pPr>
              <w:ind w:left="136"/>
              <w:spacing w:before="4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0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4"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6"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91"/>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146</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right="176" w:firstLine="5"/>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从事畜禽规模养殖未及时收集、贮存、利用或者处置养殖过程中</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产生的畜禽粪污等固体废物的</w:t>
            </w:r>
          </w:p>
        </w:tc>
      </w:tr>
      <w:tr>
        <w:trPr>
          <w:trHeight w:val="3154" w:hRule="atLeast"/>
        </w:trPr>
        <w:tc>
          <w:tcPr>
            <w:tcW w:w="1454"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6" w:right="169" w:firstLine="17"/>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从事畜禽规模养殖应当及时</w:t>
            </w:r>
            <w:r>
              <w:rPr>
                <w:rFonts w:ascii="FangSong_GB2312" w:hAnsi="FangSong_GB2312" w:eastAsia="FangSong_GB2312" w:cs="FangSong_GB2312"/>
                <w:sz w:val="24"/>
                <w:szCs w:val="24"/>
                <w:spacing w:val="-2"/>
              </w:rPr>
              <w:t>收集、贮存、利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用或者处置养殖过程中产生的畜禽粪污等固体废物，</w:t>
            </w:r>
            <w:r>
              <w:rPr>
                <w:rFonts w:ascii="FangSong_GB2312" w:hAnsi="FangSong_GB2312" w:eastAsia="FangSong_GB2312" w:cs="FangSong_GB2312"/>
                <w:sz w:val="24"/>
                <w:szCs w:val="24"/>
                <w:spacing w:val="-1"/>
              </w:rPr>
              <w:t>避免造成环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境污染。</w:t>
            </w:r>
          </w:p>
          <w:p>
            <w:pPr>
              <w:spacing w:line="272"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2" w:right="171" w:firstLine="12"/>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从事畜禽规模养殖未及时收集、贮存、</w:t>
            </w:r>
            <w:r>
              <w:rPr>
                <w:rFonts w:ascii="FangSong_GB2312" w:hAnsi="FangSong_GB2312" w:eastAsia="FangSong_GB2312" w:cs="FangSong_GB2312"/>
                <w:sz w:val="24"/>
                <w:szCs w:val="24"/>
                <w:spacing w:val="-2"/>
              </w:rPr>
              <w:t>利用或者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处置养殖过程中产生的畜禽粪污等固体废物的，由生态环境主管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部门责令改正，可以处十万元以下的罚款；情节严重的，报经有</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批准权的人民政府批准，责令停业或者关闭。</w:t>
            </w:r>
          </w:p>
        </w:tc>
      </w:tr>
      <w:tr>
        <w:trPr>
          <w:trHeight w:val="635" w:hRule="atLeast"/>
        </w:trPr>
        <w:tc>
          <w:tcPr>
            <w:tcW w:w="4135" w:type="dxa"/>
            <w:vAlign w:val="top"/>
            <w:gridSpan w:val="3"/>
          </w:tcPr>
          <w:p>
            <w:pPr>
              <w:ind w:left="151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579" w:hRule="atLeast"/>
        </w:trPr>
        <w:tc>
          <w:tcPr>
            <w:tcW w:w="1454"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6" w:right="103" w:firstLine="17"/>
              <w:spacing w:before="41"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常年存栏量在</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7"/>
              </w:rPr>
              <w:t>300</w:t>
            </w:r>
            <w:r>
              <w:rPr>
                <w:rFonts w:ascii="FangSong_GB2312" w:hAnsi="FangSong_GB2312" w:eastAsia="FangSong_GB2312" w:cs="FangSong_GB2312"/>
                <w:sz w:val="24"/>
                <w:szCs w:val="24"/>
                <w:spacing w:val="-60"/>
              </w:rPr>
              <w:t xml:space="preserve"> </w:t>
            </w:r>
            <w:r>
              <w:rPr>
                <w:rFonts w:ascii="FangSong_GB2312" w:hAnsi="FangSong_GB2312" w:eastAsia="FangSong_GB2312" w:cs="FangSong_GB2312"/>
                <w:sz w:val="24"/>
                <w:szCs w:val="24"/>
                <w:spacing w:val="-7"/>
              </w:rPr>
              <w:t>头以上</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7"/>
              </w:rPr>
              <w:t>500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头以下猪、2000</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5"/>
              </w:rPr>
              <w:t>羽以上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羽以下鸡、50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头以上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以下牛或其他同规模的畜禽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养殖场</w:t>
            </w:r>
          </w:p>
        </w:tc>
        <w:tc>
          <w:tcPr>
            <w:tcW w:w="1122" w:type="dxa"/>
            <w:vAlign w:val="top"/>
          </w:tcPr>
          <w:p>
            <w:pPr>
              <w:spacing w:line="294" w:lineRule="auto"/>
              <w:rPr>
                <w:rFonts w:ascii="Arial"/>
                <w:sz w:val="21"/>
              </w:rPr>
            </w:pPr>
            <w:r/>
          </w:p>
          <w:p>
            <w:pPr>
              <w:spacing w:line="295"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57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4"/>
              <w:spacing w:before="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常年存栏量在</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7"/>
              </w:rPr>
              <w:t>500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头以上</w:t>
            </w:r>
          </w:p>
          <w:p>
            <w:pPr>
              <w:ind w:left="123" w:right="103" w:firstLine="5"/>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1000</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6"/>
              </w:rPr>
              <w:t>头以下猪、5000</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羽以上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10000</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羽以下鸡、100</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头以上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200</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4"/>
              </w:rPr>
              <w:t>头以下牛或其他同规模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的畜禽养殖场</w:t>
            </w:r>
          </w:p>
        </w:tc>
        <w:tc>
          <w:tcPr>
            <w:tcW w:w="1122" w:type="dxa"/>
            <w:vAlign w:val="top"/>
          </w:tcPr>
          <w:p>
            <w:pPr>
              <w:spacing w:line="294" w:lineRule="auto"/>
              <w:rPr>
                <w:rFonts w:ascii="Arial"/>
                <w:sz w:val="21"/>
              </w:rPr>
            </w:pPr>
            <w:r/>
          </w:p>
          <w:p>
            <w:pPr>
              <w:spacing w:line="295"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spacing w:before="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常年存栏量在</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1000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头以上</w:t>
            </w:r>
          </w:p>
          <w:p>
            <w:pPr>
              <w:ind w:left="115" w:right="103" w:hanging="2"/>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猪、10000</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羽以上鸡、200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以上牛或其他同规模的畜禽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养殖场</w:t>
            </w:r>
          </w:p>
        </w:tc>
        <w:tc>
          <w:tcPr>
            <w:tcW w:w="1122" w:type="dxa"/>
            <w:vAlign w:val="top"/>
          </w:tcPr>
          <w:p>
            <w:pPr>
              <w:spacing w:line="434"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37" w:hRule="atLeast"/>
        </w:trPr>
        <w:tc>
          <w:tcPr>
            <w:tcW w:w="1454" w:type="dxa"/>
            <w:vAlign w:val="top"/>
            <w:vMerge w:val="restart"/>
            <w:tcBorders>
              <w:bottom w:val="nil"/>
            </w:tcBorders>
          </w:tcPr>
          <w:p>
            <w:pPr>
              <w:spacing w:line="45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ind w:left="254"/>
              <w:spacing w:before="20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ind w:left="278"/>
              <w:spacing w:before="204"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ind w:left="183"/>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1"/>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122" w:type="dxa"/>
            <w:vAlign w:val="top"/>
          </w:tcPr>
          <w:p>
            <w:pPr>
              <w:ind w:left="28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29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122" w:type="dxa"/>
            <w:vAlign w:val="top"/>
          </w:tcPr>
          <w:p>
            <w:pPr>
              <w:rPr>
                <w:rFonts w:ascii="Arial"/>
                <w:sz w:val="21"/>
              </w:rPr>
            </w:pPr>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1" w:hRule="atLeast"/>
        </w:trPr>
        <w:tc>
          <w:tcPr>
            <w:tcW w:w="1454" w:type="dxa"/>
            <w:vAlign w:val="top"/>
            <w:vMerge w:val="restart"/>
            <w:tcBorders>
              <w:bottom w:val="nil"/>
            </w:tcBorders>
          </w:tcPr>
          <w:p>
            <w:pPr>
              <w:ind w:left="253" w:right="245" w:firstLine="7"/>
              <w:spacing w:before="6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6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6"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54" w:type="dxa"/>
            <w:vAlign w:val="top"/>
            <w:vMerge w:val="restart"/>
            <w:tcBorders>
              <w:bottom w:val="nil"/>
            </w:tcBorders>
          </w:tcPr>
          <w:p>
            <w:pPr>
              <w:ind w:left="135"/>
              <w:spacing w:before="4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3"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3"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43"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93"/>
          <w:pgSz w:w="11905" w:h="16839"/>
          <w:pgMar w:top="1431" w:right="1785" w:bottom="1156" w:left="1330" w:header="0" w:footer="994" w:gutter="0"/>
        </w:sectPr>
        <w:rPr/>
      </w:pPr>
    </w:p>
    <w:p>
      <w:pPr>
        <w:spacing w:before="19"/>
        <w:rPr/>
      </w:pPr>
      <w:r/>
    </w:p>
    <w:p>
      <w:pPr>
        <w:spacing w:before="18"/>
        <w:rPr/>
      </w:pPr>
      <w:r/>
    </w:p>
    <w:p>
      <w:pPr>
        <w:spacing w:before="18"/>
        <w:rPr/>
      </w:pPr>
      <w:r/>
    </w:p>
    <w:p>
      <w:pPr>
        <w:spacing w:before="18"/>
        <w:rPr/>
      </w:pPr>
      <w:r/>
    </w:p>
    <w:p>
      <w:pPr>
        <w:spacing w:before="18"/>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147</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31" w:right="175" w:hanging="1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尾矿、煤矸石、废石等矿业固体废物贮存设施停止使用后，未按</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照国家有关环境保护规定进行封场的</w:t>
            </w:r>
          </w:p>
        </w:tc>
      </w:tr>
      <w:tr>
        <w:trPr>
          <w:trHeight w:val="2944" w:hRule="atLeast"/>
        </w:trPr>
        <w:tc>
          <w:tcPr>
            <w:tcW w:w="1454"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9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4" w:right="167" w:firstLine="11"/>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尾矿、煤矸石、废石等矿业</w:t>
            </w:r>
            <w:r>
              <w:rPr>
                <w:rFonts w:ascii="FangSong_GB2312" w:hAnsi="FangSong_GB2312" w:eastAsia="FangSong_GB2312" w:cs="FangSong_GB2312"/>
                <w:sz w:val="24"/>
                <w:szCs w:val="24"/>
                <w:spacing w:val="-2"/>
              </w:rPr>
              <w:t>固体废物贮存设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施停止使用后，矿山企业应当按照国家有关环境保护等规定进行</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封场，防止造成环境污染和生态破坏。</w:t>
            </w:r>
          </w:p>
          <w:p>
            <w:pPr>
              <w:spacing w:line="272"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07" w:right="170" w:firstLine="17"/>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尾矿、煤矸石、废石等矿业固体废物贮</w:t>
            </w:r>
            <w:r>
              <w:rPr>
                <w:rFonts w:ascii="FangSong_GB2312" w:hAnsi="FangSong_GB2312" w:eastAsia="FangSong_GB2312" w:cs="FangSong_GB2312"/>
                <w:sz w:val="24"/>
                <w:szCs w:val="24"/>
                <w:spacing w:val="-2"/>
              </w:rPr>
              <w:t>存设施停</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止使用后，未按照国家有关环境保护规定进行封场的</w:t>
            </w:r>
            <w:r>
              <w:rPr>
                <w:rFonts w:ascii="FangSong_GB2312" w:hAnsi="FangSong_GB2312" w:eastAsia="FangSong_GB2312" w:cs="FangSong_GB2312"/>
                <w:sz w:val="24"/>
                <w:szCs w:val="24"/>
                <w:spacing w:val="-1"/>
              </w:rPr>
              <w:t>，由生态环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境主管部门责令改正，处二十万元以上一百万元以</w:t>
            </w:r>
            <w:r>
              <w:rPr>
                <w:rFonts w:ascii="FangSong_GB2312" w:hAnsi="FangSong_GB2312" w:eastAsia="FangSong_GB2312" w:cs="FangSong_GB2312"/>
                <w:sz w:val="24"/>
                <w:szCs w:val="24"/>
                <w:spacing w:val="-1"/>
              </w:rPr>
              <w:t>下的罚款。</w:t>
            </w:r>
          </w:p>
        </w:tc>
      </w:tr>
      <w:tr>
        <w:trPr>
          <w:trHeight w:val="634" w:hRule="atLeast"/>
        </w:trPr>
        <w:tc>
          <w:tcPr>
            <w:tcW w:w="4135" w:type="dxa"/>
            <w:vAlign w:val="top"/>
            <w:gridSpan w:val="3"/>
          </w:tcPr>
          <w:p>
            <w:pPr>
              <w:ind w:left="151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399"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1"/>
              <w:spacing w:before="11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应封场</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万立方米以下的</w:t>
            </w:r>
          </w:p>
        </w:tc>
        <w:tc>
          <w:tcPr>
            <w:tcW w:w="1122" w:type="dxa"/>
            <w:vAlign w:val="top"/>
          </w:tcPr>
          <w:p>
            <w:pPr>
              <w:ind w:left="222"/>
              <w:spacing w:before="1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5" w:right="209" w:hanging="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应封场</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10"/>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万立方米以上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立方米以下的</w:t>
            </w:r>
          </w:p>
        </w:tc>
        <w:tc>
          <w:tcPr>
            <w:tcW w:w="1122" w:type="dxa"/>
            <w:vAlign w:val="top"/>
          </w:tcPr>
          <w:p>
            <w:pPr>
              <w:ind w:left="1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1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1"/>
              <w:spacing w:before="8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应封场</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万立方米以上的</w:t>
            </w:r>
          </w:p>
        </w:tc>
        <w:tc>
          <w:tcPr>
            <w:tcW w:w="1122" w:type="dxa"/>
            <w:vAlign w:val="top"/>
          </w:tcPr>
          <w:p>
            <w:pPr>
              <w:ind w:left="156"/>
              <w:spacing w:before="8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37" w:hRule="atLeast"/>
        </w:trPr>
        <w:tc>
          <w:tcPr>
            <w:tcW w:w="1454" w:type="dxa"/>
            <w:vAlign w:val="top"/>
            <w:vMerge w:val="restart"/>
            <w:tcBorders>
              <w:bottom w:val="nil"/>
            </w:tcBorders>
          </w:tcPr>
          <w:p>
            <w:pPr>
              <w:spacing w:line="458"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8"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8"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37" w:hRule="atLeast"/>
        </w:trPr>
        <w:tc>
          <w:tcPr>
            <w:tcW w:w="1454" w:type="dxa"/>
            <w:vAlign w:val="top"/>
            <w:vMerge w:val="restart"/>
            <w:tcBorders>
              <w:bottom w:val="nil"/>
            </w:tcBorders>
          </w:tcPr>
          <w:p>
            <w:pPr>
              <w:spacing w:line="45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54"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54"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2" w:hRule="atLeast"/>
        </w:trPr>
        <w:tc>
          <w:tcPr>
            <w:tcW w:w="1454" w:type="dxa"/>
            <w:vAlign w:val="top"/>
            <w:vMerge w:val="restart"/>
            <w:tcBorders>
              <w:bottom w:val="nil"/>
            </w:tcBorders>
          </w:tcPr>
          <w:p>
            <w:pPr>
              <w:ind w:left="255" w:right="243" w:firstLine="7"/>
              <w:spacing w:before="6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6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2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58"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ind w:left="136"/>
              <w:spacing w:before="4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4"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0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3"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94"/>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148</w:t>
            </w:r>
          </w:p>
        </w:tc>
      </w:tr>
      <w:tr>
        <w:trPr>
          <w:trHeight w:val="634" w:hRule="atLeast"/>
        </w:trPr>
        <w:tc>
          <w:tcPr>
            <w:tcW w:w="1454" w:type="dxa"/>
            <w:vAlign w:val="top"/>
          </w:tcPr>
          <w:p>
            <w:pPr>
              <w:ind w:left="177"/>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未按照规定设置危险废物识别标志的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0" w:right="36" w:firstLine="15"/>
              <w:spacing w:before="3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第七十七条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对危险废物的容器和包装物以及收集、贮存、运输、</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rPr>
              <w:t>利用、处置危险废物的设施、场所，应当按照</w:t>
            </w:r>
            <w:r>
              <w:rPr>
                <w:rFonts w:ascii="FangSong_GB2312" w:hAnsi="FangSong_GB2312" w:eastAsia="FangSong_GB2312" w:cs="FangSong_GB2312"/>
                <w:sz w:val="24"/>
                <w:szCs w:val="24"/>
                <w:spacing w:val="-1"/>
              </w:rPr>
              <w:t>规定设置危险废物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识别标志。</w:t>
            </w:r>
          </w:p>
          <w:p>
            <w:pPr>
              <w:spacing w:line="268"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9" w:right="170" w:firstLine="6"/>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w:t>
            </w:r>
            <w:r>
              <w:rPr>
                <w:rFonts w:ascii="FangSong_GB2312" w:hAnsi="FangSong_GB2312" w:eastAsia="FangSong_GB2312" w:cs="FangSong_GB2312"/>
                <w:sz w:val="24"/>
                <w:szCs w:val="24"/>
                <w:spacing w:val="-2"/>
              </w:rPr>
              <w:t>一，由生态环境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0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（一）未按照规定设置危险废物识别标志的；</w:t>
            </w:r>
          </w:p>
          <w:p>
            <w:pPr>
              <w:ind w:left="116" w:right="175" w:firstLine="2"/>
              <w:spacing w:before="38"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ind w:left="494" w:right="121" w:hanging="358"/>
              <w:spacing w:before="245"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24"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24"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5" w:right="104" w:hanging="1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未按国家规定设置危险废物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识别标志的</w:t>
            </w:r>
          </w:p>
        </w:tc>
        <w:tc>
          <w:tcPr>
            <w:tcW w:w="1122" w:type="dxa"/>
            <w:vAlign w:val="top"/>
          </w:tcPr>
          <w:p>
            <w:pPr>
              <w:ind w:left="22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5"/>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未设置危险废物识别标志的</w:t>
            </w:r>
          </w:p>
        </w:tc>
        <w:tc>
          <w:tcPr>
            <w:tcW w:w="1122" w:type="dxa"/>
            <w:vAlign w:val="top"/>
          </w:tcPr>
          <w:p>
            <w:pPr>
              <w:ind w:left="156"/>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54" w:type="dxa"/>
            <w:vAlign w:val="top"/>
            <w:vMerge w:val="restart"/>
            <w:tcBorders>
              <w:bottom w:val="nil"/>
            </w:tcBorders>
          </w:tcPr>
          <w:p>
            <w:pPr>
              <w:spacing w:line="44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9"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0"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37" w:hRule="atLeast"/>
        </w:trPr>
        <w:tc>
          <w:tcPr>
            <w:tcW w:w="1454" w:type="dxa"/>
            <w:vAlign w:val="top"/>
            <w:vMerge w:val="restart"/>
            <w:tcBorders>
              <w:bottom w:val="nil"/>
            </w:tcBorders>
          </w:tcPr>
          <w:p>
            <w:pPr>
              <w:spacing w:line="45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53"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53"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2" w:hRule="atLeast"/>
        </w:trPr>
        <w:tc>
          <w:tcPr>
            <w:tcW w:w="1454" w:type="dxa"/>
            <w:vAlign w:val="top"/>
            <w:vMerge w:val="restart"/>
            <w:tcBorders>
              <w:bottom w:val="nil"/>
            </w:tcBorders>
          </w:tcPr>
          <w:p>
            <w:pPr>
              <w:ind w:left="255" w:right="243" w:firstLine="7"/>
              <w:spacing w:before="6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6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2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5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ind w:left="136"/>
              <w:spacing w:before="4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0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4"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95"/>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149</w:t>
            </w:r>
          </w:p>
        </w:tc>
      </w:tr>
      <w:tr>
        <w:trPr>
          <w:trHeight w:val="634" w:hRule="atLeast"/>
        </w:trPr>
        <w:tc>
          <w:tcPr>
            <w:tcW w:w="1454" w:type="dxa"/>
            <w:vAlign w:val="top"/>
          </w:tcPr>
          <w:p>
            <w:pPr>
              <w:ind w:left="177"/>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3" w:right="175" w:hanging="10"/>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未按照国家有关规定制定危险废物管理计划或者申报危险废物有</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5"/>
              </w:rPr>
              <w:t>关资料的</w:t>
            </w:r>
          </w:p>
        </w:tc>
      </w:tr>
      <w:tr>
        <w:trPr>
          <w:trHeight w:val="504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4" w:right="167"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产生危险废物的单位，应当</w:t>
            </w:r>
            <w:r>
              <w:rPr>
                <w:rFonts w:ascii="FangSong_GB2312" w:hAnsi="FangSong_GB2312" w:eastAsia="FangSong_GB2312" w:cs="FangSong_GB2312"/>
                <w:sz w:val="24"/>
                <w:szCs w:val="24"/>
                <w:spacing w:val="-2"/>
              </w:rPr>
              <w:t>按照国家有关规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定制定危险废物管理计划；建立危险废物管理台账，如实记录有</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关信息，并通过国家危险废物信息管理系统向所在地生态环境主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管部门申报危险废物的种类、产生量、流向、贮存、处置等有关</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资料。</w:t>
            </w:r>
          </w:p>
          <w:p>
            <w:pPr>
              <w:spacing w:line="273"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9" w:right="170" w:firstLine="6"/>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w:t>
            </w:r>
            <w:r>
              <w:rPr>
                <w:rFonts w:ascii="FangSong_GB2312" w:hAnsi="FangSong_GB2312" w:eastAsia="FangSong_GB2312" w:cs="FangSong_GB2312"/>
                <w:sz w:val="24"/>
                <w:szCs w:val="24"/>
                <w:spacing w:val="-2"/>
              </w:rPr>
              <w:t>一，由生态环境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10" w:right="175" w:hanging="2"/>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（二）未按照国家有关规定制定危险废物管理计</w:t>
            </w:r>
            <w:r>
              <w:rPr>
                <w:rFonts w:ascii="FangSong_GB2312" w:hAnsi="FangSong_GB2312" w:eastAsia="FangSong_GB2312" w:cs="FangSong_GB2312"/>
                <w:sz w:val="24"/>
                <w:szCs w:val="24"/>
                <w:spacing w:val="-1"/>
              </w:rPr>
              <w:t>划或者申报危险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废物有关资料的；</w:t>
            </w:r>
          </w:p>
          <w:p>
            <w:pPr>
              <w:ind w:left="116" w:right="175" w:firstLine="2"/>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3"/>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5"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2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8" w:right="104" w:firstLine="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涉及危险废物数量</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122" w:type="dxa"/>
            <w:vAlign w:val="top"/>
          </w:tcPr>
          <w:p>
            <w:pPr>
              <w:ind w:left="16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0"/>
              <w:spacing w:before="4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30"/>
              <w:spacing w:before="3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1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4"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37" w:hRule="atLeast"/>
        </w:trPr>
        <w:tc>
          <w:tcPr>
            <w:tcW w:w="1454" w:type="dxa"/>
            <w:vAlign w:val="top"/>
            <w:vMerge w:val="restart"/>
            <w:tcBorders>
              <w:bottom w:val="nil"/>
            </w:tcBorders>
          </w:tcPr>
          <w:p>
            <w:pPr>
              <w:spacing w:line="458"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8"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5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5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37" w:hRule="atLeast"/>
        </w:trPr>
        <w:tc>
          <w:tcPr>
            <w:tcW w:w="1454" w:type="dxa"/>
            <w:vAlign w:val="top"/>
            <w:vMerge w:val="restart"/>
            <w:tcBorders>
              <w:bottom w:val="nil"/>
            </w:tcBorders>
          </w:tcPr>
          <w:p>
            <w:pPr>
              <w:spacing w:line="292"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93"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92"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2" w:right="209"/>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296"/>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454" w:type="dxa"/>
            <w:vAlign w:val="top"/>
            <w:vMerge w:val="restart"/>
            <w:tcBorders>
              <w:bottom w:val="nil"/>
            </w:tcBorders>
          </w:tcPr>
          <w:p>
            <w:pPr>
              <w:ind w:left="255" w:right="243"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54" w:type="dxa"/>
            <w:vAlign w:val="top"/>
            <w:vMerge w:val="restart"/>
            <w:tcBorders>
              <w:bottom w:val="nil"/>
            </w:tcBorders>
          </w:tcPr>
          <w:p>
            <w:pPr>
              <w:ind w:left="136"/>
              <w:spacing w:before="4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0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1"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97"/>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150</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5"/>
              <w:spacing w:before="197"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擅自倾倒、堆放危险废物的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6" w:right="171" w:firstLine="17"/>
              <w:spacing w:before="37"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产生危险废物的单位，应当按照国家有关规定</w:t>
            </w:r>
            <w:r>
              <w:rPr>
                <w:rFonts w:ascii="FangSong_GB2312" w:hAnsi="FangSong_GB2312" w:eastAsia="FangSong_GB2312" w:cs="FangSong_GB2312"/>
                <w:sz w:val="24"/>
                <w:szCs w:val="24"/>
                <w:spacing w:val="-2"/>
              </w:rPr>
              <w:t>和环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境保护标准要求贮存、利用、处置危险废物，不得擅</w:t>
            </w:r>
            <w:r>
              <w:rPr>
                <w:rFonts w:ascii="FangSong_GB2312" w:hAnsi="FangSong_GB2312" w:eastAsia="FangSong_GB2312" w:cs="FangSong_GB2312"/>
                <w:sz w:val="24"/>
                <w:szCs w:val="24"/>
                <w:spacing w:val="-1"/>
              </w:rPr>
              <w:t>自倾倒、堆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放。</w:t>
            </w:r>
          </w:p>
          <w:p>
            <w:pPr>
              <w:spacing w:line="260"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07"/>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（三）擅自倾倒、堆放危险废物的；</w:t>
            </w:r>
          </w:p>
          <w:p>
            <w:pPr>
              <w:ind w:left="113" w:right="46" w:firstLine="4"/>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有前款第三项、第四项、第十项、第十一项行为之一，处所需处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4"/>
              </w:rPr>
              <w:t>置费用三倍以上五倍以下的罚款，所需处置费用不足</w:t>
            </w:r>
            <w:r>
              <w:rPr>
                <w:rFonts w:ascii="FangSong_GB2312" w:hAnsi="FangSong_GB2312" w:eastAsia="FangSong_GB2312" w:cs="FangSong_GB2312"/>
                <w:sz w:val="24"/>
                <w:szCs w:val="24"/>
                <w:spacing w:val="-5"/>
              </w:rPr>
              <w:t>二十万元的，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按二十万元计算。</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4" w:right="211"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2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right="103" w:firstLine="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涉及危险废物数量</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122" w:type="dxa"/>
            <w:vAlign w:val="top"/>
          </w:tcPr>
          <w:p>
            <w:pPr>
              <w:ind w:left="16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9"/>
              <w:spacing w:before="4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29"/>
              <w:spacing w:before="36"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1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37" w:hRule="atLeast"/>
        </w:trPr>
        <w:tc>
          <w:tcPr>
            <w:tcW w:w="1454" w:type="dxa"/>
            <w:vAlign w:val="top"/>
            <w:vMerge w:val="restart"/>
            <w:tcBorders>
              <w:bottom w:val="nil"/>
            </w:tcBorders>
          </w:tcPr>
          <w:p>
            <w:pPr>
              <w:spacing w:line="457"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7"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37" w:hRule="atLeast"/>
        </w:trPr>
        <w:tc>
          <w:tcPr>
            <w:tcW w:w="1454" w:type="dxa"/>
            <w:vAlign w:val="top"/>
            <w:vMerge w:val="restart"/>
            <w:tcBorders>
              <w:bottom w:val="nil"/>
            </w:tcBorders>
          </w:tcPr>
          <w:p>
            <w:pPr>
              <w:spacing w:line="45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54"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5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298"/>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55" w:hRule="atLeast"/>
        </w:trPr>
        <w:tc>
          <w:tcPr>
            <w:tcW w:w="1454" w:type="dxa"/>
            <w:vAlign w:val="top"/>
            <w:vMerge w:val="restart"/>
            <w:tcBorders>
              <w:bottom w:val="nil"/>
            </w:tcBorders>
          </w:tcPr>
          <w:p>
            <w:pPr>
              <w:ind w:left="253" w:right="245" w:firstLine="7"/>
              <w:spacing w:before="6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6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2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9"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54" w:type="dxa"/>
            <w:vAlign w:val="top"/>
            <w:vMerge w:val="restart"/>
            <w:tcBorders>
              <w:bottom w:val="nil"/>
            </w:tcBorders>
          </w:tcPr>
          <w:p>
            <w:pPr>
              <w:ind w:left="135"/>
              <w:spacing w:before="4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2"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1"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299"/>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151</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7" w:right="176" w:hanging="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将危险废物提供或者委托给无许可证的单位或者其他生产经营者</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从事经营活动的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8" w:right="169" w:firstLine="16"/>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禁止将危险废物提供或者委托给无</w:t>
            </w:r>
            <w:r>
              <w:rPr>
                <w:rFonts w:ascii="FangSong_GB2312" w:hAnsi="FangSong_GB2312" w:eastAsia="FangSong_GB2312" w:cs="FangSong_GB2312"/>
                <w:sz w:val="24"/>
                <w:szCs w:val="24"/>
                <w:spacing w:val="-2"/>
              </w:rPr>
              <w:t>许可证的单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位或者其他生产经营者从事收集、贮存、利</w:t>
            </w:r>
            <w:r>
              <w:rPr>
                <w:rFonts w:ascii="FangSong_GB2312" w:hAnsi="FangSong_GB2312" w:eastAsia="FangSong_GB2312" w:cs="FangSong_GB2312"/>
                <w:sz w:val="24"/>
                <w:szCs w:val="24"/>
                <w:spacing w:val="-1"/>
              </w:rPr>
              <w:t>用、处置活动。</w:t>
            </w:r>
          </w:p>
          <w:p>
            <w:pPr>
              <w:spacing w:line="271"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17" w:right="176" w:hanging="10"/>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（四）将危险废物提供或者委托给无许可证的单</w:t>
            </w:r>
            <w:r>
              <w:rPr>
                <w:rFonts w:ascii="FangSong_GB2312" w:hAnsi="FangSong_GB2312" w:eastAsia="FangSong_GB2312" w:cs="FangSong_GB2312"/>
                <w:sz w:val="24"/>
                <w:szCs w:val="24"/>
                <w:spacing w:val="-1"/>
              </w:rPr>
              <w:t>位或者其他生产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经营者从事经营活动的；</w:t>
            </w:r>
          </w:p>
          <w:p>
            <w:pPr>
              <w:ind w:left="113" w:right="46" w:firstLine="4"/>
              <w:spacing w:before="38"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有前款第三项、第四项、第十项、第十一项行为之一，处所需处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4"/>
              </w:rPr>
              <w:t>置费用三倍以上五倍以下的罚款，所需处置费用不足</w:t>
            </w:r>
            <w:r>
              <w:rPr>
                <w:rFonts w:ascii="FangSong_GB2312" w:hAnsi="FangSong_GB2312" w:eastAsia="FangSong_GB2312" w:cs="FangSong_GB2312"/>
                <w:sz w:val="24"/>
                <w:szCs w:val="24"/>
                <w:spacing w:val="-5"/>
              </w:rPr>
              <w:t>二十万元的，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按二十万元计算。</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394"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9"/>
              <w:spacing w:before="11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吨以下的</w:t>
            </w:r>
          </w:p>
        </w:tc>
        <w:tc>
          <w:tcPr>
            <w:tcW w:w="1122" w:type="dxa"/>
            <w:vAlign w:val="top"/>
          </w:tcPr>
          <w:p>
            <w:pPr>
              <w:ind w:left="223"/>
              <w:spacing w:before="1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4" w:right="211" w:firstLine="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下的</w:t>
            </w:r>
          </w:p>
        </w:tc>
        <w:tc>
          <w:tcPr>
            <w:tcW w:w="1122" w:type="dxa"/>
            <w:vAlign w:val="top"/>
          </w:tcPr>
          <w:p>
            <w:pPr>
              <w:ind w:left="16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9"/>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涉及数量</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吨以上的</w:t>
            </w:r>
          </w:p>
        </w:tc>
        <w:tc>
          <w:tcPr>
            <w:tcW w:w="1122" w:type="dxa"/>
            <w:vAlign w:val="top"/>
          </w:tcPr>
          <w:p>
            <w:pPr>
              <w:ind w:left="157"/>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34" w:hRule="atLeast"/>
        </w:trPr>
        <w:tc>
          <w:tcPr>
            <w:tcW w:w="1454" w:type="dxa"/>
            <w:vAlign w:val="top"/>
            <w:vMerge w:val="restart"/>
            <w:tcBorders>
              <w:bottom w:val="nil"/>
            </w:tcBorders>
          </w:tcPr>
          <w:p>
            <w:pPr>
              <w:spacing w:line="455"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55"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5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49"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49"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37" w:hRule="atLeast"/>
        </w:trPr>
        <w:tc>
          <w:tcPr>
            <w:tcW w:w="1454" w:type="dxa"/>
            <w:vAlign w:val="top"/>
            <w:vMerge w:val="restart"/>
            <w:tcBorders>
              <w:bottom w:val="nil"/>
            </w:tcBorders>
          </w:tcPr>
          <w:p>
            <w:pPr>
              <w:spacing w:line="45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5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5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2" w:hRule="atLeast"/>
        </w:trPr>
        <w:tc>
          <w:tcPr>
            <w:tcW w:w="1454" w:type="dxa"/>
            <w:vAlign w:val="top"/>
            <w:vMerge w:val="restart"/>
            <w:tcBorders>
              <w:bottom w:val="nil"/>
            </w:tcBorders>
          </w:tcPr>
          <w:p>
            <w:pPr>
              <w:ind w:left="253" w:right="245" w:firstLine="7"/>
              <w:spacing w:before="6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6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2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8"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54" w:type="dxa"/>
            <w:vAlign w:val="top"/>
            <w:vMerge w:val="restart"/>
            <w:tcBorders>
              <w:bottom w:val="nil"/>
            </w:tcBorders>
          </w:tcPr>
          <w:p>
            <w:pPr>
              <w:ind w:left="145" w:right="81" w:hanging="10"/>
              <w:spacing w:before="4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4"/>
                <w:w w:val="94"/>
              </w:rPr>
              <w:t>对社会影响或</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26"/>
                <w:w w:val="94"/>
              </w:rPr>
              <w:t>生态破坏程度</w:t>
            </w:r>
          </w:p>
        </w:tc>
        <w:tc>
          <w:tcPr>
            <w:tcW w:w="1996" w:type="dxa"/>
            <w:vAlign w:val="top"/>
            <w:vMerge w:val="restart"/>
            <w:tcBorders>
              <w:bottom w:val="nil"/>
            </w:tcBorders>
          </w:tcPr>
          <w:p>
            <w:pPr>
              <w:ind w:left="289" w:right="157" w:hanging="131"/>
              <w:spacing w:before="4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ind w:left="17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spacing w:before="43"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122" w:type="dxa"/>
            <w:vAlign w:val="top"/>
          </w:tcPr>
          <w:p>
            <w:pPr>
              <w:ind w:left="465"/>
              <w:spacing w:before="43"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00"/>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152</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4" w:right="176" w:hanging="2"/>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未按照国家有关规定填写、运行危险废物转移联单或者未经批准</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擅自转移危险废物的</w:t>
            </w:r>
          </w:p>
        </w:tc>
      </w:tr>
      <w:tr>
        <w:trPr>
          <w:trHeight w:val="4098" w:hRule="atLeast"/>
        </w:trPr>
        <w:tc>
          <w:tcPr>
            <w:tcW w:w="14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22" w:right="106" w:firstLine="1"/>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转移危险废物的，应当按照国家有</w:t>
            </w:r>
            <w:r>
              <w:rPr>
                <w:rFonts w:ascii="FangSong_GB2312" w:hAnsi="FangSong_GB2312" w:eastAsia="FangSong_GB2312" w:cs="FangSong_GB2312"/>
                <w:sz w:val="24"/>
                <w:szCs w:val="24"/>
                <w:spacing w:val="-4"/>
              </w:rPr>
              <w:t>关规定填</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写、运行危险废物电子或者纸质转移联单。</w:t>
            </w:r>
          </w:p>
          <w:p>
            <w:pPr>
              <w:spacing w:line="270"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17" w:right="176" w:hanging="10"/>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（五）未按照国家有关规定填写、运行危险废物</w:t>
            </w:r>
            <w:r>
              <w:rPr>
                <w:rFonts w:ascii="FangSong_GB2312" w:hAnsi="FangSong_GB2312" w:eastAsia="FangSong_GB2312" w:cs="FangSong_GB2312"/>
                <w:sz w:val="24"/>
                <w:szCs w:val="24"/>
                <w:spacing w:val="-1"/>
              </w:rPr>
              <w:t>转移联单或者未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经批准擅自转移危险废物的；</w:t>
            </w:r>
          </w:p>
          <w:p>
            <w:pPr>
              <w:ind w:left="115" w:right="176" w:firstLine="2"/>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4" w:right="211"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2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right="103" w:firstLine="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涉及危险废物数量</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122" w:type="dxa"/>
            <w:vAlign w:val="top"/>
          </w:tcPr>
          <w:p>
            <w:pPr>
              <w:ind w:left="16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9"/>
              <w:spacing w:before="4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29"/>
              <w:spacing w:before="36"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15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57" w:hRule="atLeast"/>
        </w:trPr>
        <w:tc>
          <w:tcPr>
            <w:tcW w:w="1454" w:type="dxa"/>
            <w:vAlign w:val="top"/>
            <w:vMerge w:val="restart"/>
            <w:tcBorders>
              <w:bottom w:val="nil"/>
            </w:tcBorders>
          </w:tcPr>
          <w:p>
            <w:pPr>
              <w:spacing w:line="467"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7"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7"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8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74"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301"/>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55" w:hRule="atLeast"/>
        </w:trPr>
        <w:tc>
          <w:tcPr>
            <w:tcW w:w="1454" w:type="dxa"/>
            <w:vAlign w:val="top"/>
            <w:vMerge w:val="restart"/>
            <w:tcBorders>
              <w:bottom w:val="nil"/>
            </w:tcBorders>
          </w:tcPr>
          <w:p>
            <w:pPr>
              <w:ind w:left="253" w:right="245" w:firstLine="7"/>
              <w:spacing w:before="6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6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2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9"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5"/>
              <w:spacing w:before="8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0"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02"/>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5"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153</w:t>
            </w:r>
          </w:p>
        </w:tc>
      </w:tr>
      <w:tr>
        <w:trPr>
          <w:trHeight w:val="635"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0" w:right="176" w:firstLine="1"/>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未按照国家环境保护标准贮存、利用、处置危险废物或者将危险</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废物混入非危险废物中贮存的</w:t>
            </w:r>
          </w:p>
        </w:tc>
      </w:tr>
      <w:tr>
        <w:trPr>
          <w:trHeight w:val="5043" w:hRule="atLeast"/>
        </w:trPr>
        <w:tc>
          <w:tcPr>
            <w:tcW w:w="1454"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6" w:right="171" w:firstLine="17"/>
              <w:spacing w:before="37"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产生危险废物的单位，应当按照国家有关规定</w:t>
            </w:r>
            <w:r>
              <w:rPr>
                <w:rFonts w:ascii="FangSong_GB2312" w:hAnsi="FangSong_GB2312" w:eastAsia="FangSong_GB2312" w:cs="FangSong_GB2312"/>
                <w:sz w:val="24"/>
                <w:szCs w:val="24"/>
                <w:spacing w:val="-2"/>
              </w:rPr>
              <w:t>和环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境保护标准要求贮存、利用、处置危险废物，不得擅</w:t>
            </w:r>
            <w:r>
              <w:rPr>
                <w:rFonts w:ascii="FangSong_GB2312" w:hAnsi="FangSong_GB2312" w:eastAsia="FangSong_GB2312" w:cs="FangSong_GB2312"/>
                <w:sz w:val="24"/>
                <w:szCs w:val="24"/>
                <w:spacing w:val="-1"/>
              </w:rPr>
              <w:t>自倾倒、堆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放。</w:t>
            </w:r>
          </w:p>
          <w:p>
            <w:pPr>
              <w:ind w:left="116" w:right="171" w:firstLine="7"/>
              <w:spacing w:before="2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贮存危险废物应当采取符合国家环境保</w:t>
            </w:r>
            <w:r>
              <w:rPr>
                <w:rFonts w:ascii="FangSong_GB2312" w:hAnsi="FangSong_GB2312" w:eastAsia="FangSong_GB2312" w:cs="FangSong_GB2312"/>
                <w:sz w:val="24"/>
                <w:szCs w:val="24"/>
                <w:spacing w:val="-2"/>
              </w:rPr>
              <w:t>护标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准的防护措施。禁止将危险废物混入非危险废物中贮存。</w:t>
            </w:r>
          </w:p>
          <w:p>
            <w:pPr>
              <w:spacing w:line="274"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14" w:right="176" w:hanging="7"/>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（六）未按照国家环境保护标准贮存、利用、处</w:t>
            </w:r>
            <w:r>
              <w:rPr>
                <w:rFonts w:ascii="FangSong_GB2312" w:hAnsi="FangSong_GB2312" w:eastAsia="FangSong_GB2312" w:cs="FangSong_GB2312"/>
                <w:sz w:val="24"/>
                <w:szCs w:val="24"/>
                <w:spacing w:val="-1"/>
              </w:rPr>
              <w:t>置危险废物或者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将危险废物混入非危险废物中贮存的；</w:t>
            </w:r>
          </w:p>
          <w:p>
            <w:pPr>
              <w:ind w:left="115" w:right="176" w:firstLine="2"/>
              <w:spacing w:before="39"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0" w:hRule="atLeast"/>
        </w:trPr>
        <w:tc>
          <w:tcPr>
            <w:tcW w:w="1454"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1" w:right="211" w:firstLine="2"/>
              <w:spacing w:before="39"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未按照国家环境保护标准贮</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5"/>
              </w:rPr>
              <w:t>存、利用、处置量</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5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5"/>
              <w:spacing w:before="107"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混合量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9"/>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吨以下的</w:t>
            </w:r>
          </w:p>
        </w:tc>
        <w:tc>
          <w:tcPr>
            <w:tcW w:w="1122" w:type="dxa"/>
            <w:vAlign w:val="top"/>
            <w:vMerge w:val="continue"/>
            <w:tcBorders>
              <w:top w:val="nil"/>
            </w:tcBorders>
          </w:tcPr>
          <w:p>
            <w:pPr>
              <w:rPr>
                <w:rFonts w:ascii="Arial"/>
                <w:sz w:val="21"/>
              </w:rPr>
            </w:pPr>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1" w:right="103" w:firstLine="2"/>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未按照国家环境保护标准贮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2"/>
              </w:rPr>
              <w:t>存、利用、处置量</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12"/>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2"/>
              </w:rPr>
              <w:t>吨以上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2"/>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吨以下的</w:t>
            </w:r>
          </w:p>
        </w:tc>
        <w:tc>
          <w:tcPr>
            <w:tcW w:w="1122" w:type="dxa"/>
            <w:vAlign w:val="top"/>
            <w:vMerge w:val="restart"/>
            <w:tcBorders>
              <w:bottom w:val="nil"/>
            </w:tcBorders>
          </w:tcPr>
          <w:p>
            <w:pPr>
              <w:spacing w:line="477"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5"/>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混合量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吨以下的</w:t>
            </w:r>
          </w:p>
        </w:tc>
        <w:tc>
          <w:tcPr>
            <w:tcW w:w="1122" w:type="dxa"/>
            <w:vAlign w:val="top"/>
            <w:vMerge w:val="continue"/>
            <w:tcBorders>
              <w:top w:val="nil"/>
            </w:tcBorders>
          </w:tcPr>
          <w:p>
            <w:pPr>
              <w:rPr>
                <w:rFonts w:ascii="Arial"/>
                <w:sz w:val="21"/>
              </w:rPr>
            </w:pPr>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1" w:right="211" w:firstLine="2"/>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未按照国家环境保护标准贮</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5"/>
              </w:rPr>
              <w:t>存、利用、处置量</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吨以下的</w:t>
            </w:r>
          </w:p>
        </w:tc>
        <w:tc>
          <w:tcPr>
            <w:tcW w:w="1122" w:type="dxa"/>
            <w:vAlign w:val="top"/>
            <w:vMerge w:val="restart"/>
            <w:tcBorders>
              <w:bottom w:val="nil"/>
            </w:tcBorders>
          </w:tcPr>
          <w:p>
            <w:pPr>
              <w:spacing w:line="479" w:lineRule="auto"/>
              <w:rPr>
                <w:rFonts w:ascii="Arial"/>
                <w:sz w:val="21"/>
              </w:rPr>
            </w:pPr>
            <w:r/>
          </w:p>
          <w:p>
            <w:pPr>
              <w:ind w:left="1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5"/>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混合量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5</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9"/>
              </w:rPr>
              <w:t>吨以下的</w:t>
            </w:r>
          </w:p>
        </w:tc>
        <w:tc>
          <w:tcPr>
            <w:tcW w:w="1122" w:type="dxa"/>
            <w:vAlign w:val="top"/>
            <w:vMerge w:val="continue"/>
            <w:tcBorders>
              <w:top w:val="nil"/>
            </w:tcBorders>
          </w:tcPr>
          <w:p>
            <w:pPr>
              <w:rPr>
                <w:rFonts w:ascii="Arial"/>
                <w:sz w:val="21"/>
              </w:rPr>
            </w:pPr>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right="62"/>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5"/>
                <w:w w:val="94"/>
              </w:rPr>
              <w:t>未按照国家环境保护标准贮存、利</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1"/>
              </w:rPr>
              <w:t>用、处置量10吨以上的</w:t>
            </w:r>
          </w:p>
        </w:tc>
        <w:tc>
          <w:tcPr>
            <w:tcW w:w="1122" w:type="dxa"/>
            <w:vAlign w:val="top"/>
          </w:tcPr>
          <w:p>
            <w:pPr>
              <w:ind w:left="16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bl>
    <w:p>
      <w:pPr>
        <w:pStyle w:val="BodyText"/>
        <w:rPr/>
      </w:pPr>
      <w:r/>
    </w:p>
    <w:p>
      <w:pPr>
        <w:sectPr>
          <w:footerReference w:type="default" r:id="rId303"/>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406"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5"/>
              <w:spacing w:before="8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混合量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吨以上的</w:t>
            </w:r>
          </w:p>
        </w:tc>
        <w:tc>
          <w:tcPr>
            <w:tcW w:w="1122" w:type="dxa"/>
            <w:vAlign w:val="top"/>
          </w:tcPr>
          <w:p>
            <w:pPr>
              <w:rPr>
                <w:rFonts w:ascii="Arial"/>
                <w:sz w:val="21"/>
              </w:rPr>
            </w:pPr>
            <w:r/>
          </w:p>
        </w:tc>
      </w:tr>
      <w:tr>
        <w:trPr>
          <w:trHeight w:val="320" w:hRule="atLeast"/>
        </w:trPr>
        <w:tc>
          <w:tcPr>
            <w:tcW w:w="1454" w:type="dxa"/>
            <w:vAlign w:val="top"/>
            <w:vMerge w:val="restart"/>
            <w:tcBorders>
              <w:bottom w:val="nil"/>
            </w:tcBorders>
          </w:tcPr>
          <w:p>
            <w:pPr>
              <w:spacing w:line="445"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5"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5"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38"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38"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4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4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8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7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3" w:right="245" w:firstLine="7"/>
              <w:spacing w:before="8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8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9"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58"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5"/>
              <w:spacing w:before="8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1"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04"/>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154</w:t>
            </w:r>
          </w:p>
        </w:tc>
      </w:tr>
      <w:tr>
        <w:trPr>
          <w:trHeight w:val="634" w:hRule="atLeast"/>
        </w:trPr>
        <w:tc>
          <w:tcPr>
            <w:tcW w:w="1454" w:type="dxa"/>
            <w:vAlign w:val="top"/>
          </w:tcPr>
          <w:p>
            <w:pPr>
              <w:ind w:left="17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32" w:right="176" w:hanging="20"/>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未经安全性处置，混合收集、贮存、运输、处置具有不相容性质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5"/>
              </w:rPr>
              <w:t>的危险废物的</w:t>
            </w:r>
          </w:p>
        </w:tc>
      </w:tr>
      <w:tr>
        <w:trPr>
          <w:trHeight w:val="4413" w:hRule="atLeast"/>
        </w:trPr>
        <w:tc>
          <w:tcPr>
            <w:tcW w:w="145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6" w:right="169" w:firstLine="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收集、贮存危险废物，应当</w:t>
            </w:r>
            <w:r>
              <w:rPr>
                <w:rFonts w:ascii="FangSong_GB2312" w:hAnsi="FangSong_GB2312" w:eastAsia="FangSong_GB2312" w:cs="FangSong_GB2312"/>
                <w:sz w:val="24"/>
                <w:szCs w:val="24"/>
                <w:spacing w:val="-2"/>
              </w:rPr>
              <w:t>按照危险废物特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性分类进行。禁止混合收集、贮存、运输、处置性质不相容而未</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经安全性处置的危险废物。</w:t>
            </w:r>
          </w:p>
          <w:p>
            <w:pPr>
              <w:spacing w:line="271"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15" w:right="176" w:hanging="8"/>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（七）未经安全性处置，混合收集、贮存、运输</w:t>
            </w:r>
            <w:r>
              <w:rPr>
                <w:rFonts w:ascii="FangSong_GB2312" w:hAnsi="FangSong_GB2312" w:eastAsia="FangSong_GB2312" w:cs="FangSong_GB2312"/>
                <w:sz w:val="24"/>
                <w:szCs w:val="24"/>
                <w:spacing w:val="-1"/>
              </w:rPr>
              <w:t>、处置具有不相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容性质的危险废物的；</w:t>
            </w:r>
          </w:p>
          <w:p>
            <w:pPr>
              <w:ind w:left="115" w:right="176" w:firstLine="2"/>
              <w:spacing w:before="38"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5"/>
              <w:spacing w:before="11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混合量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9"/>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吨以下的</w:t>
            </w:r>
          </w:p>
        </w:tc>
        <w:tc>
          <w:tcPr>
            <w:tcW w:w="1122" w:type="dxa"/>
            <w:vAlign w:val="top"/>
          </w:tcPr>
          <w:p>
            <w:pPr>
              <w:ind w:left="223"/>
              <w:spacing w:before="1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5"/>
              <w:spacing w:before="8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混合量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吨以下的</w:t>
            </w:r>
          </w:p>
        </w:tc>
        <w:tc>
          <w:tcPr>
            <w:tcW w:w="1122" w:type="dxa"/>
            <w:vAlign w:val="top"/>
          </w:tcPr>
          <w:p>
            <w:pPr>
              <w:ind w:left="163"/>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5"/>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混合量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5</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9"/>
              </w:rPr>
              <w:t>吨以下的</w:t>
            </w:r>
          </w:p>
        </w:tc>
        <w:tc>
          <w:tcPr>
            <w:tcW w:w="1122" w:type="dxa"/>
            <w:vAlign w:val="top"/>
          </w:tcPr>
          <w:p>
            <w:pPr>
              <w:ind w:left="157"/>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混合量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吨以上的</w:t>
            </w:r>
          </w:p>
        </w:tc>
        <w:tc>
          <w:tcPr>
            <w:tcW w:w="1122" w:type="dxa"/>
            <w:vAlign w:val="top"/>
          </w:tcPr>
          <w:p>
            <w:pPr>
              <w:ind w:left="167"/>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57" w:hRule="atLeast"/>
        </w:trPr>
        <w:tc>
          <w:tcPr>
            <w:tcW w:w="1454" w:type="dxa"/>
            <w:vAlign w:val="top"/>
            <w:vMerge w:val="restart"/>
            <w:tcBorders>
              <w:bottom w:val="nil"/>
            </w:tcBorders>
          </w:tcPr>
          <w:p>
            <w:pPr>
              <w:spacing w:line="468"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8"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8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7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7" w:hRule="atLeast"/>
        </w:trPr>
        <w:tc>
          <w:tcPr>
            <w:tcW w:w="1454" w:type="dxa"/>
            <w:vAlign w:val="top"/>
            <w:vMerge w:val="restart"/>
            <w:tcBorders>
              <w:bottom w:val="nil"/>
            </w:tcBorders>
          </w:tcPr>
          <w:p>
            <w:pPr>
              <w:ind w:left="253" w:right="245" w:firstLine="7"/>
              <w:spacing w:before="8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8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6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60"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5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5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9" w:hRule="atLeast"/>
        </w:trPr>
        <w:tc>
          <w:tcPr>
            <w:tcW w:w="1454" w:type="dxa"/>
            <w:vAlign w:val="top"/>
          </w:tcPr>
          <w:p>
            <w:pPr>
              <w:ind w:left="135"/>
              <w:spacing w:before="8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996" w:type="dxa"/>
            <w:vAlign w:val="top"/>
          </w:tcPr>
          <w:p>
            <w:pPr>
              <w:ind w:left="158"/>
              <w:spacing w:before="8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p>
        </w:tc>
        <w:tc>
          <w:tcPr>
            <w:tcW w:w="685" w:type="dxa"/>
            <w:vAlign w:val="top"/>
          </w:tcPr>
          <w:p>
            <w:pPr>
              <w:ind w:left="177"/>
              <w:spacing w:before="8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05"/>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tcPr>
          <w:p>
            <w:pPr>
              <w:ind w:left="495" w:right="122" w:hanging="3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996" w:type="dxa"/>
            <w:vAlign w:val="top"/>
          </w:tcPr>
          <w:p>
            <w:pPr>
              <w:ind w:left="290"/>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响或生态破坏</w:t>
            </w:r>
          </w:p>
        </w:tc>
        <w:tc>
          <w:tcPr>
            <w:tcW w:w="685" w:type="dxa"/>
            <w:vAlign w:val="top"/>
          </w:tcPr>
          <w:p>
            <w:pPr>
              <w:rPr>
                <w:rFonts w:ascii="Arial"/>
                <w:sz w:val="21"/>
              </w:rPr>
            </w:pPr>
            <w:r/>
          </w:p>
        </w:tc>
        <w:tc>
          <w:tcPr>
            <w:tcW w:w="3201" w:type="dxa"/>
            <w:vAlign w:val="top"/>
          </w:tcPr>
          <w:p>
            <w:pPr>
              <w:ind w:left="134" w:right="103"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06"/>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155</w:t>
            </w:r>
          </w:p>
        </w:tc>
      </w:tr>
      <w:tr>
        <w:trPr>
          <w:trHeight w:val="634" w:hRule="atLeast"/>
        </w:trPr>
        <w:tc>
          <w:tcPr>
            <w:tcW w:w="1454" w:type="dxa"/>
            <w:vAlign w:val="top"/>
          </w:tcPr>
          <w:p>
            <w:pPr>
              <w:ind w:left="17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5"/>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将危险废物与旅客在同一运输工具上载运的</w:t>
            </w:r>
          </w:p>
        </w:tc>
      </w:tr>
      <w:tr>
        <w:trPr>
          <w:trHeight w:val="3783" w:hRule="atLeast"/>
        </w:trPr>
        <w:tc>
          <w:tcPr>
            <w:tcW w:w="1454"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3" w:right="169" w:firstLine="11"/>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禁止将危险废物与旅客在同</w:t>
            </w:r>
            <w:r>
              <w:rPr>
                <w:rFonts w:ascii="FangSong_GB2312" w:hAnsi="FangSong_GB2312" w:eastAsia="FangSong_GB2312" w:cs="FangSong_GB2312"/>
                <w:sz w:val="24"/>
                <w:szCs w:val="24"/>
                <w:spacing w:val="-2"/>
              </w:rPr>
              <w:t>一运输工具上载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运。</w:t>
            </w:r>
          </w:p>
          <w:p>
            <w:pPr>
              <w:spacing w:line="268"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0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（八）将危险废物与旅客在同一运输工具上载运的；</w:t>
            </w:r>
          </w:p>
          <w:p>
            <w:pPr>
              <w:ind w:left="115" w:right="176" w:firstLine="2"/>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356" w:lineRule="auto"/>
              <w:rPr>
                <w:rFonts w:ascii="Arial"/>
                <w:sz w:val="21"/>
              </w:rPr>
            </w:pPr>
            <w:r/>
          </w:p>
          <w:p>
            <w:pPr>
              <w:spacing w:line="356" w:lineRule="auto"/>
              <w:rPr>
                <w:rFonts w:ascii="Arial"/>
                <w:sz w:val="21"/>
              </w:rPr>
            </w:pPr>
            <w:r/>
          </w:p>
          <w:p>
            <w:pPr>
              <w:ind w:left="495" w:right="122"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0"/>
              <w:spacing w:before="11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载运危险废物</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spacing w:val="-5"/>
              </w:rPr>
              <w:t>公斤以下的</w:t>
            </w:r>
          </w:p>
        </w:tc>
        <w:tc>
          <w:tcPr>
            <w:tcW w:w="1122" w:type="dxa"/>
            <w:vAlign w:val="top"/>
          </w:tcPr>
          <w:p>
            <w:pPr>
              <w:ind w:left="223"/>
              <w:spacing w:before="1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3" w:right="271" w:firstLine="6"/>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载运危险废物</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6"/>
              </w:rPr>
              <w:t>公斤以上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公斤以下的</w:t>
            </w:r>
          </w:p>
        </w:tc>
        <w:tc>
          <w:tcPr>
            <w:tcW w:w="1122" w:type="dxa"/>
            <w:vAlign w:val="top"/>
          </w:tcPr>
          <w:p>
            <w:pPr>
              <w:ind w:left="1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3" w:right="151" w:firstLine="6"/>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载运危险废物</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6"/>
              </w:rPr>
              <w:t>公斤以上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公斤以下的</w:t>
            </w:r>
          </w:p>
        </w:tc>
        <w:tc>
          <w:tcPr>
            <w:tcW w:w="1122" w:type="dxa"/>
            <w:vAlign w:val="top"/>
          </w:tcPr>
          <w:p>
            <w:pPr>
              <w:ind w:left="1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0"/>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载运危险废物</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4"/>
              </w:rPr>
              <w:t>10</w:t>
            </w:r>
            <w:r>
              <w:rPr>
                <w:rFonts w:ascii="FangSong_GB2312" w:hAnsi="FangSong_GB2312" w:eastAsia="FangSong_GB2312" w:cs="FangSong_GB2312"/>
                <w:sz w:val="24"/>
                <w:szCs w:val="24"/>
                <w:spacing w:val="-57"/>
              </w:rPr>
              <w:t xml:space="preserve"> </w:t>
            </w:r>
            <w:r>
              <w:rPr>
                <w:rFonts w:ascii="FangSong_GB2312" w:hAnsi="FangSong_GB2312" w:eastAsia="FangSong_GB2312" w:cs="FangSong_GB2312"/>
                <w:sz w:val="24"/>
                <w:szCs w:val="24"/>
                <w:spacing w:val="-4"/>
              </w:rPr>
              <w:t>公斤以上的</w:t>
            </w:r>
          </w:p>
        </w:tc>
        <w:tc>
          <w:tcPr>
            <w:tcW w:w="1122" w:type="dxa"/>
            <w:vAlign w:val="top"/>
          </w:tcPr>
          <w:p>
            <w:pPr>
              <w:ind w:left="167"/>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57" w:hRule="atLeast"/>
        </w:trPr>
        <w:tc>
          <w:tcPr>
            <w:tcW w:w="1454" w:type="dxa"/>
            <w:vAlign w:val="top"/>
            <w:vMerge w:val="restart"/>
            <w:tcBorders>
              <w:bottom w:val="nil"/>
            </w:tcBorders>
          </w:tcPr>
          <w:p>
            <w:pPr>
              <w:spacing w:line="46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right="21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8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7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7" w:hRule="atLeast"/>
        </w:trPr>
        <w:tc>
          <w:tcPr>
            <w:tcW w:w="1454" w:type="dxa"/>
            <w:vAlign w:val="top"/>
            <w:vMerge w:val="restart"/>
            <w:tcBorders>
              <w:bottom w:val="nil"/>
            </w:tcBorders>
          </w:tcPr>
          <w:p>
            <w:pPr>
              <w:ind w:left="253" w:right="245" w:firstLine="7"/>
              <w:spacing w:before="8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82"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6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62"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5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59"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07"/>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400" w:hRule="atLeast"/>
        </w:trPr>
        <w:tc>
          <w:tcPr>
            <w:tcW w:w="1454" w:type="dxa"/>
            <w:vAlign w:val="top"/>
            <w:vMerge w:val="restart"/>
            <w:tcBorders>
              <w:bottom w:val="nil"/>
            </w:tcBorders>
          </w:tcPr>
          <w:p>
            <w:pPr>
              <w:ind w:left="135"/>
              <w:spacing w:before="8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8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6"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2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08"/>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5" w:hRule="atLeast"/>
        </w:trPr>
        <w:tc>
          <w:tcPr>
            <w:tcW w:w="1454" w:type="dxa"/>
            <w:vAlign w:val="top"/>
          </w:tcPr>
          <w:p>
            <w:pPr>
              <w:ind w:left="451"/>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156</w:t>
            </w:r>
          </w:p>
        </w:tc>
      </w:tr>
      <w:tr>
        <w:trPr>
          <w:trHeight w:val="635" w:hRule="atLeast"/>
        </w:trPr>
        <w:tc>
          <w:tcPr>
            <w:tcW w:w="1454" w:type="dxa"/>
            <w:vAlign w:val="top"/>
          </w:tcPr>
          <w:p>
            <w:pPr>
              <w:ind w:left="17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right="35"/>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未经消除污染处理，将收集、贮存、运输、处置危险废物的场所、</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设施、设备和容器、包装物及其他物品转作他用的</w:t>
            </w:r>
          </w:p>
        </w:tc>
      </w:tr>
      <w:tr>
        <w:trPr>
          <w:trHeight w:val="4413" w:hRule="atLeast"/>
        </w:trPr>
        <w:tc>
          <w:tcPr>
            <w:tcW w:w="145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2" w:right="176" w:firstLine="12"/>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收集、贮存、运输、利用、处置危</w:t>
            </w:r>
            <w:r>
              <w:rPr>
                <w:rFonts w:ascii="FangSong_GB2312" w:hAnsi="FangSong_GB2312" w:eastAsia="FangSong_GB2312" w:cs="FangSong_GB2312"/>
                <w:sz w:val="24"/>
                <w:szCs w:val="24"/>
                <w:spacing w:val="-2"/>
              </w:rPr>
              <w:t>险废物的场所、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设施、设备和容器、包装物及其他物品转作他用时，应当按照国</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家有关规定经过消除污染处理，方可使用。</w:t>
            </w:r>
          </w:p>
          <w:p>
            <w:pPr>
              <w:spacing w:line="271"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32" w:right="176" w:hanging="25"/>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（九）未经消除污染处理，将收集、贮存、运输</w:t>
            </w:r>
            <w:r>
              <w:rPr>
                <w:rFonts w:ascii="FangSong_GB2312" w:hAnsi="FangSong_GB2312" w:eastAsia="FangSong_GB2312" w:cs="FangSong_GB2312"/>
                <w:sz w:val="24"/>
                <w:szCs w:val="24"/>
                <w:spacing w:val="-1"/>
              </w:rPr>
              <w:t>、处置危险废物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的场所、设施、设备和容器、包装物及其他物品转</w:t>
            </w:r>
            <w:r>
              <w:rPr>
                <w:rFonts w:ascii="FangSong_GB2312" w:hAnsi="FangSong_GB2312" w:eastAsia="FangSong_GB2312" w:cs="FangSong_GB2312"/>
                <w:sz w:val="24"/>
                <w:szCs w:val="24"/>
                <w:spacing w:val="-2"/>
              </w:rPr>
              <w:t>作他用的；</w:t>
            </w:r>
          </w:p>
          <w:p>
            <w:pPr>
              <w:ind w:left="115" w:right="176" w:firstLine="2"/>
              <w:spacing w:before="3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54"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4" w:right="211" w:firstLine="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将收集、贮存、运输、处置</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危险废物的容器、包装物及</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其他物品转作他用的</w:t>
            </w:r>
          </w:p>
        </w:tc>
        <w:tc>
          <w:tcPr>
            <w:tcW w:w="1122" w:type="dxa"/>
            <w:vAlign w:val="top"/>
          </w:tcPr>
          <w:p>
            <w:pPr>
              <w:spacing w:line="275"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0" w:right="211" w:firstLine="6"/>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将收集、贮存、运输、处置</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危险废物的设施、设备转作</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他用的</w:t>
            </w:r>
          </w:p>
        </w:tc>
        <w:tc>
          <w:tcPr>
            <w:tcW w:w="1122" w:type="dxa"/>
            <w:vAlign w:val="top"/>
          </w:tcPr>
          <w:p>
            <w:pPr>
              <w:spacing w:line="276"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4" w:right="211" w:firstLine="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将收集、贮存、运输、处置</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危险废物的场所转作他用的</w:t>
            </w:r>
          </w:p>
        </w:tc>
        <w:tc>
          <w:tcPr>
            <w:tcW w:w="1122" w:type="dxa"/>
            <w:vAlign w:val="top"/>
          </w:tcPr>
          <w:p>
            <w:pPr>
              <w:ind w:left="1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57" w:hRule="atLeast"/>
        </w:trPr>
        <w:tc>
          <w:tcPr>
            <w:tcW w:w="1454" w:type="dxa"/>
            <w:vAlign w:val="top"/>
            <w:vMerge w:val="restart"/>
            <w:tcBorders>
              <w:bottom w:val="nil"/>
            </w:tcBorders>
          </w:tcPr>
          <w:p>
            <w:pPr>
              <w:spacing w:line="46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60"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95"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9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95"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1" w:right="211"/>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09"/>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86"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5"/>
              <w:spacing w:before="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7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3" w:right="245" w:firstLine="7"/>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7"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5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56"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9" w:hRule="atLeast"/>
        </w:trPr>
        <w:tc>
          <w:tcPr>
            <w:tcW w:w="1454" w:type="dxa"/>
            <w:vAlign w:val="top"/>
            <w:vMerge w:val="restart"/>
            <w:tcBorders>
              <w:bottom w:val="nil"/>
            </w:tcBorders>
          </w:tcPr>
          <w:p>
            <w:pPr>
              <w:ind w:left="135"/>
              <w:spacing w:before="4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0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82"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10"/>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8"/>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4" w:hRule="atLeast"/>
        </w:trPr>
        <w:tc>
          <w:tcPr>
            <w:tcW w:w="1454" w:type="dxa"/>
            <w:vAlign w:val="top"/>
          </w:tcPr>
          <w:p>
            <w:pPr>
              <w:ind w:left="45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3"/>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157</w:t>
            </w:r>
          </w:p>
        </w:tc>
      </w:tr>
      <w:tr>
        <w:trPr>
          <w:trHeight w:val="634" w:hRule="atLeast"/>
        </w:trPr>
        <w:tc>
          <w:tcPr>
            <w:tcW w:w="1454" w:type="dxa"/>
            <w:vAlign w:val="top"/>
          </w:tcPr>
          <w:p>
            <w:pPr>
              <w:ind w:left="176"/>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2" w:right="176"/>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未采取相应防范措施，造成危险废物扬散、流失、渗漏或者其他</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环境污染的</w:t>
            </w:r>
          </w:p>
        </w:tc>
      </w:tr>
      <w:tr>
        <w:trPr>
          <w:trHeight w:val="4728" w:hRule="atLeast"/>
        </w:trPr>
        <w:tc>
          <w:tcPr>
            <w:tcW w:w="145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7"/>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2" w:right="106" w:firstLine="12"/>
              <w:spacing w:before="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产生、收集、贮存、运输、利用、处置固体废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物的单位和其他生产经营者，应当采取防扬散、防流失、防渗漏</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或者其他防止污染环境的措施，不得擅自倾倒、堆放、丢弃、遗</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撒固体废物。</w:t>
            </w:r>
          </w:p>
          <w:p>
            <w:pPr>
              <w:spacing w:line="268" w:lineRule="auto"/>
              <w:rPr>
                <w:rFonts w:ascii="Arial"/>
                <w:sz w:val="21"/>
              </w:rPr>
            </w:pPr>
            <w:r/>
          </w:p>
          <w:p>
            <w:pPr>
              <w:ind w:left="1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7" w:right="169" w:firstLine="6"/>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w:t>
            </w:r>
            <w:r>
              <w:rPr>
                <w:rFonts w:ascii="FangSong_GB2312" w:hAnsi="FangSong_GB2312" w:eastAsia="FangSong_GB2312" w:cs="FangSong_GB2312"/>
                <w:sz w:val="24"/>
                <w:szCs w:val="24"/>
                <w:spacing w:val="-2"/>
              </w:rPr>
              <w:t>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13" w:right="176" w:hanging="6"/>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（十）未采取相应防范措施，造成危险废物扬散</w:t>
            </w:r>
            <w:r>
              <w:rPr>
                <w:rFonts w:ascii="FangSong_GB2312" w:hAnsi="FangSong_GB2312" w:eastAsia="FangSong_GB2312" w:cs="FangSong_GB2312"/>
                <w:sz w:val="24"/>
                <w:szCs w:val="24"/>
                <w:spacing w:val="-1"/>
              </w:rPr>
              <w:t>、流失、渗漏或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者其他环境污染的；</w:t>
            </w:r>
          </w:p>
          <w:p>
            <w:pPr>
              <w:ind w:left="113" w:right="46" w:firstLine="4"/>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有前款第三项、第四项、第十项、第十一项行为之一，处所需处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4"/>
              </w:rPr>
              <w:t>置费用三倍以上五倍以下的罚款，所需处置费用不足</w:t>
            </w:r>
            <w:r>
              <w:rPr>
                <w:rFonts w:ascii="FangSong_GB2312" w:hAnsi="FangSong_GB2312" w:eastAsia="FangSong_GB2312" w:cs="FangSong_GB2312"/>
                <w:sz w:val="24"/>
                <w:szCs w:val="24"/>
                <w:spacing w:val="-5"/>
              </w:rPr>
              <w:t>二十万元的，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按二十万元计算。</w:t>
            </w:r>
          </w:p>
        </w:tc>
      </w:tr>
      <w:tr>
        <w:trPr>
          <w:trHeight w:val="635" w:hRule="atLeast"/>
        </w:trPr>
        <w:tc>
          <w:tcPr>
            <w:tcW w:w="4135" w:type="dxa"/>
            <w:vAlign w:val="top"/>
            <w:gridSpan w:val="3"/>
          </w:tcPr>
          <w:p>
            <w:pPr>
              <w:ind w:left="1514"/>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8"/>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500"/>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8" w:right="12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left="495" w:right="12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8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4" w:right="211"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2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right="103" w:firstLine="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涉及危险废物数量</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122" w:type="dxa"/>
            <w:vAlign w:val="top"/>
          </w:tcPr>
          <w:p>
            <w:pPr>
              <w:ind w:left="1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9"/>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29"/>
              <w:spacing w:before="3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15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7"/>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57" w:hRule="atLeast"/>
        </w:trPr>
        <w:tc>
          <w:tcPr>
            <w:tcW w:w="1454" w:type="dxa"/>
            <w:vAlign w:val="top"/>
            <w:vMerge w:val="restart"/>
            <w:tcBorders>
              <w:bottom w:val="nil"/>
            </w:tcBorders>
          </w:tcPr>
          <w:p>
            <w:pPr>
              <w:spacing w:line="469" w:lineRule="auto"/>
              <w:rPr>
                <w:rFonts w:ascii="Arial"/>
                <w:sz w:val="21"/>
              </w:rPr>
            </w:pPr>
            <w:r/>
          </w:p>
          <w:p>
            <w:pPr>
              <w:ind w:left="2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9" w:lineRule="auto"/>
              <w:rPr>
                <w:rFonts w:ascii="Arial"/>
                <w:sz w:val="21"/>
              </w:rPr>
            </w:pPr>
            <w:r/>
          </w:p>
          <w:p>
            <w:pPr>
              <w:ind w:left="17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1"/>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60"/>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94" w:lineRule="auto"/>
              <w:rPr>
                <w:rFonts w:ascii="Arial"/>
                <w:sz w:val="21"/>
              </w:rPr>
            </w:pPr>
            <w:r/>
          </w:p>
          <w:p>
            <w:pPr>
              <w:ind w:left="25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95" w:lineRule="auto"/>
              <w:rPr>
                <w:rFonts w:ascii="Arial"/>
                <w:sz w:val="21"/>
              </w:rPr>
            </w:pPr>
            <w:r/>
          </w:p>
          <w:p>
            <w:pPr>
              <w:ind w:left="278"/>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95"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3"/>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5"/>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1" w:right="211"/>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11"/>
          <w:pgSz w:w="11905" w:h="16839"/>
          <w:pgMar w:top="1431" w:right="1785" w:bottom="1156" w:left="133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86"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5"/>
              <w:spacing w:before="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9"/>
              <w:spacing w:before="7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3" w:right="245" w:firstLine="7"/>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8" w:right="277" w:hanging="55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5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3"/>
              <w:spacing w:before="57"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4"/>
              <w:spacing w:before="5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5"/>
              <w:spacing w:before="56"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5"/>
              <w:spacing w:before="8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0"/>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89" w:right="157" w:hanging="131"/>
              <w:spacing w:before="2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0"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3"/>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4" w:right="103"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5"/>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12"/>
          <w:pgSz w:w="11905" w:h="16839"/>
          <w:pgMar w:top="1431" w:right="1785" w:bottom="1156" w:left="133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158</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6"/>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在运输过程中沿途丢弃、遗撒危险废物的</w:t>
            </w:r>
          </w:p>
        </w:tc>
      </w:tr>
      <w:tr>
        <w:trPr>
          <w:trHeight w:val="4413" w:hRule="atLeast"/>
        </w:trPr>
        <w:tc>
          <w:tcPr>
            <w:tcW w:w="145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3" w:right="107" w:firstLine="12"/>
              <w:spacing w:before="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产生、收集、贮存、运输、利用、处</w:t>
            </w:r>
            <w:r>
              <w:rPr>
                <w:rFonts w:ascii="FangSong_GB2312" w:hAnsi="FangSong_GB2312" w:eastAsia="FangSong_GB2312" w:cs="FangSong_GB2312"/>
                <w:sz w:val="24"/>
                <w:szCs w:val="24"/>
                <w:spacing w:val="-4"/>
              </w:rPr>
              <w:t>置固体废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物的单位和其他生产经营者，应当采取防扬散、防流失、防渗漏</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或者其他防止污染环境的措施，不得擅自倾倒、堆放、丢弃、遗</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撒固体废物。</w:t>
            </w:r>
          </w:p>
          <w:p>
            <w:pPr>
              <w:spacing w:line="270"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23" w:right="170" w:firstLine="1"/>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w:t>
            </w:r>
            <w:r>
              <w:rPr>
                <w:rFonts w:ascii="FangSong_GB2312" w:hAnsi="FangSong_GB2312" w:eastAsia="FangSong_GB2312" w:cs="FangSong_GB2312"/>
                <w:sz w:val="24"/>
                <w:szCs w:val="24"/>
                <w:spacing w:val="-2"/>
              </w:rPr>
              <w:t>一，由生态环境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p>
          <w:p>
            <w:pPr>
              <w:ind w:left="108" w:right="1203" w:firstLine="10"/>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经有批准权的人民政府批准，可以责令停业或者关闭：</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（十一）在运输过程中沿途丢弃、遗撒危险废物的；</w:t>
            </w:r>
          </w:p>
          <w:p>
            <w:pPr>
              <w:ind w:left="114" w:right="47" w:firstLine="4"/>
              <w:spacing w:before="36"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有前款第三项、第四项、第十项、第十一项行为之一，处所需处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4"/>
              </w:rPr>
              <w:t>置费用三倍以上五倍以下的罚款，所需处置费用</w:t>
            </w:r>
            <w:r>
              <w:rPr>
                <w:rFonts w:ascii="FangSong_GB2312" w:hAnsi="FangSong_GB2312" w:eastAsia="FangSong_GB2312" w:cs="FangSong_GB2312"/>
                <w:sz w:val="24"/>
                <w:szCs w:val="24"/>
                <w:spacing w:val="-5"/>
              </w:rPr>
              <w:t>不足二十万元的，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按二十万元计算。</w:t>
            </w:r>
          </w:p>
        </w:tc>
      </w:tr>
      <w:tr>
        <w:trPr>
          <w:trHeight w:val="635" w:hRule="atLeast"/>
        </w:trPr>
        <w:tc>
          <w:tcPr>
            <w:tcW w:w="4135" w:type="dxa"/>
            <w:vAlign w:val="top"/>
            <w:gridSpan w:val="3"/>
          </w:tcPr>
          <w:p>
            <w:pPr>
              <w:ind w:left="151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5"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2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8" w:right="104" w:firstLine="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涉及危险废物数量</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122" w:type="dxa"/>
            <w:vAlign w:val="top"/>
          </w:tcPr>
          <w:p>
            <w:pPr>
              <w:ind w:left="1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0"/>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30"/>
              <w:spacing w:before="3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1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4"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57" w:hRule="atLeast"/>
        </w:trPr>
        <w:tc>
          <w:tcPr>
            <w:tcW w:w="1454" w:type="dxa"/>
            <w:vAlign w:val="top"/>
            <w:vMerge w:val="restart"/>
            <w:tcBorders>
              <w:bottom w:val="nil"/>
            </w:tcBorders>
          </w:tcPr>
          <w:p>
            <w:pPr>
              <w:spacing w:line="46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9"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9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95"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95"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2" w:right="209"/>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13"/>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86"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6"/>
              <w:spacing w:before="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7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5" w:right="243" w:firstLine="7"/>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57"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5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56"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6"/>
              <w:spacing w:before="8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0"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14"/>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159</w:t>
            </w:r>
          </w:p>
        </w:tc>
      </w:tr>
      <w:tr>
        <w:trPr>
          <w:trHeight w:val="634" w:hRule="atLeast"/>
        </w:trPr>
        <w:tc>
          <w:tcPr>
            <w:tcW w:w="1454" w:type="dxa"/>
            <w:vAlign w:val="top"/>
          </w:tcPr>
          <w:p>
            <w:pPr>
              <w:ind w:left="177"/>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未制定危险废物意外事故防范措施或应急预案的</w:t>
            </w:r>
          </w:p>
        </w:tc>
      </w:tr>
      <w:tr>
        <w:trPr>
          <w:trHeight w:val="4728" w:hRule="atLeast"/>
        </w:trPr>
        <w:tc>
          <w:tcPr>
            <w:tcW w:w="145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7" w:right="170" w:firstLine="17"/>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产生、收集、贮存、运输、利用、处置危险废</w:t>
            </w:r>
            <w:r>
              <w:rPr>
                <w:rFonts w:ascii="FangSong_GB2312" w:hAnsi="FangSong_GB2312" w:eastAsia="FangSong_GB2312" w:cs="FangSong_GB2312"/>
                <w:sz w:val="24"/>
                <w:szCs w:val="24"/>
                <w:spacing w:val="-2"/>
              </w:rPr>
              <w:t>物的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单位，应当依法制定意外事故的防范措施和应急预案</w:t>
            </w:r>
            <w:r>
              <w:rPr>
                <w:rFonts w:ascii="FangSong_GB2312" w:hAnsi="FangSong_GB2312" w:eastAsia="FangSong_GB2312" w:cs="FangSong_GB2312"/>
                <w:sz w:val="24"/>
                <w:szCs w:val="24"/>
                <w:spacing w:val="-1"/>
              </w:rPr>
              <w:t>，并向所在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地生态环境主管部门和其他负有固体废物污染环境防</w:t>
            </w:r>
            <w:r>
              <w:rPr>
                <w:rFonts w:ascii="FangSong_GB2312" w:hAnsi="FangSong_GB2312" w:eastAsia="FangSong_GB2312" w:cs="FangSong_GB2312"/>
                <w:sz w:val="24"/>
                <w:szCs w:val="24"/>
                <w:spacing w:val="-1"/>
              </w:rPr>
              <w:t>治监督管理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职责的部门备案；生态环境主管部门和其他负有固体</w:t>
            </w:r>
            <w:r>
              <w:rPr>
                <w:rFonts w:ascii="FangSong_GB2312" w:hAnsi="FangSong_GB2312" w:eastAsia="FangSong_GB2312" w:cs="FangSong_GB2312"/>
                <w:sz w:val="24"/>
                <w:szCs w:val="24"/>
                <w:spacing w:val="-1"/>
              </w:rPr>
              <w:t>废物污染环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境防治监督管理职责的部门应当进行检查。</w:t>
            </w:r>
          </w:p>
          <w:p>
            <w:pPr>
              <w:spacing w:line="274"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9" w:right="170" w:firstLine="6"/>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w:t>
            </w:r>
            <w:r>
              <w:rPr>
                <w:rFonts w:ascii="FangSong_GB2312" w:hAnsi="FangSong_GB2312" w:eastAsia="FangSong_GB2312" w:cs="FangSong_GB2312"/>
                <w:sz w:val="24"/>
                <w:szCs w:val="24"/>
                <w:spacing w:val="-2"/>
              </w:rPr>
              <w:t>一，由生态环境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0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（十二）未制定危险废物意外事故防范措施</w:t>
            </w:r>
            <w:r>
              <w:rPr>
                <w:rFonts w:ascii="FangSong_GB2312" w:hAnsi="FangSong_GB2312" w:eastAsia="FangSong_GB2312" w:cs="FangSong_GB2312"/>
                <w:sz w:val="24"/>
                <w:szCs w:val="24"/>
                <w:spacing w:val="-1"/>
              </w:rPr>
              <w:t>和应急预案的；</w:t>
            </w:r>
          </w:p>
          <w:p>
            <w:pPr>
              <w:ind w:left="116" w:right="175" w:firstLine="2"/>
              <w:spacing w:before="36"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5"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2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8" w:right="104" w:firstLine="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涉及危险废物数量</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122" w:type="dxa"/>
            <w:vAlign w:val="top"/>
          </w:tcPr>
          <w:p>
            <w:pPr>
              <w:ind w:left="1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0"/>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30"/>
              <w:spacing w:before="3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1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4"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57" w:hRule="atLeast"/>
        </w:trPr>
        <w:tc>
          <w:tcPr>
            <w:tcW w:w="1454" w:type="dxa"/>
            <w:vAlign w:val="top"/>
            <w:vMerge w:val="restart"/>
            <w:tcBorders>
              <w:bottom w:val="nil"/>
            </w:tcBorders>
          </w:tcPr>
          <w:p>
            <w:pPr>
              <w:spacing w:line="469"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9"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94"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95"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95"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2" w:right="209"/>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15"/>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86"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6"/>
              <w:spacing w:before="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7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5" w:right="243" w:firstLine="7"/>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57"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5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56"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6"/>
              <w:spacing w:before="8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0"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16"/>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160</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未按照国家有关规定建立危险废物管理台账并如实记录的</w:t>
            </w:r>
          </w:p>
        </w:tc>
      </w:tr>
      <w:tr>
        <w:trPr>
          <w:trHeight w:val="5043" w:hRule="atLeast"/>
        </w:trPr>
        <w:tc>
          <w:tcPr>
            <w:tcW w:w="14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14" w:right="107"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第七十八条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产生危险废物的单位，应当按</w:t>
            </w:r>
            <w:r>
              <w:rPr>
                <w:rFonts w:ascii="FangSong_GB2312" w:hAnsi="FangSong_GB2312" w:eastAsia="FangSong_GB2312" w:cs="FangSong_GB2312"/>
                <w:sz w:val="24"/>
                <w:szCs w:val="24"/>
                <w:spacing w:val="-4"/>
              </w:rPr>
              <w:t>照国家有关规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定制定危险废物管理计划；建立危险废物管理台账，如实记录有</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关信息，并通过国家危险废物信息管理系统向所在地生态环境主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管部门申报危险废物的种类、产生量、流向、贮存、处置等有关</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资料。</w:t>
            </w:r>
          </w:p>
          <w:p>
            <w:pPr>
              <w:spacing w:line="273"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9" w:right="170" w:firstLine="6"/>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w:t>
            </w:r>
            <w:r>
              <w:rPr>
                <w:rFonts w:ascii="FangSong_GB2312" w:hAnsi="FangSong_GB2312" w:eastAsia="FangSong_GB2312" w:cs="FangSong_GB2312"/>
                <w:sz w:val="24"/>
                <w:szCs w:val="24"/>
                <w:spacing w:val="-2"/>
              </w:rPr>
              <w:t>一，由生态环境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主管部门责令改正，处以罚款，没收违法所得；情节严重的，报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经有批准权的人民政府批准，可以责令停业或者关闭：</w:t>
            </w:r>
          </w:p>
          <w:p>
            <w:pPr>
              <w:ind w:left="133" w:right="175" w:hanging="25"/>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（十三）未按照国家有关规定建立危险废物管理</w:t>
            </w:r>
            <w:r>
              <w:rPr>
                <w:rFonts w:ascii="FangSong_GB2312" w:hAnsi="FangSong_GB2312" w:eastAsia="FangSong_GB2312" w:cs="FangSong_GB2312"/>
                <w:sz w:val="24"/>
                <w:szCs w:val="24"/>
                <w:spacing w:val="-1"/>
              </w:rPr>
              <w:t>台账并如实记录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p>
            <w:pPr>
              <w:ind w:left="116" w:right="175" w:firstLine="2"/>
              <w:spacing w:before="3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有前款第一项、第二项、第五项、第六项、第七项、第八项、第</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九项、第十二项、第十三项行为之一，处十万元以上一百万元以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3"/>
              </w:rPr>
              <w:t>下的罚款；</w:t>
            </w:r>
          </w:p>
        </w:tc>
      </w:tr>
      <w:tr>
        <w:trPr>
          <w:trHeight w:val="635" w:hRule="atLeast"/>
        </w:trPr>
        <w:tc>
          <w:tcPr>
            <w:tcW w:w="4135" w:type="dxa"/>
            <w:vAlign w:val="top"/>
            <w:gridSpan w:val="3"/>
          </w:tcPr>
          <w:p>
            <w:pPr>
              <w:ind w:left="151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76" w:hRule="atLeast"/>
        </w:trPr>
        <w:tc>
          <w:tcPr>
            <w:tcW w:w="1454" w:type="dxa"/>
            <w:vAlign w:val="top"/>
            <w:vMerge w:val="restart"/>
            <w:tcBorders>
              <w:bottom w:val="nil"/>
            </w:tcBorders>
          </w:tcPr>
          <w:p>
            <w:pPr>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98"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9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43"/>
              <w:spacing w:before="7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台账更新不及时的</w:t>
            </w:r>
          </w:p>
        </w:tc>
        <w:tc>
          <w:tcPr>
            <w:tcW w:w="1122" w:type="dxa"/>
            <w:vAlign w:val="top"/>
          </w:tcPr>
          <w:p>
            <w:pPr>
              <w:ind w:left="222"/>
              <w:spacing w:before="7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43"/>
              <w:spacing w:before="8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台账弄虚作假的</w:t>
            </w:r>
          </w:p>
        </w:tc>
        <w:tc>
          <w:tcPr>
            <w:tcW w:w="1122" w:type="dxa"/>
            <w:vAlign w:val="top"/>
          </w:tcPr>
          <w:p>
            <w:pPr>
              <w:ind w:left="162"/>
              <w:spacing w:before="8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5"/>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未建立台账的</w:t>
            </w:r>
          </w:p>
        </w:tc>
        <w:tc>
          <w:tcPr>
            <w:tcW w:w="1122" w:type="dxa"/>
            <w:vAlign w:val="top"/>
          </w:tcPr>
          <w:p>
            <w:pPr>
              <w:ind w:left="156"/>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57" w:hRule="atLeast"/>
        </w:trPr>
        <w:tc>
          <w:tcPr>
            <w:tcW w:w="1454" w:type="dxa"/>
            <w:vAlign w:val="top"/>
            <w:vMerge w:val="restart"/>
            <w:tcBorders>
              <w:bottom w:val="nil"/>
            </w:tcBorders>
          </w:tcPr>
          <w:p>
            <w:pPr>
              <w:spacing w:line="467"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7"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7"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8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7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9" w:hRule="atLeast"/>
        </w:trPr>
        <w:tc>
          <w:tcPr>
            <w:tcW w:w="1454" w:type="dxa"/>
            <w:vAlign w:val="top"/>
          </w:tcPr>
          <w:p>
            <w:pPr>
              <w:ind w:left="262"/>
              <w:spacing w:before="62"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996" w:type="dxa"/>
            <w:vAlign w:val="top"/>
          </w:tcPr>
          <w:p>
            <w:pPr>
              <w:ind w:left="279"/>
              <w:spacing w:before="6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685" w:type="dxa"/>
            <w:vAlign w:val="top"/>
          </w:tcPr>
          <w:p>
            <w:pPr>
              <w:ind w:left="184"/>
              <w:spacing w:before="63"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6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63"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317"/>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55" w:hRule="atLeast"/>
        </w:trPr>
        <w:tc>
          <w:tcPr>
            <w:tcW w:w="1454" w:type="dxa"/>
            <w:vAlign w:val="top"/>
          </w:tcPr>
          <w:p>
            <w:pPr>
              <w:ind w:left="255"/>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996" w:type="dxa"/>
            <w:vAlign w:val="top"/>
          </w:tcPr>
          <w:p>
            <w:pPr>
              <w:ind w:left="830"/>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685" w:type="dxa"/>
            <w:vAlign w:val="top"/>
          </w:tcPr>
          <w:p>
            <w:pPr>
              <w:rPr>
                <w:rFonts w:ascii="Arial"/>
                <w:sz w:val="21"/>
              </w:rPr>
            </w:pPr>
            <w:r/>
          </w:p>
        </w:tc>
        <w:tc>
          <w:tcPr>
            <w:tcW w:w="3201" w:type="dxa"/>
            <w:vAlign w:val="top"/>
          </w:tcPr>
          <w:p>
            <w:pPr>
              <w:ind w:left="125"/>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59"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6"/>
              <w:spacing w:before="8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7"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18"/>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161</w:t>
            </w:r>
          </w:p>
        </w:tc>
      </w:tr>
      <w:tr>
        <w:trPr>
          <w:trHeight w:val="634"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8" w:right="175" w:hanging="5"/>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危险废物产生者未按照规定处置其产生的危险废物被责令改正后</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4"/>
              </w:rPr>
              <w:t>拒不改正的</w:t>
            </w:r>
          </w:p>
        </w:tc>
      </w:tr>
      <w:tr>
        <w:trPr>
          <w:trHeight w:val="3153" w:hRule="atLeast"/>
        </w:trPr>
        <w:tc>
          <w:tcPr>
            <w:tcW w:w="1454"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07" w:right="170" w:firstLine="17"/>
              <w:spacing w:before="37"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产生危险废物的单位，应当按照国家有关规定</w:t>
            </w:r>
            <w:r>
              <w:rPr>
                <w:rFonts w:ascii="FangSong_GB2312" w:hAnsi="FangSong_GB2312" w:eastAsia="FangSong_GB2312" w:cs="FangSong_GB2312"/>
                <w:sz w:val="24"/>
                <w:szCs w:val="24"/>
                <w:spacing w:val="-2"/>
              </w:rPr>
              <w:t>和环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境保护标准要求贮存、利用、处置危险废物，不得擅</w:t>
            </w:r>
            <w:r>
              <w:rPr>
                <w:rFonts w:ascii="FangSong_GB2312" w:hAnsi="FangSong_GB2312" w:eastAsia="FangSong_GB2312" w:cs="FangSong_GB2312"/>
                <w:sz w:val="24"/>
                <w:szCs w:val="24"/>
                <w:spacing w:val="-1"/>
              </w:rPr>
              <w:t>自倾倒、堆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放。</w:t>
            </w:r>
          </w:p>
          <w:p>
            <w:pPr>
              <w:spacing w:line="260"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1" w:right="170" w:firstLine="14"/>
              <w:spacing w:before="39"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违反本法规定，危险废物产生</w:t>
            </w:r>
            <w:r>
              <w:rPr>
                <w:rFonts w:ascii="FangSong_GB2312" w:hAnsi="FangSong_GB2312" w:eastAsia="FangSong_GB2312" w:cs="FangSong_GB2312"/>
                <w:sz w:val="24"/>
                <w:szCs w:val="24"/>
                <w:spacing w:val="-2"/>
              </w:rPr>
              <w:t>者未按照规定处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置其产生的危险废物被责令改正后拒不改正</w:t>
            </w:r>
            <w:r>
              <w:rPr>
                <w:rFonts w:ascii="FangSong_GB2312" w:hAnsi="FangSong_GB2312" w:eastAsia="FangSong_GB2312" w:cs="FangSong_GB2312"/>
                <w:sz w:val="24"/>
                <w:szCs w:val="24"/>
                <w:spacing w:val="-1"/>
              </w:rPr>
              <w:t>的，由生态环境主管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部门组织代为处置，处置费用由危险废物产</w:t>
            </w:r>
            <w:r>
              <w:rPr>
                <w:rFonts w:ascii="FangSong_GB2312" w:hAnsi="FangSong_GB2312" w:eastAsia="FangSong_GB2312" w:cs="FangSong_GB2312"/>
                <w:sz w:val="24"/>
                <w:szCs w:val="24"/>
                <w:spacing w:val="-1"/>
              </w:rPr>
              <w:t>生者承担；拒不承担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代为处置费用的，处代为处置费用一倍以上三倍以下的罚款。</w:t>
            </w:r>
          </w:p>
        </w:tc>
      </w:tr>
      <w:tr>
        <w:trPr>
          <w:trHeight w:val="635" w:hRule="atLeast"/>
        </w:trPr>
        <w:tc>
          <w:tcPr>
            <w:tcW w:w="4135" w:type="dxa"/>
            <w:vAlign w:val="top"/>
            <w:gridSpan w:val="3"/>
          </w:tcPr>
          <w:p>
            <w:pPr>
              <w:ind w:left="151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356" w:lineRule="auto"/>
              <w:rPr>
                <w:rFonts w:ascii="Arial"/>
                <w:sz w:val="21"/>
              </w:rPr>
            </w:pPr>
            <w:r/>
          </w:p>
          <w:p>
            <w:pPr>
              <w:spacing w:line="357"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18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60%</w:t>
            </w:r>
          </w:p>
        </w:tc>
        <w:tc>
          <w:tcPr>
            <w:tcW w:w="3201" w:type="dxa"/>
            <w:vAlign w:val="top"/>
          </w:tcPr>
          <w:p>
            <w:pPr>
              <w:ind w:left="130"/>
              <w:spacing w:before="11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222"/>
              <w:spacing w:before="1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5"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涉及数量</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1"/>
              </w:rPr>
              <w:t>吨以上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1"/>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5"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涉及数量</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0"/>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吨以上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5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0"/>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吨以上的</w:t>
            </w:r>
          </w:p>
        </w:tc>
        <w:tc>
          <w:tcPr>
            <w:tcW w:w="1122" w:type="dxa"/>
            <w:vAlign w:val="top"/>
          </w:tcPr>
          <w:p>
            <w:pPr>
              <w:ind w:left="155"/>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41%-60%</w:t>
            </w:r>
          </w:p>
        </w:tc>
      </w:tr>
      <w:tr>
        <w:trPr>
          <w:trHeight w:val="357" w:hRule="atLeast"/>
        </w:trPr>
        <w:tc>
          <w:tcPr>
            <w:tcW w:w="1454" w:type="dxa"/>
            <w:vAlign w:val="top"/>
            <w:vMerge w:val="restart"/>
            <w:tcBorders>
              <w:bottom w:val="nil"/>
            </w:tcBorders>
          </w:tcPr>
          <w:p>
            <w:pPr>
              <w:spacing w:line="467"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7"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8"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6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62"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490" w:hRule="atLeast"/>
        </w:trPr>
        <w:tc>
          <w:tcPr>
            <w:tcW w:w="1454" w:type="dxa"/>
            <w:vAlign w:val="top"/>
            <w:vMerge w:val="restart"/>
            <w:tcBorders>
              <w:bottom w:val="nil"/>
            </w:tcBorders>
          </w:tcPr>
          <w:p>
            <w:pPr>
              <w:ind w:left="136"/>
              <w:spacing w:before="13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8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67"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2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12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19"/>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162</w:t>
            </w:r>
          </w:p>
        </w:tc>
      </w:tr>
      <w:tr>
        <w:trPr>
          <w:trHeight w:val="634" w:hRule="atLeast"/>
        </w:trPr>
        <w:tc>
          <w:tcPr>
            <w:tcW w:w="1454" w:type="dxa"/>
            <w:vAlign w:val="top"/>
          </w:tcPr>
          <w:p>
            <w:pPr>
              <w:ind w:left="177"/>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无许可证从事收集、贮存、利用、处置危险废物经营活动的</w:t>
            </w:r>
          </w:p>
        </w:tc>
      </w:tr>
      <w:tr>
        <w:trPr>
          <w:trHeight w:val="5673" w:hRule="atLeast"/>
        </w:trPr>
        <w:tc>
          <w:tcPr>
            <w:tcW w:w="1454"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31" w:right="290" w:hanging="6"/>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禁止无许可证或者未按照许</w:t>
            </w:r>
            <w:r>
              <w:rPr>
                <w:rFonts w:ascii="FangSong_GB2312" w:hAnsi="FangSong_GB2312" w:eastAsia="FangSong_GB2312" w:cs="FangSong_GB2312"/>
                <w:sz w:val="24"/>
                <w:szCs w:val="24"/>
                <w:spacing w:val="-2"/>
              </w:rPr>
              <w:t>可证规定从事危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险废物收集、贮存、利用、处置的经营活动。</w:t>
            </w:r>
          </w:p>
          <w:p>
            <w:pPr>
              <w:spacing w:line="273"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07" w:firstLine="12"/>
              <w:spacing w:before="38"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第一百一十四条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无许可证从事</w:t>
            </w:r>
            <w:r>
              <w:rPr>
                <w:rFonts w:ascii="FangSong_GB2312" w:hAnsi="FangSong_GB2312" w:eastAsia="FangSong_GB2312" w:cs="FangSong_GB2312"/>
                <w:sz w:val="24"/>
                <w:szCs w:val="24"/>
                <w:spacing w:val="-4"/>
              </w:rPr>
              <w:t>收集、贮存、利用、处置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危险废物经营活动的，由生态环境主管部门责令改正，处一百万</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元以上五百万元以下的罚款，并报经有批准权的人民政府批准，</w:t>
            </w:r>
          </w:p>
          <w:p>
            <w:pPr>
              <w:ind w:left="114" w:right="175" w:firstLine="6"/>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责令停业或者关闭；对法定代表人、主要负责人、直接负责的主</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管人员和其他责任人员，处十万元以上一百万元以下的罚款。</w:t>
            </w:r>
          </w:p>
          <w:p>
            <w:pPr>
              <w:spacing w:line="273" w:lineRule="auto"/>
              <w:rPr>
                <w:rFonts w:ascii="Arial"/>
                <w:sz w:val="21"/>
              </w:rPr>
            </w:pPr>
            <w:r/>
          </w:p>
          <w:p>
            <w:pPr>
              <w:ind w:left="1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3.《河北省固体废物污染环境防治条例》</w:t>
            </w:r>
          </w:p>
          <w:p>
            <w:pPr>
              <w:ind w:left="110" w:right="36" w:firstLine="15"/>
              <w:spacing w:before="38"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第七十一条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第一款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违反本条例规定，无许可证从事收集、贮存、</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4"/>
              </w:rPr>
              <w:t>利用、处置危险废物经营活动的，由生态环境主管部门责令改正，</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rPr>
              <w:t>处一百万元以上五百万元以下的罚款，并报经</w:t>
            </w:r>
            <w:r>
              <w:rPr>
                <w:rFonts w:ascii="FangSong_GB2312" w:hAnsi="FangSong_GB2312" w:eastAsia="FangSong_GB2312" w:cs="FangSong_GB2312"/>
                <w:sz w:val="24"/>
                <w:szCs w:val="24"/>
                <w:spacing w:val="-1"/>
              </w:rPr>
              <w:t>有批准权的人民政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府批准，责令停业或者关闭；对法定代表人、</w:t>
            </w:r>
            <w:r>
              <w:rPr>
                <w:rFonts w:ascii="FangSong_GB2312" w:hAnsi="FangSong_GB2312" w:eastAsia="FangSong_GB2312" w:cs="FangSong_GB2312"/>
                <w:sz w:val="24"/>
                <w:szCs w:val="24"/>
                <w:spacing w:val="-1"/>
              </w:rPr>
              <w:t>主要负责人、直接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负责的主管人员和其他责任人员，处十万元以</w:t>
            </w:r>
            <w:r>
              <w:rPr>
                <w:rFonts w:ascii="FangSong_GB2312" w:hAnsi="FangSong_GB2312" w:eastAsia="FangSong_GB2312" w:cs="FangSong_GB2312"/>
                <w:sz w:val="24"/>
                <w:szCs w:val="24"/>
                <w:spacing w:val="-1"/>
              </w:rPr>
              <w:t>上一百万元以下的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罚款。</w:t>
            </w:r>
          </w:p>
        </w:tc>
      </w:tr>
      <w:tr>
        <w:trPr>
          <w:trHeight w:val="635" w:hRule="atLeast"/>
        </w:trPr>
        <w:tc>
          <w:tcPr>
            <w:tcW w:w="4135" w:type="dxa"/>
            <w:vAlign w:val="top"/>
            <w:gridSpan w:val="3"/>
          </w:tcPr>
          <w:p>
            <w:pPr>
              <w:ind w:left="151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left="769" w:right="276" w:hanging="47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涉及危险废物</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8"/>
              </w:rPr>
              <w:t>数量</w:t>
            </w:r>
          </w:p>
        </w:tc>
        <w:tc>
          <w:tcPr>
            <w:tcW w:w="685"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5" w:right="209"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22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8" w:right="104" w:firstLine="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涉及危险废物数量</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8"/>
              </w:rPr>
              <w:t>吨以上</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吨以下的</w:t>
            </w:r>
          </w:p>
        </w:tc>
        <w:tc>
          <w:tcPr>
            <w:tcW w:w="1122" w:type="dxa"/>
            <w:vAlign w:val="top"/>
          </w:tcPr>
          <w:p>
            <w:pPr>
              <w:ind w:left="16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0"/>
              <w:spacing w:before="4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吨以上</w:t>
            </w:r>
          </w:p>
          <w:p>
            <w:pPr>
              <w:ind w:left="130"/>
              <w:spacing w:before="36"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吨以下的</w:t>
            </w:r>
          </w:p>
        </w:tc>
        <w:tc>
          <w:tcPr>
            <w:tcW w:w="1122" w:type="dxa"/>
            <w:vAlign w:val="top"/>
          </w:tcPr>
          <w:p>
            <w:pPr>
              <w:ind w:left="156"/>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4"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涉及危险废物数量</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吨以上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6"/>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57" w:hRule="atLeast"/>
        </w:trPr>
        <w:tc>
          <w:tcPr>
            <w:tcW w:w="1454" w:type="dxa"/>
            <w:vAlign w:val="top"/>
            <w:vMerge w:val="restart"/>
            <w:tcBorders>
              <w:bottom w:val="nil"/>
            </w:tcBorders>
          </w:tcPr>
          <w:p>
            <w:pPr>
              <w:spacing w:line="467"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7"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7"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61"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4" w:hRule="atLeast"/>
        </w:trPr>
        <w:tc>
          <w:tcPr>
            <w:tcW w:w="1454" w:type="dxa"/>
            <w:vAlign w:val="top"/>
          </w:tcPr>
          <w:p>
            <w:pPr>
              <w:ind w:left="256"/>
              <w:spacing w:before="5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tcPr>
          <w:p>
            <w:pPr>
              <w:ind w:left="279"/>
              <w:spacing w:before="5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tcPr>
          <w:p>
            <w:pPr>
              <w:ind w:left="184"/>
              <w:spacing w:before="5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20"/>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22" w:right="209"/>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8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6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70"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5" w:right="243" w:firstLine="7"/>
              <w:spacing w:before="7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7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58"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57"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57"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6"/>
              <w:spacing w:before="8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0"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80"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21"/>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163</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6" w:right="175" w:hanging="1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未按照许可证规定从事收集、贮存、利用、处置危险废物经营活</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2"/>
              </w:rPr>
              <w:t>动的</w:t>
            </w:r>
          </w:p>
        </w:tc>
      </w:tr>
      <w:tr>
        <w:trPr>
          <w:trHeight w:val="6617" w:hRule="atLeast"/>
        </w:trPr>
        <w:tc>
          <w:tcPr>
            <w:tcW w:w="145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31" w:right="290" w:hanging="6"/>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禁止无许可证或者未按照许</w:t>
            </w:r>
            <w:r>
              <w:rPr>
                <w:rFonts w:ascii="FangSong_GB2312" w:hAnsi="FangSong_GB2312" w:eastAsia="FangSong_GB2312" w:cs="FangSong_GB2312"/>
                <w:sz w:val="24"/>
                <w:szCs w:val="24"/>
                <w:spacing w:val="-2"/>
              </w:rPr>
              <w:t>可证规定从事危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险废物收集、贮存、利用、处置的经营活动。</w:t>
            </w:r>
          </w:p>
          <w:p>
            <w:pPr>
              <w:spacing w:line="271"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3" w:right="107" w:firstLine="12"/>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第一百一十四条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未按照许可证</w:t>
            </w:r>
            <w:r>
              <w:rPr>
                <w:rFonts w:ascii="FangSong_GB2312" w:hAnsi="FangSong_GB2312" w:eastAsia="FangSong_GB2312" w:cs="FangSong_GB2312"/>
                <w:sz w:val="24"/>
                <w:szCs w:val="24"/>
                <w:spacing w:val="-4"/>
              </w:rPr>
              <w:t>规定从事收集、贮存、利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用、处置危险废物经营活动的，由生态环境主管部门责令改正，</w:t>
            </w:r>
          </w:p>
          <w:p>
            <w:pPr>
              <w:ind w:left="121" w:right="47" w:firstLine="16"/>
              <w:spacing w:before="39"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限制生产、停产整治，处五十万元以上二百万元</w:t>
            </w:r>
            <w:r>
              <w:rPr>
                <w:rFonts w:ascii="FangSong_GB2312" w:hAnsi="FangSong_GB2312" w:eastAsia="FangSong_GB2312" w:cs="FangSong_GB2312"/>
                <w:sz w:val="24"/>
                <w:szCs w:val="24"/>
                <w:spacing w:val="-2"/>
              </w:rPr>
              <w:t>以下的罚款；对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法定代表人、主要负责人、直接负责的主管人员和其他责任人员，</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处五万元以上五十万元以下的罚款；情节严重的，报经有批准权</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的人民政府批准，责令停业或者关闭，还可以由发证机关吊销许</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6"/>
              </w:rPr>
              <w:t>可证。</w:t>
            </w:r>
          </w:p>
          <w:p>
            <w:pPr>
              <w:spacing w:line="266" w:lineRule="auto"/>
              <w:rPr>
                <w:rFonts w:ascii="Arial"/>
                <w:sz w:val="21"/>
              </w:rPr>
            </w:pPr>
            <w:r/>
          </w:p>
          <w:p>
            <w:pPr>
              <w:ind w:left="132"/>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3.《河北省固体废物污染环境防治条例》</w:t>
            </w:r>
          </w:p>
          <w:p>
            <w:pPr>
              <w:ind w:left="111" w:right="175" w:firstLine="14"/>
              <w:spacing w:before="39"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第七十一条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第二款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未按照许可证规定从事收集、贮存、利用、</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rPr>
              <w:t>处置危险废物经营活动的，由生态环境主管</w:t>
            </w:r>
            <w:r>
              <w:rPr>
                <w:rFonts w:ascii="FangSong_GB2312" w:hAnsi="FangSong_GB2312" w:eastAsia="FangSong_GB2312" w:cs="FangSong_GB2312"/>
                <w:sz w:val="24"/>
                <w:szCs w:val="24"/>
                <w:spacing w:val="-1"/>
              </w:rPr>
              <w:t>部门责令改正，限制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生产、停产整治，处五十万元以上二百万元</w:t>
            </w:r>
            <w:r>
              <w:rPr>
                <w:rFonts w:ascii="FangSong_GB2312" w:hAnsi="FangSong_GB2312" w:eastAsia="FangSong_GB2312" w:cs="FangSong_GB2312"/>
                <w:sz w:val="24"/>
                <w:szCs w:val="24"/>
                <w:spacing w:val="-1"/>
              </w:rPr>
              <w:t>以下的罚款；对法定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代表人、主要负责人、直接负责的主管人员</w:t>
            </w:r>
            <w:r>
              <w:rPr>
                <w:rFonts w:ascii="FangSong_GB2312" w:hAnsi="FangSong_GB2312" w:eastAsia="FangSong_GB2312" w:cs="FangSong_GB2312"/>
                <w:sz w:val="24"/>
                <w:szCs w:val="24"/>
                <w:spacing w:val="-1"/>
              </w:rPr>
              <w:t>和其他责任人员，处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五万元以上五十万元以下的罚款；情节严重</w:t>
            </w:r>
            <w:r>
              <w:rPr>
                <w:rFonts w:ascii="FangSong_GB2312" w:hAnsi="FangSong_GB2312" w:eastAsia="FangSong_GB2312" w:cs="FangSong_GB2312"/>
                <w:sz w:val="24"/>
                <w:szCs w:val="24"/>
                <w:spacing w:val="-1"/>
              </w:rPr>
              <w:t>的，报经有批准权的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人民政府批准，责令停业或者关闭，还可以</w:t>
            </w:r>
            <w:r>
              <w:rPr>
                <w:rFonts w:ascii="FangSong_GB2312" w:hAnsi="FangSong_GB2312" w:eastAsia="FangSong_GB2312" w:cs="FangSong_GB2312"/>
                <w:sz w:val="24"/>
                <w:szCs w:val="24"/>
                <w:spacing w:val="-1"/>
              </w:rPr>
              <w:t>由发证机关吊销许可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证。</w:t>
            </w:r>
          </w:p>
        </w:tc>
      </w:tr>
      <w:tr>
        <w:trPr>
          <w:trHeight w:val="635" w:hRule="atLeast"/>
        </w:trPr>
        <w:tc>
          <w:tcPr>
            <w:tcW w:w="4135" w:type="dxa"/>
            <w:vAlign w:val="top"/>
            <w:gridSpan w:val="3"/>
          </w:tcPr>
          <w:p>
            <w:pPr>
              <w:ind w:left="151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54" w:hRule="atLeast"/>
        </w:trPr>
        <w:tc>
          <w:tcPr>
            <w:tcW w:w="1454" w:type="dxa"/>
            <w:vAlign w:val="top"/>
            <w:vMerge w:val="restart"/>
            <w:tcBorders>
              <w:bottom w:val="nil"/>
            </w:tcBorders>
          </w:tcPr>
          <w:p>
            <w:pPr>
              <w:spacing w:line="394"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396" w:lineRule="auto"/>
              <w:rPr>
                <w:rFonts w:ascii="Arial"/>
                <w:sz w:val="21"/>
              </w:rPr>
            </w:pPr>
            <w:r/>
          </w:p>
          <w:p>
            <w:pPr>
              <w:ind w:left="769" w:right="276" w:hanging="47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涉及危险废物</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8"/>
              </w:rPr>
              <w:t>数量</w:t>
            </w:r>
          </w:p>
        </w:tc>
        <w:tc>
          <w:tcPr>
            <w:tcW w:w="685"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0"/>
              <w:spacing w:before="11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吨以下的</w:t>
            </w:r>
          </w:p>
        </w:tc>
        <w:tc>
          <w:tcPr>
            <w:tcW w:w="1122" w:type="dxa"/>
            <w:vAlign w:val="top"/>
          </w:tcPr>
          <w:p>
            <w:pPr>
              <w:ind w:left="222"/>
              <w:spacing w:before="1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35" w:right="104"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9"/>
              </w:rPr>
              <w:t>5</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9"/>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22" w:type="dxa"/>
            <w:vAlign w:val="top"/>
          </w:tcPr>
          <w:p>
            <w:pPr>
              <w:ind w:left="16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40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0"/>
              <w:spacing w:before="8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吨以上的</w:t>
            </w:r>
          </w:p>
        </w:tc>
        <w:tc>
          <w:tcPr>
            <w:tcW w:w="1122" w:type="dxa"/>
            <w:vAlign w:val="top"/>
          </w:tcPr>
          <w:p>
            <w:pPr>
              <w:ind w:left="156"/>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57" w:hRule="atLeast"/>
        </w:trPr>
        <w:tc>
          <w:tcPr>
            <w:tcW w:w="1454" w:type="dxa"/>
            <w:vAlign w:val="top"/>
            <w:vMerge w:val="restart"/>
            <w:tcBorders>
              <w:bottom w:val="nil"/>
            </w:tcBorders>
          </w:tcPr>
          <w:p>
            <w:pPr>
              <w:spacing w:line="467"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7"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7"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6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62"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bl>
    <w:p>
      <w:pPr>
        <w:pStyle w:val="BodyText"/>
        <w:rPr/>
      </w:pPr>
      <w:r/>
    </w:p>
    <w:p>
      <w:pPr>
        <w:sectPr>
          <w:footerReference w:type="default" r:id="rId322"/>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46" w:hRule="atLeast"/>
        </w:trPr>
        <w:tc>
          <w:tcPr>
            <w:tcW w:w="1454"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3"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4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2"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8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7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70"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5" w:right="243" w:firstLine="7"/>
              <w:spacing w:before="8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8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59"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58"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6"/>
              <w:spacing w:before="8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80"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23"/>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54" w:type="dxa"/>
            <w:vAlign w:val="top"/>
          </w:tcPr>
          <w:p>
            <w:pPr>
              <w:ind w:left="453"/>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164</w:t>
            </w:r>
          </w:p>
        </w:tc>
      </w:tr>
      <w:tr>
        <w:trPr>
          <w:trHeight w:val="635" w:hRule="atLeast"/>
        </w:trPr>
        <w:tc>
          <w:tcPr>
            <w:tcW w:w="1454" w:type="dxa"/>
            <w:vAlign w:val="top"/>
          </w:tcPr>
          <w:p>
            <w:pPr>
              <w:ind w:left="177"/>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6"/>
              <w:spacing w:before="19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造成固体废物污染环境事故的</w:t>
            </w:r>
          </w:p>
        </w:tc>
      </w:tr>
      <w:tr>
        <w:trPr>
          <w:trHeight w:val="5673" w:hRule="atLeast"/>
        </w:trPr>
        <w:tc>
          <w:tcPr>
            <w:tcW w:w="1454"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4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《中华人民共和国固体废物污染环境防治法》</w:t>
            </w:r>
          </w:p>
          <w:p>
            <w:pPr>
              <w:ind w:left="125"/>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固体废物污染环境防治坚持污染担责的</w:t>
            </w:r>
            <w:r>
              <w:rPr>
                <w:rFonts w:ascii="FangSong_GB2312" w:hAnsi="FangSong_GB2312" w:eastAsia="FangSong_GB2312" w:cs="FangSong_GB2312"/>
                <w:sz w:val="24"/>
                <w:szCs w:val="24"/>
                <w:spacing w:val="-2"/>
              </w:rPr>
              <w:t>原则。</w:t>
            </w:r>
          </w:p>
          <w:p>
            <w:pPr>
              <w:ind w:left="118" w:right="175" w:hanging="5"/>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产生、收集、贮存、运输、利用、处置固体废物的单位和个人，</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应当采取措施，防止或者减少固体废物对环境的污染，对所造成</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的环境污染依法承担责任。</w:t>
            </w:r>
          </w:p>
          <w:p>
            <w:pPr>
              <w:spacing w:line="272"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《中华人民共和国固体废物污染环境防治法》</w:t>
            </w:r>
          </w:p>
          <w:p>
            <w:pPr>
              <w:ind w:left="111" w:right="47" w:firstLine="14"/>
              <w:spacing w:before="40"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第一百一十八条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违反本法规定，造成固体废物污染环境事</w:t>
            </w:r>
            <w:r>
              <w:rPr>
                <w:rFonts w:ascii="FangSong_GB2312" w:hAnsi="FangSong_GB2312" w:eastAsia="FangSong_GB2312" w:cs="FangSong_GB2312"/>
                <w:sz w:val="24"/>
                <w:szCs w:val="24"/>
                <w:spacing w:val="-6"/>
              </w:rPr>
              <w:t>故的，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除依法承担赔偿责任外，由生态环境主管部</w:t>
            </w:r>
            <w:r>
              <w:rPr>
                <w:rFonts w:ascii="FangSong_GB2312" w:hAnsi="FangSong_GB2312" w:eastAsia="FangSong_GB2312" w:cs="FangSong_GB2312"/>
                <w:sz w:val="24"/>
                <w:szCs w:val="24"/>
                <w:spacing w:val="-1"/>
              </w:rPr>
              <w:t>门依照本条第二款的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规定处以罚款，责令限期采取治理措施；造</w:t>
            </w:r>
            <w:r>
              <w:rPr>
                <w:rFonts w:ascii="FangSong_GB2312" w:hAnsi="FangSong_GB2312" w:eastAsia="FangSong_GB2312" w:cs="FangSong_GB2312"/>
                <w:sz w:val="24"/>
                <w:szCs w:val="24"/>
                <w:spacing w:val="-1"/>
              </w:rPr>
              <w:t>成重大或者特大固体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废物污染环境事故的，还可以报经有批准权</w:t>
            </w:r>
            <w:r>
              <w:rPr>
                <w:rFonts w:ascii="FangSong_GB2312" w:hAnsi="FangSong_GB2312" w:eastAsia="FangSong_GB2312" w:cs="FangSong_GB2312"/>
                <w:sz w:val="24"/>
                <w:szCs w:val="24"/>
                <w:spacing w:val="-1"/>
              </w:rPr>
              <w:t>的人民政府批准，责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令关闭。</w:t>
            </w:r>
          </w:p>
          <w:p>
            <w:pPr>
              <w:ind w:left="107" w:right="175" w:firstLine="8"/>
              <w:spacing w:before="35" w:line="236"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造成一般或者较大固体废物污染环境事故的，按照事故造成的直</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rPr>
              <w:t>接经济损失的一倍以上三倍以下计算罚款；造成重大</w:t>
            </w:r>
            <w:r>
              <w:rPr>
                <w:rFonts w:ascii="FangSong_GB2312" w:hAnsi="FangSong_GB2312" w:eastAsia="FangSong_GB2312" w:cs="FangSong_GB2312"/>
                <w:sz w:val="24"/>
                <w:szCs w:val="24"/>
                <w:spacing w:val="-1"/>
              </w:rPr>
              <w:t>或者特大固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体废物污染环境事故的，按照事故造成的直接经济损</w:t>
            </w:r>
            <w:r>
              <w:rPr>
                <w:rFonts w:ascii="FangSong_GB2312" w:hAnsi="FangSong_GB2312" w:eastAsia="FangSong_GB2312" w:cs="FangSong_GB2312"/>
                <w:sz w:val="24"/>
                <w:szCs w:val="24"/>
                <w:spacing w:val="-1"/>
              </w:rPr>
              <w:t>失的三倍以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上五倍以下计算罚款，并对法定代表人、主要负责人</w:t>
            </w:r>
            <w:r>
              <w:rPr>
                <w:rFonts w:ascii="FangSong_GB2312" w:hAnsi="FangSong_GB2312" w:eastAsia="FangSong_GB2312" w:cs="FangSong_GB2312"/>
                <w:sz w:val="24"/>
                <w:szCs w:val="24"/>
                <w:spacing w:val="-1"/>
              </w:rPr>
              <w:t>、直接负责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的主管人员和其他责任人员处上一年度从本单位取得</w:t>
            </w:r>
            <w:r>
              <w:rPr>
                <w:rFonts w:ascii="FangSong_GB2312" w:hAnsi="FangSong_GB2312" w:eastAsia="FangSong_GB2312" w:cs="FangSong_GB2312"/>
                <w:sz w:val="24"/>
                <w:szCs w:val="24"/>
                <w:spacing w:val="-1"/>
              </w:rPr>
              <w:t>的收入百分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之五十以下的罚款。</w:t>
            </w:r>
          </w:p>
        </w:tc>
      </w:tr>
      <w:tr>
        <w:trPr>
          <w:trHeight w:val="635" w:hRule="atLeast"/>
        </w:trPr>
        <w:tc>
          <w:tcPr>
            <w:tcW w:w="4135" w:type="dxa"/>
            <w:vAlign w:val="top"/>
            <w:gridSpan w:val="3"/>
          </w:tcPr>
          <w:p>
            <w:pPr>
              <w:ind w:left="151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54" w:type="dxa"/>
            <w:vAlign w:val="top"/>
            <w:vMerge w:val="restart"/>
            <w:tcBorders>
              <w:bottom w:val="nil"/>
            </w:tcBorders>
          </w:tcPr>
          <w:p>
            <w:pPr>
              <w:spacing w:line="320" w:lineRule="auto"/>
              <w:rPr>
                <w:rFonts w:ascii="Arial"/>
                <w:sz w:val="21"/>
              </w:rPr>
            </w:pPr>
            <w:r/>
          </w:p>
          <w:p>
            <w:pPr>
              <w:spacing w:line="321"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违法行为种类</w:t>
            </w:r>
          </w:p>
        </w:tc>
        <w:tc>
          <w:tcPr>
            <w:tcW w:w="685"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5" w:right="209"/>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3"/>
              </w:rPr>
              <w:t>发生一般环境事件</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3"/>
              </w:rPr>
              <w:t>(</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3"/>
              </w:rPr>
              <w:t>Ⅳ</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13"/>
              </w:rPr>
              <w:t>)</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3"/>
              </w:rPr>
              <w:t>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其他固体废物污染环境事故</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spacing w:line="277"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402"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15"/>
              <w:spacing w:before="8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发生较大环境事件</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4"/>
              </w:rPr>
              <w:t>(</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4"/>
              </w:rPr>
              <w:t>Ⅲ</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14"/>
              </w:rPr>
              <w:t>)</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14"/>
              </w:rPr>
              <w:t>的</w:t>
            </w:r>
          </w:p>
        </w:tc>
        <w:tc>
          <w:tcPr>
            <w:tcW w:w="1122" w:type="dxa"/>
            <w:vAlign w:val="top"/>
          </w:tcPr>
          <w:p>
            <w:pPr>
              <w:ind w:left="162"/>
              <w:spacing w:before="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6"/>
              </w:rPr>
              <w:t>发生重大环境事件</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6"/>
              </w:rPr>
              <w:t>(</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6"/>
              </w:rPr>
              <w:t>Ⅱ</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16"/>
              </w:rPr>
              <w:t>)</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6"/>
              </w:rPr>
              <w:t>、</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1"/>
              </w:rPr>
              <w:t>特别重大环境事件</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21"/>
              </w:rPr>
              <w:t>(</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21"/>
              </w:rPr>
              <w:t>Ⅰ</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21"/>
              </w:rPr>
              <w:t>)</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21"/>
              </w:rPr>
              <w:t>的</w:t>
            </w:r>
          </w:p>
        </w:tc>
        <w:tc>
          <w:tcPr>
            <w:tcW w:w="1122" w:type="dxa"/>
            <w:vAlign w:val="top"/>
          </w:tcPr>
          <w:p>
            <w:pPr>
              <w:ind w:left="15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57" w:hRule="atLeast"/>
        </w:trPr>
        <w:tc>
          <w:tcPr>
            <w:tcW w:w="1454" w:type="dxa"/>
            <w:vAlign w:val="top"/>
            <w:vMerge w:val="restart"/>
            <w:tcBorders>
              <w:bottom w:val="nil"/>
            </w:tcBorders>
          </w:tcPr>
          <w:p>
            <w:pPr>
              <w:spacing w:line="468"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68"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68"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6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62"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2" w:hRule="atLeast"/>
        </w:trPr>
        <w:tc>
          <w:tcPr>
            <w:tcW w:w="1454" w:type="dxa"/>
            <w:vAlign w:val="top"/>
            <w:vMerge w:val="restart"/>
            <w:tcBorders>
              <w:bottom w:val="nil"/>
            </w:tcBorders>
          </w:tcPr>
          <w:p>
            <w:pPr>
              <w:ind w:left="256"/>
              <w:spacing w:before="24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ind w:left="279"/>
              <w:spacing w:before="24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ind w:left="184"/>
              <w:spacing w:before="24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5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5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84"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2"/>
              <w:spacing w:before="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122" w:type="dxa"/>
            <w:vAlign w:val="top"/>
          </w:tcPr>
          <w:p>
            <w:pPr>
              <w:ind w:left="282"/>
              <w:spacing w:before="75"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24"/>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86" w:hRule="atLeast"/>
        </w:trPr>
        <w:tc>
          <w:tcPr>
            <w:tcW w:w="1454" w:type="dxa"/>
            <w:vAlign w:val="top"/>
            <w:vMerge w:val="restart"/>
            <w:tcBorders>
              <w:bottom w:val="nil"/>
            </w:tcBorders>
          </w:tcPr>
          <w:p>
            <w:pPr>
              <w:rPr>
                <w:rFonts w:ascii="Arial"/>
                <w:sz w:val="21"/>
              </w:rPr>
            </w:pPr>
            <w:r/>
          </w:p>
        </w:tc>
        <w:tc>
          <w:tcPr>
            <w:tcW w:w="199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01" w:type="dxa"/>
            <w:vAlign w:val="top"/>
          </w:tcPr>
          <w:p>
            <w:pPr>
              <w:ind w:left="122"/>
              <w:spacing w:before="4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122" w:type="dxa"/>
            <w:vAlign w:val="top"/>
          </w:tcPr>
          <w:p>
            <w:pPr>
              <w:rPr>
                <w:rFonts w:ascii="Arial"/>
                <w:sz w:val="21"/>
              </w:rPr>
            </w:pPr>
            <w:r/>
          </w:p>
        </w:tc>
      </w:tr>
      <w:tr>
        <w:trPr>
          <w:trHeight w:val="38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7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7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56" w:hRule="atLeast"/>
        </w:trPr>
        <w:tc>
          <w:tcPr>
            <w:tcW w:w="1454" w:type="dxa"/>
            <w:vAlign w:val="top"/>
            <w:vMerge w:val="restart"/>
            <w:tcBorders>
              <w:bottom w:val="nil"/>
            </w:tcBorders>
          </w:tcPr>
          <w:p>
            <w:pPr>
              <w:ind w:left="255" w:right="243" w:firstLine="7"/>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829" w:right="276" w:hanging="55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59"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51"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5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5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6" w:hRule="atLeast"/>
        </w:trPr>
        <w:tc>
          <w:tcPr>
            <w:tcW w:w="1454" w:type="dxa"/>
            <w:vAlign w:val="top"/>
            <w:vMerge w:val="restart"/>
            <w:tcBorders>
              <w:bottom w:val="nil"/>
            </w:tcBorders>
          </w:tcPr>
          <w:p>
            <w:pPr>
              <w:ind w:left="136"/>
              <w:spacing w:before="8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21"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101"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25"/>
          <w:pgSz w:w="11905" w:h="16839"/>
          <w:pgMar w:top="1431" w:right="1721" w:bottom="1156" w:left="1720"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2056"/>
        <w:gridCol w:w="685"/>
        <w:gridCol w:w="3287"/>
        <w:gridCol w:w="1116"/>
      </w:tblGrid>
      <w:tr>
        <w:trPr>
          <w:trHeight w:val="678" w:hRule="atLeast"/>
        </w:trPr>
        <w:tc>
          <w:tcPr>
            <w:tcW w:w="8564" w:type="dxa"/>
            <w:vAlign w:val="top"/>
            <w:gridSpan w:val="5"/>
          </w:tcPr>
          <w:p>
            <w:pPr>
              <w:ind w:left="285"/>
              <w:spacing w:before="97" w:line="221"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河北省生态环境行政处罚裁量规则（固废类）</w:t>
            </w:r>
          </w:p>
        </w:tc>
      </w:tr>
      <w:tr>
        <w:trPr>
          <w:trHeight w:val="635" w:hRule="atLeast"/>
        </w:trPr>
        <w:tc>
          <w:tcPr>
            <w:tcW w:w="1420" w:type="dxa"/>
            <w:vAlign w:val="top"/>
          </w:tcPr>
          <w:p>
            <w:pPr>
              <w:ind w:left="438"/>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44" w:type="dxa"/>
            <w:vAlign w:val="top"/>
            <w:gridSpan w:val="4"/>
          </w:tcPr>
          <w:p>
            <w:pPr>
              <w:ind w:left="341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165</w:t>
            </w:r>
          </w:p>
        </w:tc>
      </w:tr>
      <w:tr>
        <w:trPr>
          <w:trHeight w:val="635" w:hRule="atLeast"/>
        </w:trPr>
        <w:tc>
          <w:tcPr>
            <w:tcW w:w="1420" w:type="dxa"/>
            <w:vAlign w:val="top"/>
          </w:tcPr>
          <w:p>
            <w:pPr>
              <w:ind w:left="12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44" w:type="dxa"/>
            <w:vAlign w:val="top"/>
            <w:gridSpan w:val="4"/>
          </w:tcPr>
          <w:p>
            <w:pPr>
              <w:ind w:left="115" w:right="108" w:firstLine="10"/>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转让、买卖医疗废物，邮寄或者通过铁路、航空运输医疗废物，或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者违反本条例规定通过水路运输医疗废物的</w:t>
            </w:r>
          </w:p>
        </w:tc>
      </w:tr>
      <w:tr>
        <w:trPr>
          <w:trHeight w:val="8506" w:hRule="atLeast"/>
        </w:trPr>
        <w:tc>
          <w:tcPr>
            <w:tcW w:w="1420"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71"/>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44" w:type="dxa"/>
            <w:vAlign w:val="top"/>
            <w:gridSpan w:val="4"/>
          </w:tcPr>
          <w:p>
            <w:pPr>
              <w:ind w:left="129"/>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26"/>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禁止邮寄医疗废物。</w:t>
            </w:r>
          </w:p>
          <w:p>
            <w:pPr>
              <w:ind w:left="121"/>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禁止通过铁路、航空运输医疗废物。</w:t>
            </w:r>
          </w:p>
          <w:p>
            <w:pPr>
              <w:ind w:left="112" w:right="108" w:firstLine="6"/>
              <w:spacing w:before="38"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有陆路通道的，禁止通过水路运输医疗废物；没有陆路通道必需经</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水路运输医疗废物的，应当经设区的市级以上人民政府环境保护行</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2"/>
              </w:rPr>
              <w:t>政主管部门批准，并采取严格的环境保护措施后，方可通过水路运</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5"/>
              </w:rPr>
              <w:t>输。</w:t>
            </w:r>
          </w:p>
          <w:p>
            <w:pPr>
              <w:ind w:left="121" w:right="2048"/>
              <w:spacing w:before="3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禁止将医疗废物与旅客在同一运输工具上载运。</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禁止在饮用水源保护区的水体上运输医疗废物。</w:t>
            </w:r>
          </w:p>
          <w:p>
            <w:pPr>
              <w:spacing w:line="271" w:lineRule="auto"/>
              <w:rPr>
                <w:rFonts w:ascii="Arial"/>
                <w:sz w:val="21"/>
              </w:rPr>
            </w:pPr>
            <w:r/>
          </w:p>
          <w:p>
            <w:pPr>
              <w:ind w:left="123"/>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《医疗废物管理条例》</w:t>
            </w:r>
          </w:p>
          <w:p>
            <w:pPr>
              <w:ind w:left="116" w:right="55" w:firstLine="9"/>
              <w:spacing w:before="42"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第五十三条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转让、买卖医疗废物，邮寄或者通过铁路、航</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rPr>
              <w:t>空运输医疗废物，或者违反本条例规定通过水路运输医疗废物的，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由县级以上地方人民政府环境保护行政主管部门责令转让、买卖双</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8"/>
              </w:rPr>
              <w:t>方、邮寄人、托运人立即停止违法行为，给予警告，没收违法所得；</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7"/>
              </w:rPr>
              <w:t>违法所得</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7"/>
              </w:rPr>
              <w:t>5000</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7"/>
              </w:rPr>
              <w:t>元以上的，并处违法所得</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7"/>
              </w:rPr>
              <w:t>2</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7"/>
              </w:rPr>
              <w:t>倍以上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7"/>
              </w:rPr>
              <w:t>5</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7"/>
              </w:rPr>
              <w:t>倍以下的罚款；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没有违法所得或者违法所得不足</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5"/>
              </w:rPr>
              <w:t>元的，并处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6"/>
              </w:rPr>
              <w:t>00</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6"/>
              </w:rPr>
              <w:t>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元以下的罚款。</w:t>
            </w:r>
          </w:p>
          <w:p>
            <w:pPr>
              <w:spacing w:line="270" w:lineRule="auto"/>
              <w:rPr>
                <w:rFonts w:ascii="Arial"/>
                <w:sz w:val="21"/>
              </w:rPr>
            </w:pPr>
            <w:r/>
          </w:p>
          <w:p>
            <w:pPr>
              <w:ind w:left="132"/>
              <w:spacing w:before="7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《医疗废物管理行政处罚办法》</w:t>
            </w:r>
          </w:p>
          <w:p>
            <w:pPr>
              <w:ind w:left="110" w:right="108" w:firstLine="16"/>
              <w:spacing w:before="36"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有</w:t>
            </w:r>
            <w:hyperlink w:history="true" r:id="rId327">
              <w:r>
                <w:rPr>
                  <w:rFonts w:ascii="FangSong_GB2312" w:hAnsi="FangSong_GB2312" w:eastAsia="FangSong_GB2312" w:cs="FangSong_GB2312"/>
                  <w:sz w:val="24"/>
                  <w:szCs w:val="24"/>
                  <w:spacing w:val="-1"/>
                </w:rPr>
                <w:t>《条例》</w:t>
              </w:r>
            </w:hyperlink>
            <w:hyperlink w:history="true" r:id="rId328">
              <w:r>
                <w:rPr>
                  <w:rFonts w:ascii="FangSong_GB2312" w:hAnsi="FangSong_GB2312" w:eastAsia="FangSong_GB2312" w:cs="FangSong_GB2312"/>
                  <w:sz w:val="24"/>
                  <w:szCs w:val="24"/>
                  <w:spacing w:val="-1"/>
                </w:rPr>
                <w:t>第五十三条</w:t>
              </w:r>
            </w:hyperlink>
            <w:r>
              <w:rPr>
                <w:rFonts w:ascii="FangSong_GB2312" w:hAnsi="FangSong_GB2312" w:eastAsia="FangSong_GB2312" w:cs="FangSong_GB2312"/>
                <w:sz w:val="24"/>
                <w:szCs w:val="24"/>
                <w:spacing w:val="-1"/>
              </w:rPr>
              <w:t>规定的情</w:t>
            </w:r>
            <w:r>
              <w:rPr>
                <w:rFonts w:ascii="FangSong_GB2312" w:hAnsi="FangSong_GB2312" w:eastAsia="FangSong_GB2312" w:cs="FangSong_GB2312"/>
                <w:sz w:val="24"/>
                <w:szCs w:val="24"/>
                <w:spacing w:val="-2"/>
              </w:rPr>
              <w:t>形，转让、买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9"/>
              </w:rPr>
              <w:t>卖医疗废物，邮寄或者通过铁路、航空运输</w:t>
            </w:r>
            <w:r>
              <w:rPr>
                <w:rFonts w:ascii="FangSong_GB2312" w:hAnsi="FangSong_GB2312" w:eastAsia="FangSong_GB2312" w:cs="FangSong_GB2312"/>
                <w:sz w:val="24"/>
                <w:szCs w:val="24"/>
                <w:spacing w:val="-10"/>
              </w:rPr>
              <w:t>医疗废物，或者违反</w:t>
            </w:r>
            <w:hyperlink w:history="true" r:id="rId327">
              <w:r>
                <w:rPr>
                  <w:rFonts w:ascii="FangSong_GB2312" w:hAnsi="FangSong_GB2312" w:eastAsia="FangSong_GB2312" w:cs="FangSong_GB2312"/>
                  <w:sz w:val="24"/>
                  <w:szCs w:val="24"/>
                  <w:spacing w:val="-10"/>
                </w:rPr>
                <w:t>《条</w:t>
              </w:r>
            </w:hyperlink>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例》规定通过水路运输医疗废物的，由县级以上地方人民政府环境</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保护行政主管部门责令转让、买卖双方、邮寄人、托运人立即停止</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违法行为，给予警告，没收违法所得；违法所得</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2"/>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2"/>
              </w:rPr>
              <w:t>元以上的，</w:t>
            </w:r>
          </w:p>
          <w:p>
            <w:pPr>
              <w:ind w:left="117" w:right="108" w:firstLine="3"/>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并处违法所得</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倍以下的罚款；没有违法所得或者违法所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得不足</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5"/>
              </w:rPr>
              <w:t>元的，并处</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5"/>
              </w:rPr>
              <w:t>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万元以下的罚款。</w:t>
            </w:r>
          </w:p>
        </w:tc>
      </w:tr>
      <w:tr>
        <w:trPr>
          <w:trHeight w:val="635" w:hRule="atLeast"/>
        </w:trPr>
        <w:tc>
          <w:tcPr>
            <w:tcW w:w="4161"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3" w:type="dxa"/>
            <w:vAlign w:val="top"/>
            <w:gridSpan w:val="2"/>
          </w:tcPr>
          <w:p>
            <w:pPr>
              <w:ind w:left="165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20" w:type="dxa"/>
            <w:vAlign w:val="top"/>
          </w:tcPr>
          <w:p>
            <w:pPr>
              <w:ind w:left="482"/>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56" w:type="dxa"/>
            <w:vAlign w:val="top"/>
          </w:tcPr>
          <w:p>
            <w:pPr>
              <w:ind w:left="59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60" w:right="118"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7" w:type="dxa"/>
            <w:vAlign w:val="top"/>
          </w:tcPr>
          <w:p>
            <w:pPr>
              <w:ind w:left="1430"/>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6" w:type="dxa"/>
            <w:vAlign w:val="top"/>
          </w:tcPr>
          <w:p>
            <w:pPr>
              <w:ind w:left="241"/>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20" w:type="dxa"/>
            <w:vAlign w:val="top"/>
            <w:vMerge w:val="restart"/>
            <w:tcBorders>
              <w:bottom w:val="nil"/>
            </w:tcBorders>
          </w:tcPr>
          <w:p>
            <w:pPr>
              <w:spacing w:line="315" w:lineRule="auto"/>
              <w:rPr>
                <w:rFonts w:ascii="Arial"/>
                <w:sz w:val="21"/>
              </w:rPr>
            </w:pPr>
            <w:r/>
          </w:p>
          <w:p>
            <w:pPr>
              <w:ind w:left="362" w:right="226"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56" w:type="dxa"/>
            <w:vAlign w:val="top"/>
            <w:vMerge w:val="restart"/>
            <w:tcBorders>
              <w:bottom w:val="nil"/>
            </w:tcBorders>
          </w:tcPr>
          <w:p>
            <w:pPr>
              <w:spacing w:line="471" w:lineRule="auto"/>
              <w:rPr>
                <w:rFonts w:ascii="Arial"/>
                <w:sz w:val="21"/>
              </w:rPr>
            </w:pPr>
            <w:r/>
          </w:p>
          <w:p>
            <w:pPr>
              <w:ind w:left="31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471"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87"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没有违法所得的</w:t>
            </w:r>
          </w:p>
        </w:tc>
        <w:tc>
          <w:tcPr>
            <w:tcW w:w="1116" w:type="dxa"/>
            <w:vAlign w:val="top"/>
          </w:tcPr>
          <w:p>
            <w:pPr>
              <w:ind w:left="2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74"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9"/>
              <w:spacing w:before="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违法所得不足</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5"/>
              </w:rPr>
              <w:t>元的</w:t>
            </w:r>
          </w:p>
        </w:tc>
        <w:tc>
          <w:tcPr>
            <w:tcW w:w="1116" w:type="dxa"/>
            <w:vAlign w:val="top"/>
          </w:tcPr>
          <w:p>
            <w:pPr>
              <w:ind w:left="155"/>
              <w:spacing w:before="7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637"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right="175" w:hanging="7"/>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违法所得</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7"/>
              </w:rPr>
              <w:t>元以上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下的</w:t>
            </w:r>
          </w:p>
        </w:tc>
        <w:tc>
          <w:tcPr>
            <w:tcW w:w="1116" w:type="dxa"/>
            <w:vAlign w:val="top"/>
          </w:tcPr>
          <w:p>
            <w:pPr>
              <w:ind w:left="22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26"/>
          <w:pgSz w:w="11905" w:h="16839"/>
          <w:pgMar w:top="1431" w:right="1668" w:bottom="1156" w:left="1667"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2056"/>
        <w:gridCol w:w="685"/>
        <w:gridCol w:w="3287"/>
        <w:gridCol w:w="1116"/>
      </w:tblGrid>
      <w:tr>
        <w:trPr>
          <w:trHeight w:val="324" w:hRule="atLeast"/>
        </w:trPr>
        <w:tc>
          <w:tcPr>
            <w:tcW w:w="1420" w:type="dxa"/>
            <w:vAlign w:val="top"/>
          </w:tcPr>
          <w:p>
            <w:pPr>
              <w:rPr>
                <w:rFonts w:ascii="Arial"/>
                <w:sz w:val="21"/>
              </w:rPr>
            </w:pPr>
            <w:r/>
          </w:p>
        </w:tc>
        <w:tc>
          <w:tcPr>
            <w:tcW w:w="2056" w:type="dxa"/>
            <w:vAlign w:val="top"/>
          </w:tcPr>
          <w:p>
            <w:pPr>
              <w:rPr>
                <w:rFonts w:ascii="Arial"/>
                <w:sz w:val="21"/>
              </w:rPr>
            </w:pPr>
            <w:r/>
          </w:p>
        </w:tc>
        <w:tc>
          <w:tcPr>
            <w:tcW w:w="685" w:type="dxa"/>
            <w:vAlign w:val="top"/>
          </w:tcPr>
          <w:p>
            <w:pPr>
              <w:rPr>
                <w:rFonts w:ascii="Arial"/>
                <w:sz w:val="21"/>
              </w:rPr>
            </w:pPr>
            <w:r/>
          </w:p>
        </w:tc>
        <w:tc>
          <w:tcPr>
            <w:tcW w:w="3287" w:type="dxa"/>
            <w:vAlign w:val="top"/>
          </w:tcPr>
          <w:p>
            <w:pPr>
              <w:ind w:left="11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违法所得</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7"/>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万以上的</w:t>
            </w:r>
          </w:p>
        </w:tc>
        <w:tc>
          <w:tcPr>
            <w:tcW w:w="1116" w:type="dxa"/>
            <w:vAlign w:val="top"/>
          </w:tcPr>
          <w:p>
            <w:pPr>
              <w:ind w:left="15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9" w:hRule="atLeast"/>
        </w:trPr>
        <w:tc>
          <w:tcPr>
            <w:tcW w:w="1420" w:type="dxa"/>
            <w:vAlign w:val="top"/>
            <w:vMerge w:val="restart"/>
            <w:tcBorders>
              <w:bottom w:val="nil"/>
            </w:tcBorders>
          </w:tcPr>
          <w:p>
            <w:pPr>
              <w:spacing w:line="445"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56" w:type="dxa"/>
            <w:vAlign w:val="top"/>
            <w:vMerge w:val="restart"/>
            <w:tcBorders>
              <w:bottom w:val="nil"/>
            </w:tcBorders>
          </w:tcPr>
          <w:p>
            <w:pPr>
              <w:spacing w:line="445" w:lineRule="auto"/>
              <w:rPr>
                <w:rFonts w:ascii="Arial"/>
                <w:sz w:val="21"/>
              </w:rPr>
            </w:pPr>
            <w:r/>
          </w:p>
          <w:p>
            <w:pPr>
              <w:ind w:left="20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2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6" w:type="dxa"/>
            <w:vAlign w:val="top"/>
          </w:tcPr>
          <w:p>
            <w:pPr>
              <w:ind w:left="45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1"/>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6" w:type="dxa"/>
            <w:vAlign w:val="top"/>
          </w:tcPr>
          <w:p>
            <w:pPr>
              <w:ind w:left="401"/>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6" w:type="dxa"/>
            <w:vAlign w:val="top"/>
          </w:tcPr>
          <w:p>
            <w:pPr>
              <w:ind w:left="40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6" w:type="dxa"/>
            <w:vAlign w:val="top"/>
          </w:tcPr>
          <w:p>
            <w:pPr>
              <w:ind w:left="39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20" w:type="dxa"/>
            <w:vAlign w:val="top"/>
            <w:vMerge w:val="restart"/>
            <w:tcBorders>
              <w:bottom w:val="nil"/>
            </w:tcBorders>
          </w:tcPr>
          <w:p>
            <w:pPr>
              <w:spacing w:line="440" w:lineRule="auto"/>
              <w:rPr>
                <w:rFonts w:ascii="Arial"/>
                <w:sz w:val="21"/>
              </w:rPr>
            </w:pPr>
            <w:r/>
          </w:p>
          <w:p>
            <w:pPr>
              <w:ind w:left="23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56" w:type="dxa"/>
            <w:vAlign w:val="top"/>
            <w:vMerge w:val="restart"/>
            <w:tcBorders>
              <w:bottom w:val="nil"/>
            </w:tcBorders>
          </w:tcPr>
          <w:p>
            <w:pPr>
              <w:spacing w:line="441" w:lineRule="auto"/>
              <w:rPr>
                <w:rFonts w:ascii="Arial"/>
                <w:sz w:val="21"/>
              </w:rPr>
            </w:pPr>
            <w:r/>
          </w:p>
          <w:p>
            <w:pPr>
              <w:ind w:left="30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0" w:lineRule="auto"/>
              <w:rPr>
                <w:rFonts w:ascii="Arial"/>
                <w:sz w:val="21"/>
              </w:rPr>
            </w:pPr>
            <w:r/>
          </w:p>
          <w:p>
            <w:pPr>
              <w:ind w:left="18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6" w:type="dxa"/>
            <w:vAlign w:val="top"/>
          </w:tcPr>
          <w:p>
            <w:pPr>
              <w:ind w:left="46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3" w:right="295"/>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6" w:type="dxa"/>
            <w:vAlign w:val="top"/>
          </w:tcPr>
          <w:p>
            <w:pPr>
              <w:ind w:left="281"/>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6" w:type="dxa"/>
            <w:vAlign w:val="top"/>
          </w:tcPr>
          <w:p>
            <w:pPr>
              <w:ind w:left="2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20" w:type="dxa"/>
            <w:vAlign w:val="top"/>
            <w:vMerge w:val="restart"/>
            <w:tcBorders>
              <w:bottom w:val="nil"/>
            </w:tcBorders>
          </w:tcPr>
          <w:p>
            <w:pPr>
              <w:ind w:left="238" w:right="226" w:firstLine="7"/>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56" w:type="dxa"/>
            <w:vAlign w:val="top"/>
            <w:vMerge w:val="restart"/>
            <w:tcBorders>
              <w:bottom w:val="nil"/>
            </w:tcBorders>
          </w:tcPr>
          <w:p>
            <w:pPr>
              <w:ind w:left="789" w:right="307" w:hanging="480"/>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5"/>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20"/>
              <w:spacing w:before="48"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6" w:type="dxa"/>
            <w:vAlign w:val="top"/>
          </w:tcPr>
          <w:p>
            <w:pPr>
              <w:ind w:left="221"/>
              <w:spacing w:before="48"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6" w:type="dxa"/>
            <w:vAlign w:val="top"/>
          </w:tcPr>
          <w:p>
            <w:pPr>
              <w:ind w:left="46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20" w:type="dxa"/>
            <w:vAlign w:val="top"/>
            <w:vMerge w:val="restart"/>
            <w:tcBorders>
              <w:bottom w:val="nil"/>
            </w:tcBorders>
          </w:tcPr>
          <w:p>
            <w:pPr>
              <w:ind w:left="230" w:right="226" w:firstLine="9"/>
              <w:spacing w:before="81"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56" w:type="dxa"/>
            <w:vAlign w:val="top"/>
            <w:vMerge w:val="restart"/>
            <w:tcBorders>
              <w:bottom w:val="nil"/>
            </w:tcBorders>
          </w:tcPr>
          <w:p>
            <w:pPr>
              <w:ind w:left="320" w:right="187" w:hanging="131"/>
              <w:spacing w:before="2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9"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19"/>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6" w:type="dxa"/>
            <w:vAlign w:val="top"/>
          </w:tcPr>
          <w:p>
            <w:pPr>
              <w:ind w:left="221"/>
              <w:spacing w:before="77"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6" w:right="29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6" w:type="dxa"/>
            <w:vAlign w:val="top"/>
          </w:tcPr>
          <w:p>
            <w:pPr>
              <w:ind w:left="46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29"/>
          <w:pgSz w:w="11905" w:h="16839"/>
          <w:pgMar w:top="1431" w:right="1668" w:bottom="1156" w:left="1667" w:header="0" w:footer="994" w:gutter="0"/>
        </w:sectPr>
        <w:rPr/>
      </w:pPr>
    </w:p>
    <w:p>
      <w:pPr>
        <w:spacing w:before="15"/>
        <w:rPr/>
      </w:pPr>
      <w:r/>
    </w:p>
    <w:p>
      <w:pPr>
        <w:spacing w:before="14"/>
        <w:rPr/>
      </w:pPr>
      <w:r/>
    </w:p>
    <w:p>
      <w:pPr>
        <w:spacing w:before="14"/>
        <w:rPr/>
      </w:pPr>
      <w:r/>
    </w:p>
    <w:p>
      <w:pPr>
        <w:spacing w:before="14"/>
        <w:rPr/>
      </w:pPr>
      <w:r/>
    </w:p>
    <w:p>
      <w:pPr>
        <w:spacing w:before="14"/>
        <w:rPr/>
      </w:pPr>
      <w:r/>
    </w:p>
    <w:p>
      <w:pPr>
        <w:spacing w:before="14"/>
        <w:rPr/>
      </w:pPr>
      <w:r/>
    </w:p>
    <w:p>
      <w:pPr>
        <w:spacing w:before="14"/>
        <w:rPr/>
      </w:pPr>
      <w:r/>
    </w:p>
    <w:p>
      <w:pPr>
        <w:spacing w:before="14"/>
        <w:rPr/>
      </w:pPr>
      <w:r/>
    </w:p>
    <w:p>
      <w:pPr>
        <w:spacing w:before="14"/>
        <w:rPr/>
      </w:pPr>
      <w:r/>
    </w:p>
    <w:p>
      <w:pPr>
        <w:spacing w:before="14"/>
        <w:rPr/>
      </w:pPr>
      <w:r/>
    </w:p>
    <w:tbl>
      <w:tblPr>
        <w:tblStyle w:val="TableNormal"/>
        <w:tblW w:w="85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4"/>
        <w:gridCol w:w="7114"/>
      </w:tblGrid>
      <w:tr>
        <w:trPr>
          <w:trHeight w:val="700" w:hRule="atLeast"/>
        </w:trPr>
        <w:tc>
          <w:tcPr>
            <w:tcW w:w="8528" w:type="dxa"/>
            <w:vAlign w:val="top"/>
            <w:gridSpan w:val="2"/>
          </w:tcPr>
          <w:p>
            <w:pPr>
              <w:ind w:left="262"/>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5" w:hRule="atLeast"/>
        </w:trPr>
        <w:tc>
          <w:tcPr>
            <w:tcW w:w="1414" w:type="dxa"/>
            <w:vAlign w:val="top"/>
          </w:tcPr>
          <w:p>
            <w:pPr>
              <w:ind w:left="432"/>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14" w:type="dxa"/>
            <w:vAlign w:val="top"/>
          </w:tcPr>
          <w:p>
            <w:pPr>
              <w:ind w:left="3397"/>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166</w:t>
            </w:r>
          </w:p>
        </w:tc>
      </w:tr>
      <w:tr>
        <w:trPr>
          <w:trHeight w:val="635" w:hRule="atLeast"/>
        </w:trPr>
        <w:tc>
          <w:tcPr>
            <w:tcW w:w="1414" w:type="dxa"/>
            <w:vAlign w:val="top"/>
          </w:tcPr>
          <w:p>
            <w:pPr>
              <w:ind w:left="121"/>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14" w:type="dxa"/>
            <w:vAlign w:val="top"/>
          </w:tcPr>
          <w:p>
            <w:pPr>
              <w:ind w:left="114" w:right="106"/>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承运人明知托运人违反规定运输医疗废物，仍予以运输的，或者承</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运人将医疗废物与旅客在同一工具上载运的</w:t>
            </w:r>
          </w:p>
        </w:tc>
      </w:tr>
      <w:tr>
        <w:trPr>
          <w:trHeight w:val="9138" w:hRule="atLeast"/>
        </w:trPr>
        <w:tc>
          <w:tcPr>
            <w:tcW w:w="141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14" w:type="dxa"/>
            <w:vAlign w:val="top"/>
          </w:tcPr>
          <w:p>
            <w:pPr>
              <w:ind w:left="129"/>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26"/>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第十五条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禁止邮寄医疗废物。</w:t>
            </w:r>
          </w:p>
          <w:p>
            <w:pPr>
              <w:ind w:left="121"/>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禁止通过铁路、航空运输医疗废物。</w:t>
            </w:r>
          </w:p>
          <w:p>
            <w:pPr>
              <w:ind w:left="112" w:right="106" w:firstLine="6"/>
              <w:spacing w:before="38"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有陆路通道的，禁止通过水路运输医疗废物；没有陆路通道必需经</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水路运输医疗废物的，应当经设区的市级以上人民政府环境保护行</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3"/>
              </w:rPr>
              <w:t>政主管部门批准，并采取严格的环境保护措施后，方可通过水路运</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5"/>
              </w:rPr>
              <w:t>输。</w:t>
            </w:r>
          </w:p>
          <w:p>
            <w:pPr>
              <w:ind w:left="121" w:right="2018"/>
              <w:spacing w:before="2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禁止将医疗废物与旅客在同一运输工具上载运。</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禁止在饮用水源保护区的水体上运输医疗废物。</w:t>
            </w:r>
          </w:p>
          <w:p>
            <w:pPr>
              <w:spacing w:line="274" w:lineRule="auto"/>
              <w:rPr>
                <w:rFonts w:ascii="Arial"/>
                <w:sz w:val="21"/>
              </w:rPr>
            </w:pPr>
            <w:r/>
          </w:p>
          <w:p>
            <w:pPr>
              <w:ind w:left="12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《医疗废物管理条例》</w:t>
            </w:r>
          </w:p>
          <w:p>
            <w:pPr>
              <w:ind w:left="114" w:right="106" w:firstLine="11"/>
              <w:spacing w:before="34"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转让、买卖医疗废物，邮寄或者通过铁路、</w:t>
            </w:r>
            <w:r>
              <w:rPr>
                <w:rFonts w:ascii="FangSong_GB2312" w:hAnsi="FangSong_GB2312" w:eastAsia="FangSong_GB2312" w:cs="FangSong_GB2312"/>
                <w:sz w:val="24"/>
                <w:szCs w:val="24"/>
                <w:spacing w:val="-2"/>
              </w:rPr>
              <w:t>航空运输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医疗废物，或者违反本条例规定通过水路运输医疗废物的，由县级</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3"/>
              </w:rPr>
              <w:t>以上地方人民政府环境保护行政主管部门责令转让、买卖双方、邮</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3"/>
              </w:rPr>
              <w:t>寄人、托运人立即停止违法行为，给予警告，没收违法所得；违法</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4"/>
              </w:rPr>
              <w:t>所得</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4"/>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4"/>
              </w:rPr>
              <w:t>元以上的，并处违法所得</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4"/>
              </w:rPr>
              <w:t>倍以下的罚款；没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有违法所得或者违法所得不足</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6"/>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元的，并处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元以上</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6"/>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以下的罚款。</w:t>
            </w:r>
          </w:p>
          <w:p>
            <w:pPr>
              <w:ind w:left="133" w:right="106" w:hanging="18"/>
              <w:spacing w:before="33"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承运人明知托运人违反本条例的规定运输医疗废物，仍予以运输</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3"/>
              </w:rPr>
              <w:t>的，或者承运人将医疗废物与旅客在同一工具上载</w:t>
            </w:r>
            <w:r>
              <w:rPr>
                <w:rFonts w:ascii="FangSong_GB2312" w:hAnsi="FangSong_GB2312" w:eastAsia="FangSong_GB2312" w:cs="FangSong_GB2312"/>
                <w:sz w:val="24"/>
                <w:szCs w:val="24"/>
                <w:spacing w:val="-4"/>
              </w:rPr>
              <w:t>运的，按照前款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的规定予以处罚。</w:t>
            </w:r>
          </w:p>
          <w:p>
            <w:pPr>
              <w:spacing w:line="272" w:lineRule="auto"/>
              <w:rPr>
                <w:rFonts w:ascii="Arial"/>
                <w:sz w:val="21"/>
              </w:rPr>
            </w:pPr>
            <w:r/>
          </w:p>
          <w:p>
            <w:pPr>
              <w:ind w:left="13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《医疗废物管理行政处罚办法》</w:t>
            </w:r>
          </w:p>
          <w:p>
            <w:pPr>
              <w:ind w:left="112" w:right="106" w:firstLine="14"/>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承运人明知托运人违反《条例》</w:t>
            </w:r>
            <w:r>
              <w:rPr>
                <w:rFonts w:ascii="FangSong_GB2312" w:hAnsi="FangSong_GB2312" w:eastAsia="FangSong_GB2312" w:cs="FangSong_GB2312"/>
                <w:sz w:val="24"/>
                <w:szCs w:val="24"/>
                <w:spacing w:val="-2"/>
              </w:rPr>
              <w:t>的规定运输医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疗废物，仍予以运输的，按照前款的规定予以处罚；承运人将医疗</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废物与旅客在同一工具上载运的，由县级以上人民政府环境保护行</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政主管部门依照《</w:t>
            </w:r>
            <w:hyperlink w:history="true" r:id="rId331">
              <w:r>
                <w:rPr>
                  <w:rFonts w:ascii="FangSong_GB2312" w:hAnsi="FangSong_GB2312" w:eastAsia="FangSong_GB2312" w:cs="FangSong_GB2312"/>
                  <w:sz w:val="24"/>
                  <w:szCs w:val="24"/>
                  <w:spacing w:val="-3"/>
                </w:rPr>
                <w:t>中华人民共和国固体废物污染环境防治法</w:t>
              </w:r>
            </w:hyperlink>
            <w:r>
              <w:rPr>
                <w:rFonts w:ascii="FangSong_GB2312" w:hAnsi="FangSong_GB2312" w:eastAsia="FangSong_GB2312" w:cs="FangSong_GB2312"/>
                <w:sz w:val="24"/>
                <w:szCs w:val="24"/>
                <w:spacing w:val="-3"/>
              </w:rPr>
              <w:t>》第七</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十五条规定责令停止违法行为，限期改正，处一万元以上十万元以</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下的罚款。</w:t>
            </w:r>
          </w:p>
        </w:tc>
      </w:tr>
    </w:tbl>
    <w:p>
      <w:pPr>
        <w:pStyle w:val="BodyText"/>
        <w:rPr/>
      </w:pPr>
      <w:r/>
    </w:p>
    <w:p>
      <w:pPr>
        <w:sectPr>
          <w:footerReference w:type="default" r:id="rId330"/>
          <w:pgSz w:w="11905" w:h="16839"/>
          <w:pgMar w:top="1431" w:right="1686" w:bottom="1156" w:left="1685" w:header="0" w:footer="994" w:gutter="0"/>
        </w:sectPr>
        <w:rPr/>
      </w:pPr>
    </w:p>
    <w:p>
      <w:pPr>
        <w:spacing w:before="92"/>
        <w:rPr/>
      </w:pPr>
      <w:r/>
    </w:p>
    <w:p>
      <w:pPr>
        <w:spacing w:before="91"/>
        <w:rPr/>
      </w:pPr>
      <w:r/>
    </w:p>
    <w:tbl>
      <w:tblPr>
        <w:tblStyle w:val="TableNormal"/>
        <w:tblW w:w="85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74"/>
        <w:gridCol w:w="1889"/>
        <w:gridCol w:w="792"/>
        <w:gridCol w:w="3201"/>
        <w:gridCol w:w="1172"/>
      </w:tblGrid>
      <w:tr>
        <w:trPr>
          <w:trHeight w:val="639" w:hRule="atLeast"/>
        </w:trPr>
        <w:tc>
          <w:tcPr>
            <w:tcW w:w="4155" w:type="dxa"/>
            <w:vAlign w:val="top"/>
            <w:gridSpan w:val="3"/>
          </w:tcPr>
          <w:p>
            <w:pPr>
              <w:ind w:left="152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73" w:type="dxa"/>
            <w:vAlign w:val="top"/>
            <w:gridSpan w:val="2"/>
          </w:tcPr>
          <w:p>
            <w:pPr>
              <w:ind w:left="164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74" w:type="dxa"/>
            <w:vAlign w:val="top"/>
          </w:tcPr>
          <w:p>
            <w:pPr>
              <w:ind w:left="510"/>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47"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90"/>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72" w:type="dxa"/>
            <w:vAlign w:val="top"/>
          </w:tcPr>
          <w:p>
            <w:pPr>
              <w:ind w:left="269"/>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74"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ind w:left="505" w:right="13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4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载运医疗废物</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spacing w:val="-5"/>
              </w:rPr>
              <w:t>公斤以下的</w:t>
            </w:r>
          </w:p>
        </w:tc>
        <w:tc>
          <w:tcPr>
            <w:tcW w:w="1172" w:type="dxa"/>
            <w:vAlign w:val="top"/>
          </w:tcPr>
          <w:p>
            <w:pPr>
              <w:ind w:left="24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4" w:hRule="atLeast"/>
        </w:trPr>
        <w:tc>
          <w:tcPr>
            <w:tcW w:w="147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right="269" w:firstLine="6"/>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载运医疗废物</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6"/>
              </w:rPr>
              <w:t>公斤以上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公斤以下的</w:t>
            </w:r>
          </w:p>
        </w:tc>
        <w:tc>
          <w:tcPr>
            <w:tcW w:w="1172" w:type="dxa"/>
            <w:vAlign w:val="top"/>
          </w:tcPr>
          <w:p>
            <w:pPr>
              <w:ind w:left="187"/>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7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right="149" w:firstLine="6"/>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载运医疗废物</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6"/>
              </w:rPr>
              <w:t>公斤以上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公斤以下的</w:t>
            </w:r>
          </w:p>
        </w:tc>
        <w:tc>
          <w:tcPr>
            <w:tcW w:w="1172" w:type="dxa"/>
            <w:vAlign w:val="top"/>
          </w:tcPr>
          <w:p>
            <w:pPr>
              <w:ind w:left="181"/>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7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载运医疗废物</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4"/>
              </w:rPr>
              <w:t>10</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4"/>
              </w:rPr>
              <w:t>公斤以上的</w:t>
            </w:r>
          </w:p>
        </w:tc>
        <w:tc>
          <w:tcPr>
            <w:tcW w:w="117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74" w:type="dxa"/>
            <w:vAlign w:val="top"/>
            <w:vMerge w:val="restart"/>
            <w:tcBorders>
              <w:bottom w:val="nil"/>
            </w:tcBorders>
          </w:tcPr>
          <w:p>
            <w:pPr>
              <w:spacing w:line="448"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35" w:right="224"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72" w:type="dxa"/>
            <w:vAlign w:val="top"/>
          </w:tcPr>
          <w:p>
            <w:pPr>
              <w:ind w:left="48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7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72" w:type="dxa"/>
            <w:vAlign w:val="top"/>
          </w:tcPr>
          <w:p>
            <w:pPr>
              <w:ind w:left="4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7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72" w:type="dxa"/>
            <w:vAlign w:val="top"/>
          </w:tcPr>
          <w:p>
            <w:pPr>
              <w:ind w:left="4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7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72" w:type="dxa"/>
            <w:vAlign w:val="top"/>
          </w:tcPr>
          <w:p>
            <w:pPr>
              <w:ind w:left="4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74" w:type="dxa"/>
            <w:vAlign w:val="top"/>
            <w:vMerge w:val="restart"/>
            <w:tcBorders>
              <w:bottom w:val="nil"/>
            </w:tcBorders>
          </w:tcPr>
          <w:p>
            <w:pPr>
              <w:spacing w:line="444"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87" w:lineRule="auto"/>
              <w:rPr>
                <w:rFonts w:ascii="Arial"/>
                <w:sz w:val="21"/>
              </w:rPr>
            </w:pPr>
            <w:r/>
          </w:p>
          <w:p>
            <w:pPr>
              <w:ind w:left="712" w:right="224" w:hanging="487"/>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是否及时进行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整改</w:t>
            </w:r>
          </w:p>
        </w:tc>
        <w:tc>
          <w:tcPr>
            <w:tcW w:w="792" w:type="dxa"/>
            <w:vAlign w:val="top"/>
            <w:vMerge w:val="restart"/>
            <w:tcBorders>
              <w:bottom w:val="nil"/>
            </w:tcBorders>
          </w:tcPr>
          <w:p>
            <w:pPr>
              <w:spacing w:line="444"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72" w:type="dxa"/>
            <w:vAlign w:val="top"/>
          </w:tcPr>
          <w:p>
            <w:pPr>
              <w:ind w:left="48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74"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72" w:type="dxa"/>
            <w:vAlign w:val="top"/>
          </w:tcPr>
          <w:p>
            <w:pPr>
              <w:ind w:left="30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7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72" w:type="dxa"/>
            <w:vAlign w:val="top"/>
          </w:tcPr>
          <w:p>
            <w:pPr>
              <w:ind w:left="24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7" w:hRule="atLeast"/>
        </w:trPr>
        <w:tc>
          <w:tcPr>
            <w:tcW w:w="1474" w:type="dxa"/>
            <w:vAlign w:val="top"/>
            <w:vMerge w:val="restart"/>
            <w:tcBorders>
              <w:bottom w:val="nil"/>
            </w:tcBorders>
          </w:tcPr>
          <w:p>
            <w:pPr>
              <w:ind w:left="266" w:right="252" w:firstLine="7"/>
              <w:spacing w:before="8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4" w:hanging="480"/>
              <w:spacing w:before="8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4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8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72" w:type="dxa"/>
            <w:vAlign w:val="top"/>
          </w:tcPr>
          <w:p>
            <w:pPr>
              <w:ind w:left="247"/>
              <w:spacing w:before="8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7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72" w:type="dxa"/>
            <w:vAlign w:val="top"/>
          </w:tcPr>
          <w:p>
            <w:pPr>
              <w:ind w:left="48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570" w:hRule="atLeast"/>
        </w:trPr>
        <w:tc>
          <w:tcPr>
            <w:tcW w:w="1474" w:type="dxa"/>
            <w:vAlign w:val="top"/>
            <w:vMerge w:val="restart"/>
            <w:tcBorders>
              <w:bottom w:val="nil"/>
            </w:tcBorders>
          </w:tcPr>
          <w:p>
            <w:pPr>
              <w:ind w:left="145"/>
              <w:spacing w:before="9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0"/>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6"/>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9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ind w:left="231"/>
              <w:spacing w:before="25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16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w:t>
            </w:r>
          </w:p>
        </w:tc>
        <w:tc>
          <w:tcPr>
            <w:tcW w:w="1172" w:type="dxa"/>
            <w:vAlign w:val="top"/>
          </w:tcPr>
          <w:p>
            <w:pPr>
              <w:ind w:left="247"/>
              <w:spacing w:before="16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87" w:hRule="atLeast"/>
        </w:trPr>
        <w:tc>
          <w:tcPr>
            <w:tcW w:w="1474"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6"/>
              <w:spacing w:before="12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p>
        </w:tc>
        <w:tc>
          <w:tcPr>
            <w:tcW w:w="1172" w:type="dxa"/>
            <w:vAlign w:val="top"/>
          </w:tcPr>
          <w:p>
            <w:pPr>
              <w:ind w:left="488"/>
              <w:spacing w:before="12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32"/>
          <w:pgSz w:w="11905" w:h="16839"/>
          <w:pgMar w:top="1431" w:right="1686" w:bottom="1156" w:left="1685"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7004"/>
      </w:tblGrid>
      <w:tr>
        <w:trPr>
          <w:trHeight w:val="710" w:hRule="atLeast"/>
        </w:trPr>
        <w:tc>
          <w:tcPr>
            <w:tcW w:w="8424" w:type="dxa"/>
            <w:vAlign w:val="top"/>
            <w:gridSpan w:val="2"/>
          </w:tcPr>
          <w:p>
            <w:pPr>
              <w:ind w:left="210"/>
              <w:spacing w:before="114" w:line="227"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5" w:hRule="atLeast"/>
        </w:trPr>
        <w:tc>
          <w:tcPr>
            <w:tcW w:w="1420" w:type="dxa"/>
            <w:vAlign w:val="top"/>
          </w:tcPr>
          <w:p>
            <w:pPr>
              <w:ind w:left="43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tcPr>
          <w:p>
            <w:pPr>
              <w:ind w:left="3342"/>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167</w:t>
            </w:r>
          </w:p>
        </w:tc>
      </w:tr>
      <w:tr>
        <w:trPr>
          <w:trHeight w:val="1894" w:hRule="atLeast"/>
        </w:trPr>
        <w:tc>
          <w:tcPr>
            <w:tcW w:w="1420" w:type="dxa"/>
            <w:vAlign w:val="top"/>
          </w:tcPr>
          <w:p>
            <w:pPr>
              <w:spacing w:line="356" w:lineRule="auto"/>
              <w:rPr>
                <w:rFonts w:ascii="Arial"/>
                <w:sz w:val="21"/>
              </w:rPr>
            </w:pPr>
            <w:r/>
          </w:p>
          <w:p>
            <w:pPr>
              <w:spacing w:line="356" w:lineRule="auto"/>
              <w:rPr>
                <w:rFonts w:ascii="Arial"/>
                <w:sz w:val="21"/>
              </w:rPr>
            </w:pPr>
            <w:r/>
          </w:p>
          <w:p>
            <w:pPr>
              <w:ind w:left="122"/>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tcPr>
          <w:p>
            <w:pPr>
              <w:ind w:left="109"/>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（一）贮存设施或者设备不符合环境保护、卫生要求的；</w:t>
            </w:r>
          </w:p>
          <w:p>
            <w:pPr>
              <w:ind w:left="109"/>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（二）未将医疗废物按照类别分置于专用包装</w:t>
            </w:r>
            <w:r>
              <w:rPr>
                <w:rFonts w:ascii="FangSong_GB2312" w:hAnsi="FangSong_GB2312" w:eastAsia="FangSong_GB2312" w:cs="FangSong_GB2312"/>
                <w:sz w:val="24"/>
                <w:szCs w:val="24"/>
                <w:spacing w:val="-1"/>
              </w:rPr>
              <w:t>物或者容器的；</w:t>
            </w:r>
          </w:p>
          <w:p>
            <w:pPr>
              <w:ind w:left="113" w:right="174" w:hanging="4"/>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（三）未使用符合标准的专用车辆运送医疗废物</w:t>
            </w:r>
            <w:r>
              <w:rPr>
                <w:rFonts w:ascii="FangSong_GB2312" w:hAnsi="FangSong_GB2312" w:eastAsia="FangSong_GB2312" w:cs="FangSong_GB2312"/>
                <w:sz w:val="24"/>
                <w:szCs w:val="24"/>
                <w:spacing w:val="-1"/>
              </w:rPr>
              <w:t>或者使用运送医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疗废物的车辆运送其他物品的；</w:t>
            </w:r>
          </w:p>
          <w:p>
            <w:pPr>
              <w:ind w:left="120" w:right="174" w:hanging="11"/>
              <w:spacing w:before="36"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（四）未安装污染物排放在线监控装置或者监控</w:t>
            </w:r>
            <w:r>
              <w:rPr>
                <w:rFonts w:ascii="FangSong_GB2312" w:hAnsi="FangSong_GB2312" w:eastAsia="FangSong_GB2312" w:cs="FangSong_GB2312"/>
                <w:sz w:val="24"/>
                <w:szCs w:val="24"/>
                <w:spacing w:val="-1"/>
              </w:rPr>
              <w:t>装置未经常处于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正常运行状态的。</w:t>
            </w:r>
          </w:p>
        </w:tc>
      </w:tr>
      <w:tr>
        <w:trPr>
          <w:trHeight w:val="9769" w:hRule="atLeast"/>
        </w:trPr>
        <w:tc>
          <w:tcPr>
            <w:tcW w:w="1420"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09" w:right="107" w:firstLine="16"/>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第十六条</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5"/>
              </w:rPr>
              <w:t>医疗卫生机构应当及时收集本单位产生的医疗废物，并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按照类别分置于防渗漏、防锐器穿透的专用包装</w:t>
            </w:r>
            <w:r>
              <w:rPr>
                <w:rFonts w:ascii="FangSong_GB2312" w:hAnsi="FangSong_GB2312" w:eastAsia="FangSong_GB2312" w:cs="FangSong_GB2312"/>
                <w:sz w:val="24"/>
                <w:szCs w:val="24"/>
                <w:spacing w:val="-1"/>
              </w:rPr>
              <w:t>物或者密闭的容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器内。</w:t>
            </w:r>
          </w:p>
          <w:p>
            <w:pPr>
              <w:ind w:left="120" w:right="41" w:firstLine="21"/>
              <w:spacing w:before="32"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医疗废物专用包装物、容器，应当有明显的警示标识和警示说明。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医疗废物专用包装物、容器的标准和警示标识的规定，由国务院</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卫生行政主管部门和环境保护行政主管部门共同制定。</w:t>
            </w:r>
          </w:p>
          <w:p>
            <w:pPr>
              <w:ind w:left="116" w:right="107" w:firstLine="9"/>
              <w:spacing w:before="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第十七条</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spacing w:val="-3"/>
              </w:rPr>
              <w:t>医疗卫生机构应当建立医疗废物的暂时贮存设施、设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备，不得露天存放医疗废物；医疗废物暂时贮存的时间不得超过</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5"/>
              </w:rPr>
              <w:t>2</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天。</w:t>
            </w:r>
          </w:p>
          <w:p>
            <w:pPr>
              <w:ind w:left="113" w:right="174" w:firstLine="28"/>
              <w:spacing w:before="25"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医疗废物的暂时贮存设施、设备，应当远离医疗区、食品加工区</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和人员活动区以及生活垃圾存放场所，并设置明显的警示标识和</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防渗漏、防鼠、防蚊蝇、防蟑螂、防盗以及预防儿童接触等安全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4"/>
              </w:rPr>
              <w:t>措施。</w:t>
            </w:r>
          </w:p>
          <w:p>
            <w:pPr>
              <w:ind w:left="141"/>
              <w:spacing w:before="3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医疗废物的暂时贮存设施、设备应当定期消毒和清洁。</w:t>
            </w:r>
          </w:p>
          <w:p>
            <w:pPr>
              <w:ind w:left="110" w:right="107" w:firstLine="15"/>
              <w:spacing w:before="3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第二十六条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医疗废物集中处置单位运送医疗废物，应当遵守国家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有关危险货物运输管理的规定，使用有明显医</w:t>
            </w:r>
            <w:r>
              <w:rPr>
                <w:rFonts w:ascii="FangSong_GB2312" w:hAnsi="FangSong_GB2312" w:eastAsia="FangSong_GB2312" w:cs="FangSong_GB2312"/>
                <w:sz w:val="24"/>
                <w:szCs w:val="24"/>
                <w:spacing w:val="-1"/>
              </w:rPr>
              <w:t>疗废物标识的专用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车辆。医疗废物专用车辆应当达到防渗漏、防</w:t>
            </w:r>
            <w:r>
              <w:rPr>
                <w:rFonts w:ascii="FangSong_GB2312" w:hAnsi="FangSong_GB2312" w:eastAsia="FangSong_GB2312" w:cs="FangSong_GB2312"/>
                <w:sz w:val="24"/>
                <w:szCs w:val="24"/>
                <w:spacing w:val="-1"/>
              </w:rPr>
              <w:t>遗撒以及其他环境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保护和卫生要求。</w:t>
            </w:r>
          </w:p>
          <w:p>
            <w:pPr>
              <w:ind w:left="146" w:right="174" w:hanging="32"/>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运送医疗废物的专用车辆使用后，应当在医疗废物集中处置场所</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内及时进行消毒和清洁。</w:t>
            </w:r>
          </w:p>
          <w:p>
            <w:pPr>
              <w:ind w:left="114"/>
              <w:spacing w:before="3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运送医疗废物的专用车辆不得运送其他物品。</w:t>
            </w:r>
          </w:p>
          <w:p>
            <w:pPr>
              <w:ind w:left="116" w:right="292" w:firstLine="9"/>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第二十八条</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3"/>
              </w:rPr>
              <w:t>医疗废物集中处置单位应当安装污染物排放在线监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控装置，并确保监控装置经常处于正常运行状态。</w:t>
            </w:r>
          </w:p>
          <w:p>
            <w:pPr>
              <w:spacing w:line="270" w:lineRule="auto"/>
              <w:rPr>
                <w:rFonts w:ascii="Arial"/>
                <w:sz w:val="21"/>
              </w:rPr>
            </w:pPr>
            <w:r/>
          </w:p>
          <w:p>
            <w:pPr>
              <w:ind w:left="12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《医疗废物管理条例》</w:t>
            </w:r>
          </w:p>
          <w:p>
            <w:pPr>
              <w:ind w:left="113" w:right="107" w:firstLine="12"/>
              <w:spacing w:before="4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第四十六条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医疗卫生机构、医疗废物集中处置单位违反本条例规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定，有下列情形之一的，由县级以上地方人民政府卫生行政主管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部门或者环境保护行政主管部门按照各自的职责责令限期改正，</w:t>
            </w:r>
          </w:p>
          <w:p>
            <w:pPr>
              <w:ind w:left="121" w:right="107" w:firstLine="1"/>
              <w:spacing w:before="34"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给予警告，可以并处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5000</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6"/>
              </w:rPr>
              <w:t>元以下的罚款；逾期不改正的，处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5</w:t>
            </w:r>
            <w:r>
              <w:rPr>
                <w:rFonts w:ascii="FangSong_GB2312" w:hAnsi="FangSong_GB2312" w:eastAsia="FangSong_GB2312" w:cs="FangSong_GB2312"/>
                <w:sz w:val="24"/>
                <w:szCs w:val="24"/>
                <w:spacing w:val="-7"/>
              </w:rPr>
              <w:t>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元以上</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万元以下的罚款：</w:t>
            </w:r>
          </w:p>
        </w:tc>
      </w:tr>
    </w:tbl>
    <w:p>
      <w:pPr>
        <w:pStyle w:val="BodyText"/>
        <w:rPr/>
      </w:pPr>
      <w:r/>
    </w:p>
    <w:p>
      <w:pPr>
        <w:sectPr>
          <w:footerReference w:type="default" r:id="rId333"/>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5677" w:hRule="atLeast"/>
        </w:trPr>
        <w:tc>
          <w:tcPr>
            <w:tcW w:w="1420" w:type="dxa"/>
            <w:vAlign w:val="top"/>
          </w:tcPr>
          <w:p>
            <w:pPr>
              <w:rPr>
                <w:rFonts w:ascii="Arial"/>
                <w:sz w:val="21"/>
              </w:rPr>
            </w:pPr>
            <w:r/>
          </w:p>
        </w:tc>
        <w:tc>
          <w:tcPr>
            <w:tcW w:w="7004" w:type="dxa"/>
            <w:vAlign w:val="top"/>
            <w:gridSpan w:val="5"/>
          </w:tcPr>
          <w:p>
            <w:pPr>
              <w:ind w:left="109"/>
              <w:spacing w:before="4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（一）贮存设施或者设备不符合环境保护、卫生要求的；</w:t>
            </w:r>
          </w:p>
          <w:p>
            <w:pPr>
              <w:ind w:left="109"/>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（二）未将医疗废物按照类别分置于专用包装</w:t>
            </w:r>
            <w:r>
              <w:rPr>
                <w:rFonts w:ascii="FangSong_GB2312" w:hAnsi="FangSong_GB2312" w:eastAsia="FangSong_GB2312" w:cs="FangSong_GB2312"/>
                <w:sz w:val="24"/>
                <w:szCs w:val="24"/>
                <w:spacing w:val="-1"/>
              </w:rPr>
              <w:t>物或者容器的；</w:t>
            </w:r>
          </w:p>
          <w:p>
            <w:pPr>
              <w:ind w:left="113" w:right="174" w:hanging="4"/>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（三）未使用符合标准的专用车辆运送医疗废物</w:t>
            </w:r>
            <w:r>
              <w:rPr>
                <w:rFonts w:ascii="FangSong_GB2312" w:hAnsi="FangSong_GB2312" w:eastAsia="FangSong_GB2312" w:cs="FangSong_GB2312"/>
                <w:sz w:val="24"/>
                <w:szCs w:val="24"/>
                <w:spacing w:val="-1"/>
              </w:rPr>
              <w:t>或者使用运送医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疗废物的车辆运送其他物品的；</w:t>
            </w:r>
          </w:p>
          <w:p>
            <w:pPr>
              <w:ind w:left="120" w:right="174" w:hanging="11"/>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（四）未安装污染物排放在线监控装置或者监控</w:t>
            </w:r>
            <w:r>
              <w:rPr>
                <w:rFonts w:ascii="FangSong_GB2312" w:hAnsi="FangSong_GB2312" w:eastAsia="FangSong_GB2312" w:cs="FangSong_GB2312"/>
                <w:sz w:val="24"/>
                <w:szCs w:val="24"/>
                <w:spacing w:val="-1"/>
              </w:rPr>
              <w:t>装置未经常处于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正常运行状态的。</w:t>
            </w:r>
          </w:p>
          <w:p>
            <w:pPr>
              <w:spacing w:line="270" w:lineRule="auto"/>
              <w:rPr>
                <w:rFonts w:ascii="Arial"/>
                <w:sz w:val="21"/>
              </w:rPr>
            </w:pPr>
            <w:r/>
          </w:p>
          <w:p>
            <w:pPr>
              <w:ind w:left="13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《医疗废物管理行政处罚办法》</w:t>
            </w:r>
          </w:p>
          <w:p>
            <w:pPr>
              <w:ind w:left="111" w:right="107" w:firstLine="14"/>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第六条</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医疗废物集中处置单位有《条例》第</w:t>
            </w:r>
            <w:r>
              <w:rPr>
                <w:rFonts w:ascii="FangSong_GB2312" w:hAnsi="FangSong_GB2312" w:eastAsia="FangSong_GB2312" w:cs="FangSong_GB2312"/>
                <w:sz w:val="24"/>
                <w:szCs w:val="24"/>
                <w:spacing w:val="-5"/>
              </w:rPr>
              <w:t>四十六条规定的下列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情形之一的，由县级以上地方人民政府环境</w:t>
            </w:r>
            <w:r>
              <w:rPr>
                <w:rFonts w:ascii="FangSong_GB2312" w:hAnsi="FangSong_GB2312" w:eastAsia="FangSong_GB2312" w:cs="FangSong_GB2312"/>
                <w:sz w:val="24"/>
                <w:szCs w:val="24"/>
                <w:spacing w:val="-1"/>
              </w:rPr>
              <w:t>保护行政主管部门责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令限期改正，给予警告，可以并处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3"/>
              </w:rPr>
              <w:t>5000</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4"/>
              </w:rPr>
              <w:t>元以下的罚款，逾期不改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正的，处</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5"/>
              </w:rPr>
              <w:t>元以上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万元以下的罚款：</w:t>
            </w:r>
          </w:p>
          <w:p>
            <w:pPr>
              <w:ind w:left="109"/>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贮存设施或者设备不符合环境保护</w:t>
            </w:r>
            <w:r>
              <w:rPr>
                <w:rFonts w:ascii="FangSong_GB2312" w:hAnsi="FangSong_GB2312" w:eastAsia="FangSong_GB2312" w:cs="FangSong_GB2312"/>
                <w:sz w:val="24"/>
                <w:szCs w:val="24"/>
                <w:spacing w:val="-1"/>
              </w:rPr>
              <w:t>、卫生要求的；</w:t>
            </w:r>
          </w:p>
          <w:p>
            <w:pPr>
              <w:ind w:left="109"/>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未将医疗废物按照类别分置于专用包装</w:t>
            </w:r>
            <w:r>
              <w:rPr>
                <w:rFonts w:ascii="FangSong_GB2312" w:hAnsi="FangSong_GB2312" w:eastAsia="FangSong_GB2312" w:cs="FangSong_GB2312"/>
                <w:sz w:val="24"/>
                <w:szCs w:val="24"/>
                <w:spacing w:val="-1"/>
              </w:rPr>
              <w:t>物或者容器的；</w:t>
            </w:r>
          </w:p>
          <w:p>
            <w:pPr>
              <w:ind w:left="113" w:right="107" w:hanging="4"/>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
              </w:rPr>
              <w:t>未使用符合标准的专用车辆运送医疗废物或者使用运送医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疗废物的车辆运送其他物品的；</w:t>
            </w:r>
          </w:p>
          <w:p>
            <w:pPr>
              <w:ind w:left="120" w:right="174" w:hanging="11"/>
              <w:spacing w:before="3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（四）未安装污染物排放在线监控装置或者监控</w:t>
            </w:r>
            <w:r>
              <w:rPr>
                <w:rFonts w:ascii="FangSong_GB2312" w:hAnsi="FangSong_GB2312" w:eastAsia="FangSong_GB2312" w:cs="FangSong_GB2312"/>
                <w:sz w:val="24"/>
                <w:szCs w:val="24"/>
                <w:spacing w:val="-1"/>
              </w:rPr>
              <w:t>装置未经常处于</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正常运行状态的。</w:t>
            </w:r>
          </w:p>
        </w:tc>
      </w:tr>
      <w:tr>
        <w:trPr>
          <w:trHeight w:val="634"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7"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3" w:lineRule="auto"/>
              <w:rPr>
                <w:rFonts w:ascii="Arial"/>
                <w:sz w:val="21"/>
              </w:rPr>
            </w:pPr>
            <w:r/>
          </w:p>
          <w:p>
            <w:pPr>
              <w:ind w:left="25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医疗机构级别</w:t>
            </w:r>
          </w:p>
        </w:tc>
        <w:tc>
          <w:tcPr>
            <w:tcW w:w="792" w:type="dxa"/>
            <w:vAlign w:val="top"/>
            <w:vMerge w:val="restart"/>
            <w:tcBorders>
              <w:bottom w:val="nil"/>
            </w:tcBorders>
          </w:tcPr>
          <w:p>
            <w:pPr>
              <w:spacing w:line="442"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一级医疗卫生机构的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二级医疗卫生机构的</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4"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3" w:right="329" w:firstLine="10"/>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三级医疗卫生机构/医疗废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3"/>
              </w:rPr>
              <w:t>物集中处置单位的</w:t>
            </w:r>
          </w:p>
        </w:tc>
        <w:tc>
          <w:tcPr>
            <w:tcW w:w="1062" w:type="dxa"/>
            <w:vAlign w:val="top"/>
          </w:tcPr>
          <w:p>
            <w:pPr>
              <w:ind w:left="12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0" w:type="dxa"/>
            <w:vAlign w:val="top"/>
            <w:gridSpan w:val="2"/>
            <w:vMerge w:val="restart"/>
            <w:tcBorders>
              <w:bottom w:val="nil"/>
            </w:tcBorders>
          </w:tcPr>
          <w:p>
            <w:pPr>
              <w:spacing w:line="449"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3" w:lineRule="auto"/>
              <w:rPr>
                <w:rFonts w:ascii="Arial"/>
                <w:sz w:val="21"/>
              </w:rPr>
            </w:pPr>
            <w:r/>
          </w:p>
          <w:p>
            <w:pPr>
              <w:ind w:left="837"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gridSpan w:val="2"/>
            <w:vMerge w:val="restart"/>
            <w:tcBorders>
              <w:bottom w:val="nil"/>
            </w:tcBorders>
          </w:tcPr>
          <w:p>
            <w:pPr>
              <w:spacing w:line="445"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6" w:lineRule="auto"/>
              <w:rPr>
                <w:rFonts w:ascii="Arial"/>
                <w:sz w:val="21"/>
              </w:rPr>
            </w:pPr>
            <w:r/>
          </w:p>
          <w:p>
            <w:pPr>
              <w:ind w:left="227"/>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gridSpan w:val="2"/>
            <w:vMerge w:val="restart"/>
            <w:tcBorders>
              <w:bottom w:val="nil"/>
            </w:tcBorders>
          </w:tcPr>
          <w:p>
            <w:pPr>
              <w:ind w:left="391" w:right="135" w:hanging="23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87" w:hRule="atLeast"/>
        </w:trPr>
        <w:tc>
          <w:tcPr>
            <w:tcW w:w="1480" w:type="dxa"/>
            <w:vAlign w:val="top"/>
            <w:gridSpan w:val="2"/>
            <w:vMerge w:val="restart"/>
            <w:tcBorders>
              <w:bottom w:val="nil"/>
            </w:tcBorders>
          </w:tcPr>
          <w:p>
            <w:pPr>
              <w:ind w:left="148"/>
              <w:spacing w:before="13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13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6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2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2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34"/>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731" w:hRule="atLeast"/>
        </w:trPr>
        <w:tc>
          <w:tcPr>
            <w:tcW w:w="8424" w:type="dxa"/>
            <w:vAlign w:val="top"/>
            <w:gridSpan w:val="6"/>
          </w:tcPr>
          <w:p>
            <w:pPr>
              <w:ind w:left="210"/>
              <w:spacing w:before="124" w:line="231"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20" w:type="dxa"/>
            <w:vAlign w:val="top"/>
          </w:tcPr>
          <w:p>
            <w:pPr>
              <w:ind w:left="43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168</w:t>
            </w:r>
          </w:p>
        </w:tc>
      </w:tr>
      <w:tr>
        <w:trPr>
          <w:trHeight w:val="635" w:hRule="atLeast"/>
        </w:trPr>
        <w:tc>
          <w:tcPr>
            <w:tcW w:w="1420" w:type="dxa"/>
            <w:vAlign w:val="top"/>
          </w:tcPr>
          <w:p>
            <w:pPr>
              <w:ind w:left="122"/>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3" w:right="174" w:firstLine="2"/>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在运送过程中丢弃医疗废物，在非贮存地点倾倒、堆放医疗废物</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或者将医疗废物混入其他废物和生活垃圾的</w:t>
            </w:r>
          </w:p>
        </w:tc>
      </w:tr>
      <w:tr>
        <w:trPr>
          <w:trHeight w:val="7247" w:hRule="atLeast"/>
        </w:trPr>
        <w:tc>
          <w:tcPr>
            <w:tcW w:w="1420"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10" w:right="107" w:firstLine="15"/>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禁止在运送过程中丢弃医疗废物；禁</w:t>
            </w:r>
            <w:r>
              <w:rPr>
                <w:rFonts w:ascii="FangSong_GB2312" w:hAnsi="FangSong_GB2312" w:eastAsia="FangSong_GB2312" w:cs="FangSong_GB2312"/>
                <w:sz w:val="24"/>
                <w:szCs w:val="24"/>
                <w:spacing w:val="-4"/>
              </w:rPr>
              <w:t>止在非贮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存地点倾倒、堆放医疗废物或者将医疗废物混</w:t>
            </w:r>
            <w:r>
              <w:rPr>
                <w:rFonts w:ascii="FangSong_GB2312" w:hAnsi="FangSong_GB2312" w:eastAsia="FangSong_GB2312" w:cs="FangSong_GB2312"/>
                <w:sz w:val="24"/>
                <w:szCs w:val="24"/>
                <w:spacing w:val="-1"/>
              </w:rPr>
              <w:t>入其他废物和生活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垃圾。</w:t>
            </w:r>
          </w:p>
          <w:p>
            <w:pPr>
              <w:spacing w:line="266"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《医疗废物管理条例》</w:t>
            </w:r>
          </w:p>
          <w:p>
            <w:pPr>
              <w:ind w:left="113" w:right="107" w:firstLine="12"/>
              <w:spacing w:before="34"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第四十七条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医疗卫生机构、医疗废物集中处置单位有下列情形之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一的，由县级以上地方人民政府卫生行政主管部门或者环境保护</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9"/>
              </w:rPr>
              <w:t>行政主管部门按照各自的职责责令限期改正，给予警告，并处</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9"/>
              </w:rPr>
              <w:t>5000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元以上</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万元以下的罚款；逾期不改正的，处</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以下的罚款；造成传染病传播或者环境污染事故的，由原发证部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门暂扣或者吊销执业许可证件或者经营许可证件；构成犯罪的，</w:t>
            </w:r>
          </w:p>
          <w:p>
            <w:pPr>
              <w:ind w:left="109"/>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依法追究刑事责任:</w:t>
            </w:r>
          </w:p>
          <w:p>
            <w:pPr>
              <w:ind w:left="113" w:right="107" w:hanging="4"/>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在运送过程中丢弃医疗废物，在非贮存地点倾倒、堆放医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疗废物或者将医疗废物混入其他废物和生活垃圾的；</w:t>
            </w:r>
          </w:p>
          <w:p>
            <w:pPr>
              <w:spacing w:line="273" w:lineRule="auto"/>
              <w:rPr>
                <w:rFonts w:ascii="Arial"/>
                <w:sz w:val="21"/>
              </w:rPr>
            </w:pPr>
            <w:r/>
          </w:p>
          <w:p>
            <w:pPr>
              <w:ind w:left="13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《医疗废物管理行政处罚办法》</w:t>
            </w:r>
          </w:p>
          <w:p>
            <w:pPr>
              <w:ind w:left="107" w:right="174" w:firstLine="18"/>
              <w:spacing w:before="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第八条</w:t>
            </w:r>
            <w:r>
              <w:rPr>
                <w:rFonts w:ascii="FangSong_GB2312" w:hAnsi="FangSong_GB2312" w:eastAsia="FangSong_GB2312" w:cs="FangSong_GB2312"/>
                <w:sz w:val="24"/>
                <w:szCs w:val="24"/>
                <w:spacing w:val="120"/>
              </w:rPr>
              <w:t xml:space="preserve"> </w:t>
            </w:r>
            <w:r>
              <w:rPr>
                <w:rFonts w:ascii="FangSong_GB2312" w:hAnsi="FangSong_GB2312" w:eastAsia="FangSong_GB2312" w:cs="FangSong_GB2312"/>
                <w:sz w:val="24"/>
                <w:szCs w:val="24"/>
                <w:spacing w:val="-3"/>
              </w:rPr>
              <w:t>医疗废物集中处置单位有《条例》第四十七条规定的情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形，在运送过程中丢弃医疗废物，在非贮存地点倾倒、</w:t>
            </w:r>
            <w:r>
              <w:rPr>
                <w:rFonts w:ascii="FangSong_GB2312" w:hAnsi="FangSong_GB2312" w:eastAsia="FangSong_GB2312" w:cs="FangSong_GB2312"/>
                <w:sz w:val="24"/>
                <w:szCs w:val="24"/>
                <w:spacing w:val="-1"/>
              </w:rPr>
              <w:t>堆放医疗</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废物或者将医疗废物混入其他废物和生活垃圾的，由县</w:t>
            </w:r>
            <w:r>
              <w:rPr>
                <w:rFonts w:ascii="FangSong_GB2312" w:hAnsi="FangSong_GB2312" w:eastAsia="FangSong_GB2312" w:cs="FangSong_GB2312"/>
                <w:sz w:val="24"/>
                <w:szCs w:val="24"/>
                <w:spacing w:val="-1"/>
              </w:rPr>
              <w:t>级以上地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方人民政府环境保护行政主管部门依照《</w:t>
            </w:r>
            <w:hyperlink w:history="true" r:id="rId331">
              <w:r>
                <w:rPr>
                  <w:rFonts w:ascii="FangSong_GB2312" w:hAnsi="FangSong_GB2312" w:eastAsia="FangSong_GB2312" w:cs="FangSong_GB2312"/>
                  <w:sz w:val="24"/>
                  <w:szCs w:val="24"/>
                </w:rPr>
                <w:t>中华人民共和</w:t>
              </w:r>
              <w:r>
                <w:rPr>
                  <w:rFonts w:ascii="FangSong_GB2312" w:hAnsi="FangSong_GB2312" w:eastAsia="FangSong_GB2312" w:cs="FangSong_GB2312"/>
                  <w:sz w:val="24"/>
                  <w:szCs w:val="24"/>
                  <w:spacing w:val="-1"/>
                </w:rPr>
                <w:t>国固体废</w:t>
              </w:r>
            </w:hyperlink>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物污染环境防治法》第七十五条规定责令停止违法行为</w:t>
            </w:r>
            <w:r>
              <w:rPr>
                <w:rFonts w:ascii="FangSong_GB2312" w:hAnsi="FangSong_GB2312" w:eastAsia="FangSong_GB2312" w:cs="FangSong_GB2312"/>
                <w:sz w:val="24"/>
                <w:szCs w:val="24"/>
                <w:spacing w:val="-1"/>
              </w:rPr>
              <w:t>，限期改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正，处一万元以上十万元以下的罚款。</w:t>
            </w:r>
          </w:p>
        </w:tc>
      </w:tr>
      <w:tr>
        <w:trPr>
          <w:trHeight w:val="635" w:hRule="atLeast"/>
        </w:trPr>
        <w:tc>
          <w:tcPr>
            <w:tcW w:w="4161" w:type="dxa"/>
            <w:vAlign w:val="top"/>
            <w:gridSpan w:val="4"/>
          </w:tcPr>
          <w:p>
            <w:pPr>
              <w:ind w:left="1527"/>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ind w:left="508" w:right="135"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涉及医疗废物</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吨以下的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47" w:right="209" w:hanging="17"/>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涉及医疗废物</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1"/>
              </w:rPr>
              <w:t>吨以上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1"/>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以下的</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涉及医疗废物</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吨以上的</w:t>
            </w:r>
          </w:p>
        </w:tc>
        <w:tc>
          <w:tcPr>
            <w:tcW w:w="1062"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混合量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9"/>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吨以下的</w:t>
            </w:r>
          </w:p>
        </w:tc>
        <w:tc>
          <w:tcPr>
            <w:tcW w:w="1062" w:type="dxa"/>
            <w:vAlign w:val="top"/>
          </w:tcPr>
          <w:p>
            <w:pPr>
              <w:ind w:left="19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混合量</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吨以上</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0"/>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0"/>
              </w:rPr>
              <w:t>吨以下的</w:t>
            </w:r>
          </w:p>
        </w:tc>
        <w:tc>
          <w:tcPr>
            <w:tcW w:w="1062"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混合量</w:t>
            </w:r>
            <w:r>
              <w:rPr>
                <w:rFonts w:ascii="FangSong_GB2312" w:hAnsi="FangSong_GB2312" w:eastAsia="FangSong_GB2312" w:cs="FangSong_GB2312"/>
                <w:sz w:val="24"/>
                <w:szCs w:val="24"/>
                <w:spacing w:val="-40"/>
              </w:rPr>
              <w:t xml:space="preserve"> </w:t>
            </w:r>
            <w:r>
              <w:rPr>
                <w:rFonts w:ascii="FangSong_GB2312" w:hAnsi="FangSong_GB2312" w:eastAsia="FangSong_GB2312" w:cs="FangSong_GB2312"/>
                <w:sz w:val="24"/>
                <w:szCs w:val="24"/>
                <w:spacing w:val="-9"/>
              </w:rPr>
              <w:t>5</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9"/>
              </w:rPr>
              <w:t>吨以上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9"/>
              </w:rPr>
              <w:t>10</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9"/>
              </w:rPr>
              <w:t>吨以下的</w:t>
            </w:r>
          </w:p>
        </w:tc>
        <w:tc>
          <w:tcPr>
            <w:tcW w:w="1062" w:type="dxa"/>
            <w:vAlign w:val="top"/>
          </w:tcPr>
          <w:p>
            <w:pPr>
              <w:ind w:left="12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2"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混合量</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吨以上的</w:t>
            </w:r>
          </w:p>
        </w:tc>
        <w:tc>
          <w:tcPr>
            <w:tcW w:w="1062" w:type="dxa"/>
            <w:vAlign w:val="top"/>
          </w:tcPr>
          <w:p>
            <w:pPr>
              <w:ind w:left="13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bl>
    <w:p>
      <w:pPr>
        <w:pStyle w:val="BodyText"/>
        <w:rPr/>
      </w:pPr>
      <w:r/>
    </w:p>
    <w:p>
      <w:pPr>
        <w:sectPr>
          <w:footerReference w:type="default" r:id="rId335"/>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324" w:hRule="atLeast"/>
        </w:trPr>
        <w:tc>
          <w:tcPr>
            <w:tcW w:w="1480" w:type="dxa"/>
            <w:vAlign w:val="top"/>
            <w:vMerge w:val="restart"/>
            <w:tcBorders>
              <w:bottom w:val="nil"/>
            </w:tcBorders>
          </w:tcPr>
          <w:p>
            <w:pPr>
              <w:spacing w:line="448"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vMerge w:val="restart"/>
            <w:tcBorders>
              <w:bottom w:val="nil"/>
            </w:tcBorders>
          </w:tcPr>
          <w:p>
            <w:pPr>
              <w:spacing w:line="442"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3" w:lineRule="auto"/>
              <w:rPr>
                <w:rFonts w:ascii="Arial"/>
                <w:sz w:val="21"/>
              </w:rPr>
            </w:pPr>
            <w:r/>
          </w:p>
          <w:p>
            <w:pPr>
              <w:ind w:left="227"/>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2"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vMerge w:val="restart"/>
            <w:tcBorders>
              <w:bottom w:val="nil"/>
            </w:tcBorders>
          </w:tcPr>
          <w:p>
            <w:pPr>
              <w:ind w:left="391" w:right="135" w:hanging="23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4" w:hRule="atLeast"/>
        </w:trPr>
        <w:tc>
          <w:tcPr>
            <w:tcW w:w="1480" w:type="dxa"/>
            <w:vAlign w:val="top"/>
            <w:vMerge w:val="restart"/>
            <w:tcBorders>
              <w:bottom w:val="nil"/>
            </w:tcBorders>
          </w:tcPr>
          <w:p>
            <w:pPr>
              <w:ind w:left="148"/>
              <w:spacing w:before="19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19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433"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9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9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36"/>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731" w:hRule="atLeast"/>
        </w:trPr>
        <w:tc>
          <w:tcPr>
            <w:tcW w:w="8424" w:type="dxa"/>
            <w:vAlign w:val="top"/>
            <w:gridSpan w:val="6"/>
          </w:tcPr>
          <w:p>
            <w:pPr>
              <w:ind w:left="210"/>
              <w:spacing w:before="124" w:line="231"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5" w:hRule="atLeast"/>
        </w:trPr>
        <w:tc>
          <w:tcPr>
            <w:tcW w:w="1420" w:type="dxa"/>
            <w:vAlign w:val="top"/>
          </w:tcPr>
          <w:p>
            <w:pPr>
              <w:ind w:left="43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169</w:t>
            </w:r>
          </w:p>
        </w:tc>
      </w:tr>
      <w:tr>
        <w:trPr>
          <w:trHeight w:val="949" w:hRule="atLeast"/>
        </w:trPr>
        <w:tc>
          <w:tcPr>
            <w:tcW w:w="1420" w:type="dxa"/>
            <w:vAlign w:val="top"/>
          </w:tcPr>
          <w:p>
            <w:pPr>
              <w:rPr>
                <w:rFonts w:ascii="Arial"/>
                <w:sz w:val="21"/>
              </w:rPr>
            </w:pPr>
            <w:r/>
          </w:p>
          <w:p>
            <w:pPr>
              <w:ind w:left="122"/>
              <w:spacing w:before="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09"/>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未执行危险废物转移联单管理制度的；</w:t>
            </w:r>
          </w:p>
          <w:p>
            <w:pPr>
              <w:ind w:left="115" w:right="107" w:hanging="6"/>
              <w:spacing w:before="37"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
              </w:rPr>
              <w:t>将医疗废物交给或委托给未取得经营许可证的单位或者个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人收集、运送、贮存、处置的。</w:t>
            </w:r>
          </w:p>
        </w:tc>
      </w:tr>
      <w:tr>
        <w:trPr>
          <w:trHeight w:val="9136" w:hRule="atLeast"/>
        </w:trPr>
        <w:tc>
          <w:tcPr>
            <w:tcW w:w="1420"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22" w:right="107" w:firstLine="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第十一条</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5"/>
              </w:rPr>
              <w:t>医疗卫生机构和医疗废物集中处置单位，应当依照《中</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华人民共和国固体废物污染环境防治法》的规定，执行危险废物</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转移联单管理制度。</w:t>
            </w:r>
          </w:p>
          <w:p>
            <w:pPr>
              <w:ind w:left="115" w:right="107" w:firstLine="10"/>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第二十二条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从事医疗废物集中处置活动的单位，应当向县级</w:t>
            </w:r>
            <w:r>
              <w:rPr>
                <w:rFonts w:ascii="FangSong_GB2312" w:hAnsi="FangSong_GB2312" w:eastAsia="FangSong_GB2312" w:cs="FangSong_GB2312"/>
                <w:sz w:val="24"/>
                <w:szCs w:val="24"/>
                <w:spacing w:val="-4"/>
              </w:rPr>
              <w:t>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人民政府环境保护行政主管部门申请领取经营许可证；未取得经</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营许可证的单位，不得从事有关医疗废物集中处置的活动。</w:t>
            </w:r>
          </w:p>
          <w:p>
            <w:pPr>
              <w:spacing w:line="270" w:lineRule="auto"/>
              <w:rPr>
                <w:rFonts w:ascii="Arial"/>
                <w:sz w:val="21"/>
              </w:rPr>
            </w:pPr>
            <w:r/>
          </w:p>
          <w:p>
            <w:pPr>
              <w:ind w:left="12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《医疗废物管理条例》</w:t>
            </w:r>
          </w:p>
          <w:p>
            <w:pPr>
              <w:ind w:left="113" w:right="107" w:firstLine="12"/>
              <w:spacing w:before="35"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第四十七条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医疗卫生机构、医疗废物集中处置单位有下列情形之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一的，由县级以上地方人民政府卫生行政主管部门或者环境保护</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9"/>
              </w:rPr>
              <w:t>行政主管部门按照各自的职责责令限期改正，给予警告，并处</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9"/>
              </w:rPr>
              <w:t>5000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元以上</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万元以下的罚款；逾期不改正的，处</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以下的罚款；造成传染病传播或者环境污染事故的，由原发证部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门暂扣或者吊销执业许可证件或者经营许可证件；构成犯罪的，</w:t>
            </w:r>
          </w:p>
          <w:p>
            <w:pPr>
              <w:ind w:left="109"/>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依法追究刑事责任:</w:t>
            </w:r>
          </w:p>
          <w:p>
            <w:pPr>
              <w:ind w:left="109"/>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未执行危险废物转移联单管理制度的；</w:t>
            </w:r>
          </w:p>
          <w:p>
            <w:pPr>
              <w:ind w:left="114" w:right="103" w:hanging="5"/>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（三）</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将医疗废物交给未取得经营许可证的单位或者个人收集、</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运送、贮存、处置的；</w:t>
            </w:r>
          </w:p>
          <w:p>
            <w:pPr>
              <w:spacing w:line="269" w:lineRule="auto"/>
              <w:rPr>
                <w:rFonts w:ascii="Arial"/>
                <w:sz w:val="21"/>
              </w:rPr>
            </w:pPr>
            <w:r/>
          </w:p>
          <w:p>
            <w:pPr>
              <w:ind w:left="13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《医疗废物管理行政处罚办法》</w:t>
            </w:r>
          </w:p>
          <w:p>
            <w:pPr>
              <w:ind w:left="119" w:right="107" w:firstLine="6"/>
              <w:spacing w:before="37"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第十条</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医疗卫生机构、医疗废物集中处置单</w:t>
            </w:r>
            <w:r>
              <w:rPr>
                <w:rFonts w:ascii="FangSong_GB2312" w:hAnsi="FangSong_GB2312" w:eastAsia="FangSong_GB2312" w:cs="FangSong_GB2312"/>
                <w:sz w:val="24"/>
                <w:szCs w:val="24"/>
                <w:spacing w:val="-5"/>
              </w:rPr>
              <w:t>位有《条例》第四十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七条规定的下列情形之一的，由县级以上人民政府环境保护行政</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主管部门依照《中华人民共和国固体废物污染环境防治法》第七</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十五条规定责令停止违法行为，限期改正，处二万元以上二十万</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3"/>
              </w:rPr>
              <w:t>元以下的罚款：</w:t>
            </w:r>
          </w:p>
          <w:p>
            <w:pPr>
              <w:ind w:left="589"/>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（一）未执行危险废物转移联单管理制度的；</w:t>
            </w:r>
          </w:p>
          <w:p>
            <w:pPr>
              <w:ind w:left="115" w:right="174" w:firstLine="473"/>
              <w:spacing w:before="37"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（二）将医疗废物交给或委托给未取得经营</w:t>
            </w:r>
            <w:r>
              <w:rPr>
                <w:rFonts w:ascii="FangSong_GB2312" w:hAnsi="FangSong_GB2312" w:eastAsia="FangSong_GB2312" w:cs="FangSong_GB2312"/>
                <w:sz w:val="24"/>
                <w:szCs w:val="24"/>
                <w:spacing w:val="-1"/>
              </w:rPr>
              <w:t>许可证的单位或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者个人收集、运送、贮存、处置的。</w:t>
            </w:r>
          </w:p>
        </w:tc>
      </w:tr>
      <w:tr>
        <w:trPr>
          <w:trHeight w:val="635" w:hRule="atLeast"/>
        </w:trPr>
        <w:tc>
          <w:tcPr>
            <w:tcW w:w="4161" w:type="dxa"/>
            <w:vAlign w:val="top"/>
            <w:gridSpan w:val="4"/>
          </w:tcPr>
          <w:p>
            <w:pPr>
              <w:ind w:left="1527"/>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2"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1"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3" w:hRule="atLeast"/>
        </w:trPr>
        <w:tc>
          <w:tcPr>
            <w:tcW w:w="1480" w:type="dxa"/>
            <w:vAlign w:val="top"/>
            <w:gridSpan w:val="2"/>
          </w:tcPr>
          <w:p>
            <w:pPr>
              <w:ind w:left="148"/>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p>
        </w:tc>
        <w:tc>
          <w:tcPr>
            <w:tcW w:w="1889" w:type="dxa"/>
            <w:vAlign w:val="top"/>
          </w:tcPr>
          <w:p>
            <w:pPr>
              <w:ind w:left="234"/>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tcPr>
          <w:p>
            <w:pPr>
              <w:ind w:left="229"/>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0"/>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涉及医疗废物</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吨以下的</w:t>
            </w:r>
          </w:p>
        </w:tc>
        <w:tc>
          <w:tcPr>
            <w:tcW w:w="1062" w:type="dxa"/>
            <w:vAlign w:val="top"/>
          </w:tcPr>
          <w:p>
            <w:pPr>
              <w:ind w:left="193"/>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337"/>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9" w:hRule="atLeast"/>
        </w:trPr>
        <w:tc>
          <w:tcPr>
            <w:tcW w:w="1480" w:type="dxa"/>
            <w:vAlign w:val="top"/>
            <w:vMerge w:val="restart"/>
            <w:tcBorders>
              <w:bottom w:val="nil"/>
            </w:tcBorders>
          </w:tcPr>
          <w:p>
            <w:pPr>
              <w:ind w:left="509"/>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47" w:right="209" w:hanging="17"/>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涉及医疗废物</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1"/>
              </w:rPr>
              <w:t>吨以上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1"/>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以下的</w:t>
            </w:r>
          </w:p>
        </w:tc>
        <w:tc>
          <w:tcPr>
            <w:tcW w:w="1062" w:type="dxa"/>
            <w:vAlign w:val="top"/>
          </w:tcPr>
          <w:p>
            <w:pPr>
              <w:ind w:left="13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0"/>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涉及医疗废物</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吨以上的</w:t>
            </w:r>
          </w:p>
        </w:tc>
        <w:tc>
          <w:tcPr>
            <w:tcW w:w="1062" w:type="dxa"/>
            <w:vAlign w:val="top"/>
          </w:tcPr>
          <w:p>
            <w:pPr>
              <w:ind w:left="128"/>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413" w:hRule="atLeast"/>
        </w:trPr>
        <w:tc>
          <w:tcPr>
            <w:tcW w:w="1480"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337" w:lineRule="auto"/>
              <w:rPr>
                <w:rFonts w:ascii="Arial"/>
                <w:sz w:val="21"/>
              </w:rPr>
            </w:pPr>
            <w:r/>
          </w:p>
          <w:p>
            <w:pPr>
              <w:ind w:left="837"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8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vMerge w:val="restart"/>
            <w:tcBorders>
              <w:bottom w:val="nil"/>
            </w:tcBorders>
          </w:tcPr>
          <w:p>
            <w:pPr>
              <w:spacing w:line="441"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2" w:lineRule="auto"/>
              <w:rPr>
                <w:rFonts w:ascii="Arial"/>
                <w:sz w:val="21"/>
              </w:rPr>
            </w:pPr>
            <w:r/>
          </w:p>
          <w:p>
            <w:pPr>
              <w:ind w:left="227"/>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2"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0" w:type="dxa"/>
            <w:vAlign w:val="top"/>
            <w:vMerge w:val="restart"/>
            <w:tcBorders>
              <w:bottom w:val="nil"/>
            </w:tcBorders>
          </w:tcPr>
          <w:p>
            <w:pPr>
              <w:ind w:left="391" w:right="135" w:hanging="23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41" w:hRule="atLeast"/>
        </w:trPr>
        <w:tc>
          <w:tcPr>
            <w:tcW w:w="1480" w:type="dxa"/>
            <w:vAlign w:val="top"/>
            <w:vMerge w:val="restart"/>
            <w:tcBorders>
              <w:bottom w:val="nil"/>
            </w:tcBorders>
          </w:tcPr>
          <w:p>
            <w:pPr>
              <w:ind w:left="148"/>
              <w:spacing w:before="5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5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9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5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5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38"/>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688" w:hRule="atLeast"/>
        </w:trPr>
        <w:tc>
          <w:tcPr>
            <w:tcW w:w="8424" w:type="dxa"/>
            <w:vAlign w:val="top"/>
            <w:gridSpan w:val="6"/>
          </w:tcPr>
          <w:p>
            <w:pPr>
              <w:ind w:left="210"/>
              <w:spacing w:before="104" w:line="22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4" w:hRule="atLeast"/>
        </w:trPr>
        <w:tc>
          <w:tcPr>
            <w:tcW w:w="1420" w:type="dxa"/>
            <w:vAlign w:val="top"/>
          </w:tcPr>
          <w:p>
            <w:pPr>
              <w:ind w:left="436"/>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170</w:t>
            </w:r>
          </w:p>
        </w:tc>
      </w:tr>
      <w:tr>
        <w:trPr>
          <w:trHeight w:val="635" w:hRule="atLeast"/>
        </w:trPr>
        <w:tc>
          <w:tcPr>
            <w:tcW w:w="1420" w:type="dxa"/>
            <w:vAlign w:val="top"/>
          </w:tcPr>
          <w:p>
            <w:pPr>
              <w:ind w:left="122"/>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33" w:right="174" w:hanging="15"/>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对医疗废物的处置不符合国家规定的环境保护、卫生标准、规范</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rPr>
              <w:t>的</w:t>
            </w:r>
          </w:p>
        </w:tc>
      </w:tr>
      <w:tr>
        <w:trPr>
          <w:trHeight w:val="6932" w:hRule="atLeast"/>
        </w:trPr>
        <w:tc>
          <w:tcPr>
            <w:tcW w:w="1420"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21" w:right="107" w:firstLine="4"/>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第二十九条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医疗废物集中处置单位处置医疗废物，应当符合国家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规定的环境保护、卫生标准、规范。</w:t>
            </w:r>
          </w:p>
          <w:p>
            <w:pPr>
              <w:spacing w:line="274"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《医疗废物管理条例》</w:t>
            </w:r>
          </w:p>
          <w:p>
            <w:pPr>
              <w:ind w:left="113" w:right="107" w:firstLine="12"/>
              <w:spacing w:before="40"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第四十七条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医疗卫生机构、医疗废物集中处置单位有下列情形之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一的，由县级以上地方人民政府卫生行政主管部门或者环境保护</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9"/>
              </w:rPr>
              <w:t>行政主管部门按照各自的职责责令限期改正，给予警告，并处</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9"/>
              </w:rPr>
              <w:t>5000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元以上</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万元以下的罚款；逾期不改正的，处</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以下的罚款；造成传染病传播或者环境污染事故的，由原发证部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门暂扣或者吊销执业许可证件或者经营许可证件；构成犯罪的，</w:t>
            </w:r>
          </w:p>
          <w:p>
            <w:pPr>
              <w:ind w:left="109"/>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依法追究刑事责任：</w:t>
            </w:r>
          </w:p>
          <w:p>
            <w:pPr>
              <w:ind w:left="120" w:right="36" w:hanging="1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（四）对医疗废物的处置不符合国家规定的环境保护、卫生标准、</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5"/>
              </w:rPr>
              <w:t>规范的；</w:t>
            </w:r>
          </w:p>
          <w:p>
            <w:pPr>
              <w:spacing w:line="272" w:lineRule="auto"/>
              <w:rPr>
                <w:rFonts w:ascii="Arial"/>
                <w:sz w:val="21"/>
              </w:rPr>
            </w:pPr>
            <w:r/>
          </w:p>
          <w:p>
            <w:pPr>
              <w:ind w:left="132"/>
              <w:spacing w:before="79"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《医疗废物管理行政处罚办法》</w:t>
            </w:r>
          </w:p>
          <w:p>
            <w:pPr>
              <w:ind w:left="118" w:right="107" w:firstLine="7"/>
              <w:spacing w:before="1" w:line="24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第九条</w:t>
            </w:r>
            <w:r>
              <w:rPr>
                <w:rFonts w:ascii="FangSong_GB2312" w:hAnsi="FangSong_GB2312" w:eastAsia="FangSong_GB2312" w:cs="FangSong_GB2312"/>
                <w:sz w:val="24"/>
                <w:szCs w:val="24"/>
                <w:spacing w:val="38"/>
              </w:rPr>
              <w:t xml:space="preserve"> </w:t>
            </w:r>
            <w:hyperlink w:history="true" r:id="rId327">
              <w:r>
                <w:rPr>
                  <w:rFonts w:ascii="FangSong_GB2312" w:hAnsi="FangSong_GB2312" w:eastAsia="FangSong_GB2312" w:cs="FangSong_GB2312"/>
                  <w:sz w:val="24"/>
                  <w:szCs w:val="24"/>
                  <w:spacing w:val="-4"/>
                </w:rPr>
                <w:t>医疗废物集中处置单位和依照《条例</w:t>
              </w:r>
              <w:r>
                <w:rPr>
                  <w:rFonts w:ascii="FangSong_GB2312" w:hAnsi="FangSong_GB2312" w:eastAsia="FangSong_GB2312" w:cs="FangSong_GB2312"/>
                  <w:sz w:val="24"/>
                  <w:szCs w:val="24"/>
                  <w:spacing w:val="-5"/>
                </w:rPr>
                <w:t>》</w:t>
              </w:r>
            </w:hyperlink>
            <w:r>
              <w:rPr>
                <w:rFonts w:ascii="FangSong_GB2312" w:hAnsi="FangSong_GB2312" w:eastAsia="FangSong_GB2312" w:cs="FangSong_GB2312"/>
                <w:sz w:val="24"/>
                <w:szCs w:val="24"/>
                <w:spacing w:val="-5"/>
              </w:rPr>
              <w:t>自行建有医疗废物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处置设施的医疗卫生机构，</w:t>
            </w:r>
            <w:hyperlink w:history="true" r:id="rId327">
              <w:r>
                <w:rPr>
                  <w:rFonts w:ascii="FangSong_GB2312" w:hAnsi="FangSong_GB2312" w:eastAsia="FangSong_GB2312" w:cs="FangSong_GB2312"/>
                  <w:sz w:val="24"/>
                  <w:szCs w:val="24"/>
                </w:rPr>
                <w:t>有《条例》</w:t>
              </w:r>
            </w:hyperlink>
            <w:hyperlink w:history="true" r:id="rId340">
              <w:r>
                <w:rPr>
                  <w:rFonts w:ascii="FangSong_GB2312" w:hAnsi="FangSong_GB2312" w:eastAsia="FangSong_GB2312" w:cs="FangSong_GB2312"/>
                  <w:sz w:val="24"/>
                  <w:szCs w:val="24"/>
                </w:rPr>
                <w:t>第四十七条</w:t>
              </w:r>
            </w:hyperlink>
            <w:r>
              <w:rPr>
                <w:rFonts w:ascii="FangSong_GB2312" w:hAnsi="FangSong_GB2312" w:eastAsia="FangSong_GB2312" w:cs="FangSong_GB2312"/>
                <w:sz w:val="24"/>
                <w:szCs w:val="24"/>
              </w:rPr>
              <w:t>规定的情形，</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对医疗废物的处置不符合国家规定的环境保护、卫生标准、规范</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的，由县级以上地方人民政府环境保护行政主管部门责令限期改</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5"/>
              </w:rPr>
              <w:t>正，给予警告，并处</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5000</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5"/>
              </w:rPr>
              <w:t>元以上</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5"/>
              </w:rPr>
              <w:t>万元以下的罚款；</w:t>
            </w:r>
            <w:r>
              <w:rPr>
                <w:rFonts w:ascii="FangSong_GB2312" w:hAnsi="FangSong_GB2312" w:eastAsia="FangSong_GB2312" w:cs="FangSong_GB2312"/>
                <w:sz w:val="24"/>
                <w:szCs w:val="24"/>
                <w:spacing w:val="-6"/>
              </w:rPr>
              <w:t>逾期不改正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的，处</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万元以下的罚款。</w:t>
            </w:r>
          </w:p>
        </w:tc>
      </w:tr>
      <w:tr>
        <w:trPr>
          <w:trHeight w:val="635" w:hRule="atLeast"/>
        </w:trPr>
        <w:tc>
          <w:tcPr>
            <w:tcW w:w="4161" w:type="dxa"/>
            <w:vAlign w:val="top"/>
            <w:gridSpan w:val="4"/>
          </w:tcPr>
          <w:p>
            <w:pPr>
              <w:ind w:left="152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7" w:lineRule="auto"/>
              <w:rPr>
                <w:rFonts w:ascii="Arial"/>
                <w:sz w:val="21"/>
              </w:rPr>
            </w:pPr>
            <w:r/>
          </w:p>
          <w:p>
            <w:pPr>
              <w:ind w:left="508" w:right="135"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5" w:lineRule="auto"/>
              <w:rPr>
                <w:rFonts w:ascii="Arial"/>
                <w:sz w:val="21"/>
              </w:rPr>
            </w:pPr>
            <w:r/>
          </w:p>
          <w:p>
            <w:pPr>
              <w:ind w:left="25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医疗机构级别</w:t>
            </w:r>
          </w:p>
        </w:tc>
        <w:tc>
          <w:tcPr>
            <w:tcW w:w="792" w:type="dxa"/>
            <w:vAlign w:val="top"/>
            <w:vMerge w:val="restart"/>
            <w:tcBorders>
              <w:bottom w:val="nil"/>
            </w:tcBorders>
          </w:tcPr>
          <w:p>
            <w:pPr>
              <w:spacing w:line="445"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一级医疗卫生机构的</w:t>
            </w:r>
          </w:p>
        </w:tc>
        <w:tc>
          <w:tcPr>
            <w:tcW w:w="1062"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二级医疗卫生机构的</w:t>
            </w:r>
          </w:p>
        </w:tc>
        <w:tc>
          <w:tcPr>
            <w:tcW w:w="1062"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3" w:right="329" w:firstLine="1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三级医疗卫生机构/医疗废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3"/>
              </w:rPr>
              <w:t>物集中处置单位的</w:t>
            </w:r>
          </w:p>
        </w:tc>
        <w:tc>
          <w:tcPr>
            <w:tcW w:w="1062" w:type="dxa"/>
            <w:vAlign w:val="top"/>
          </w:tcPr>
          <w:p>
            <w:pPr>
              <w:ind w:left="12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0" w:type="dxa"/>
            <w:vAlign w:val="top"/>
            <w:gridSpan w:val="2"/>
            <w:vMerge w:val="restart"/>
            <w:tcBorders>
              <w:bottom w:val="nil"/>
            </w:tcBorders>
          </w:tcPr>
          <w:p>
            <w:pPr>
              <w:spacing w:line="448"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2" w:hRule="atLeast"/>
        </w:trPr>
        <w:tc>
          <w:tcPr>
            <w:tcW w:w="1480" w:type="dxa"/>
            <w:vAlign w:val="top"/>
            <w:gridSpan w:val="2"/>
          </w:tcPr>
          <w:p>
            <w:pPr>
              <w:ind w:left="26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tcPr>
          <w:p>
            <w:pPr>
              <w:ind w:left="227"/>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tcPr>
          <w:p>
            <w:pPr>
              <w:ind w:left="23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39"/>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639"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right="209"/>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62" w:type="dxa"/>
            <w:vAlign w:val="top"/>
          </w:tcPr>
          <w:p>
            <w:pPr>
              <w:ind w:left="25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90"/>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480" w:type="dxa"/>
            <w:vAlign w:val="top"/>
            <w:vMerge w:val="restart"/>
            <w:tcBorders>
              <w:bottom w:val="nil"/>
            </w:tcBorders>
          </w:tcPr>
          <w:p>
            <w:pPr>
              <w:ind w:left="391" w:right="135" w:hanging="23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707" w:right="222"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85" w:hRule="atLeast"/>
        </w:trPr>
        <w:tc>
          <w:tcPr>
            <w:tcW w:w="1480" w:type="dxa"/>
            <w:vAlign w:val="top"/>
            <w:vMerge w:val="restart"/>
            <w:tcBorders>
              <w:bottom w:val="nil"/>
            </w:tcBorders>
          </w:tcPr>
          <w:p>
            <w:pPr>
              <w:ind w:left="148"/>
              <w:spacing w:before="13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13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6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12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2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41"/>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889"/>
        <w:gridCol w:w="792"/>
        <w:gridCol w:w="3201"/>
        <w:gridCol w:w="1062"/>
      </w:tblGrid>
      <w:tr>
        <w:trPr>
          <w:trHeight w:val="913" w:hRule="atLeast"/>
        </w:trPr>
        <w:tc>
          <w:tcPr>
            <w:tcW w:w="8424" w:type="dxa"/>
            <w:vAlign w:val="top"/>
            <w:gridSpan w:val="6"/>
          </w:tcPr>
          <w:p>
            <w:pPr>
              <w:ind w:left="210"/>
              <w:spacing w:before="217" w:line="238"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5" w:hRule="atLeast"/>
        </w:trPr>
        <w:tc>
          <w:tcPr>
            <w:tcW w:w="1420" w:type="dxa"/>
            <w:vAlign w:val="top"/>
          </w:tcPr>
          <w:p>
            <w:pPr>
              <w:ind w:left="436"/>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5"/>
          </w:tcPr>
          <w:p>
            <w:pPr>
              <w:ind w:left="3342"/>
              <w:spacing w:before="22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171</w:t>
            </w:r>
          </w:p>
        </w:tc>
      </w:tr>
      <w:tr>
        <w:trPr>
          <w:trHeight w:val="949" w:hRule="atLeast"/>
        </w:trPr>
        <w:tc>
          <w:tcPr>
            <w:tcW w:w="1420" w:type="dxa"/>
            <w:vAlign w:val="top"/>
          </w:tcPr>
          <w:p>
            <w:pPr>
              <w:spacing w:line="241" w:lineRule="auto"/>
              <w:rPr>
                <w:rFonts w:ascii="Arial"/>
                <w:sz w:val="21"/>
              </w:rPr>
            </w:pPr>
            <w:r/>
          </w:p>
          <w:p>
            <w:pPr>
              <w:ind w:left="122"/>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5"/>
          </w:tcPr>
          <w:p>
            <w:pPr>
              <w:ind w:left="119" w:right="36" w:firstLine="22"/>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医疗卫生机构、医疗废物集中处置单位发生医疗废物流失、泄漏、</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扩散时，未采取紧急处理措施，或者未及时向卫生</w:t>
            </w:r>
            <w:r>
              <w:rPr>
                <w:rFonts w:ascii="FangSong_GB2312" w:hAnsi="FangSong_GB2312" w:eastAsia="FangSong_GB2312" w:cs="FangSong_GB2312"/>
                <w:sz w:val="24"/>
                <w:szCs w:val="24"/>
                <w:spacing w:val="1"/>
              </w:rPr>
              <w:t>行政主管部门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和环境保护行政主管部门报告的</w:t>
            </w:r>
          </w:p>
        </w:tc>
      </w:tr>
      <w:tr>
        <w:trPr>
          <w:trHeight w:val="7562" w:hRule="atLeast"/>
        </w:trPr>
        <w:tc>
          <w:tcPr>
            <w:tcW w:w="1420"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5"/>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13" w:right="107" w:firstLine="12"/>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第十三条</w:t>
            </w:r>
            <w:r>
              <w:rPr>
                <w:rFonts w:ascii="FangSong_GB2312" w:hAnsi="FangSong_GB2312" w:eastAsia="FangSong_GB2312" w:cs="FangSong_GB2312"/>
                <w:sz w:val="24"/>
                <w:szCs w:val="24"/>
                <w:spacing w:val="54"/>
              </w:rPr>
              <w:t xml:space="preserve"> </w:t>
            </w:r>
            <w:r>
              <w:rPr>
                <w:rFonts w:ascii="FangSong_GB2312" w:hAnsi="FangSong_GB2312" w:eastAsia="FangSong_GB2312" w:cs="FangSong_GB2312"/>
                <w:sz w:val="24"/>
                <w:szCs w:val="24"/>
                <w:spacing w:val="-5"/>
              </w:rPr>
              <w:t>医疗卫生机构和医疗废物集中处置单位，应当采取有效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措施，防止医疗废物流失、泄漏、扩散。</w:t>
            </w:r>
          </w:p>
          <w:p>
            <w:pPr>
              <w:ind w:left="113" w:right="174"/>
              <w:spacing w:before="37"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发生医疗废物流失、泄漏、扩散时，医疗卫生机构和医疗废物集</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中处置单位应当采取减少危害的紧急处理措施，对致病人员提供</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医疗救护和现场救援；同时向所在地的县级人民政府卫生行政主</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管部门、环境保护行政主管部门报告，并向可能受到危害的单位</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和居民通报。</w:t>
            </w:r>
          </w:p>
          <w:p>
            <w:pPr>
              <w:spacing w:line="269" w:lineRule="auto"/>
              <w:rPr>
                <w:rFonts w:ascii="Arial"/>
                <w:sz w:val="21"/>
              </w:rPr>
            </w:pPr>
            <w:r/>
          </w:p>
          <w:p>
            <w:pPr>
              <w:ind w:left="122"/>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《医疗废物管理条例》</w:t>
            </w:r>
          </w:p>
          <w:p>
            <w:pPr>
              <w:ind w:left="109" w:right="55" w:firstLine="16"/>
              <w:spacing w:before="35"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第四十九条</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5"/>
              </w:rPr>
              <w:t>医疗卫生机构、医疗废物集中处置单位发生医疗废物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流失、泄漏、扩散时，未采取紧急处理措施，或</w:t>
            </w:r>
            <w:r>
              <w:rPr>
                <w:rFonts w:ascii="FangSong_GB2312" w:hAnsi="FangSong_GB2312" w:eastAsia="FangSong_GB2312" w:cs="FangSong_GB2312"/>
                <w:sz w:val="24"/>
                <w:szCs w:val="24"/>
                <w:spacing w:val="-1"/>
              </w:rPr>
              <w:t>者未及时向卫生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行政主管部门和环境保护行政主管部门报告的，</w:t>
            </w:r>
            <w:r>
              <w:rPr>
                <w:rFonts w:ascii="FangSong_GB2312" w:hAnsi="FangSong_GB2312" w:eastAsia="FangSong_GB2312" w:cs="FangSong_GB2312"/>
                <w:sz w:val="24"/>
                <w:szCs w:val="24"/>
                <w:spacing w:val="-1"/>
              </w:rPr>
              <w:t>由县级以上地方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人民政府卫生行政主管部门或者环境保护行政主</w:t>
            </w:r>
            <w:r>
              <w:rPr>
                <w:rFonts w:ascii="FangSong_GB2312" w:hAnsi="FangSong_GB2312" w:eastAsia="FangSong_GB2312" w:cs="FangSong_GB2312"/>
                <w:sz w:val="24"/>
                <w:szCs w:val="24"/>
                <w:spacing w:val="-1"/>
              </w:rPr>
              <w:t>管部门按照各自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的职责责令改正，给予警告，并处</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8"/>
              </w:rPr>
              <w:t>万元以上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8"/>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万元以下的罚款；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造成传染病传播或者环境污染事故的，由原发证</w:t>
            </w:r>
            <w:r>
              <w:rPr>
                <w:rFonts w:ascii="FangSong_GB2312" w:hAnsi="FangSong_GB2312" w:eastAsia="FangSong_GB2312" w:cs="FangSong_GB2312"/>
                <w:sz w:val="24"/>
                <w:szCs w:val="24"/>
                <w:spacing w:val="-1"/>
              </w:rPr>
              <w:t>部门暂扣或者吊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销执业许可证件或者经营许可证件；构成犯罪的</w:t>
            </w:r>
            <w:r>
              <w:rPr>
                <w:rFonts w:ascii="FangSong_GB2312" w:hAnsi="FangSong_GB2312" w:eastAsia="FangSong_GB2312" w:cs="FangSong_GB2312"/>
                <w:sz w:val="24"/>
                <w:szCs w:val="24"/>
                <w:spacing w:val="-1"/>
              </w:rPr>
              <w:t>，依法追究刑事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责任。</w:t>
            </w:r>
          </w:p>
          <w:p>
            <w:pPr>
              <w:spacing w:line="272" w:lineRule="auto"/>
              <w:rPr>
                <w:rFonts w:ascii="Arial"/>
                <w:sz w:val="21"/>
              </w:rPr>
            </w:pPr>
            <w:r/>
          </w:p>
          <w:p>
            <w:pPr>
              <w:ind w:left="13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《医疗废物管理行政处罚办法》</w:t>
            </w:r>
          </w:p>
          <w:p>
            <w:pPr>
              <w:ind w:left="113" w:right="174" w:firstLine="12"/>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第十一条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3"/>
              </w:rPr>
              <w:t>医疗废物集中处置单位发生医疗废物流失、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泄露、扩散时，未采取紧急处理措施，或者未及时向环境保护行</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政主管部门报告的，由县级以上地方人民政府环境保护行政主管</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4"/>
              </w:rPr>
              <w:t>部门责令改正，给予警告，并处</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万元以上</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万元以下的罚款。</w:t>
            </w:r>
          </w:p>
        </w:tc>
      </w:tr>
      <w:tr>
        <w:trPr>
          <w:trHeight w:val="635" w:hRule="atLeast"/>
        </w:trPr>
        <w:tc>
          <w:tcPr>
            <w:tcW w:w="4161" w:type="dxa"/>
            <w:vAlign w:val="top"/>
            <w:gridSpan w:val="4"/>
          </w:tcPr>
          <w:p>
            <w:pPr>
              <w:ind w:left="1527"/>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63" w:type="dxa"/>
            <w:vAlign w:val="top"/>
            <w:gridSpan w:val="2"/>
          </w:tcPr>
          <w:p>
            <w:pPr>
              <w:ind w:left="158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3"/>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582" w:hRule="atLeast"/>
        </w:trPr>
        <w:tc>
          <w:tcPr>
            <w:tcW w:w="1480" w:type="dxa"/>
            <w:vAlign w:val="top"/>
            <w:gridSpan w:val="2"/>
          </w:tcPr>
          <w:p>
            <w:pPr>
              <w:spacing w:line="434" w:lineRule="auto"/>
              <w:rPr>
                <w:rFonts w:ascii="Arial"/>
                <w:sz w:val="21"/>
              </w:rPr>
            </w:pPr>
            <w:r/>
          </w:p>
          <w:p>
            <w:pPr>
              <w:ind w:left="508"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tcPr>
          <w:p>
            <w:pPr>
              <w:spacing w:line="295" w:lineRule="auto"/>
              <w:rPr>
                <w:rFonts w:ascii="Arial"/>
                <w:sz w:val="21"/>
              </w:rPr>
            </w:pPr>
            <w:r/>
          </w:p>
          <w:p>
            <w:pPr>
              <w:spacing w:line="296" w:lineRule="auto"/>
              <w:rPr>
                <w:rFonts w:ascii="Arial"/>
                <w:sz w:val="21"/>
              </w:rPr>
            </w:pPr>
            <w:r/>
          </w:p>
          <w:p>
            <w:pPr>
              <w:ind w:left="23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tcPr>
          <w:p>
            <w:pPr>
              <w:spacing w:line="296" w:lineRule="auto"/>
              <w:rPr>
                <w:rFonts w:ascii="Arial"/>
                <w:sz w:val="21"/>
              </w:rPr>
            </w:pPr>
            <w:r/>
          </w:p>
          <w:p>
            <w:pPr>
              <w:spacing w:line="296" w:lineRule="auto"/>
              <w:rPr>
                <w:rFonts w:ascii="Arial"/>
                <w:sz w:val="21"/>
              </w:rPr>
            </w:pPr>
            <w:r/>
          </w:p>
          <w:p>
            <w:pPr>
              <w:ind w:left="22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23" w:right="209" w:firstLine="20"/>
              <w:spacing w:before="44"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医疗卫生机构、医疗废物集</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中处置单位发生医疗废物流</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失、泄漏、扩散时，未及时</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向环境保护行政主管部门报</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9"/>
              </w:rPr>
              <w:t>告的</w:t>
            </w:r>
          </w:p>
        </w:tc>
        <w:tc>
          <w:tcPr>
            <w:tcW w:w="1062" w:type="dxa"/>
            <w:vAlign w:val="top"/>
          </w:tcPr>
          <w:p>
            <w:pPr>
              <w:spacing w:line="296" w:lineRule="auto"/>
              <w:rPr>
                <w:rFonts w:ascii="Arial"/>
                <w:sz w:val="21"/>
              </w:rPr>
            </w:pPr>
            <w:r/>
          </w:p>
          <w:p>
            <w:pPr>
              <w:spacing w:line="296" w:lineRule="auto"/>
              <w:rPr>
                <w:rFonts w:ascii="Arial"/>
                <w:sz w:val="21"/>
              </w:rPr>
            </w:pPr>
            <w:r/>
          </w:p>
          <w:p>
            <w:pPr>
              <w:ind w:left="19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42"/>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062"/>
      </w:tblGrid>
      <w:tr>
        <w:trPr>
          <w:trHeight w:val="1268" w:hRule="atLeast"/>
        </w:trPr>
        <w:tc>
          <w:tcPr>
            <w:tcW w:w="1480"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27" w:right="209" w:firstLine="15"/>
              <w:spacing w:before="4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医疗卫生机构、医疗废物集</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中处置单位发生医疗废物流</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失、泄漏、扩散时，未采取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紧急处理措施的</w:t>
            </w:r>
          </w:p>
        </w:tc>
        <w:tc>
          <w:tcPr>
            <w:tcW w:w="1062" w:type="dxa"/>
            <w:vAlign w:val="top"/>
          </w:tcPr>
          <w:p>
            <w:pPr>
              <w:spacing w:line="434" w:lineRule="auto"/>
              <w:rPr>
                <w:rFonts w:ascii="Arial"/>
                <w:sz w:val="21"/>
              </w:rPr>
            </w:pPr>
            <w:r/>
          </w:p>
          <w:p>
            <w:pPr>
              <w:ind w:left="1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9" w:hRule="atLeast"/>
        </w:trPr>
        <w:tc>
          <w:tcPr>
            <w:tcW w:w="1480" w:type="dxa"/>
            <w:vAlign w:val="top"/>
            <w:vMerge w:val="restart"/>
            <w:tcBorders>
              <w:bottom w:val="nil"/>
            </w:tcBorders>
          </w:tcPr>
          <w:p>
            <w:pPr>
              <w:spacing w:line="447" w:lineRule="auto"/>
              <w:rPr>
                <w:rFonts w:ascii="Arial"/>
                <w:sz w:val="21"/>
              </w:rPr>
            </w:pPr>
            <w:r/>
          </w:p>
          <w:p>
            <w:pPr>
              <w:ind w:left="26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1" w:lineRule="auto"/>
              <w:rPr>
                <w:rFonts w:ascii="Arial"/>
                <w:sz w:val="21"/>
              </w:rPr>
            </w:pPr>
            <w:r/>
          </w:p>
          <w:p>
            <w:pPr>
              <w:ind w:left="837"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vMerge w:val="restart"/>
            <w:tcBorders>
              <w:bottom w:val="nil"/>
            </w:tcBorders>
          </w:tcPr>
          <w:p>
            <w:pPr>
              <w:ind w:left="391" w:right="135" w:hanging="23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707"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85" w:hRule="atLeast"/>
        </w:trPr>
        <w:tc>
          <w:tcPr>
            <w:tcW w:w="1480" w:type="dxa"/>
            <w:vAlign w:val="top"/>
            <w:vMerge w:val="restart"/>
            <w:tcBorders>
              <w:bottom w:val="nil"/>
            </w:tcBorders>
          </w:tcPr>
          <w:p>
            <w:pPr>
              <w:ind w:left="148"/>
              <w:spacing w:before="13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3"/>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7"/>
              <w:spacing w:before="13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65"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8"/>
              <w:spacing w:before="12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251"/>
              <w:spacing w:before="12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43"/>
          <w:pgSz w:w="11905" w:h="16839"/>
          <w:pgMar w:top="1431" w:right="1738" w:bottom="1156" w:left="1737" w:header="0" w:footer="994" w:gutter="0"/>
        </w:sectPr>
        <w:rPr/>
      </w:pPr>
    </w:p>
    <w:p>
      <w:pPr>
        <w:spacing w:before="92"/>
        <w:rPr/>
      </w:pPr>
      <w:r/>
    </w:p>
    <w:p>
      <w:pPr>
        <w:spacing w:before="91"/>
        <w:rPr/>
      </w:pPr>
      <w:r/>
    </w:p>
    <w:tbl>
      <w:tblPr>
        <w:tblStyle w:val="TableNormal"/>
        <w:tblW w:w="84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4"/>
        <w:gridCol w:w="1745"/>
        <w:gridCol w:w="771"/>
        <w:gridCol w:w="3480"/>
        <w:gridCol w:w="1068"/>
      </w:tblGrid>
      <w:tr>
        <w:trPr>
          <w:trHeight w:val="639" w:hRule="atLeast"/>
        </w:trPr>
        <w:tc>
          <w:tcPr>
            <w:tcW w:w="8478" w:type="dxa"/>
            <w:vAlign w:val="top"/>
            <w:gridSpan w:val="5"/>
          </w:tcPr>
          <w:p>
            <w:pPr>
              <w:ind w:left="237"/>
              <w:spacing w:before="79" w:line="21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河北省生态环境行政处罚裁量规则（固废类）</w:t>
            </w:r>
          </w:p>
        </w:tc>
      </w:tr>
      <w:tr>
        <w:trPr>
          <w:trHeight w:val="635" w:hRule="atLeast"/>
        </w:trPr>
        <w:tc>
          <w:tcPr>
            <w:tcW w:w="1414" w:type="dxa"/>
            <w:vAlign w:val="top"/>
          </w:tcPr>
          <w:p>
            <w:pPr>
              <w:ind w:left="431"/>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64" w:type="dxa"/>
            <w:vAlign w:val="top"/>
            <w:gridSpan w:val="4"/>
          </w:tcPr>
          <w:p>
            <w:pPr>
              <w:ind w:left="3372"/>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172</w:t>
            </w:r>
          </w:p>
        </w:tc>
      </w:tr>
      <w:tr>
        <w:trPr>
          <w:trHeight w:val="949" w:hRule="atLeast"/>
        </w:trPr>
        <w:tc>
          <w:tcPr>
            <w:tcW w:w="1414" w:type="dxa"/>
            <w:vAlign w:val="top"/>
          </w:tcPr>
          <w:p>
            <w:pPr>
              <w:spacing w:line="241" w:lineRule="auto"/>
              <w:rPr>
                <w:rFonts w:ascii="Arial"/>
                <w:sz w:val="21"/>
              </w:rPr>
            </w:pPr>
            <w:r/>
          </w:p>
          <w:p>
            <w:pPr>
              <w:ind w:left="123"/>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64" w:type="dxa"/>
            <w:vAlign w:val="top"/>
            <w:gridSpan w:val="4"/>
          </w:tcPr>
          <w:p>
            <w:pPr>
              <w:ind w:left="118" w:right="108" w:firstLine="22"/>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医疗卫生机构、医疗废物集中处置单位阻碍环境保</w:t>
            </w:r>
            <w:r>
              <w:rPr>
                <w:rFonts w:ascii="FangSong_GB2312" w:hAnsi="FangSong_GB2312" w:eastAsia="FangSong_GB2312" w:cs="FangSong_GB2312"/>
                <w:sz w:val="24"/>
                <w:szCs w:val="24"/>
                <w:spacing w:val="-6"/>
              </w:rPr>
              <w:t>护行政主管部门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执法人员执行职务，拒绝执法人员进入现场，或者不配合执法部门</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的检查、监测、调查取证的</w:t>
            </w:r>
          </w:p>
        </w:tc>
      </w:tr>
      <w:tr>
        <w:trPr>
          <w:trHeight w:val="5358" w:hRule="atLeast"/>
        </w:trPr>
        <w:tc>
          <w:tcPr>
            <w:tcW w:w="141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6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64" w:type="dxa"/>
            <w:vAlign w:val="top"/>
            <w:gridSpan w:val="4"/>
          </w:tcPr>
          <w:p>
            <w:pPr>
              <w:ind w:left="128"/>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《医疗废物管理条例》</w:t>
            </w:r>
          </w:p>
          <w:p>
            <w:pPr>
              <w:ind w:left="110" w:right="37" w:firstLine="15"/>
              <w:spacing w:before="34"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第五十条</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
              </w:rPr>
              <w:t>医疗卫生机构、医疗废物集中处置单位</w:t>
            </w:r>
            <w:r>
              <w:rPr>
                <w:rFonts w:ascii="FangSong_GB2312" w:hAnsi="FangSong_GB2312" w:eastAsia="FangSong_GB2312" w:cs="FangSong_GB2312"/>
                <w:sz w:val="24"/>
                <w:szCs w:val="24"/>
                <w:spacing w:val="-2"/>
              </w:rPr>
              <w:t>，无正当理由，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阻碍卫生行政主管部门或者环境保护行政主管</w:t>
            </w:r>
            <w:r>
              <w:rPr>
                <w:rFonts w:ascii="FangSong_GB2312" w:hAnsi="FangSong_GB2312" w:eastAsia="FangSong_GB2312" w:cs="FangSong_GB2312"/>
                <w:sz w:val="24"/>
                <w:szCs w:val="24"/>
                <w:spacing w:val="-1"/>
              </w:rPr>
              <w:t>部门执法人员执行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职务，拒绝执法人员进入现场，或者不配合执法部门的检查、监测、</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4"/>
              </w:rPr>
              <w:t>调查取证的，由县级以上地方人民政府卫生行政主管部</w:t>
            </w:r>
            <w:r>
              <w:rPr>
                <w:rFonts w:ascii="FangSong_GB2312" w:hAnsi="FangSong_GB2312" w:eastAsia="FangSong_GB2312" w:cs="FangSong_GB2312"/>
                <w:sz w:val="24"/>
                <w:szCs w:val="24"/>
                <w:spacing w:val="-5"/>
              </w:rPr>
              <w:t>门或者环境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保护行政主管部门按照各自的职责责令改正，给予警告</w:t>
            </w:r>
            <w:r>
              <w:rPr>
                <w:rFonts w:ascii="FangSong_GB2312" w:hAnsi="FangSong_GB2312" w:eastAsia="FangSong_GB2312" w:cs="FangSong_GB2312"/>
                <w:sz w:val="24"/>
                <w:szCs w:val="24"/>
                <w:spacing w:val="-5"/>
              </w:rPr>
              <w:t>；拒不改正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的，由原发证部门暂扣或者吊销执业许可证件或者经营许可证件；</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触犯《中华人民共和国治安管理处罚法》，构成违反治</w:t>
            </w:r>
            <w:r>
              <w:rPr>
                <w:rFonts w:ascii="FangSong_GB2312" w:hAnsi="FangSong_GB2312" w:eastAsia="FangSong_GB2312" w:cs="FangSong_GB2312"/>
                <w:sz w:val="24"/>
                <w:szCs w:val="24"/>
                <w:spacing w:val="-5"/>
              </w:rPr>
              <w:t>安管理行为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的，由公安机关依法予以处罚；构成犯罪的，依法追究刑事责任。</w:t>
            </w:r>
          </w:p>
          <w:p>
            <w:pPr>
              <w:spacing w:line="270" w:lineRule="auto"/>
              <w:rPr>
                <w:rFonts w:ascii="Arial"/>
                <w:sz w:val="21"/>
              </w:rPr>
            </w:pPr>
            <w:r/>
          </w:p>
          <w:p>
            <w:pPr>
              <w:ind w:left="12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《医疗废物管理行政处罚办法》</w:t>
            </w:r>
          </w:p>
          <w:p>
            <w:pPr>
              <w:ind w:left="107" w:right="54" w:firstLine="17"/>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第十二条</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b/>
                <w:bCs/>
                <w:spacing w:val="-7"/>
              </w:rPr>
              <w:t>第二款</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7"/>
              </w:rPr>
              <w:t>医疗卫生机构、医疗废物集中处置单位阻碍环</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境保护行政主管部门执法人员执行职务，拒绝执法</w:t>
            </w:r>
            <w:r>
              <w:rPr>
                <w:rFonts w:ascii="FangSong_GB2312" w:hAnsi="FangSong_GB2312" w:eastAsia="FangSong_GB2312" w:cs="FangSong_GB2312"/>
                <w:sz w:val="24"/>
                <w:szCs w:val="24"/>
                <w:spacing w:val="-3"/>
              </w:rPr>
              <w:t>人员进入现场，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或者不配合执法部门的检查、监测、调查取证的，由县级以上</w:t>
            </w:r>
            <w:r>
              <w:rPr>
                <w:rFonts w:ascii="FangSong_GB2312" w:hAnsi="FangSong_GB2312" w:eastAsia="FangSong_GB2312" w:cs="FangSong_GB2312"/>
                <w:sz w:val="24"/>
                <w:szCs w:val="24"/>
                <w:spacing w:val="-5"/>
              </w:rPr>
              <w:t>地方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人民政府环境保护行政主管部门依照</w:t>
            </w:r>
            <w:hyperlink w:history="true" r:id="rId345">
              <w:r>
                <w:rPr>
                  <w:rFonts w:ascii="FangSong_GB2312" w:hAnsi="FangSong_GB2312" w:eastAsia="FangSong_GB2312" w:cs="FangSong_GB2312"/>
                  <w:sz w:val="24"/>
                  <w:szCs w:val="24"/>
                  <w:spacing w:val="-4"/>
                </w:rPr>
                <w:t>《中华人民共和国固体废</w:t>
              </w:r>
              <w:r>
                <w:rPr>
                  <w:rFonts w:ascii="FangSong_GB2312" w:hAnsi="FangSong_GB2312" w:eastAsia="FangSong_GB2312" w:cs="FangSong_GB2312"/>
                  <w:sz w:val="24"/>
                  <w:szCs w:val="24"/>
                  <w:spacing w:val="-5"/>
                </w:rPr>
                <w:t>物污</w:t>
              </w:r>
            </w:hyperlink>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染环境防治法》</w:t>
            </w:r>
            <w:hyperlink w:history="true" r:id="rId346">
              <w:r>
                <w:rPr>
                  <w:rFonts w:ascii="FangSong_GB2312" w:hAnsi="FangSong_GB2312" w:eastAsia="FangSong_GB2312" w:cs="FangSong_GB2312"/>
                  <w:sz w:val="24"/>
                  <w:szCs w:val="24"/>
                  <w:spacing w:val="-4"/>
                </w:rPr>
                <w:t>第七十条</w:t>
              </w:r>
            </w:hyperlink>
            <w:r>
              <w:rPr>
                <w:rFonts w:ascii="FangSong_GB2312" w:hAnsi="FangSong_GB2312" w:eastAsia="FangSong_GB2312" w:cs="FangSong_GB2312"/>
                <w:sz w:val="24"/>
                <w:szCs w:val="24"/>
                <w:spacing w:val="-4"/>
              </w:rPr>
              <w:t>规定责令限期改正；拒不改正或者在</w:t>
            </w:r>
            <w:r>
              <w:rPr>
                <w:rFonts w:ascii="FangSong_GB2312" w:hAnsi="FangSong_GB2312" w:eastAsia="FangSong_GB2312" w:cs="FangSong_GB2312"/>
                <w:sz w:val="24"/>
                <w:szCs w:val="24"/>
                <w:spacing w:val="-5"/>
              </w:rPr>
              <w:t>检查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时弄虚作假的，处二千元以上二万元以下的罚款。</w:t>
            </w:r>
          </w:p>
        </w:tc>
      </w:tr>
      <w:tr>
        <w:trPr>
          <w:trHeight w:val="634" w:hRule="atLeast"/>
        </w:trPr>
        <w:tc>
          <w:tcPr>
            <w:tcW w:w="3930" w:type="dxa"/>
            <w:vAlign w:val="top"/>
            <w:gridSpan w:val="3"/>
          </w:tcPr>
          <w:p>
            <w:pPr>
              <w:ind w:left="141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14" w:type="dxa"/>
            <w:vAlign w:val="top"/>
          </w:tcPr>
          <w:p>
            <w:pPr>
              <w:ind w:left="480"/>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745" w:type="dxa"/>
            <w:vAlign w:val="top"/>
          </w:tcPr>
          <w:p>
            <w:pPr>
              <w:ind w:left="443"/>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1" w:right="163"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30"/>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6"/>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14"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57" w:right="225"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745"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6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771" w:type="dxa"/>
            <w:vAlign w:val="top"/>
            <w:vMerge w:val="restart"/>
            <w:tcBorders>
              <w:bottom w:val="nil"/>
            </w:tcBorders>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480"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分钟以内</w:t>
            </w:r>
          </w:p>
        </w:tc>
        <w:tc>
          <w:tcPr>
            <w:tcW w:w="1068" w:type="dxa"/>
            <w:vAlign w:val="top"/>
          </w:tcPr>
          <w:p>
            <w:pPr>
              <w:ind w:left="19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14" w:type="dxa"/>
            <w:vAlign w:val="top"/>
            <w:vMerge w:val="continue"/>
            <w:tcBorders>
              <w:top w:val="nil"/>
              <w:bottom w:val="nil"/>
            </w:tcBorders>
          </w:tcPr>
          <w:p>
            <w:pPr>
              <w:rPr>
                <w:rFonts w:ascii="Arial"/>
                <w:sz w:val="21"/>
              </w:rPr>
            </w:pPr>
            <w:r/>
          </w:p>
        </w:tc>
        <w:tc>
          <w:tcPr>
            <w:tcW w:w="174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4"/>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68" w:type="dxa"/>
            <w:vAlign w:val="top"/>
          </w:tcPr>
          <w:p>
            <w:pPr>
              <w:ind w:left="136"/>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14" w:type="dxa"/>
            <w:vAlign w:val="top"/>
            <w:vMerge w:val="continue"/>
            <w:tcBorders>
              <w:top w:val="nil"/>
              <w:bottom w:val="nil"/>
            </w:tcBorders>
          </w:tcPr>
          <w:p>
            <w:pPr>
              <w:rPr>
                <w:rFonts w:ascii="Arial"/>
                <w:sz w:val="21"/>
              </w:rPr>
            </w:pPr>
            <w:r/>
          </w:p>
        </w:tc>
        <w:tc>
          <w:tcPr>
            <w:tcW w:w="174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4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68" w:type="dxa"/>
            <w:vAlign w:val="top"/>
          </w:tcPr>
          <w:p>
            <w:pPr>
              <w:ind w:left="1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14" w:type="dxa"/>
            <w:vAlign w:val="top"/>
            <w:vMerge w:val="continue"/>
            <w:tcBorders>
              <w:top w:val="nil"/>
              <w:bottom w:val="nil"/>
            </w:tcBorders>
          </w:tcPr>
          <w:p>
            <w:pPr>
              <w:rPr>
                <w:rFonts w:ascii="Arial"/>
                <w:sz w:val="21"/>
              </w:rPr>
            </w:pPr>
            <w:r/>
          </w:p>
        </w:tc>
        <w:tc>
          <w:tcPr>
            <w:tcW w:w="174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4" w:right="103" w:firstLine="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围堵、留滞执法人员或拒绝提供</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0"/>
              </w:rPr>
              <w:t>资料</w:t>
            </w:r>
          </w:p>
        </w:tc>
        <w:tc>
          <w:tcPr>
            <w:tcW w:w="1068" w:type="dxa"/>
            <w:vAlign w:val="top"/>
          </w:tcPr>
          <w:p>
            <w:pPr>
              <w:ind w:left="14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14" w:type="dxa"/>
            <w:vAlign w:val="top"/>
            <w:vMerge w:val="continue"/>
            <w:tcBorders>
              <w:top w:val="nil"/>
              <w:bottom w:val="nil"/>
            </w:tcBorders>
          </w:tcPr>
          <w:p>
            <w:pPr>
              <w:rPr>
                <w:rFonts w:ascii="Arial"/>
                <w:sz w:val="21"/>
              </w:rPr>
            </w:pPr>
            <w:r/>
          </w:p>
        </w:tc>
        <w:tc>
          <w:tcPr>
            <w:tcW w:w="1745" w:type="dxa"/>
            <w:vAlign w:val="top"/>
            <w:vMerge w:val="continue"/>
            <w:tcBorders>
              <w:top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68"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370" w:hRule="atLeast"/>
        </w:trPr>
        <w:tc>
          <w:tcPr>
            <w:tcW w:w="1414" w:type="dxa"/>
            <w:vAlign w:val="top"/>
            <w:vMerge w:val="continue"/>
            <w:tcBorders>
              <w:top w:val="nil"/>
              <w:bottom w:val="nil"/>
            </w:tcBorders>
          </w:tcPr>
          <w:p>
            <w:pPr>
              <w:rPr>
                <w:rFonts w:ascii="Arial"/>
                <w:sz w:val="21"/>
              </w:rPr>
            </w:pPr>
            <w:r/>
          </w:p>
        </w:tc>
        <w:tc>
          <w:tcPr>
            <w:tcW w:w="1745" w:type="dxa"/>
            <w:vAlign w:val="top"/>
            <w:vMerge w:val="restart"/>
            <w:tcBorders>
              <w:bottom w:val="nil"/>
            </w:tcBorders>
          </w:tcPr>
          <w:p>
            <w:pPr>
              <w:ind w:left="158"/>
              <w:spacing w:before="22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771" w:type="dxa"/>
            <w:vAlign w:val="top"/>
            <w:vMerge w:val="continue"/>
            <w:tcBorders>
              <w:top w:val="nil"/>
              <w:bottom w:val="nil"/>
            </w:tcBorders>
          </w:tcPr>
          <w:p>
            <w:pPr>
              <w:rPr>
                <w:rFonts w:ascii="Arial"/>
                <w:sz w:val="21"/>
              </w:rPr>
            </w:pPr>
            <w:r/>
          </w:p>
        </w:tc>
        <w:tc>
          <w:tcPr>
            <w:tcW w:w="3480" w:type="dxa"/>
            <w:vAlign w:val="top"/>
          </w:tcPr>
          <w:p>
            <w:pPr>
              <w:ind w:left="112"/>
              <w:spacing w:before="6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w:t>
            </w:r>
          </w:p>
        </w:tc>
        <w:tc>
          <w:tcPr>
            <w:tcW w:w="1068" w:type="dxa"/>
            <w:vAlign w:val="top"/>
          </w:tcPr>
          <w:p>
            <w:pPr>
              <w:ind w:left="132"/>
              <w:spacing w:before="68"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20" w:hRule="atLeast"/>
        </w:trPr>
        <w:tc>
          <w:tcPr>
            <w:tcW w:w="1414" w:type="dxa"/>
            <w:vAlign w:val="top"/>
            <w:vMerge w:val="continue"/>
            <w:tcBorders>
              <w:top w:val="nil"/>
            </w:tcBorders>
          </w:tcPr>
          <w:p>
            <w:pPr>
              <w:rPr>
                <w:rFonts w:ascii="Arial"/>
                <w:sz w:val="21"/>
              </w:rPr>
            </w:pPr>
            <w:r/>
          </w:p>
        </w:tc>
        <w:tc>
          <w:tcPr>
            <w:tcW w:w="174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w:t>
            </w:r>
          </w:p>
        </w:tc>
        <w:tc>
          <w:tcPr>
            <w:tcW w:w="1068" w:type="dxa"/>
            <w:vAlign w:val="top"/>
          </w:tcPr>
          <w:p>
            <w:pPr>
              <w:ind w:left="14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14" w:type="dxa"/>
            <w:vAlign w:val="top"/>
            <w:vMerge w:val="restart"/>
            <w:tcBorders>
              <w:bottom w:val="nil"/>
            </w:tcBorders>
          </w:tcPr>
          <w:p>
            <w:pPr>
              <w:spacing w:line="449" w:lineRule="auto"/>
              <w:rPr>
                <w:rFonts w:ascii="Arial"/>
                <w:sz w:val="21"/>
              </w:rPr>
            </w:pPr>
            <w:r/>
          </w:p>
          <w:p>
            <w:pPr>
              <w:ind w:left="2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745" w:type="dxa"/>
            <w:vAlign w:val="top"/>
            <w:vMerge w:val="restart"/>
            <w:tcBorders>
              <w:bottom w:val="nil"/>
            </w:tcBorders>
          </w:tcPr>
          <w:p>
            <w:pPr>
              <w:spacing w:line="293" w:lineRule="auto"/>
              <w:rPr>
                <w:rFonts w:ascii="Arial"/>
                <w:sz w:val="21"/>
              </w:rPr>
            </w:pPr>
            <w:r/>
          </w:p>
          <w:p>
            <w:pPr>
              <w:ind w:left="764" w:right="150"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1" w:type="dxa"/>
            <w:vAlign w:val="top"/>
            <w:vMerge w:val="restart"/>
            <w:tcBorders>
              <w:bottom w:val="nil"/>
            </w:tcBorders>
          </w:tcPr>
          <w:p>
            <w:pPr>
              <w:spacing w:line="450"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14" w:type="dxa"/>
            <w:vAlign w:val="top"/>
            <w:vMerge w:val="continue"/>
            <w:tcBorders>
              <w:top w:val="nil"/>
              <w:bottom w:val="nil"/>
            </w:tcBorders>
          </w:tcPr>
          <w:p>
            <w:pPr>
              <w:rPr>
                <w:rFonts w:ascii="Arial"/>
                <w:sz w:val="21"/>
              </w:rPr>
            </w:pPr>
            <w:r/>
          </w:p>
        </w:tc>
        <w:tc>
          <w:tcPr>
            <w:tcW w:w="174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14" w:type="dxa"/>
            <w:vAlign w:val="top"/>
            <w:vMerge w:val="continue"/>
            <w:tcBorders>
              <w:top w:val="nil"/>
              <w:bottom w:val="nil"/>
            </w:tcBorders>
          </w:tcPr>
          <w:p>
            <w:pPr>
              <w:rPr>
                <w:rFonts w:ascii="Arial"/>
                <w:sz w:val="21"/>
              </w:rPr>
            </w:pPr>
            <w:r/>
          </w:p>
        </w:tc>
        <w:tc>
          <w:tcPr>
            <w:tcW w:w="174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2" w:hRule="atLeast"/>
        </w:trPr>
        <w:tc>
          <w:tcPr>
            <w:tcW w:w="1414" w:type="dxa"/>
            <w:vAlign w:val="top"/>
            <w:vMerge w:val="continue"/>
            <w:tcBorders>
              <w:top w:val="nil"/>
            </w:tcBorders>
          </w:tcPr>
          <w:p>
            <w:pPr>
              <w:rPr>
                <w:rFonts w:ascii="Arial"/>
                <w:sz w:val="21"/>
              </w:rPr>
            </w:pPr>
            <w:r/>
          </w:p>
        </w:tc>
        <w:tc>
          <w:tcPr>
            <w:tcW w:w="174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1"/>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bl>
    <w:p>
      <w:pPr>
        <w:pStyle w:val="BodyText"/>
        <w:rPr/>
      </w:pPr>
      <w:r/>
    </w:p>
    <w:p>
      <w:pPr>
        <w:sectPr>
          <w:footerReference w:type="default" r:id="rId344"/>
          <w:pgSz w:w="11905" w:h="16839"/>
          <w:pgMar w:top="1431" w:right="1711" w:bottom="1156" w:left="1710" w:header="0" w:footer="994" w:gutter="0"/>
        </w:sectPr>
        <w:rPr/>
      </w:pPr>
    </w:p>
    <w:p>
      <w:pPr>
        <w:spacing w:before="92"/>
        <w:rPr/>
      </w:pPr>
      <w:r/>
    </w:p>
    <w:p>
      <w:pPr>
        <w:spacing w:before="91"/>
        <w:rPr/>
      </w:pPr>
      <w:r/>
    </w:p>
    <w:tbl>
      <w:tblPr>
        <w:tblStyle w:val="TableNormal"/>
        <w:tblW w:w="84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4"/>
        <w:gridCol w:w="1745"/>
        <w:gridCol w:w="771"/>
        <w:gridCol w:w="3480"/>
        <w:gridCol w:w="1068"/>
      </w:tblGrid>
      <w:tr>
        <w:trPr>
          <w:trHeight w:val="324" w:hRule="atLeast"/>
        </w:trPr>
        <w:tc>
          <w:tcPr>
            <w:tcW w:w="1414" w:type="dxa"/>
            <w:vAlign w:val="top"/>
            <w:vMerge w:val="restart"/>
            <w:tcBorders>
              <w:bottom w:val="nil"/>
            </w:tcBorders>
          </w:tcPr>
          <w:p>
            <w:pPr>
              <w:spacing w:line="443" w:lineRule="auto"/>
              <w:rPr>
                <w:rFonts w:ascii="Arial"/>
                <w:sz w:val="21"/>
              </w:rPr>
            </w:pPr>
            <w:r/>
          </w:p>
          <w:p>
            <w:pPr>
              <w:ind w:left="2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745" w:type="dxa"/>
            <w:vAlign w:val="top"/>
            <w:vMerge w:val="restart"/>
            <w:tcBorders>
              <w:bottom w:val="nil"/>
            </w:tcBorders>
          </w:tcPr>
          <w:p>
            <w:pPr>
              <w:spacing w:line="444" w:lineRule="auto"/>
              <w:rPr>
                <w:rFonts w:ascii="Arial"/>
                <w:sz w:val="21"/>
              </w:rPr>
            </w:pPr>
            <w:r/>
          </w:p>
          <w:p>
            <w:pPr>
              <w:ind w:left="154"/>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3" w:hRule="atLeast"/>
        </w:trPr>
        <w:tc>
          <w:tcPr>
            <w:tcW w:w="1414" w:type="dxa"/>
            <w:vAlign w:val="top"/>
            <w:vMerge w:val="continue"/>
            <w:tcBorders>
              <w:top w:val="nil"/>
              <w:bottom w:val="nil"/>
            </w:tcBorders>
          </w:tcPr>
          <w:p>
            <w:pPr>
              <w:rPr>
                <w:rFonts w:ascii="Arial"/>
                <w:sz w:val="21"/>
              </w:rPr>
            </w:pPr>
            <w:r/>
          </w:p>
        </w:tc>
        <w:tc>
          <w:tcPr>
            <w:tcW w:w="174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9" w:right="249" w:hanging="8"/>
              <w:spacing w:before="40"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6"/>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14" w:type="dxa"/>
            <w:vAlign w:val="top"/>
            <w:vMerge w:val="continue"/>
            <w:tcBorders>
              <w:top w:val="nil"/>
            </w:tcBorders>
          </w:tcPr>
          <w:p>
            <w:pPr>
              <w:rPr>
                <w:rFonts w:ascii="Arial"/>
                <w:sz w:val="21"/>
              </w:rPr>
            </w:pPr>
            <w:r/>
          </w:p>
        </w:tc>
        <w:tc>
          <w:tcPr>
            <w:tcW w:w="174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36" w:hRule="atLeast"/>
        </w:trPr>
        <w:tc>
          <w:tcPr>
            <w:tcW w:w="1414" w:type="dxa"/>
            <w:vAlign w:val="top"/>
            <w:vMerge w:val="restart"/>
            <w:tcBorders>
              <w:bottom w:val="nil"/>
            </w:tcBorders>
          </w:tcPr>
          <w:p>
            <w:pPr>
              <w:ind w:left="226" w:right="225" w:firstLine="9"/>
              <w:spacing w:before="42"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745" w:type="dxa"/>
            <w:vAlign w:val="top"/>
            <w:vMerge w:val="restart"/>
            <w:tcBorders>
              <w:bottom w:val="nil"/>
            </w:tcBorders>
          </w:tcPr>
          <w:p>
            <w:pPr>
              <w:ind w:left="154"/>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6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6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7"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造成社会影响与生态破坏的</w:t>
            </w:r>
          </w:p>
        </w:tc>
        <w:tc>
          <w:tcPr>
            <w:tcW w:w="1068" w:type="dxa"/>
            <w:vAlign w:val="top"/>
          </w:tcPr>
          <w:p>
            <w:pPr>
              <w:ind w:left="196"/>
              <w:spacing w:before="1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12" w:hRule="atLeast"/>
        </w:trPr>
        <w:tc>
          <w:tcPr>
            <w:tcW w:w="1414" w:type="dxa"/>
            <w:vAlign w:val="top"/>
            <w:vMerge w:val="continue"/>
            <w:tcBorders>
              <w:top w:val="nil"/>
            </w:tcBorders>
          </w:tcPr>
          <w:p>
            <w:pPr>
              <w:rPr>
                <w:rFonts w:ascii="Arial"/>
                <w:sz w:val="21"/>
              </w:rPr>
            </w:pPr>
            <w:r/>
          </w:p>
        </w:tc>
        <w:tc>
          <w:tcPr>
            <w:tcW w:w="174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47"/>
          <w:pgSz w:w="11905" w:h="16839"/>
          <w:pgMar w:top="1431" w:right="1711" w:bottom="1156" w:left="1710" w:header="0" w:footer="994" w:gutter="0"/>
        </w:sectPr>
        <w:rPr/>
      </w:pPr>
    </w:p>
    <w:p>
      <w:pPr>
        <w:spacing w:before="92"/>
        <w:rPr/>
      </w:pPr>
      <w:r/>
    </w:p>
    <w:p>
      <w:pPr>
        <w:spacing w:before="91"/>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2085"/>
        <w:gridCol w:w="654"/>
        <w:gridCol w:w="3199"/>
        <w:gridCol w:w="1064"/>
      </w:tblGrid>
      <w:tr>
        <w:trPr>
          <w:trHeight w:val="680" w:hRule="atLeast"/>
        </w:trPr>
        <w:tc>
          <w:tcPr>
            <w:tcW w:w="8423" w:type="dxa"/>
            <w:vAlign w:val="top"/>
            <w:gridSpan w:val="5"/>
          </w:tcPr>
          <w:p>
            <w:pPr>
              <w:ind w:left="479"/>
              <w:spacing w:before="73" w:line="231" w:lineRule="auto"/>
              <w:rPr>
                <w:rFonts w:ascii="FZXiaoBiaoSong-B05S" w:hAnsi="FZXiaoBiaoSong-B05S" w:eastAsia="FZXiaoBiaoSong-B05S" w:cs="FZXiaoBiaoSong-B05S"/>
                <w:sz w:val="40"/>
                <w:szCs w:val="40"/>
              </w:rPr>
            </w:pPr>
            <w:bookmarkStart w:name="bookmark20" w:id="23"/>
            <w:bookmarkEnd w:id="23"/>
            <w:r>
              <w:rPr>
                <w:rFonts w:ascii="FZXiaoBiaoSong-B05S" w:hAnsi="FZXiaoBiaoSong-B05S" w:eastAsia="FZXiaoBiaoSong-B05S" w:cs="FZXiaoBiaoSong-B05S"/>
                <w:sz w:val="40"/>
                <w:szCs w:val="40"/>
                <w:spacing w:val="-1"/>
              </w:rPr>
              <w:t>河北省生态环境行政处罚裁量规则(噪声类)</w:t>
            </w:r>
          </w:p>
        </w:tc>
      </w:tr>
      <w:tr>
        <w:trPr>
          <w:trHeight w:val="629" w:hRule="atLeast"/>
        </w:trPr>
        <w:tc>
          <w:tcPr>
            <w:tcW w:w="1421" w:type="dxa"/>
            <w:vAlign w:val="top"/>
          </w:tcPr>
          <w:p>
            <w:pPr>
              <w:ind w:left="435"/>
              <w:spacing w:before="17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2" w:type="dxa"/>
            <w:vAlign w:val="top"/>
            <w:gridSpan w:val="4"/>
          </w:tcPr>
          <w:p>
            <w:pPr>
              <w:ind w:left="3484"/>
              <w:spacing w:before="29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173</w:t>
            </w:r>
          </w:p>
        </w:tc>
      </w:tr>
      <w:tr>
        <w:trPr>
          <w:trHeight w:val="630" w:hRule="atLeast"/>
        </w:trPr>
        <w:tc>
          <w:tcPr>
            <w:tcW w:w="1421" w:type="dxa"/>
            <w:vAlign w:val="top"/>
          </w:tcPr>
          <w:p>
            <w:pPr>
              <w:ind w:left="160"/>
              <w:spacing w:before="17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2" w:type="dxa"/>
            <w:vAlign w:val="top"/>
            <w:gridSpan w:val="4"/>
          </w:tcPr>
          <w:p>
            <w:pPr>
              <w:ind w:left="12"/>
              <w:spacing w:before="19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拒绝、阻挠监督检查，或者在接受监督检查时弄虚作假的</w:t>
            </w:r>
          </w:p>
        </w:tc>
      </w:tr>
      <w:tr>
        <w:trPr>
          <w:trHeight w:val="3778" w:hRule="atLeast"/>
        </w:trPr>
        <w:tc>
          <w:tcPr>
            <w:tcW w:w="1421"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2" w:type="dxa"/>
            <w:vAlign w:val="top"/>
            <w:gridSpan w:val="4"/>
          </w:tcPr>
          <w:p>
            <w:pPr>
              <w:ind w:left="21"/>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1.《中华人民共和国噪声污染防治法》</w:t>
            </w:r>
          </w:p>
          <w:p>
            <w:pPr>
              <w:ind w:left="3" w:right="39" w:firstLine="15"/>
              <w:spacing w:before="38"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在生态环境主管部门和其他负有噪</w:t>
            </w:r>
            <w:r>
              <w:rPr>
                <w:rFonts w:ascii="FangSong_GB2312" w:hAnsi="FangSong_GB2312" w:eastAsia="FangSong_GB2312" w:cs="FangSong_GB2312"/>
                <w:sz w:val="24"/>
                <w:szCs w:val="24"/>
                <w:spacing w:val="-2"/>
              </w:rPr>
              <w:t>声污染防</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治监督管理职责的部门，有权对排放噪声的单位</w:t>
            </w:r>
            <w:r>
              <w:rPr>
                <w:rFonts w:ascii="FangSong_GB2312" w:hAnsi="FangSong_GB2312" w:eastAsia="FangSong_GB2312" w:cs="FangSong_GB2312"/>
                <w:sz w:val="24"/>
                <w:szCs w:val="24"/>
                <w:spacing w:val="-1"/>
              </w:rPr>
              <w:t>或者场所进行现场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检查。被检查者应当如实反映情况，提供必要的</w:t>
            </w:r>
            <w:r>
              <w:rPr>
                <w:rFonts w:ascii="FangSong_GB2312" w:hAnsi="FangSong_GB2312" w:eastAsia="FangSong_GB2312" w:cs="FangSong_GB2312"/>
                <w:sz w:val="24"/>
                <w:szCs w:val="24"/>
                <w:spacing w:val="-1"/>
              </w:rPr>
              <w:t>资料，不得拒绝或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者阻挠。实施检查的部门、人员对现场检查中知</w:t>
            </w:r>
            <w:r>
              <w:rPr>
                <w:rFonts w:ascii="FangSong_GB2312" w:hAnsi="FangSong_GB2312" w:eastAsia="FangSong_GB2312" w:cs="FangSong_GB2312"/>
                <w:sz w:val="24"/>
                <w:szCs w:val="24"/>
                <w:spacing w:val="-1"/>
              </w:rPr>
              <w:t>悉的商业秘密应当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保密。</w:t>
            </w:r>
          </w:p>
          <w:p>
            <w:pPr>
              <w:spacing w:line="268" w:lineRule="auto"/>
              <w:rPr>
                <w:rFonts w:ascii="Arial"/>
                <w:sz w:val="21"/>
              </w:rPr>
            </w:pPr>
            <w:r/>
          </w:p>
          <w:p>
            <w:pPr>
              <w:ind w:left="15"/>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2.《中华人民共和国噪声污染防治法》</w:t>
            </w:r>
          </w:p>
          <w:p>
            <w:pPr>
              <w:ind w:left="6" w:right="32" w:firstLine="12"/>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违反本法规定，拒绝、阻挠监督检查，或者在接受监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督检查时弄虚作假的，由生态环境主管部门或者其他负有噪声污染</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防治监督管理职责的部门责令改正，处二万元以上二十万元以下的</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4"/>
              </w:rPr>
              <w:t>罚款。</w:t>
            </w:r>
          </w:p>
        </w:tc>
      </w:tr>
      <w:tr>
        <w:trPr>
          <w:trHeight w:val="806" w:hRule="atLeast"/>
        </w:trPr>
        <w:tc>
          <w:tcPr>
            <w:tcW w:w="4160" w:type="dxa"/>
            <w:vAlign w:val="top"/>
            <w:gridSpan w:val="3"/>
          </w:tcPr>
          <w:p>
            <w:pPr>
              <w:spacing w:line="262" w:lineRule="auto"/>
              <w:rPr>
                <w:rFonts w:ascii="Arial"/>
                <w:sz w:val="21"/>
              </w:rPr>
            </w:pPr>
            <w:r/>
          </w:p>
          <w:p>
            <w:pPr>
              <w:ind w:left="1537"/>
              <w:spacing w:before="9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裁量要素</w:t>
            </w:r>
          </w:p>
        </w:tc>
        <w:tc>
          <w:tcPr>
            <w:tcW w:w="4263" w:type="dxa"/>
            <w:vAlign w:val="top"/>
            <w:gridSpan w:val="2"/>
          </w:tcPr>
          <w:p>
            <w:pPr>
              <w:spacing w:line="259" w:lineRule="auto"/>
              <w:rPr>
                <w:rFonts w:ascii="Arial"/>
                <w:sz w:val="21"/>
              </w:rPr>
            </w:pPr>
            <w:r/>
          </w:p>
          <w:p>
            <w:pPr>
              <w:ind w:left="1610"/>
              <w:spacing w:before="9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13"/>
              </w:rPr>
              <w:t>判定标准</w:t>
            </w:r>
          </w:p>
        </w:tc>
      </w:tr>
      <w:tr>
        <w:trPr>
          <w:trHeight w:val="630" w:hRule="atLeast"/>
        </w:trPr>
        <w:tc>
          <w:tcPr>
            <w:tcW w:w="1421" w:type="dxa"/>
            <w:vAlign w:val="top"/>
          </w:tcPr>
          <w:p>
            <w:pPr>
              <w:ind w:left="482"/>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85" w:type="dxa"/>
            <w:vAlign w:val="top"/>
          </w:tcPr>
          <w:p>
            <w:pPr>
              <w:ind w:left="6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54" w:type="dxa"/>
            <w:vAlign w:val="top"/>
          </w:tcPr>
          <w:p>
            <w:pPr>
              <w:ind w:left="144" w:right="103" w:hanging="32"/>
              <w:spacing w:before="50" w:line="239"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199" w:type="dxa"/>
            <w:vAlign w:val="top"/>
          </w:tcPr>
          <w:p>
            <w:pPr>
              <w:ind w:left="1387"/>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4" w:type="dxa"/>
            <w:vAlign w:val="top"/>
          </w:tcPr>
          <w:p>
            <w:pPr>
              <w:ind w:left="216"/>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15" w:hRule="atLeast"/>
        </w:trPr>
        <w:tc>
          <w:tcPr>
            <w:tcW w:w="1421" w:type="dxa"/>
            <w:vAlign w:val="top"/>
            <w:vMerge w:val="restart"/>
            <w:tcBorders>
              <w:bottom w:val="nil"/>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ind w:left="477" w:right="105"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208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3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654"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6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199" w:type="dxa"/>
            <w:vAlign w:val="top"/>
          </w:tcPr>
          <w:p>
            <w:pPr>
              <w:ind w:left="10"/>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分钟以内</w:t>
            </w:r>
          </w:p>
        </w:tc>
        <w:tc>
          <w:tcPr>
            <w:tcW w:w="1064" w:type="dxa"/>
            <w:vAlign w:val="top"/>
          </w:tcPr>
          <w:p>
            <w:pPr>
              <w:ind w:left="196"/>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5" w:hRule="atLeast"/>
        </w:trPr>
        <w:tc>
          <w:tcPr>
            <w:tcW w:w="1421" w:type="dxa"/>
            <w:vAlign w:val="top"/>
            <w:vMerge w:val="continue"/>
            <w:tcBorders>
              <w:top w:val="nil"/>
              <w:bottom w:val="nil"/>
            </w:tcBorders>
          </w:tcPr>
          <w:p>
            <w:pPr>
              <w:rPr>
                <w:rFonts w:ascii="Arial"/>
                <w:sz w:val="21"/>
              </w:rPr>
            </w:pPr>
            <w:r/>
          </w:p>
        </w:tc>
        <w:tc>
          <w:tcPr>
            <w:tcW w:w="2085" w:type="dxa"/>
            <w:vAlign w:val="top"/>
            <w:vMerge w:val="continue"/>
            <w:tcBorders>
              <w:top w:val="nil"/>
              <w:bottom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3199" w:type="dxa"/>
            <w:vAlign w:val="top"/>
          </w:tcPr>
          <w:p>
            <w:pPr>
              <w:ind w:left="10"/>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64" w:type="dxa"/>
            <w:vAlign w:val="top"/>
          </w:tcPr>
          <w:p>
            <w:pPr>
              <w:ind w:left="136"/>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15" w:hRule="atLeast"/>
        </w:trPr>
        <w:tc>
          <w:tcPr>
            <w:tcW w:w="1421" w:type="dxa"/>
            <w:vAlign w:val="top"/>
            <w:vMerge w:val="continue"/>
            <w:tcBorders>
              <w:top w:val="nil"/>
              <w:bottom w:val="nil"/>
            </w:tcBorders>
          </w:tcPr>
          <w:p>
            <w:pPr>
              <w:rPr>
                <w:rFonts w:ascii="Arial"/>
                <w:sz w:val="21"/>
              </w:rPr>
            </w:pPr>
            <w:r/>
          </w:p>
        </w:tc>
        <w:tc>
          <w:tcPr>
            <w:tcW w:w="2085" w:type="dxa"/>
            <w:vAlign w:val="top"/>
            <w:vMerge w:val="continue"/>
            <w:tcBorders>
              <w:top w:val="nil"/>
              <w:bottom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3199" w:type="dxa"/>
            <w:vAlign w:val="top"/>
          </w:tcPr>
          <w:p>
            <w:pPr>
              <w:ind w:left="3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64" w:type="dxa"/>
            <w:vAlign w:val="top"/>
          </w:tcPr>
          <w:p>
            <w:pPr>
              <w:ind w:left="130"/>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0" w:hRule="atLeast"/>
        </w:trPr>
        <w:tc>
          <w:tcPr>
            <w:tcW w:w="1421" w:type="dxa"/>
            <w:vAlign w:val="top"/>
            <w:vMerge w:val="continue"/>
            <w:tcBorders>
              <w:top w:val="nil"/>
              <w:bottom w:val="nil"/>
            </w:tcBorders>
          </w:tcPr>
          <w:p>
            <w:pPr>
              <w:rPr>
                <w:rFonts w:ascii="Arial"/>
                <w:sz w:val="21"/>
              </w:rPr>
            </w:pPr>
            <w:r/>
          </w:p>
        </w:tc>
        <w:tc>
          <w:tcPr>
            <w:tcW w:w="2085" w:type="dxa"/>
            <w:vAlign w:val="top"/>
            <w:vMerge w:val="continue"/>
            <w:tcBorders>
              <w:top w:val="nil"/>
              <w:bottom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3199" w:type="dxa"/>
            <w:vAlign w:val="top"/>
          </w:tcPr>
          <w:p>
            <w:pPr>
              <w:ind w:left="6" w:right="72" w:firstLine="25"/>
              <w:spacing w:before="4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围堵、留滞执法人员或拒绝提</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供资料</w:t>
            </w:r>
          </w:p>
        </w:tc>
        <w:tc>
          <w:tcPr>
            <w:tcW w:w="1064" w:type="dxa"/>
            <w:vAlign w:val="top"/>
          </w:tcPr>
          <w:p>
            <w:pPr>
              <w:ind w:left="140"/>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15" w:hRule="atLeast"/>
        </w:trPr>
        <w:tc>
          <w:tcPr>
            <w:tcW w:w="1421" w:type="dxa"/>
            <w:vAlign w:val="top"/>
            <w:vMerge w:val="continue"/>
            <w:tcBorders>
              <w:top w:val="nil"/>
              <w:bottom w:val="nil"/>
            </w:tcBorders>
          </w:tcPr>
          <w:p>
            <w:pPr>
              <w:rPr>
                <w:rFonts w:ascii="Arial"/>
                <w:sz w:val="21"/>
              </w:rPr>
            </w:pPr>
            <w:r/>
          </w:p>
        </w:tc>
        <w:tc>
          <w:tcPr>
            <w:tcW w:w="2085" w:type="dxa"/>
            <w:vAlign w:val="top"/>
            <w:vMerge w:val="continue"/>
            <w:tcBorders>
              <w:top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3199" w:type="dxa"/>
            <w:vAlign w:val="top"/>
          </w:tcPr>
          <w:p>
            <w:pPr>
              <w:ind w:left="8"/>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64" w:type="dxa"/>
            <w:vAlign w:val="top"/>
          </w:tcPr>
          <w:p>
            <w:pPr>
              <w:ind w:left="129"/>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355" w:hRule="atLeast"/>
        </w:trPr>
        <w:tc>
          <w:tcPr>
            <w:tcW w:w="1421" w:type="dxa"/>
            <w:vAlign w:val="top"/>
            <w:vMerge w:val="continue"/>
            <w:tcBorders>
              <w:top w:val="nil"/>
              <w:bottom w:val="nil"/>
            </w:tcBorders>
          </w:tcPr>
          <w:p>
            <w:pPr>
              <w:rPr>
                <w:rFonts w:ascii="Arial"/>
                <w:sz w:val="21"/>
              </w:rPr>
            </w:pPr>
            <w:r/>
          </w:p>
        </w:tc>
        <w:tc>
          <w:tcPr>
            <w:tcW w:w="2085" w:type="dxa"/>
            <w:vAlign w:val="top"/>
            <w:vMerge w:val="restart"/>
            <w:tcBorders>
              <w:bottom w:val="nil"/>
            </w:tcBorders>
          </w:tcPr>
          <w:p>
            <w:pPr>
              <w:ind w:left="328"/>
              <w:spacing w:before="22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654" w:type="dxa"/>
            <w:vAlign w:val="top"/>
            <w:vMerge w:val="continue"/>
            <w:tcBorders>
              <w:top w:val="nil"/>
              <w:bottom w:val="nil"/>
            </w:tcBorders>
          </w:tcPr>
          <w:p>
            <w:pPr>
              <w:rPr>
                <w:rFonts w:ascii="Arial"/>
                <w:sz w:val="21"/>
              </w:rPr>
            </w:pPr>
            <w:r/>
          </w:p>
        </w:tc>
        <w:tc>
          <w:tcPr>
            <w:tcW w:w="3199" w:type="dxa"/>
            <w:vAlign w:val="top"/>
          </w:tcPr>
          <w:p>
            <w:pPr>
              <w:ind w:left="8"/>
              <w:spacing w:before="6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064" w:type="dxa"/>
            <w:vAlign w:val="top"/>
          </w:tcPr>
          <w:p>
            <w:pPr>
              <w:ind w:left="26"/>
              <w:spacing w:before="61"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15" w:hRule="atLeast"/>
        </w:trPr>
        <w:tc>
          <w:tcPr>
            <w:tcW w:w="1421" w:type="dxa"/>
            <w:vAlign w:val="top"/>
            <w:vMerge w:val="continue"/>
            <w:tcBorders>
              <w:top w:val="nil"/>
            </w:tcBorders>
          </w:tcPr>
          <w:p>
            <w:pPr>
              <w:rPr>
                <w:rFonts w:ascii="Arial"/>
                <w:sz w:val="21"/>
              </w:rPr>
            </w:pPr>
            <w:r/>
          </w:p>
        </w:tc>
        <w:tc>
          <w:tcPr>
            <w:tcW w:w="2085" w:type="dxa"/>
            <w:vAlign w:val="top"/>
            <w:vMerge w:val="continue"/>
            <w:tcBorders>
              <w:top w:val="nil"/>
            </w:tcBorders>
          </w:tcPr>
          <w:p>
            <w:pPr>
              <w:rPr>
                <w:rFonts w:ascii="Arial"/>
                <w:sz w:val="21"/>
              </w:rPr>
            </w:pPr>
            <w:r/>
          </w:p>
        </w:tc>
        <w:tc>
          <w:tcPr>
            <w:tcW w:w="654" w:type="dxa"/>
            <w:vAlign w:val="top"/>
            <w:vMerge w:val="continue"/>
            <w:tcBorders>
              <w:top w:val="nil"/>
            </w:tcBorders>
          </w:tcPr>
          <w:p>
            <w:pPr>
              <w:rPr>
                <w:rFonts w:ascii="Arial"/>
                <w:sz w:val="21"/>
              </w:rPr>
            </w:pPr>
            <w:r/>
          </w:p>
        </w:tc>
        <w:tc>
          <w:tcPr>
            <w:tcW w:w="3199" w:type="dxa"/>
            <w:vAlign w:val="top"/>
          </w:tcPr>
          <w:p>
            <w:pPr>
              <w:ind w:left="13"/>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064" w:type="dxa"/>
            <w:vAlign w:val="top"/>
          </w:tcPr>
          <w:p>
            <w:pPr>
              <w:ind w:left="140"/>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15" w:hRule="atLeast"/>
        </w:trPr>
        <w:tc>
          <w:tcPr>
            <w:tcW w:w="1421" w:type="dxa"/>
            <w:vAlign w:val="top"/>
            <w:vMerge w:val="restart"/>
            <w:tcBorders>
              <w:bottom w:val="nil"/>
            </w:tcBorders>
          </w:tcPr>
          <w:p>
            <w:pPr>
              <w:spacing w:line="440" w:lineRule="auto"/>
              <w:rPr>
                <w:rFonts w:ascii="Arial"/>
                <w:sz w:val="21"/>
              </w:rPr>
            </w:pPr>
            <w:r/>
          </w:p>
          <w:p>
            <w:pPr>
              <w:ind w:left="23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85" w:type="dxa"/>
            <w:vAlign w:val="top"/>
            <w:vMerge w:val="restart"/>
            <w:tcBorders>
              <w:bottom w:val="nil"/>
            </w:tcBorders>
          </w:tcPr>
          <w:p>
            <w:pPr>
              <w:spacing w:line="440" w:lineRule="auto"/>
              <w:rPr>
                <w:rFonts w:ascii="Arial"/>
                <w:sz w:val="21"/>
              </w:rPr>
            </w:pPr>
            <w:r/>
          </w:p>
          <w:p>
            <w:pPr>
              <w:ind w:left="22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54" w:type="dxa"/>
            <w:vAlign w:val="top"/>
            <w:vMerge w:val="restart"/>
            <w:tcBorders>
              <w:bottom w:val="nil"/>
            </w:tcBorders>
          </w:tcPr>
          <w:p>
            <w:pPr>
              <w:spacing w:line="441" w:lineRule="auto"/>
              <w:rPr>
                <w:rFonts w:ascii="Arial"/>
                <w:sz w:val="21"/>
              </w:rPr>
            </w:pPr>
            <w:r/>
          </w:p>
          <w:p>
            <w:pPr>
              <w:ind w:left="16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8"/>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4" w:type="dxa"/>
            <w:vAlign w:val="top"/>
          </w:tcPr>
          <w:p>
            <w:pPr>
              <w:ind w:left="433"/>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5" w:hRule="atLeast"/>
        </w:trPr>
        <w:tc>
          <w:tcPr>
            <w:tcW w:w="1421" w:type="dxa"/>
            <w:vAlign w:val="top"/>
            <w:vMerge w:val="continue"/>
            <w:tcBorders>
              <w:top w:val="nil"/>
              <w:bottom w:val="nil"/>
            </w:tcBorders>
          </w:tcPr>
          <w:p>
            <w:pPr>
              <w:rPr>
                <w:rFonts w:ascii="Arial"/>
                <w:sz w:val="21"/>
              </w:rPr>
            </w:pPr>
            <w:r/>
          </w:p>
        </w:tc>
        <w:tc>
          <w:tcPr>
            <w:tcW w:w="2085" w:type="dxa"/>
            <w:vAlign w:val="top"/>
            <w:vMerge w:val="continue"/>
            <w:tcBorders>
              <w:top w:val="nil"/>
              <w:bottom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3199" w:type="dxa"/>
            <w:vAlign w:val="top"/>
          </w:tcPr>
          <w:p>
            <w:pPr>
              <w:ind w:left="1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4" w:type="dxa"/>
            <w:vAlign w:val="top"/>
          </w:tcPr>
          <w:p>
            <w:pPr>
              <w:ind w:left="37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5" w:hRule="atLeast"/>
        </w:trPr>
        <w:tc>
          <w:tcPr>
            <w:tcW w:w="1421" w:type="dxa"/>
            <w:vAlign w:val="top"/>
            <w:vMerge w:val="continue"/>
            <w:tcBorders>
              <w:top w:val="nil"/>
              <w:bottom w:val="nil"/>
            </w:tcBorders>
          </w:tcPr>
          <w:p>
            <w:pPr>
              <w:rPr>
                <w:rFonts w:ascii="Arial"/>
                <w:sz w:val="21"/>
              </w:rPr>
            </w:pPr>
            <w:r/>
          </w:p>
        </w:tc>
        <w:tc>
          <w:tcPr>
            <w:tcW w:w="2085" w:type="dxa"/>
            <w:vAlign w:val="top"/>
            <w:vMerge w:val="continue"/>
            <w:tcBorders>
              <w:top w:val="nil"/>
              <w:bottom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3199" w:type="dxa"/>
            <w:vAlign w:val="top"/>
          </w:tcPr>
          <w:p>
            <w:pPr>
              <w:ind w:left="22"/>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4" w:type="dxa"/>
            <w:vAlign w:val="top"/>
          </w:tcPr>
          <w:p>
            <w:pPr>
              <w:ind w:left="376"/>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5" w:hRule="atLeast"/>
        </w:trPr>
        <w:tc>
          <w:tcPr>
            <w:tcW w:w="1421" w:type="dxa"/>
            <w:vAlign w:val="top"/>
            <w:vMerge w:val="continue"/>
            <w:tcBorders>
              <w:top w:val="nil"/>
            </w:tcBorders>
          </w:tcPr>
          <w:p>
            <w:pPr>
              <w:rPr>
                <w:rFonts w:ascii="Arial"/>
                <w:sz w:val="21"/>
              </w:rPr>
            </w:pPr>
            <w:r/>
          </w:p>
        </w:tc>
        <w:tc>
          <w:tcPr>
            <w:tcW w:w="2085" w:type="dxa"/>
            <w:vAlign w:val="top"/>
            <w:vMerge w:val="continue"/>
            <w:tcBorders>
              <w:top w:val="nil"/>
            </w:tcBorders>
          </w:tcPr>
          <w:p>
            <w:pPr>
              <w:rPr>
                <w:rFonts w:ascii="Arial"/>
                <w:sz w:val="21"/>
              </w:rPr>
            </w:pPr>
            <w:r/>
          </w:p>
        </w:tc>
        <w:tc>
          <w:tcPr>
            <w:tcW w:w="654" w:type="dxa"/>
            <w:vAlign w:val="top"/>
            <w:vMerge w:val="continue"/>
            <w:tcBorders>
              <w:top w:val="nil"/>
            </w:tcBorders>
          </w:tcPr>
          <w:p>
            <w:pPr>
              <w:rPr>
                <w:rFonts w:ascii="Arial"/>
                <w:sz w:val="21"/>
              </w:rPr>
            </w:pPr>
            <w:r/>
          </w:p>
        </w:tc>
        <w:tc>
          <w:tcPr>
            <w:tcW w:w="3199" w:type="dxa"/>
            <w:vAlign w:val="top"/>
          </w:tcPr>
          <w:p>
            <w:pPr>
              <w:ind w:left="28"/>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4" w:type="dxa"/>
            <w:vAlign w:val="top"/>
          </w:tcPr>
          <w:p>
            <w:pPr>
              <w:ind w:left="370"/>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5" w:hRule="atLeast"/>
        </w:trPr>
        <w:tc>
          <w:tcPr>
            <w:tcW w:w="1421" w:type="dxa"/>
            <w:vAlign w:val="top"/>
            <w:vMerge w:val="restart"/>
            <w:tcBorders>
              <w:bottom w:val="nil"/>
            </w:tcBorders>
          </w:tcPr>
          <w:p>
            <w:pPr>
              <w:spacing w:line="437"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85" w:type="dxa"/>
            <w:vAlign w:val="top"/>
            <w:vMerge w:val="restart"/>
            <w:tcBorders>
              <w:bottom w:val="nil"/>
            </w:tcBorders>
          </w:tcPr>
          <w:p>
            <w:pPr>
              <w:spacing w:line="438" w:lineRule="auto"/>
              <w:rPr>
                <w:rFonts w:ascii="Arial"/>
                <w:sz w:val="21"/>
              </w:rPr>
            </w:pPr>
            <w:r/>
          </w:p>
          <w:p>
            <w:pPr>
              <w:ind w:left="324"/>
              <w:spacing w:before="7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是否及时整改</w:t>
            </w:r>
          </w:p>
        </w:tc>
        <w:tc>
          <w:tcPr>
            <w:tcW w:w="654" w:type="dxa"/>
            <w:vAlign w:val="top"/>
            <w:vMerge w:val="restart"/>
            <w:tcBorders>
              <w:bottom w:val="nil"/>
            </w:tcBorders>
          </w:tcPr>
          <w:p>
            <w:pPr>
              <w:spacing w:line="437" w:lineRule="auto"/>
              <w:rPr>
                <w:rFonts w:ascii="Arial"/>
                <w:sz w:val="21"/>
              </w:rPr>
            </w:pPr>
            <w:r/>
          </w:p>
          <w:p>
            <w:pPr>
              <w:ind w:left="16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9"/>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4" w:type="dxa"/>
            <w:vAlign w:val="top"/>
          </w:tcPr>
          <w:p>
            <w:pPr>
              <w:ind w:left="438"/>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0" w:hRule="atLeast"/>
        </w:trPr>
        <w:tc>
          <w:tcPr>
            <w:tcW w:w="1421" w:type="dxa"/>
            <w:vAlign w:val="top"/>
            <w:vMerge w:val="continue"/>
            <w:tcBorders>
              <w:top w:val="nil"/>
              <w:bottom w:val="nil"/>
            </w:tcBorders>
          </w:tcPr>
          <w:p>
            <w:pPr>
              <w:rPr>
                <w:rFonts w:ascii="Arial"/>
                <w:sz w:val="21"/>
              </w:rPr>
            </w:pPr>
            <w:r/>
          </w:p>
        </w:tc>
        <w:tc>
          <w:tcPr>
            <w:tcW w:w="2085" w:type="dxa"/>
            <w:vAlign w:val="top"/>
            <w:vMerge w:val="continue"/>
            <w:tcBorders>
              <w:top w:val="nil"/>
              <w:bottom w:val="nil"/>
            </w:tcBorders>
          </w:tcPr>
          <w:p>
            <w:pPr>
              <w:rPr>
                <w:rFonts w:ascii="Arial"/>
                <w:sz w:val="21"/>
              </w:rPr>
            </w:pPr>
            <w:r/>
          </w:p>
        </w:tc>
        <w:tc>
          <w:tcPr>
            <w:tcW w:w="654" w:type="dxa"/>
            <w:vAlign w:val="top"/>
            <w:vMerge w:val="continue"/>
            <w:tcBorders>
              <w:top w:val="nil"/>
              <w:bottom w:val="nil"/>
            </w:tcBorders>
          </w:tcPr>
          <w:p>
            <w:pPr>
              <w:rPr>
                <w:rFonts w:ascii="Arial"/>
                <w:sz w:val="21"/>
              </w:rPr>
            </w:pPr>
            <w:r/>
          </w:p>
        </w:tc>
        <w:tc>
          <w:tcPr>
            <w:tcW w:w="3199" w:type="dxa"/>
            <w:vAlign w:val="top"/>
          </w:tcPr>
          <w:p>
            <w:pPr>
              <w:ind w:left="26" w:right="72" w:hanging="8"/>
              <w:spacing w:before="4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4" w:type="dxa"/>
            <w:vAlign w:val="top"/>
          </w:tcPr>
          <w:p>
            <w:pPr>
              <w:ind w:left="256"/>
              <w:spacing w:before="4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tcBorders>
          </w:tcPr>
          <w:p>
            <w:pPr>
              <w:rPr>
                <w:rFonts w:ascii="Arial"/>
                <w:sz w:val="21"/>
              </w:rPr>
            </w:pPr>
            <w:r/>
          </w:p>
        </w:tc>
        <w:tc>
          <w:tcPr>
            <w:tcW w:w="2085" w:type="dxa"/>
            <w:vAlign w:val="top"/>
            <w:vMerge w:val="continue"/>
            <w:tcBorders>
              <w:top w:val="nil"/>
            </w:tcBorders>
          </w:tcPr>
          <w:p>
            <w:pPr>
              <w:rPr>
                <w:rFonts w:ascii="Arial"/>
                <w:sz w:val="21"/>
              </w:rPr>
            </w:pPr>
            <w:r/>
          </w:p>
        </w:tc>
        <w:tc>
          <w:tcPr>
            <w:tcW w:w="654" w:type="dxa"/>
            <w:vAlign w:val="top"/>
            <w:vMerge w:val="continue"/>
            <w:tcBorders>
              <w:top w:val="nil"/>
            </w:tcBorders>
          </w:tcPr>
          <w:p>
            <w:pPr>
              <w:rPr>
                <w:rFonts w:ascii="Arial"/>
                <w:sz w:val="21"/>
              </w:rPr>
            </w:pPr>
            <w:r/>
          </w:p>
        </w:tc>
        <w:tc>
          <w:tcPr>
            <w:tcW w:w="3199" w:type="dxa"/>
            <w:vAlign w:val="top"/>
          </w:tcPr>
          <w:p>
            <w:pPr>
              <w:ind w:left="22"/>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4" w:type="dxa"/>
            <w:vAlign w:val="top"/>
          </w:tcPr>
          <w:p>
            <w:pPr>
              <w:ind w:left="192"/>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5" w:hRule="atLeast"/>
        </w:trPr>
        <w:tc>
          <w:tcPr>
            <w:tcW w:w="1421" w:type="dxa"/>
            <w:vAlign w:val="top"/>
            <w:vMerge w:val="restart"/>
            <w:tcBorders>
              <w:bottom w:val="nil"/>
            </w:tcBorders>
          </w:tcPr>
          <w:p>
            <w:pPr>
              <w:ind w:left="220" w:hanging="204"/>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8"/>
                <w:w w:val="93"/>
              </w:rPr>
              <w:t>对社会影</w:t>
            </w:r>
            <w:r>
              <w:rPr>
                <w:rFonts w:ascii="FangSong_GB2312" w:hAnsi="FangSong_GB2312" w:eastAsia="FangSong_GB2312" w:cs="FangSong_GB2312"/>
                <w:sz w:val="24"/>
                <w:szCs w:val="24"/>
                <w:b/>
                <w:bCs/>
                <w:spacing w:val="-27"/>
                <w:w w:val="93"/>
              </w:rPr>
              <w:t>响或</w:t>
            </w:r>
            <w:r>
              <w:rPr>
                <w:rFonts w:ascii="FangSong_GB2312" w:hAnsi="FangSong_GB2312" w:eastAsia="FangSong_GB2312" w:cs="FangSong_GB2312"/>
                <w:sz w:val="24"/>
                <w:szCs w:val="24"/>
                <w:b/>
                <w:bCs/>
                <w:spacing w:val="-23"/>
                <w:w w:val="93"/>
              </w:rPr>
              <w:t>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b/>
                <w:bCs/>
                <w:spacing w:val="-23"/>
                <w:w w:val="95"/>
              </w:rPr>
              <w:t>态破坏程度</w:t>
            </w:r>
          </w:p>
        </w:tc>
        <w:tc>
          <w:tcPr>
            <w:tcW w:w="2085" w:type="dxa"/>
            <w:vAlign w:val="top"/>
            <w:vMerge w:val="restart"/>
            <w:tcBorders>
              <w:bottom w:val="nil"/>
            </w:tcBorders>
          </w:tcPr>
          <w:p>
            <w:pPr>
              <w:ind w:left="447" w:right="81" w:hanging="363"/>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是否造成社会影响</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或生态破坏</w:t>
            </w:r>
          </w:p>
        </w:tc>
        <w:tc>
          <w:tcPr>
            <w:tcW w:w="654" w:type="dxa"/>
            <w:vAlign w:val="top"/>
            <w:vMerge w:val="restart"/>
            <w:tcBorders>
              <w:bottom w:val="nil"/>
            </w:tcBorders>
          </w:tcPr>
          <w:p>
            <w:pPr>
              <w:ind w:left="16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3"/>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4" w:type="dxa"/>
            <w:vAlign w:val="top"/>
          </w:tcPr>
          <w:p>
            <w:pPr>
              <w:ind w:left="19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17" w:hRule="atLeast"/>
        </w:trPr>
        <w:tc>
          <w:tcPr>
            <w:tcW w:w="1421" w:type="dxa"/>
            <w:vAlign w:val="top"/>
            <w:vMerge w:val="continue"/>
            <w:tcBorders>
              <w:top w:val="nil"/>
            </w:tcBorders>
          </w:tcPr>
          <w:p>
            <w:pPr>
              <w:rPr>
                <w:rFonts w:ascii="Arial"/>
                <w:sz w:val="21"/>
              </w:rPr>
            </w:pPr>
            <w:r/>
          </w:p>
        </w:tc>
        <w:tc>
          <w:tcPr>
            <w:tcW w:w="2085" w:type="dxa"/>
            <w:vAlign w:val="top"/>
            <w:vMerge w:val="continue"/>
            <w:tcBorders>
              <w:top w:val="nil"/>
            </w:tcBorders>
          </w:tcPr>
          <w:p>
            <w:pPr>
              <w:rPr>
                <w:rFonts w:ascii="Arial"/>
                <w:sz w:val="21"/>
              </w:rPr>
            </w:pPr>
            <w:r/>
          </w:p>
        </w:tc>
        <w:tc>
          <w:tcPr>
            <w:tcW w:w="654" w:type="dxa"/>
            <w:vAlign w:val="top"/>
            <w:vMerge w:val="continue"/>
            <w:tcBorders>
              <w:top w:val="nil"/>
            </w:tcBorders>
          </w:tcPr>
          <w:p>
            <w:pPr>
              <w:rPr>
                <w:rFonts w:ascii="Arial"/>
                <w:sz w:val="21"/>
              </w:rPr>
            </w:pPr>
            <w:r/>
          </w:p>
        </w:tc>
        <w:tc>
          <w:tcPr>
            <w:tcW w:w="3199" w:type="dxa"/>
            <w:vAlign w:val="top"/>
          </w:tcPr>
          <w:p>
            <w:pPr>
              <w:ind w:left="10"/>
              <w:spacing w:before="41"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4" w:type="dxa"/>
            <w:vAlign w:val="top"/>
          </w:tcPr>
          <w:p>
            <w:pPr>
              <w:ind w:left="438"/>
              <w:spacing w:before="41"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48"/>
          <w:pgSz w:w="11905" w:h="16839"/>
          <w:pgMar w:top="1431" w:right="1738" w:bottom="1156" w:left="1737"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682" w:hRule="atLeast"/>
        </w:trPr>
        <w:tc>
          <w:tcPr>
            <w:tcW w:w="8423" w:type="dxa"/>
            <w:vAlign w:val="top"/>
            <w:gridSpan w:val="5"/>
          </w:tcPr>
          <w:p>
            <w:pPr>
              <w:ind w:left="582"/>
              <w:spacing w:before="91"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河北省生态环境行政处罚裁量规则(噪声类)</w:t>
            </w:r>
          </w:p>
        </w:tc>
      </w:tr>
      <w:tr>
        <w:trPr>
          <w:trHeight w:val="679" w:hRule="atLeast"/>
        </w:trPr>
        <w:tc>
          <w:tcPr>
            <w:tcW w:w="1421" w:type="dxa"/>
            <w:vAlign w:val="top"/>
          </w:tcPr>
          <w:p>
            <w:pPr>
              <w:ind w:left="435"/>
              <w:spacing w:before="17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2" w:type="dxa"/>
            <w:vAlign w:val="top"/>
            <w:gridSpan w:val="4"/>
          </w:tcPr>
          <w:p>
            <w:pPr>
              <w:ind w:left="3484"/>
              <w:spacing w:before="244"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174</w:t>
            </w:r>
          </w:p>
        </w:tc>
      </w:tr>
      <w:tr>
        <w:trPr>
          <w:trHeight w:val="679" w:hRule="atLeast"/>
        </w:trPr>
        <w:tc>
          <w:tcPr>
            <w:tcW w:w="1421" w:type="dxa"/>
            <w:vAlign w:val="top"/>
          </w:tcPr>
          <w:p>
            <w:pPr>
              <w:ind w:left="160"/>
              <w:spacing w:before="17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2" w:type="dxa"/>
            <w:vAlign w:val="top"/>
            <w:gridSpan w:val="4"/>
          </w:tcPr>
          <w:p>
            <w:pPr>
              <w:ind w:left="119"/>
              <w:spacing w:before="2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在噪声敏感建筑物集中区域新建排放噪声的工业企业的</w:t>
            </w:r>
          </w:p>
        </w:tc>
      </w:tr>
      <w:tr>
        <w:trPr>
          <w:trHeight w:val="3419" w:hRule="atLeast"/>
        </w:trPr>
        <w:tc>
          <w:tcPr>
            <w:tcW w:w="1421"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2" w:type="dxa"/>
            <w:vAlign w:val="top"/>
            <w:gridSpan w:val="4"/>
          </w:tcPr>
          <w:p>
            <w:pPr>
              <w:ind w:left="21"/>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1.《中华人民共和国噪声污染防治法》</w:t>
            </w:r>
          </w:p>
          <w:p>
            <w:pPr>
              <w:ind w:left="16" w:right="106" w:firstLine="1"/>
              <w:spacing w:before="66" w:line="25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第三十五条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b/>
                <w:bCs/>
                <w:spacing w:val="-4"/>
              </w:rPr>
              <w:t>第二款</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在噪声敏感建筑物集中区域，禁止新建排放噪</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3"/>
              </w:rPr>
              <w:t>声的工业企业，改建、扩建工业企业的，应当采取有效措施防止工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业噪声污染。</w:t>
            </w:r>
          </w:p>
          <w:p>
            <w:pPr>
              <w:spacing w:line="335" w:lineRule="auto"/>
              <w:rPr>
                <w:rFonts w:ascii="Arial"/>
                <w:sz w:val="21"/>
              </w:rPr>
            </w:pPr>
            <w:r/>
          </w:p>
          <w:p>
            <w:pPr>
              <w:ind w:left="15"/>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2.《中华人民共和国噪声污染防治法》</w:t>
            </w:r>
          </w:p>
          <w:p>
            <w:pPr>
              <w:ind w:left="6" w:right="270" w:firstLine="12"/>
              <w:spacing w:before="71" w:line="24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违反本法规定，在噪声敏感建筑</w:t>
            </w:r>
            <w:r>
              <w:rPr>
                <w:rFonts w:ascii="FangSong_GB2312" w:hAnsi="FangSong_GB2312" w:eastAsia="FangSong_GB2312" w:cs="FangSong_GB2312"/>
                <w:sz w:val="24"/>
                <w:szCs w:val="24"/>
                <w:spacing w:val="-2"/>
              </w:rPr>
              <w:t>物集中区域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新建排放噪声的工业企业的，由生态环境主管部门责令停止违法</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行为，处十万元以上五十万元以下的罚款，并报经有批准权的人</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民政府批准，责令关闭。</w:t>
            </w:r>
          </w:p>
        </w:tc>
      </w:tr>
      <w:tr>
        <w:trPr>
          <w:trHeight w:val="629" w:hRule="atLeast"/>
        </w:trPr>
        <w:tc>
          <w:tcPr>
            <w:tcW w:w="4160" w:type="dxa"/>
            <w:vAlign w:val="top"/>
            <w:gridSpan w:val="3"/>
          </w:tcPr>
          <w:p>
            <w:pPr>
              <w:ind w:left="1537"/>
              <w:spacing w:before="196"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裁量要素</w:t>
            </w:r>
          </w:p>
        </w:tc>
        <w:tc>
          <w:tcPr>
            <w:tcW w:w="4263" w:type="dxa"/>
            <w:vAlign w:val="top"/>
            <w:gridSpan w:val="2"/>
          </w:tcPr>
          <w:p>
            <w:pPr>
              <w:ind w:left="1610"/>
              <w:spacing w:before="193"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13"/>
              </w:rPr>
              <w:t>判定标准</w:t>
            </w:r>
          </w:p>
        </w:tc>
      </w:tr>
      <w:tr>
        <w:trPr>
          <w:trHeight w:val="630" w:hRule="atLeast"/>
        </w:trPr>
        <w:tc>
          <w:tcPr>
            <w:tcW w:w="1421" w:type="dxa"/>
            <w:vAlign w:val="top"/>
          </w:tcPr>
          <w:p>
            <w:pPr>
              <w:ind w:left="482"/>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48" w:type="dxa"/>
            <w:vAlign w:val="top"/>
          </w:tcPr>
          <w:p>
            <w:pPr>
              <w:ind w:left="545"/>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13" w:right="171" w:hanging="32"/>
              <w:spacing w:before="50" w:line="239"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199" w:type="dxa"/>
            <w:vAlign w:val="top"/>
          </w:tcPr>
          <w:p>
            <w:pPr>
              <w:ind w:left="1387"/>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4" w:type="dxa"/>
            <w:vAlign w:val="top"/>
          </w:tcPr>
          <w:p>
            <w:pPr>
              <w:ind w:left="216"/>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1" w:hRule="atLeast"/>
        </w:trPr>
        <w:tc>
          <w:tcPr>
            <w:tcW w:w="1421"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477" w:right="105"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48" w:type="dxa"/>
            <w:vAlign w:val="top"/>
            <w:vMerge w:val="restart"/>
            <w:tcBorders>
              <w:bottom w:val="nil"/>
            </w:tcBorders>
          </w:tcPr>
          <w:p>
            <w:pPr>
              <w:spacing w:line="276" w:lineRule="auto"/>
              <w:rPr>
                <w:rFonts w:ascii="Arial"/>
                <w:sz w:val="21"/>
              </w:rPr>
            </w:pPr>
            <w:r/>
          </w:p>
          <w:p>
            <w:pPr>
              <w:ind w:left="26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436" w:lineRule="auto"/>
              <w:rPr>
                <w:rFonts w:ascii="Arial"/>
                <w:sz w:val="21"/>
              </w:rPr>
            </w:pPr>
            <w:r/>
          </w:p>
          <w:p>
            <w:pPr>
              <w:ind w:left="24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199" w:type="dxa"/>
            <w:vAlign w:val="top"/>
          </w:tcPr>
          <w:p>
            <w:pPr>
              <w:ind w:left="53" w:right="72" w:hanging="43"/>
              <w:spacing w:before="4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填报环境影响报告表的建设项</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目</w:t>
            </w:r>
          </w:p>
        </w:tc>
        <w:tc>
          <w:tcPr>
            <w:tcW w:w="1064" w:type="dxa"/>
            <w:vAlign w:val="top"/>
          </w:tcPr>
          <w:p>
            <w:pPr>
              <w:ind w:left="196"/>
              <w:spacing w:before="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1"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53" w:right="72" w:hanging="43"/>
              <w:spacing w:before="4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编制环境影响报告书的建设项</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rPr>
              <w:t>目</w:t>
            </w:r>
          </w:p>
        </w:tc>
        <w:tc>
          <w:tcPr>
            <w:tcW w:w="1064" w:type="dxa"/>
            <w:vAlign w:val="top"/>
          </w:tcPr>
          <w:p>
            <w:pPr>
              <w:ind w:left="136"/>
              <w:spacing w:before="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631" w:hRule="atLeast"/>
        </w:trPr>
        <w:tc>
          <w:tcPr>
            <w:tcW w:w="1421" w:type="dxa"/>
            <w:vAlign w:val="top"/>
            <w:vMerge w:val="continue"/>
            <w:tcBorders>
              <w:top w:val="nil"/>
              <w:bottom w:val="nil"/>
            </w:tcBorders>
          </w:tcPr>
          <w:p>
            <w:pPr>
              <w:rPr>
                <w:rFonts w:ascii="Arial"/>
                <w:sz w:val="21"/>
              </w:rPr>
            </w:pPr>
            <w:r/>
          </w:p>
        </w:tc>
        <w:tc>
          <w:tcPr>
            <w:tcW w:w="1948"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spacing w:line="301" w:lineRule="auto"/>
              <w:rPr>
                <w:rFonts w:ascii="Arial"/>
                <w:sz w:val="21"/>
              </w:rPr>
            </w:pPr>
            <w:r/>
          </w:p>
          <w:p>
            <w:pPr>
              <w:ind w:left="25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建设生产情况</w:t>
            </w:r>
          </w:p>
        </w:tc>
        <w:tc>
          <w:tcPr>
            <w:tcW w:w="791"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4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199" w:type="dxa"/>
            <w:vAlign w:val="top"/>
          </w:tcPr>
          <w:p>
            <w:pPr>
              <w:ind w:left="31" w:right="72" w:firstLine="19"/>
              <w:spacing w:before="4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已开工建设但主体工程未建成</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4" w:type="dxa"/>
            <w:vAlign w:val="top"/>
          </w:tcPr>
          <w:p>
            <w:pPr>
              <w:ind w:left="196"/>
              <w:spacing w:before="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1"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10" w:right="72" w:firstLine="10"/>
              <w:spacing w:before="4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主体工程已建成但尚未投入生</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2"/>
              </w:rPr>
              <w:t>产或者使用的</w:t>
            </w:r>
          </w:p>
        </w:tc>
        <w:tc>
          <w:tcPr>
            <w:tcW w:w="1064" w:type="dxa"/>
            <w:vAlign w:val="top"/>
          </w:tcPr>
          <w:p>
            <w:pPr>
              <w:ind w:left="136"/>
              <w:spacing w:before="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1"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31" w:right="72" w:hanging="10"/>
              <w:spacing w:before="41"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主体工程已投入生产或者使用</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rPr>
              <w:t>的</w:t>
            </w:r>
          </w:p>
        </w:tc>
        <w:tc>
          <w:tcPr>
            <w:tcW w:w="1064" w:type="dxa"/>
            <w:vAlign w:val="top"/>
          </w:tcPr>
          <w:p>
            <w:pPr>
              <w:ind w:left="130"/>
              <w:spacing w:before="4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15" w:hRule="atLeast"/>
        </w:trPr>
        <w:tc>
          <w:tcPr>
            <w:tcW w:w="1421" w:type="dxa"/>
            <w:vAlign w:val="top"/>
            <w:vMerge w:val="restart"/>
            <w:tcBorders>
              <w:bottom w:val="nil"/>
            </w:tcBorders>
          </w:tcPr>
          <w:p>
            <w:pPr>
              <w:ind w:left="362" w:right="105" w:hanging="237"/>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948" w:type="dxa"/>
            <w:vAlign w:val="top"/>
            <w:vMerge w:val="restart"/>
            <w:tcBorders>
              <w:bottom w:val="nil"/>
            </w:tcBorders>
          </w:tcPr>
          <w:p>
            <w:pPr>
              <w:ind w:left="14"/>
              <w:spacing w:before="202"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是否配合执法检查</w:t>
            </w:r>
          </w:p>
        </w:tc>
        <w:tc>
          <w:tcPr>
            <w:tcW w:w="791" w:type="dxa"/>
            <w:vAlign w:val="top"/>
            <w:vMerge w:val="restart"/>
            <w:tcBorders>
              <w:bottom w:val="nil"/>
            </w:tcBorders>
          </w:tcPr>
          <w:p>
            <w:pPr>
              <w:ind w:left="238"/>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15"/>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4" w:type="dxa"/>
            <w:vAlign w:val="top"/>
          </w:tcPr>
          <w:p>
            <w:pPr>
              <w:ind w:left="196"/>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1"/>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4" w:type="dxa"/>
            <w:vAlign w:val="top"/>
          </w:tcPr>
          <w:p>
            <w:pPr>
              <w:ind w:left="438"/>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5" w:hRule="atLeast"/>
        </w:trPr>
        <w:tc>
          <w:tcPr>
            <w:tcW w:w="1421" w:type="dxa"/>
            <w:vAlign w:val="top"/>
            <w:vMerge w:val="restart"/>
            <w:tcBorders>
              <w:bottom w:val="nil"/>
            </w:tcBorders>
          </w:tcPr>
          <w:p>
            <w:pPr>
              <w:spacing w:line="436"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48" w:type="dxa"/>
            <w:vAlign w:val="top"/>
            <w:vMerge w:val="restart"/>
            <w:tcBorders>
              <w:bottom w:val="nil"/>
            </w:tcBorders>
          </w:tcPr>
          <w:p>
            <w:pPr>
              <w:spacing w:line="437" w:lineRule="auto"/>
              <w:rPr>
                <w:rFonts w:ascii="Arial"/>
                <w:sz w:val="21"/>
              </w:rPr>
            </w:pPr>
            <w:r/>
          </w:p>
          <w:p>
            <w:pPr>
              <w:ind w:left="12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1" w:type="dxa"/>
            <w:vAlign w:val="top"/>
            <w:vMerge w:val="restart"/>
            <w:tcBorders>
              <w:bottom w:val="nil"/>
            </w:tcBorders>
          </w:tcPr>
          <w:p>
            <w:pPr>
              <w:spacing w:line="437" w:lineRule="auto"/>
              <w:rPr>
                <w:rFonts w:ascii="Arial"/>
                <w:sz w:val="21"/>
              </w:rPr>
            </w:pPr>
            <w:r/>
          </w:p>
          <w:p>
            <w:pPr>
              <w:ind w:left="23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9"/>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4" w:type="dxa"/>
            <w:vAlign w:val="top"/>
          </w:tcPr>
          <w:p>
            <w:pPr>
              <w:ind w:left="438"/>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0"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6" w:right="72" w:hanging="8"/>
              <w:spacing w:before="42"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4" w:type="dxa"/>
            <w:vAlign w:val="top"/>
          </w:tcPr>
          <w:p>
            <w:pPr>
              <w:ind w:left="256"/>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2"/>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4" w:type="dxa"/>
            <w:vAlign w:val="top"/>
          </w:tcPr>
          <w:p>
            <w:pPr>
              <w:ind w:left="192"/>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5" w:hRule="atLeast"/>
        </w:trPr>
        <w:tc>
          <w:tcPr>
            <w:tcW w:w="1421" w:type="dxa"/>
            <w:vAlign w:val="top"/>
            <w:vMerge w:val="restart"/>
            <w:tcBorders>
              <w:bottom w:val="nil"/>
            </w:tcBorders>
          </w:tcPr>
          <w:p>
            <w:pPr>
              <w:ind w:left="220" w:hanging="204"/>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8"/>
                <w:w w:val="93"/>
              </w:rPr>
              <w:t>对社会影</w:t>
            </w:r>
            <w:r>
              <w:rPr>
                <w:rFonts w:ascii="FangSong_GB2312" w:hAnsi="FangSong_GB2312" w:eastAsia="FangSong_GB2312" w:cs="FangSong_GB2312"/>
                <w:sz w:val="24"/>
                <w:szCs w:val="24"/>
                <w:b/>
                <w:bCs/>
                <w:spacing w:val="-27"/>
                <w:w w:val="93"/>
              </w:rPr>
              <w:t>响或</w:t>
            </w:r>
            <w:r>
              <w:rPr>
                <w:rFonts w:ascii="FangSong_GB2312" w:hAnsi="FangSong_GB2312" w:eastAsia="FangSong_GB2312" w:cs="FangSong_GB2312"/>
                <w:sz w:val="24"/>
                <w:szCs w:val="24"/>
                <w:b/>
                <w:bCs/>
                <w:spacing w:val="-23"/>
                <w:w w:val="93"/>
              </w:rPr>
              <w:t>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b/>
                <w:bCs/>
                <w:spacing w:val="-23"/>
                <w:w w:val="95"/>
              </w:rPr>
              <w:t>态破坏程度</w:t>
            </w:r>
          </w:p>
        </w:tc>
        <w:tc>
          <w:tcPr>
            <w:tcW w:w="1948" w:type="dxa"/>
            <w:vAlign w:val="top"/>
            <w:vMerge w:val="restart"/>
            <w:tcBorders>
              <w:bottom w:val="nil"/>
            </w:tcBorders>
          </w:tcPr>
          <w:p>
            <w:pPr>
              <w:ind w:left="377" w:right="13" w:hanging="363"/>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是否造成社会影响</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或生态破坏</w:t>
            </w:r>
          </w:p>
        </w:tc>
        <w:tc>
          <w:tcPr>
            <w:tcW w:w="791" w:type="dxa"/>
            <w:vAlign w:val="top"/>
            <w:vMerge w:val="restart"/>
            <w:tcBorders>
              <w:bottom w:val="nil"/>
            </w:tcBorders>
          </w:tcPr>
          <w:p>
            <w:pPr>
              <w:ind w:left="23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3"/>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4" w:type="dxa"/>
            <w:vAlign w:val="top"/>
          </w:tcPr>
          <w:p>
            <w:pPr>
              <w:ind w:left="196"/>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17"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0"/>
              <w:spacing w:before="41"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4" w:type="dxa"/>
            <w:vAlign w:val="top"/>
          </w:tcPr>
          <w:p>
            <w:pPr>
              <w:ind w:left="438"/>
              <w:spacing w:before="41"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49"/>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680" w:hRule="atLeast"/>
        </w:trPr>
        <w:tc>
          <w:tcPr>
            <w:tcW w:w="8423" w:type="dxa"/>
            <w:vAlign w:val="top"/>
            <w:gridSpan w:val="5"/>
          </w:tcPr>
          <w:p>
            <w:pPr>
              <w:ind w:left="582"/>
              <w:spacing w:before="8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河北省生态环境行政处罚裁量规则(噪声类)</w:t>
            </w:r>
          </w:p>
        </w:tc>
      </w:tr>
      <w:tr>
        <w:trPr>
          <w:trHeight w:val="630" w:hRule="atLeast"/>
        </w:trPr>
        <w:tc>
          <w:tcPr>
            <w:tcW w:w="1421" w:type="dxa"/>
            <w:vAlign w:val="top"/>
          </w:tcPr>
          <w:p>
            <w:pPr>
              <w:ind w:left="435"/>
              <w:spacing w:before="17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2" w:type="dxa"/>
            <w:vAlign w:val="top"/>
            <w:gridSpan w:val="4"/>
          </w:tcPr>
          <w:p>
            <w:pPr>
              <w:ind w:left="3484"/>
              <w:spacing w:before="244"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175</w:t>
            </w:r>
          </w:p>
        </w:tc>
      </w:tr>
      <w:tr>
        <w:trPr>
          <w:trHeight w:val="940" w:hRule="atLeast"/>
        </w:trPr>
        <w:tc>
          <w:tcPr>
            <w:tcW w:w="1421" w:type="dxa"/>
            <w:vAlign w:val="top"/>
          </w:tcPr>
          <w:p>
            <w:pPr>
              <w:ind w:left="160"/>
              <w:spacing w:before="175"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2" w:type="dxa"/>
            <w:vAlign w:val="top"/>
            <w:gridSpan w:val="4"/>
          </w:tcPr>
          <w:p>
            <w:pPr>
              <w:ind w:left="117" w:right="174" w:firstLine="1"/>
              <w:spacing w:before="211"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在噪声敏感建筑物集中区域改建、扩建工业企业，未采取有效措</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施防止工业噪声污染的</w:t>
            </w:r>
          </w:p>
        </w:tc>
      </w:tr>
      <w:tr>
        <w:trPr>
          <w:trHeight w:val="3342" w:hRule="atLeast"/>
        </w:trPr>
        <w:tc>
          <w:tcPr>
            <w:tcW w:w="1421" w:type="dxa"/>
            <w:vAlign w:val="top"/>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2" w:type="dxa"/>
            <w:vAlign w:val="top"/>
            <w:gridSpan w:val="4"/>
          </w:tcPr>
          <w:p>
            <w:pPr>
              <w:ind w:left="21"/>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1.《中华人民共和国噪声污染防治法》</w:t>
            </w:r>
          </w:p>
          <w:p>
            <w:pPr>
              <w:ind w:left="12" w:right="106" w:firstLine="6"/>
              <w:spacing w:before="64" w:line="25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在噪声敏感建筑物集中区域，禁止新建排放</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噪声的工业企业，改建、扩建工业企业的，应当采取有效措施防止</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工业噪声污染。</w:t>
            </w:r>
          </w:p>
          <w:p>
            <w:pPr>
              <w:spacing w:line="338" w:lineRule="auto"/>
              <w:rPr>
                <w:rFonts w:ascii="Arial"/>
                <w:sz w:val="21"/>
              </w:rPr>
            </w:pPr>
            <w:r/>
          </w:p>
          <w:p>
            <w:pPr>
              <w:ind w:left="15"/>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2.《中华人民共和国噪声污染防治法》</w:t>
            </w:r>
          </w:p>
          <w:p>
            <w:pPr>
              <w:ind w:left="18" w:right="174"/>
              <w:spacing w:before="6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第七十四条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第二款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违反本法规定，在噪声敏感建筑物集中区域</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改建、扩建工业企业，未采取有效措施防止工业噪声污染的，由</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生态环境主管部门责令改正，处十万元以上五十万元以下的罚款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80"/>
              </w:rPr>
              <w:t xml:space="preserve"> </w:t>
            </w:r>
            <w:r>
              <w:rPr>
                <w:rFonts w:ascii="FangSong_GB2312" w:hAnsi="FangSong_GB2312" w:eastAsia="FangSong_GB2312" w:cs="FangSong_GB2312"/>
                <w:sz w:val="24"/>
                <w:szCs w:val="24"/>
                <w:spacing w:val="-4"/>
              </w:rPr>
              <w:t>拒不改正的，报经有批准权的人民政府批准，责令关闭。</w:t>
            </w:r>
          </w:p>
        </w:tc>
      </w:tr>
      <w:tr>
        <w:trPr>
          <w:trHeight w:val="629" w:hRule="atLeast"/>
        </w:trPr>
        <w:tc>
          <w:tcPr>
            <w:tcW w:w="4160" w:type="dxa"/>
            <w:vAlign w:val="top"/>
            <w:gridSpan w:val="3"/>
          </w:tcPr>
          <w:p>
            <w:pPr>
              <w:ind w:left="1537"/>
              <w:spacing w:before="193"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裁量要素</w:t>
            </w:r>
          </w:p>
        </w:tc>
        <w:tc>
          <w:tcPr>
            <w:tcW w:w="4263" w:type="dxa"/>
            <w:vAlign w:val="top"/>
            <w:gridSpan w:val="2"/>
          </w:tcPr>
          <w:p>
            <w:pPr>
              <w:ind w:left="1610"/>
              <w:spacing w:before="19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13"/>
              </w:rPr>
              <w:t>判定标准</w:t>
            </w:r>
          </w:p>
        </w:tc>
      </w:tr>
      <w:tr>
        <w:trPr>
          <w:trHeight w:val="629" w:hRule="atLeast"/>
        </w:trPr>
        <w:tc>
          <w:tcPr>
            <w:tcW w:w="1421" w:type="dxa"/>
            <w:vAlign w:val="top"/>
          </w:tcPr>
          <w:p>
            <w:pPr>
              <w:ind w:left="482"/>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48" w:type="dxa"/>
            <w:vAlign w:val="top"/>
          </w:tcPr>
          <w:p>
            <w:pPr>
              <w:ind w:left="545"/>
              <w:spacing w:before="206"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13" w:right="171" w:hanging="32"/>
              <w:spacing w:before="47"/>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199" w:type="dxa"/>
            <w:vAlign w:val="top"/>
          </w:tcPr>
          <w:p>
            <w:pPr>
              <w:ind w:left="1387"/>
              <w:spacing w:before="205"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4" w:type="dxa"/>
            <w:vAlign w:val="top"/>
          </w:tcPr>
          <w:p>
            <w:pPr>
              <w:ind w:left="216"/>
              <w:spacing w:before="205"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29" w:hRule="atLeast"/>
        </w:trPr>
        <w:tc>
          <w:tcPr>
            <w:tcW w:w="1421" w:type="dxa"/>
            <w:vAlign w:val="top"/>
            <w:vMerge w:val="restart"/>
            <w:tcBorders>
              <w:bottom w:val="nil"/>
            </w:tcBorders>
          </w:tcPr>
          <w:p>
            <w:pPr>
              <w:spacing w:line="295" w:lineRule="auto"/>
              <w:rPr>
                <w:rFonts w:ascii="Arial"/>
                <w:sz w:val="21"/>
              </w:rPr>
            </w:pPr>
            <w:r/>
          </w:p>
          <w:p>
            <w:pPr>
              <w:spacing w:line="296" w:lineRule="auto"/>
              <w:rPr>
                <w:rFonts w:ascii="Arial"/>
                <w:sz w:val="21"/>
              </w:rPr>
            </w:pPr>
            <w:r/>
          </w:p>
          <w:p>
            <w:pPr>
              <w:ind w:left="477" w:right="105"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48"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6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199" w:type="dxa"/>
            <w:vAlign w:val="top"/>
          </w:tcPr>
          <w:p>
            <w:pPr>
              <w:ind w:left="32" w:right="72" w:hanging="22"/>
              <w:spacing w:before="39"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未采取防止工业噪声污染措施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0"/>
              </w:rPr>
              <w:t>时间不满</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45"/>
              </w:rPr>
              <w:t xml:space="preserve"> </w:t>
            </w:r>
            <w:r>
              <w:rPr>
                <w:rFonts w:ascii="FangSong_GB2312" w:hAnsi="FangSong_GB2312" w:eastAsia="FangSong_GB2312" w:cs="FangSong_GB2312"/>
                <w:sz w:val="24"/>
                <w:szCs w:val="24"/>
                <w:spacing w:val="-10"/>
              </w:rPr>
              <w:t>天</w:t>
            </w:r>
          </w:p>
        </w:tc>
        <w:tc>
          <w:tcPr>
            <w:tcW w:w="1064" w:type="dxa"/>
            <w:vAlign w:val="top"/>
          </w:tcPr>
          <w:p>
            <w:pPr>
              <w:ind w:left="196"/>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0"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32" w:right="72" w:hanging="22"/>
              <w:spacing w:before="4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未采取防止工业噪声污染措施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0"/>
              </w:rPr>
              <w:t>时间</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10"/>
              </w:rPr>
              <w:t>1</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10"/>
              </w:rPr>
              <w:t>天以上不满</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10"/>
              </w:rPr>
              <w:t>7</w:t>
            </w:r>
            <w:r>
              <w:rPr>
                <w:rFonts w:ascii="FangSong_GB2312" w:hAnsi="FangSong_GB2312" w:eastAsia="FangSong_GB2312" w:cs="FangSong_GB2312"/>
                <w:sz w:val="24"/>
                <w:szCs w:val="24"/>
                <w:spacing w:val="-45"/>
              </w:rPr>
              <w:t xml:space="preserve"> </w:t>
            </w:r>
            <w:r>
              <w:rPr>
                <w:rFonts w:ascii="FangSong_GB2312" w:hAnsi="FangSong_GB2312" w:eastAsia="FangSong_GB2312" w:cs="FangSong_GB2312"/>
                <w:sz w:val="24"/>
                <w:szCs w:val="24"/>
                <w:spacing w:val="-10"/>
              </w:rPr>
              <w:t>天</w:t>
            </w:r>
          </w:p>
        </w:tc>
        <w:tc>
          <w:tcPr>
            <w:tcW w:w="1064" w:type="dxa"/>
            <w:vAlign w:val="top"/>
          </w:tcPr>
          <w:p>
            <w:pPr>
              <w:ind w:left="136"/>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0"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32" w:right="72" w:hanging="22"/>
              <w:spacing w:before="4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未采取防止工业噪声污染措施</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2"/>
              </w:rPr>
              <w:t>时间</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2"/>
              </w:rPr>
              <w:t>7</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12"/>
              </w:rPr>
              <w:t>天以上</w:t>
            </w:r>
          </w:p>
        </w:tc>
        <w:tc>
          <w:tcPr>
            <w:tcW w:w="1064" w:type="dxa"/>
            <w:vAlign w:val="top"/>
          </w:tcPr>
          <w:p>
            <w:pPr>
              <w:ind w:left="130"/>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5" w:hRule="atLeast"/>
        </w:trPr>
        <w:tc>
          <w:tcPr>
            <w:tcW w:w="1421" w:type="dxa"/>
            <w:vAlign w:val="top"/>
            <w:vMerge w:val="restart"/>
            <w:tcBorders>
              <w:bottom w:val="nil"/>
            </w:tcBorders>
          </w:tcPr>
          <w:p>
            <w:pPr>
              <w:spacing w:line="440" w:lineRule="auto"/>
              <w:rPr>
                <w:rFonts w:ascii="Arial"/>
                <w:sz w:val="21"/>
              </w:rPr>
            </w:pPr>
            <w:r/>
          </w:p>
          <w:p>
            <w:pPr>
              <w:ind w:left="23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48" w:type="dxa"/>
            <w:vAlign w:val="top"/>
            <w:vMerge w:val="restart"/>
            <w:tcBorders>
              <w:bottom w:val="nil"/>
            </w:tcBorders>
          </w:tcPr>
          <w:p>
            <w:pPr>
              <w:spacing w:line="440" w:lineRule="auto"/>
              <w:rPr>
                <w:rFonts w:ascii="Arial"/>
                <w:sz w:val="21"/>
              </w:rPr>
            </w:pPr>
            <w:r/>
          </w:p>
          <w:p>
            <w:pPr>
              <w:ind w:left="1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1" w:type="dxa"/>
            <w:vAlign w:val="top"/>
            <w:vMerge w:val="restart"/>
            <w:tcBorders>
              <w:bottom w:val="nil"/>
            </w:tcBorders>
          </w:tcPr>
          <w:p>
            <w:pPr>
              <w:spacing w:line="440"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8"/>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4" w:type="dxa"/>
            <w:vAlign w:val="top"/>
          </w:tcPr>
          <w:p>
            <w:pPr>
              <w:ind w:left="433"/>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1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4" w:type="dxa"/>
            <w:vAlign w:val="top"/>
          </w:tcPr>
          <w:p>
            <w:pPr>
              <w:ind w:left="37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3"/>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4" w:type="dxa"/>
            <w:vAlign w:val="top"/>
          </w:tcPr>
          <w:p>
            <w:pPr>
              <w:ind w:left="37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8"/>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4" w:type="dxa"/>
            <w:vAlign w:val="top"/>
          </w:tcPr>
          <w:p>
            <w:pPr>
              <w:ind w:left="370"/>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5" w:hRule="atLeast"/>
        </w:trPr>
        <w:tc>
          <w:tcPr>
            <w:tcW w:w="1421" w:type="dxa"/>
            <w:vAlign w:val="top"/>
            <w:vMerge w:val="restart"/>
            <w:tcBorders>
              <w:bottom w:val="nil"/>
            </w:tcBorders>
          </w:tcPr>
          <w:p>
            <w:pPr>
              <w:ind w:left="362" w:right="105" w:hanging="23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948" w:type="dxa"/>
            <w:vAlign w:val="top"/>
            <w:vMerge w:val="restart"/>
            <w:tcBorders>
              <w:bottom w:val="nil"/>
            </w:tcBorders>
          </w:tcPr>
          <w:p>
            <w:pPr>
              <w:ind w:left="14"/>
              <w:spacing w:before="40"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是否配合执法检查</w:t>
            </w:r>
          </w:p>
        </w:tc>
        <w:tc>
          <w:tcPr>
            <w:tcW w:w="791" w:type="dxa"/>
            <w:vAlign w:val="top"/>
            <w:vMerge w:val="restart"/>
            <w:tcBorders>
              <w:bottom w:val="nil"/>
            </w:tcBorders>
          </w:tcPr>
          <w:p>
            <w:pPr>
              <w:ind w:left="238"/>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15"/>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4" w:type="dxa"/>
            <w:vAlign w:val="top"/>
          </w:tcPr>
          <w:p>
            <w:pPr>
              <w:ind w:left="19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1"/>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4" w:type="dxa"/>
            <w:vAlign w:val="top"/>
          </w:tcPr>
          <w:p>
            <w:pPr>
              <w:ind w:left="438"/>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5" w:hRule="atLeast"/>
        </w:trPr>
        <w:tc>
          <w:tcPr>
            <w:tcW w:w="1421" w:type="dxa"/>
            <w:vAlign w:val="top"/>
            <w:vMerge w:val="restart"/>
            <w:tcBorders>
              <w:bottom w:val="nil"/>
            </w:tcBorders>
          </w:tcPr>
          <w:p>
            <w:pPr>
              <w:spacing w:line="435"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48" w:type="dxa"/>
            <w:vAlign w:val="top"/>
            <w:vMerge w:val="restart"/>
            <w:tcBorders>
              <w:bottom w:val="nil"/>
            </w:tcBorders>
          </w:tcPr>
          <w:p>
            <w:pPr>
              <w:spacing w:line="436" w:lineRule="auto"/>
              <w:rPr>
                <w:rFonts w:ascii="Arial"/>
                <w:sz w:val="21"/>
              </w:rPr>
            </w:pPr>
            <w:r/>
          </w:p>
          <w:p>
            <w:pPr>
              <w:ind w:left="12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1" w:type="dxa"/>
            <w:vAlign w:val="top"/>
            <w:vMerge w:val="restart"/>
            <w:tcBorders>
              <w:bottom w:val="nil"/>
            </w:tcBorders>
          </w:tcPr>
          <w:p>
            <w:pPr>
              <w:spacing w:line="436" w:lineRule="auto"/>
              <w:rPr>
                <w:rFonts w:ascii="Arial"/>
                <w:sz w:val="21"/>
              </w:rPr>
            </w:pPr>
            <w:r/>
          </w:p>
          <w:p>
            <w:pPr>
              <w:ind w:left="23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9"/>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4" w:type="dxa"/>
            <w:vAlign w:val="top"/>
          </w:tcPr>
          <w:p>
            <w:pPr>
              <w:ind w:left="438"/>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0"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6" w:right="72" w:hanging="8"/>
              <w:spacing w:before="4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4" w:type="dxa"/>
            <w:vAlign w:val="top"/>
          </w:tcPr>
          <w:p>
            <w:pPr>
              <w:ind w:left="256"/>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2"/>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4" w:type="dxa"/>
            <w:vAlign w:val="top"/>
          </w:tcPr>
          <w:p>
            <w:pPr>
              <w:ind w:left="192"/>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5" w:hRule="atLeast"/>
        </w:trPr>
        <w:tc>
          <w:tcPr>
            <w:tcW w:w="1421" w:type="dxa"/>
            <w:vAlign w:val="top"/>
            <w:vMerge w:val="restart"/>
            <w:tcBorders>
              <w:bottom w:val="nil"/>
            </w:tcBorders>
          </w:tcPr>
          <w:p>
            <w:pPr>
              <w:ind w:left="220" w:hanging="204"/>
              <w:spacing w:before="10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8"/>
                <w:w w:val="93"/>
              </w:rPr>
              <w:t>对社会影</w:t>
            </w:r>
            <w:r>
              <w:rPr>
                <w:rFonts w:ascii="FangSong_GB2312" w:hAnsi="FangSong_GB2312" w:eastAsia="FangSong_GB2312" w:cs="FangSong_GB2312"/>
                <w:sz w:val="24"/>
                <w:szCs w:val="24"/>
                <w:b/>
                <w:bCs/>
                <w:spacing w:val="-27"/>
                <w:w w:val="93"/>
              </w:rPr>
              <w:t>响或</w:t>
            </w:r>
            <w:r>
              <w:rPr>
                <w:rFonts w:ascii="FangSong_GB2312" w:hAnsi="FangSong_GB2312" w:eastAsia="FangSong_GB2312" w:cs="FangSong_GB2312"/>
                <w:sz w:val="24"/>
                <w:szCs w:val="24"/>
                <w:b/>
                <w:bCs/>
                <w:spacing w:val="-23"/>
                <w:w w:val="93"/>
              </w:rPr>
              <w:t>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b/>
                <w:bCs/>
                <w:spacing w:val="-23"/>
                <w:w w:val="95"/>
              </w:rPr>
              <w:t>态破坏程度</w:t>
            </w:r>
          </w:p>
        </w:tc>
        <w:tc>
          <w:tcPr>
            <w:tcW w:w="1948" w:type="dxa"/>
            <w:vAlign w:val="top"/>
            <w:vMerge w:val="restart"/>
            <w:tcBorders>
              <w:bottom w:val="nil"/>
            </w:tcBorders>
          </w:tcPr>
          <w:p>
            <w:pPr>
              <w:ind w:left="377" w:right="13" w:hanging="363"/>
              <w:spacing w:before="39"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是否造成社会影响</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或生态破坏</w:t>
            </w:r>
          </w:p>
        </w:tc>
        <w:tc>
          <w:tcPr>
            <w:tcW w:w="791" w:type="dxa"/>
            <w:vAlign w:val="top"/>
            <w:vMerge w:val="restart"/>
            <w:tcBorders>
              <w:bottom w:val="nil"/>
            </w:tcBorders>
          </w:tcPr>
          <w:p>
            <w:pPr>
              <w:ind w:left="232"/>
              <w:spacing w:before="26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3"/>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4" w:type="dxa"/>
            <w:vAlign w:val="top"/>
          </w:tcPr>
          <w:p>
            <w:pPr>
              <w:ind w:left="19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448"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0"/>
              <w:spacing w:before="1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4" w:type="dxa"/>
            <w:vAlign w:val="top"/>
          </w:tcPr>
          <w:p>
            <w:pPr>
              <w:ind w:left="438"/>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50"/>
          <w:pgSz w:w="11905" w:h="16839"/>
          <w:pgMar w:top="1431" w:right="1738" w:bottom="1156" w:left="1737" w:header="0" w:footer="994" w:gutter="0"/>
        </w:sectPr>
        <w:rPr/>
      </w:pPr>
    </w:p>
    <w:p>
      <w:pPr>
        <w:spacing w:before="6"/>
        <w:rPr/>
      </w:pPr>
      <w:r/>
    </w:p>
    <w:p>
      <w:pPr>
        <w:spacing w:before="5"/>
        <w:rPr/>
      </w:pPr>
      <w:r/>
    </w:p>
    <w:p>
      <w:pPr>
        <w:spacing w:before="5"/>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680" w:hRule="atLeast"/>
        </w:trPr>
        <w:tc>
          <w:tcPr>
            <w:tcW w:w="8423" w:type="dxa"/>
            <w:vAlign w:val="top"/>
            <w:gridSpan w:val="5"/>
          </w:tcPr>
          <w:p>
            <w:pPr>
              <w:ind w:left="582"/>
              <w:spacing w:before="8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河北省生态环境行政处罚裁量规则(噪声类)</w:t>
            </w:r>
          </w:p>
        </w:tc>
      </w:tr>
      <w:tr>
        <w:trPr>
          <w:trHeight w:val="629" w:hRule="atLeast"/>
        </w:trPr>
        <w:tc>
          <w:tcPr>
            <w:tcW w:w="1421" w:type="dxa"/>
            <w:vAlign w:val="top"/>
          </w:tcPr>
          <w:p>
            <w:pPr>
              <w:ind w:left="435"/>
              <w:spacing w:before="175"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2" w:type="dxa"/>
            <w:vAlign w:val="top"/>
            <w:gridSpan w:val="4"/>
          </w:tcPr>
          <w:p>
            <w:pPr>
              <w:ind w:left="3484"/>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176</w:t>
            </w:r>
          </w:p>
        </w:tc>
      </w:tr>
      <w:tr>
        <w:trPr>
          <w:trHeight w:val="629" w:hRule="atLeast"/>
        </w:trPr>
        <w:tc>
          <w:tcPr>
            <w:tcW w:w="1421" w:type="dxa"/>
            <w:vAlign w:val="top"/>
          </w:tcPr>
          <w:p>
            <w:pPr>
              <w:ind w:left="160"/>
              <w:spacing w:before="17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2" w:type="dxa"/>
            <w:vAlign w:val="top"/>
            <w:gridSpan w:val="4"/>
          </w:tcPr>
          <w:p>
            <w:pPr>
              <w:ind w:left="124"/>
              <w:spacing w:before="21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无排污许可证或者超过噪声排放标准排放工业噪声的</w:t>
            </w:r>
          </w:p>
        </w:tc>
      </w:tr>
      <w:tr>
        <w:trPr>
          <w:trHeight w:val="3342" w:hRule="atLeast"/>
        </w:trPr>
        <w:tc>
          <w:tcPr>
            <w:tcW w:w="1421" w:type="dxa"/>
            <w:vAlign w:val="top"/>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2" w:type="dxa"/>
            <w:vAlign w:val="top"/>
            <w:gridSpan w:val="4"/>
          </w:tcPr>
          <w:p>
            <w:pPr>
              <w:ind w:left="21"/>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1.《中华人民共和国噪声污染防治法》</w:t>
            </w:r>
          </w:p>
          <w:p>
            <w:pPr>
              <w:ind w:left="16" w:right="106" w:firstLine="1"/>
              <w:spacing w:before="65" w:line="25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排放工业噪声的企业事业单位和其他生产经</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3"/>
              </w:rPr>
              <w:t>营者，应当采取有效措施，减少振动、降低噪声，依法取得排污许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可证或者填报排污登记表。</w:t>
            </w:r>
          </w:p>
          <w:p>
            <w:pPr>
              <w:spacing w:line="337" w:lineRule="auto"/>
              <w:rPr>
                <w:rFonts w:ascii="Arial"/>
                <w:sz w:val="21"/>
              </w:rPr>
            </w:pPr>
            <w:r/>
          </w:p>
          <w:p>
            <w:pPr>
              <w:ind w:left="15"/>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2.《中华人民共和国噪声污染防治法》</w:t>
            </w:r>
          </w:p>
          <w:p>
            <w:pPr>
              <w:ind w:left="11" w:right="176" w:firstLine="7"/>
              <w:spacing w:before="7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第七十五条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违反本法规定，无排污许可证或者超过噪声排放标</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3"/>
              </w:rPr>
              <w:t>准排放工业噪声的，由生态环境主管部门责令改正或者限制生产</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、停产整治，并处二万元以上二十万元以下的罚款；情节严重的</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w:t>
            </w:r>
            <w:r>
              <w:rPr>
                <w:rFonts w:ascii="FangSong_GB2312" w:hAnsi="FangSong_GB2312" w:eastAsia="FangSong_GB2312" w:cs="FangSong_GB2312"/>
                <w:sz w:val="24"/>
                <w:szCs w:val="24"/>
                <w:spacing w:val="76"/>
              </w:rPr>
              <w:t xml:space="preserve"> </w:t>
            </w:r>
            <w:r>
              <w:rPr>
                <w:rFonts w:ascii="FangSong_GB2312" w:hAnsi="FangSong_GB2312" w:eastAsia="FangSong_GB2312" w:cs="FangSong_GB2312"/>
                <w:sz w:val="24"/>
                <w:szCs w:val="24"/>
                <w:spacing w:val="-4"/>
              </w:rPr>
              <w:t>报经有批准权的人民政府批准，责令停业、关闭。</w:t>
            </w:r>
          </w:p>
        </w:tc>
      </w:tr>
      <w:tr>
        <w:trPr>
          <w:trHeight w:val="629" w:hRule="atLeast"/>
        </w:trPr>
        <w:tc>
          <w:tcPr>
            <w:tcW w:w="4160" w:type="dxa"/>
            <w:vAlign w:val="top"/>
            <w:gridSpan w:val="3"/>
          </w:tcPr>
          <w:p>
            <w:pPr>
              <w:ind w:left="1537"/>
              <w:spacing w:before="194"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裁量要素</w:t>
            </w:r>
          </w:p>
        </w:tc>
        <w:tc>
          <w:tcPr>
            <w:tcW w:w="4263" w:type="dxa"/>
            <w:vAlign w:val="top"/>
            <w:gridSpan w:val="2"/>
          </w:tcPr>
          <w:p>
            <w:pPr>
              <w:ind w:left="1610"/>
              <w:spacing w:before="19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13"/>
              </w:rPr>
              <w:t>判定标准</w:t>
            </w:r>
          </w:p>
        </w:tc>
      </w:tr>
      <w:tr>
        <w:trPr>
          <w:trHeight w:val="630" w:hRule="atLeast"/>
        </w:trPr>
        <w:tc>
          <w:tcPr>
            <w:tcW w:w="1421" w:type="dxa"/>
            <w:vAlign w:val="top"/>
          </w:tcPr>
          <w:p>
            <w:pPr>
              <w:ind w:left="482"/>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48" w:type="dxa"/>
            <w:vAlign w:val="top"/>
          </w:tcPr>
          <w:p>
            <w:pPr>
              <w:ind w:left="545"/>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13" w:right="171" w:hanging="32"/>
              <w:spacing w:before="48"/>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199" w:type="dxa"/>
            <w:vAlign w:val="top"/>
          </w:tcPr>
          <w:p>
            <w:pPr>
              <w:ind w:left="1387"/>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4" w:type="dxa"/>
            <w:vAlign w:val="top"/>
          </w:tcPr>
          <w:p>
            <w:pPr>
              <w:ind w:left="216"/>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6" w:hRule="atLeast"/>
        </w:trPr>
        <w:tc>
          <w:tcPr>
            <w:tcW w:w="1421" w:type="dxa"/>
            <w:vAlign w:val="top"/>
            <w:vMerge w:val="restart"/>
            <w:tcBorders>
              <w:bottom w:val="nil"/>
            </w:tcBorders>
          </w:tcPr>
          <w:p>
            <w:pPr>
              <w:spacing w:line="283" w:lineRule="auto"/>
              <w:rPr>
                <w:rFonts w:ascii="Arial"/>
                <w:sz w:val="21"/>
              </w:rPr>
            </w:pPr>
            <w:r/>
          </w:p>
          <w:p>
            <w:pPr>
              <w:ind w:left="477" w:right="105"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48" w:type="dxa"/>
            <w:vAlign w:val="top"/>
            <w:vMerge w:val="restart"/>
            <w:tcBorders>
              <w:bottom w:val="nil"/>
            </w:tcBorders>
          </w:tcPr>
          <w:p>
            <w:pPr>
              <w:spacing w:line="441" w:lineRule="auto"/>
              <w:rPr>
                <w:rFonts w:ascii="Arial"/>
                <w:sz w:val="21"/>
              </w:rPr>
            </w:pPr>
            <w:r/>
          </w:p>
          <w:p>
            <w:pPr>
              <w:ind w:left="26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441"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22"/>
              <w:spacing w:before="45"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噪声超标在</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6"/>
              </w:rPr>
              <w:t>分贝以内</w:t>
            </w:r>
          </w:p>
        </w:tc>
        <w:tc>
          <w:tcPr>
            <w:tcW w:w="1064" w:type="dxa"/>
            <w:vAlign w:val="top"/>
          </w:tcPr>
          <w:p>
            <w:pPr>
              <w:ind w:left="256"/>
              <w:spacing w:before="45"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0"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0" w:right="12" w:firstLine="1"/>
              <w:spacing w:before="4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噪声超标在</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6"/>
              </w:rPr>
              <w:t>分贝以上，10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6"/>
              </w:rPr>
              <w:t>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贝以下</w:t>
            </w:r>
          </w:p>
        </w:tc>
        <w:tc>
          <w:tcPr>
            <w:tcW w:w="1064" w:type="dxa"/>
            <w:vAlign w:val="top"/>
          </w:tcPr>
          <w:p>
            <w:pPr>
              <w:ind w:left="192"/>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2"/>
              <w:spacing w:before="38"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噪声超标在</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6"/>
              </w:rPr>
              <w:t>分贝以上</w:t>
            </w:r>
          </w:p>
        </w:tc>
        <w:tc>
          <w:tcPr>
            <w:tcW w:w="1064" w:type="dxa"/>
            <w:vAlign w:val="top"/>
          </w:tcPr>
          <w:p>
            <w:pPr>
              <w:ind w:left="136"/>
              <w:spacing w:before="38"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15" w:hRule="atLeast"/>
        </w:trPr>
        <w:tc>
          <w:tcPr>
            <w:tcW w:w="1421" w:type="dxa"/>
            <w:vAlign w:val="top"/>
            <w:vMerge w:val="restart"/>
            <w:tcBorders>
              <w:bottom w:val="nil"/>
            </w:tcBorders>
          </w:tcPr>
          <w:p>
            <w:pPr>
              <w:spacing w:line="280" w:lineRule="auto"/>
              <w:rPr>
                <w:rFonts w:ascii="Arial"/>
                <w:sz w:val="21"/>
              </w:rPr>
            </w:pPr>
            <w:r/>
          </w:p>
          <w:p>
            <w:pPr>
              <w:ind w:left="604" w:right="105" w:hanging="487"/>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违法主体类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型</w:t>
            </w:r>
          </w:p>
        </w:tc>
        <w:tc>
          <w:tcPr>
            <w:tcW w:w="1948" w:type="dxa"/>
            <w:vAlign w:val="top"/>
            <w:vMerge w:val="restart"/>
            <w:tcBorders>
              <w:bottom w:val="nil"/>
            </w:tcBorders>
          </w:tcPr>
          <w:p>
            <w:pPr>
              <w:spacing w:line="434" w:lineRule="auto"/>
              <w:rPr>
                <w:rFonts w:ascii="Arial"/>
                <w:sz w:val="21"/>
              </w:rPr>
            </w:pPr>
            <w:r/>
          </w:p>
          <w:p>
            <w:pPr>
              <w:ind w:left="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排污单位管理类别</w:t>
            </w:r>
          </w:p>
        </w:tc>
        <w:tc>
          <w:tcPr>
            <w:tcW w:w="791" w:type="dxa"/>
            <w:vAlign w:val="top"/>
            <w:vMerge w:val="restart"/>
            <w:tcBorders>
              <w:bottom w:val="nil"/>
            </w:tcBorders>
          </w:tcPr>
          <w:p>
            <w:pPr>
              <w:spacing w:line="434"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8"/>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4" w:type="dxa"/>
            <w:vAlign w:val="top"/>
          </w:tcPr>
          <w:p>
            <w:pPr>
              <w:ind w:left="25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1"/>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4" w:type="dxa"/>
            <w:vAlign w:val="top"/>
          </w:tcPr>
          <w:p>
            <w:pPr>
              <w:ind w:left="192"/>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4"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3" w:right="1" w:firstLine="7"/>
              <w:spacing w:before="3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重点管理(化工、电镀、皮革、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造纸、制浆、冶炼、放射性、</w:t>
            </w:r>
          </w:p>
          <w:p>
            <w:pPr>
              <w:spacing w:before="36" w:line="203" w:lineRule="auto"/>
              <w:jc w:val="right"/>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印染、染料、炼焦、炼油项目)</w:t>
            </w:r>
          </w:p>
        </w:tc>
        <w:tc>
          <w:tcPr>
            <w:tcW w:w="1064" w:type="dxa"/>
            <w:vAlign w:val="top"/>
          </w:tcPr>
          <w:p>
            <w:pPr>
              <w:spacing w:line="275"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15" w:hRule="atLeast"/>
        </w:trPr>
        <w:tc>
          <w:tcPr>
            <w:tcW w:w="1421" w:type="dxa"/>
            <w:vAlign w:val="top"/>
            <w:vMerge w:val="restart"/>
            <w:tcBorders>
              <w:bottom w:val="nil"/>
            </w:tcBorders>
          </w:tcPr>
          <w:p>
            <w:pPr>
              <w:spacing w:line="439" w:lineRule="auto"/>
              <w:rPr>
                <w:rFonts w:ascii="Arial"/>
                <w:sz w:val="21"/>
              </w:rPr>
            </w:pPr>
            <w:r/>
          </w:p>
          <w:p>
            <w:pPr>
              <w:ind w:left="23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48" w:type="dxa"/>
            <w:vAlign w:val="top"/>
            <w:vMerge w:val="restart"/>
            <w:tcBorders>
              <w:bottom w:val="nil"/>
            </w:tcBorders>
          </w:tcPr>
          <w:p>
            <w:pPr>
              <w:spacing w:line="439" w:lineRule="auto"/>
              <w:rPr>
                <w:rFonts w:ascii="Arial"/>
                <w:sz w:val="21"/>
              </w:rPr>
            </w:pPr>
            <w:r/>
          </w:p>
          <w:p>
            <w:pPr>
              <w:ind w:left="1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1" w:type="dxa"/>
            <w:vAlign w:val="top"/>
            <w:vMerge w:val="restart"/>
            <w:tcBorders>
              <w:bottom w:val="nil"/>
            </w:tcBorders>
          </w:tcPr>
          <w:p>
            <w:pPr>
              <w:spacing w:line="439"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8"/>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4" w:type="dxa"/>
            <w:vAlign w:val="top"/>
          </w:tcPr>
          <w:p>
            <w:pPr>
              <w:ind w:left="433"/>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1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4" w:type="dxa"/>
            <w:vAlign w:val="top"/>
          </w:tcPr>
          <w:p>
            <w:pPr>
              <w:ind w:left="37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3"/>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4" w:type="dxa"/>
            <w:vAlign w:val="top"/>
          </w:tcPr>
          <w:p>
            <w:pPr>
              <w:ind w:left="37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8"/>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4" w:type="dxa"/>
            <w:vAlign w:val="top"/>
          </w:tcPr>
          <w:p>
            <w:pPr>
              <w:ind w:left="370"/>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5" w:hRule="atLeast"/>
        </w:trPr>
        <w:tc>
          <w:tcPr>
            <w:tcW w:w="1421" w:type="dxa"/>
            <w:vAlign w:val="top"/>
            <w:vMerge w:val="restart"/>
            <w:tcBorders>
              <w:bottom w:val="nil"/>
            </w:tcBorders>
          </w:tcPr>
          <w:p>
            <w:pPr>
              <w:ind w:left="362" w:right="105" w:hanging="23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948" w:type="dxa"/>
            <w:vAlign w:val="top"/>
            <w:vMerge w:val="restart"/>
            <w:tcBorders>
              <w:bottom w:val="nil"/>
            </w:tcBorders>
          </w:tcPr>
          <w:p>
            <w:pPr>
              <w:ind w:left="14"/>
              <w:spacing w:before="3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是否配合执法检查</w:t>
            </w:r>
          </w:p>
        </w:tc>
        <w:tc>
          <w:tcPr>
            <w:tcW w:w="791" w:type="dxa"/>
            <w:vAlign w:val="top"/>
            <w:vMerge w:val="restart"/>
            <w:tcBorders>
              <w:bottom w:val="nil"/>
            </w:tcBorders>
          </w:tcPr>
          <w:p>
            <w:pPr>
              <w:ind w:left="2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15"/>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4" w:type="dxa"/>
            <w:vAlign w:val="top"/>
          </w:tcPr>
          <w:p>
            <w:pPr>
              <w:ind w:left="19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1"/>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4" w:type="dxa"/>
            <w:vAlign w:val="top"/>
          </w:tcPr>
          <w:p>
            <w:pPr>
              <w:ind w:left="438"/>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5" w:hRule="atLeast"/>
        </w:trPr>
        <w:tc>
          <w:tcPr>
            <w:tcW w:w="1421" w:type="dxa"/>
            <w:vAlign w:val="top"/>
            <w:vMerge w:val="restart"/>
            <w:tcBorders>
              <w:bottom w:val="nil"/>
            </w:tcBorders>
          </w:tcPr>
          <w:p>
            <w:pPr>
              <w:spacing w:line="436"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48" w:type="dxa"/>
            <w:vAlign w:val="top"/>
            <w:vMerge w:val="restart"/>
            <w:tcBorders>
              <w:bottom w:val="nil"/>
            </w:tcBorders>
          </w:tcPr>
          <w:p>
            <w:pPr>
              <w:spacing w:line="437" w:lineRule="auto"/>
              <w:rPr>
                <w:rFonts w:ascii="Arial"/>
                <w:sz w:val="21"/>
              </w:rPr>
            </w:pPr>
            <w:r/>
          </w:p>
          <w:p>
            <w:pPr>
              <w:ind w:left="12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1" w:type="dxa"/>
            <w:vAlign w:val="top"/>
            <w:vMerge w:val="restart"/>
            <w:tcBorders>
              <w:bottom w:val="nil"/>
            </w:tcBorders>
          </w:tcPr>
          <w:p>
            <w:pPr>
              <w:spacing w:line="437" w:lineRule="auto"/>
              <w:rPr>
                <w:rFonts w:ascii="Arial"/>
                <w:sz w:val="21"/>
              </w:rPr>
            </w:pPr>
            <w:r/>
          </w:p>
          <w:p>
            <w:pPr>
              <w:ind w:left="23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9"/>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4" w:type="dxa"/>
            <w:vAlign w:val="top"/>
          </w:tcPr>
          <w:p>
            <w:pPr>
              <w:ind w:left="438"/>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0"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6" w:right="72" w:hanging="8"/>
              <w:spacing w:before="4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4" w:type="dxa"/>
            <w:vAlign w:val="top"/>
          </w:tcPr>
          <w:p>
            <w:pPr>
              <w:ind w:left="256"/>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2"/>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4" w:type="dxa"/>
            <w:vAlign w:val="top"/>
          </w:tcPr>
          <w:p>
            <w:pPr>
              <w:ind w:left="192"/>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5" w:hRule="atLeast"/>
        </w:trPr>
        <w:tc>
          <w:tcPr>
            <w:tcW w:w="1421" w:type="dxa"/>
            <w:vAlign w:val="top"/>
          </w:tcPr>
          <w:p>
            <w:pPr>
              <w:ind w:left="119"/>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948" w:type="dxa"/>
            <w:vAlign w:val="top"/>
          </w:tcPr>
          <w:p>
            <w:pPr>
              <w:ind w:left="14"/>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是否造成社会影响</w:t>
            </w:r>
          </w:p>
        </w:tc>
        <w:tc>
          <w:tcPr>
            <w:tcW w:w="791" w:type="dxa"/>
            <w:vAlign w:val="top"/>
          </w:tcPr>
          <w:p>
            <w:pPr>
              <w:ind w:left="232"/>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3"/>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4" w:type="dxa"/>
            <w:vAlign w:val="top"/>
          </w:tcPr>
          <w:p>
            <w:pPr>
              <w:ind w:left="19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51"/>
          <w:pgSz w:w="11905" w:h="16839"/>
          <w:pgMar w:top="1431" w:right="1738" w:bottom="1156" w:left="1737" w:header="0" w:footer="994" w:gutter="0"/>
        </w:sectPr>
        <w:rPr/>
      </w:pPr>
    </w:p>
    <w:p>
      <w:pPr>
        <w:spacing w:before="92"/>
        <w:rPr/>
      </w:pPr>
      <w:r/>
    </w:p>
    <w:p>
      <w:pPr>
        <w:spacing w:before="91"/>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643" w:hRule="atLeast"/>
        </w:trPr>
        <w:tc>
          <w:tcPr>
            <w:tcW w:w="1421" w:type="dxa"/>
            <w:vAlign w:val="top"/>
          </w:tcPr>
          <w:p>
            <w:pPr>
              <w:ind w:left="476" w:right="105" w:hanging="362"/>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948" w:type="dxa"/>
            <w:vAlign w:val="top"/>
          </w:tcPr>
          <w:p>
            <w:pPr>
              <w:ind w:left="378"/>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或生态破坏</w:t>
            </w:r>
          </w:p>
        </w:tc>
        <w:tc>
          <w:tcPr>
            <w:tcW w:w="791" w:type="dxa"/>
            <w:vAlign w:val="top"/>
          </w:tcPr>
          <w:p>
            <w:pPr>
              <w:rPr>
                <w:rFonts w:ascii="Arial"/>
                <w:sz w:val="21"/>
              </w:rPr>
            </w:pPr>
            <w:r/>
          </w:p>
        </w:tc>
        <w:tc>
          <w:tcPr>
            <w:tcW w:w="3199" w:type="dxa"/>
            <w:vAlign w:val="top"/>
          </w:tcPr>
          <w:p>
            <w:pPr>
              <w:ind w:left="10"/>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4" w:type="dxa"/>
            <w:vAlign w:val="top"/>
          </w:tcPr>
          <w:p>
            <w:pPr>
              <w:ind w:left="438"/>
              <w:spacing w:before="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52"/>
          <w:pgSz w:w="11905" w:h="16839"/>
          <w:pgMar w:top="1431" w:right="1738" w:bottom="1156" w:left="1737" w:header="0" w:footer="994" w:gutter="0"/>
        </w:sectPr>
        <w:rPr/>
      </w:pPr>
    </w:p>
    <w:p>
      <w:pPr>
        <w:spacing w:before="6"/>
        <w:rPr/>
      </w:pPr>
      <w:r/>
    </w:p>
    <w:p>
      <w:pPr>
        <w:spacing w:before="5"/>
        <w:rPr/>
      </w:pPr>
      <w:r/>
    </w:p>
    <w:p>
      <w:pPr>
        <w:spacing w:before="5"/>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680" w:hRule="atLeast"/>
        </w:trPr>
        <w:tc>
          <w:tcPr>
            <w:tcW w:w="8423" w:type="dxa"/>
            <w:vAlign w:val="top"/>
            <w:gridSpan w:val="5"/>
          </w:tcPr>
          <w:p>
            <w:pPr>
              <w:ind w:left="582"/>
              <w:spacing w:before="8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河北省生态环境行政处罚裁量规则(噪声类)</w:t>
            </w:r>
          </w:p>
        </w:tc>
      </w:tr>
      <w:tr>
        <w:trPr>
          <w:trHeight w:val="630" w:hRule="atLeast"/>
        </w:trPr>
        <w:tc>
          <w:tcPr>
            <w:tcW w:w="1421" w:type="dxa"/>
            <w:vAlign w:val="top"/>
          </w:tcPr>
          <w:p>
            <w:pPr>
              <w:ind w:left="435"/>
              <w:spacing w:before="175"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2" w:type="dxa"/>
            <w:vAlign w:val="top"/>
            <w:gridSpan w:val="4"/>
          </w:tcPr>
          <w:p>
            <w:pPr>
              <w:ind w:left="3484"/>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177</w:t>
            </w:r>
          </w:p>
        </w:tc>
      </w:tr>
      <w:tr>
        <w:trPr>
          <w:trHeight w:val="768" w:hRule="atLeast"/>
        </w:trPr>
        <w:tc>
          <w:tcPr>
            <w:tcW w:w="1421" w:type="dxa"/>
            <w:vAlign w:val="top"/>
          </w:tcPr>
          <w:p>
            <w:pPr>
              <w:ind w:left="160"/>
              <w:spacing w:before="17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2" w:type="dxa"/>
            <w:vAlign w:val="top"/>
            <w:gridSpan w:val="4"/>
          </w:tcPr>
          <w:p>
            <w:pPr>
              <w:ind w:left="116" w:right="228" w:firstLine="12"/>
              <w:spacing w:before="12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实行排污许可管理的单位未按照规定对工业噪声开展自行监测，</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未保存原始监测记录，或者未向社会公开监测结果的</w:t>
            </w:r>
          </w:p>
        </w:tc>
      </w:tr>
      <w:tr>
        <w:trPr>
          <w:trHeight w:val="3635" w:hRule="atLeast"/>
        </w:trPr>
        <w:tc>
          <w:tcPr>
            <w:tcW w:w="1421"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168"/>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2" w:type="dxa"/>
            <w:vAlign w:val="top"/>
            <w:gridSpan w:val="4"/>
          </w:tcPr>
          <w:p>
            <w:pPr>
              <w:ind w:left="21"/>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1.《中华人民共和国噪声污染防治法》</w:t>
            </w:r>
          </w:p>
          <w:p>
            <w:pPr>
              <w:ind w:left="12" w:right="106" w:firstLine="6"/>
              <w:spacing w:before="67" w:line="25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第三十八条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2"/>
              </w:rPr>
              <w:t>实行排污许可管理的单位应当按照规定，对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3"/>
              </w:rPr>
              <w:t>工业噪声开展自行监测，保存原始监测记录，向社会公开监测结果</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5"/>
              </w:rPr>
              <w:t>,</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5"/>
              </w:rPr>
              <w:t>对监测数据的真实性和准确性负责。</w:t>
            </w:r>
          </w:p>
          <w:p>
            <w:pPr>
              <w:spacing w:line="336" w:lineRule="auto"/>
              <w:rPr>
                <w:rFonts w:ascii="Arial"/>
                <w:sz w:val="21"/>
              </w:rPr>
            </w:pPr>
            <w:r/>
          </w:p>
          <w:p>
            <w:pPr>
              <w:ind w:left="15"/>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2.《中华人民共和国噪声污染防治法》</w:t>
            </w:r>
          </w:p>
          <w:p>
            <w:pPr>
              <w:ind w:left="16" w:firstLine="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第七十六条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b/>
                <w:bCs/>
                <w:spacing w:val="-6"/>
              </w:rPr>
              <w:t>第一项</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6"/>
              </w:rPr>
              <w:t>违反本法规定，有下列行为之一，由生态环境</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主管部门责令改正，处二万元以上二十万元以下的罚款；拒不改正</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的，责令限制生产、停产整治：</w:t>
            </w:r>
          </w:p>
          <w:p>
            <w:pPr>
              <w:ind w:left="13" w:right="279" w:firstLine="43"/>
              <w:spacing w:before="3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(一)实行排污许可管理的单位未按照规定对工业噪声开展</w:t>
            </w:r>
            <w:r>
              <w:rPr>
                <w:rFonts w:ascii="FangSong_GB2312" w:hAnsi="FangSong_GB2312" w:eastAsia="FangSong_GB2312" w:cs="FangSong_GB2312"/>
                <w:sz w:val="24"/>
                <w:szCs w:val="24"/>
                <w:spacing w:val="-3"/>
              </w:rPr>
              <w:t>自行监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测，未保存原始监测记录，或者未向社会公开监测结果的。</w:t>
            </w:r>
          </w:p>
        </w:tc>
      </w:tr>
      <w:tr>
        <w:trPr>
          <w:trHeight w:val="629" w:hRule="atLeast"/>
        </w:trPr>
        <w:tc>
          <w:tcPr>
            <w:tcW w:w="4160" w:type="dxa"/>
            <w:vAlign w:val="top"/>
            <w:gridSpan w:val="3"/>
          </w:tcPr>
          <w:p>
            <w:pPr>
              <w:ind w:left="1537"/>
              <w:spacing w:before="193"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裁量要素</w:t>
            </w:r>
          </w:p>
        </w:tc>
        <w:tc>
          <w:tcPr>
            <w:tcW w:w="4263" w:type="dxa"/>
            <w:vAlign w:val="top"/>
            <w:gridSpan w:val="2"/>
          </w:tcPr>
          <w:p>
            <w:pPr>
              <w:ind w:left="1610"/>
              <w:spacing w:before="19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13"/>
              </w:rPr>
              <w:t>判定标准</w:t>
            </w:r>
          </w:p>
        </w:tc>
      </w:tr>
      <w:tr>
        <w:trPr>
          <w:trHeight w:val="630" w:hRule="atLeast"/>
        </w:trPr>
        <w:tc>
          <w:tcPr>
            <w:tcW w:w="1421" w:type="dxa"/>
            <w:vAlign w:val="top"/>
          </w:tcPr>
          <w:p>
            <w:pPr>
              <w:ind w:left="482"/>
              <w:spacing w:before="19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48" w:type="dxa"/>
            <w:vAlign w:val="top"/>
          </w:tcPr>
          <w:p>
            <w:pPr>
              <w:ind w:left="545"/>
              <w:spacing w:before="203"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13" w:right="171" w:hanging="32"/>
              <w:spacing w:before="48"/>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199" w:type="dxa"/>
            <w:vAlign w:val="top"/>
          </w:tcPr>
          <w:p>
            <w:pPr>
              <w:ind w:left="1387"/>
              <w:spacing w:before="202"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4" w:type="dxa"/>
            <w:vAlign w:val="top"/>
          </w:tcPr>
          <w:p>
            <w:pPr>
              <w:ind w:left="216"/>
              <w:spacing w:before="20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4" w:hRule="atLeast"/>
        </w:trPr>
        <w:tc>
          <w:tcPr>
            <w:tcW w:w="1421"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467" w:right="86" w:hanging="382"/>
              <w:spacing w:before="78"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3"/>
              </w:rPr>
              <w:t>程度</w:t>
            </w:r>
          </w:p>
        </w:tc>
        <w:tc>
          <w:tcPr>
            <w:tcW w:w="1948" w:type="dxa"/>
            <w:vAlign w:val="top"/>
            <w:vMerge w:val="restart"/>
            <w:tcBorders>
              <w:bottom w:val="nil"/>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26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21" w:firstLine="32"/>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自行监测项目不全或者部分记</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录未保存</w:t>
            </w:r>
          </w:p>
        </w:tc>
        <w:tc>
          <w:tcPr>
            <w:tcW w:w="1064" w:type="dxa"/>
            <w:vAlign w:val="top"/>
          </w:tcPr>
          <w:p>
            <w:pPr>
              <w:ind w:left="26"/>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4"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14" w:right="72" w:hanging="5"/>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公开污染物信息的方式(途径)</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不符合规定或者公开污染物信</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息的内容不符合要求</w:t>
            </w:r>
          </w:p>
        </w:tc>
        <w:tc>
          <w:tcPr>
            <w:tcW w:w="1064" w:type="dxa"/>
            <w:vAlign w:val="top"/>
          </w:tcPr>
          <w:p>
            <w:pPr>
              <w:spacing w:line="272"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840"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0" w:right="72"/>
              <w:spacing w:before="14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未开展自行监测、未保存记录</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或者未公开污染物信息</w:t>
            </w:r>
          </w:p>
        </w:tc>
        <w:tc>
          <w:tcPr>
            <w:tcW w:w="1064" w:type="dxa"/>
            <w:vAlign w:val="top"/>
          </w:tcPr>
          <w:p>
            <w:pPr>
              <w:ind w:left="136"/>
              <w:spacing w:before="3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15" w:hRule="atLeast"/>
        </w:trPr>
        <w:tc>
          <w:tcPr>
            <w:tcW w:w="1421" w:type="dxa"/>
            <w:vAlign w:val="top"/>
            <w:vMerge w:val="restart"/>
            <w:tcBorders>
              <w:bottom w:val="nil"/>
            </w:tcBorders>
          </w:tcPr>
          <w:p>
            <w:pPr>
              <w:ind w:left="596" w:right="81" w:hanging="268"/>
              <w:spacing w:before="313" w:line="21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8"/>
              </w:rPr>
              <w:t>违法主体</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类型</w:t>
            </w:r>
          </w:p>
        </w:tc>
        <w:tc>
          <w:tcPr>
            <w:tcW w:w="1948" w:type="dxa"/>
            <w:vAlign w:val="top"/>
            <w:vMerge w:val="restart"/>
            <w:tcBorders>
              <w:bottom w:val="nil"/>
            </w:tcBorders>
          </w:tcPr>
          <w:p>
            <w:pPr>
              <w:spacing w:line="436" w:lineRule="auto"/>
              <w:rPr>
                <w:rFonts w:ascii="Arial"/>
                <w:sz w:val="21"/>
              </w:rPr>
            </w:pPr>
            <w:r/>
          </w:p>
          <w:p>
            <w:pPr>
              <w:ind w:left="2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排污单位管理类别</w:t>
            </w:r>
          </w:p>
        </w:tc>
        <w:tc>
          <w:tcPr>
            <w:tcW w:w="791" w:type="dxa"/>
            <w:vAlign w:val="top"/>
            <w:vMerge w:val="restart"/>
            <w:tcBorders>
              <w:bottom w:val="nil"/>
            </w:tcBorders>
          </w:tcPr>
          <w:p>
            <w:pPr>
              <w:spacing w:line="436"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8"/>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4" w:type="dxa"/>
            <w:vAlign w:val="top"/>
          </w:tcPr>
          <w:p>
            <w:pPr>
              <w:ind w:left="25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1"/>
              <w:spacing w:before="38"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4" w:type="dxa"/>
            <w:vAlign w:val="top"/>
          </w:tcPr>
          <w:p>
            <w:pPr>
              <w:ind w:left="192"/>
              <w:spacing w:before="38"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4"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3" w:right="1" w:firstLine="7"/>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重点管理(化工、电镀、皮革、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造纸、制浆、冶炼、放射性、</w:t>
            </w:r>
          </w:p>
          <w:p>
            <w:pPr>
              <w:spacing w:before="36" w:line="204" w:lineRule="auto"/>
              <w:jc w:val="right"/>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印染、染料、炼焦、炼油项目)</w:t>
            </w:r>
          </w:p>
        </w:tc>
        <w:tc>
          <w:tcPr>
            <w:tcW w:w="1064" w:type="dxa"/>
            <w:vAlign w:val="top"/>
          </w:tcPr>
          <w:p>
            <w:pPr>
              <w:spacing w:line="274" w:lineRule="auto"/>
              <w:rPr>
                <w:rFonts w:ascii="Arial"/>
                <w:sz w:val="21"/>
              </w:rPr>
            </w:pPr>
            <w:r/>
          </w:p>
          <w:p>
            <w:pPr>
              <w:ind w:left="1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15" w:hRule="atLeast"/>
        </w:trPr>
        <w:tc>
          <w:tcPr>
            <w:tcW w:w="1421" w:type="dxa"/>
            <w:vAlign w:val="top"/>
            <w:vMerge w:val="restart"/>
            <w:tcBorders>
              <w:bottom w:val="nil"/>
            </w:tcBorders>
          </w:tcPr>
          <w:p>
            <w:pPr>
              <w:spacing w:line="471" w:lineRule="auto"/>
              <w:rPr>
                <w:rFonts w:ascii="Arial"/>
                <w:sz w:val="21"/>
              </w:rPr>
            </w:pPr>
            <w:r/>
          </w:p>
          <w:p>
            <w:pPr>
              <w:ind w:left="33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48" w:type="dxa"/>
            <w:vAlign w:val="top"/>
            <w:vMerge w:val="restart"/>
            <w:tcBorders>
              <w:bottom w:val="nil"/>
            </w:tcBorders>
          </w:tcPr>
          <w:p>
            <w:pPr>
              <w:spacing w:line="440" w:lineRule="auto"/>
              <w:rPr>
                <w:rFonts w:ascii="Arial"/>
                <w:sz w:val="21"/>
              </w:rPr>
            </w:pPr>
            <w:r/>
          </w:p>
          <w:p>
            <w:pPr>
              <w:ind w:left="15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1" w:type="dxa"/>
            <w:vAlign w:val="top"/>
            <w:vMerge w:val="restart"/>
            <w:tcBorders>
              <w:bottom w:val="nil"/>
            </w:tcBorders>
          </w:tcPr>
          <w:p>
            <w:pPr>
              <w:spacing w:line="440"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8"/>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4" w:type="dxa"/>
            <w:vAlign w:val="top"/>
          </w:tcPr>
          <w:p>
            <w:pPr>
              <w:ind w:left="433"/>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1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4" w:type="dxa"/>
            <w:vAlign w:val="top"/>
          </w:tcPr>
          <w:p>
            <w:pPr>
              <w:ind w:left="376"/>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3"/>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4" w:type="dxa"/>
            <w:vAlign w:val="top"/>
          </w:tcPr>
          <w:p>
            <w:pPr>
              <w:ind w:left="37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8"/>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4" w:type="dxa"/>
            <w:vAlign w:val="top"/>
          </w:tcPr>
          <w:p>
            <w:pPr>
              <w:ind w:left="370"/>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7" w:hRule="atLeast"/>
        </w:trPr>
        <w:tc>
          <w:tcPr>
            <w:tcW w:w="1421" w:type="dxa"/>
            <w:vAlign w:val="top"/>
          </w:tcPr>
          <w:p>
            <w:pPr>
              <w:ind w:left="110"/>
              <w:spacing w:before="83" w:line="17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配合调查</w:t>
            </w:r>
          </w:p>
        </w:tc>
        <w:tc>
          <w:tcPr>
            <w:tcW w:w="1948" w:type="dxa"/>
            <w:vAlign w:val="top"/>
          </w:tcPr>
          <w:p>
            <w:pPr>
              <w:ind w:left="14"/>
              <w:spacing w:before="40"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是否配合执法检查</w:t>
            </w:r>
          </w:p>
        </w:tc>
        <w:tc>
          <w:tcPr>
            <w:tcW w:w="791" w:type="dxa"/>
            <w:vAlign w:val="top"/>
          </w:tcPr>
          <w:p>
            <w:pPr>
              <w:ind w:left="238"/>
              <w:spacing w:before="40"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15"/>
              <w:spacing w:before="40"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4" w:type="dxa"/>
            <w:vAlign w:val="top"/>
          </w:tcPr>
          <w:p>
            <w:pPr>
              <w:ind w:left="196"/>
              <w:spacing w:before="40"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353"/>
          <w:pgSz w:w="11905" w:h="16839"/>
          <w:pgMar w:top="1431" w:right="1738" w:bottom="1156" w:left="1737" w:header="0" w:footer="994" w:gutter="0"/>
        </w:sectPr>
        <w:rPr/>
      </w:pPr>
    </w:p>
    <w:p>
      <w:pPr>
        <w:spacing w:before="92"/>
        <w:rPr/>
      </w:pPr>
      <w:r/>
    </w:p>
    <w:p>
      <w:pPr>
        <w:spacing w:before="91"/>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317" w:hRule="atLeast"/>
        </w:trPr>
        <w:tc>
          <w:tcPr>
            <w:tcW w:w="1421" w:type="dxa"/>
            <w:vAlign w:val="top"/>
          </w:tcPr>
          <w:p>
            <w:pPr>
              <w:ind w:left="96"/>
              <w:spacing w:before="32"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948" w:type="dxa"/>
            <w:vAlign w:val="top"/>
          </w:tcPr>
          <w:p>
            <w:pPr>
              <w:rPr>
                <w:rFonts w:ascii="Arial"/>
                <w:sz w:val="21"/>
              </w:rPr>
            </w:pPr>
            <w:r/>
          </w:p>
        </w:tc>
        <w:tc>
          <w:tcPr>
            <w:tcW w:w="791" w:type="dxa"/>
            <w:vAlign w:val="top"/>
          </w:tcPr>
          <w:p>
            <w:pPr>
              <w:rPr>
                <w:rFonts w:ascii="Arial"/>
                <w:sz w:val="21"/>
              </w:rPr>
            </w:pPr>
            <w:r/>
          </w:p>
        </w:tc>
        <w:tc>
          <w:tcPr>
            <w:tcW w:w="3199" w:type="dxa"/>
            <w:vAlign w:val="top"/>
          </w:tcPr>
          <w:p>
            <w:pPr>
              <w:ind w:left="21"/>
              <w:spacing w:before="37"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4" w:type="dxa"/>
            <w:vAlign w:val="top"/>
          </w:tcPr>
          <w:p>
            <w:pPr>
              <w:ind w:left="438"/>
              <w:spacing w:before="37"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4" w:hRule="atLeast"/>
        </w:trPr>
        <w:tc>
          <w:tcPr>
            <w:tcW w:w="1421" w:type="dxa"/>
            <w:vAlign w:val="top"/>
            <w:vMerge w:val="restart"/>
            <w:tcBorders>
              <w:bottom w:val="nil"/>
            </w:tcBorders>
          </w:tcPr>
          <w:p>
            <w:pPr>
              <w:spacing w:line="433"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48" w:type="dxa"/>
            <w:vAlign w:val="top"/>
            <w:vMerge w:val="restart"/>
            <w:tcBorders>
              <w:bottom w:val="nil"/>
            </w:tcBorders>
          </w:tcPr>
          <w:p>
            <w:pPr>
              <w:spacing w:line="434" w:lineRule="auto"/>
              <w:rPr>
                <w:rFonts w:ascii="Arial"/>
                <w:sz w:val="21"/>
              </w:rPr>
            </w:pPr>
            <w:r/>
          </w:p>
          <w:p>
            <w:pPr>
              <w:ind w:left="12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1" w:type="dxa"/>
            <w:vAlign w:val="top"/>
            <w:vMerge w:val="restart"/>
            <w:tcBorders>
              <w:bottom w:val="nil"/>
            </w:tcBorders>
          </w:tcPr>
          <w:p>
            <w:pPr>
              <w:spacing w:line="433" w:lineRule="auto"/>
              <w:rPr>
                <w:rFonts w:ascii="Arial"/>
                <w:sz w:val="21"/>
              </w:rPr>
            </w:pPr>
            <w:r/>
          </w:p>
          <w:p>
            <w:pPr>
              <w:ind w:left="238"/>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9"/>
              <w:spacing w:before="37"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4" w:type="dxa"/>
            <w:vAlign w:val="top"/>
          </w:tcPr>
          <w:p>
            <w:pPr>
              <w:ind w:left="438"/>
              <w:spacing w:before="37"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9"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6" w:right="72" w:hanging="8"/>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4" w:type="dxa"/>
            <w:vAlign w:val="top"/>
          </w:tcPr>
          <w:p>
            <w:pPr>
              <w:ind w:left="256"/>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4"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2"/>
              <w:spacing w:before="38"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4" w:type="dxa"/>
            <w:vAlign w:val="top"/>
          </w:tcPr>
          <w:p>
            <w:pPr>
              <w:ind w:left="192"/>
              <w:spacing w:before="38"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98" w:hRule="atLeast"/>
        </w:trPr>
        <w:tc>
          <w:tcPr>
            <w:tcW w:w="1421" w:type="dxa"/>
            <w:vAlign w:val="top"/>
            <w:vMerge w:val="restart"/>
            <w:tcBorders>
              <w:bottom w:val="nil"/>
            </w:tcBorders>
          </w:tcPr>
          <w:p>
            <w:pPr>
              <w:ind w:left="81" w:right="321" w:firstLine="18"/>
              <w:spacing w:before="147" w:line="24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10"/>
              </w:rPr>
              <w:t>响或生态</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0"/>
              </w:rPr>
              <w:t>破坏程度</w:t>
            </w:r>
          </w:p>
        </w:tc>
        <w:tc>
          <w:tcPr>
            <w:tcW w:w="1948" w:type="dxa"/>
            <w:vAlign w:val="top"/>
            <w:vMerge w:val="restart"/>
            <w:tcBorders>
              <w:bottom w:val="nil"/>
            </w:tcBorders>
          </w:tcPr>
          <w:p>
            <w:pPr>
              <w:ind w:left="377" w:right="13" w:hanging="363"/>
              <w:spacing w:before="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是否造成社会影响</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或生态破坏</w:t>
            </w:r>
          </w:p>
        </w:tc>
        <w:tc>
          <w:tcPr>
            <w:tcW w:w="791" w:type="dxa"/>
            <w:vAlign w:val="top"/>
            <w:vMerge w:val="restart"/>
            <w:tcBorders>
              <w:bottom w:val="nil"/>
            </w:tcBorders>
          </w:tcPr>
          <w:p>
            <w:pPr>
              <w:spacing w:line="362"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3"/>
              <w:spacing w:before="13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4" w:type="dxa"/>
            <w:vAlign w:val="top"/>
          </w:tcPr>
          <w:p>
            <w:pPr>
              <w:ind w:left="196"/>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18"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0"/>
              <w:spacing w:before="19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4" w:type="dxa"/>
            <w:vAlign w:val="top"/>
          </w:tcPr>
          <w:p>
            <w:pPr>
              <w:ind w:left="438"/>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54"/>
          <w:pgSz w:w="11905" w:h="16839"/>
          <w:pgMar w:top="1431" w:right="1738" w:bottom="1156" w:left="1737" w:header="0" w:footer="994" w:gutter="0"/>
        </w:sectPr>
        <w:rPr/>
      </w:pPr>
    </w:p>
    <w:p>
      <w:pPr>
        <w:spacing w:before="61"/>
        <w:rPr/>
      </w:pPr>
      <w:r/>
    </w:p>
    <w:p>
      <w:pPr>
        <w:spacing w:before="61"/>
        <w:rPr/>
      </w:pPr>
      <w:r/>
    </w:p>
    <w:p>
      <w:pPr>
        <w:spacing w:before="61"/>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680" w:hRule="atLeast"/>
        </w:trPr>
        <w:tc>
          <w:tcPr>
            <w:tcW w:w="8423" w:type="dxa"/>
            <w:vAlign w:val="top"/>
            <w:gridSpan w:val="5"/>
          </w:tcPr>
          <w:p>
            <w:pPr>
              <w:ind w:left="584"/>
              <w:spacing w:before="91" w:line="224"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河北省生态环境行政处罚裁量规则(噪声类)</w:t>
            </w:r>
          </w:p>
        </w:tc>
      </w:tr>
      <w:tr>
        <w:trPr>
          <w:trHeight w:val="630" w:hRule="atLeast"/>
        </w:trPr>
        <w:tc>
          <w:tcPr>
            <w:tcW w:w="1421" w:type="dxa"/>
            <w:vAlign w:val="top"/>
          </w:tcPr>
          <w:p>
            <w:pPr>
              <w:ind w:left="435"/>
              <w:spacing w:before="17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2" w:type="dxa"/>
            <w:vAlign w:val="top"/>
            <w:gridSpan w:val="4"/>
          </w:tcPr>
          <w:p>
            <w:pPr>
              <w:ind w:left="3484"/>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178</w:t>
            </w:r>
          </w:p>
        </w:tc>
      </w:tr>
      <w:tr>
        <w:trPr>
          <w:trHeight w:val="940" w:hRule="atLeast"/>
        </w:trPr>
        <w:tc>
          <w:tcPr>
            <w:tcW w:w="1421" w:type="dxa"/>
            <w:vAlign w:val="top"/>
          </w:tcPr>
          <w:p>
            <w:pPr>
              <w:ind w:left="159"/>
              <w:spacing w:before="17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2" w:type="dxa"/>
            <w:vAlign w:val="top"/>
            <w:gridSpan w:val="4"/>
          </w:tcPr>
          <w:p>
            <w:pPr>
              <w:ind w:left="123" w:right="174" w:firstLine="6"/>
              <w:spacing w:before="212"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噪声重点排污单位未按照国家规定安装、使用、维护噪声自动监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测设备，或者未与生态环境主管部门的监控设备联网的</w:t>
            </w:r>
          </w:p>
        </w:tc>
      </w:tr>
      <w:tr>
        <w:trPr>
          <w:trHeight w:val="3263" w:hRule="atLeast"/>
        </w:trPr>
        <w:tc>
          <w:tcPr>
            <w:tcW w:w="1421"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167"/>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2" w:type="dxa"/>
            <w:vAlign w:val="top"/>
            <w:gridSpan w:val="4"/>
          </w:tcPr>
          <w:p>
            <w:pPr>
              <w:ind w:left="23"/>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1.《中华人民共和国噪声污染防治法》</w:t>
            </w:r>
          </w:p>
          <w:p>
            <w:pPr>
              <w:ind w:left="8" w:right="107" w:firstLine="12"/>
              <w:spacing w:before="67" w:line="25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噪声重点排污单位应当按照国家规定，安装</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、使用、维护噪声自动监测设备，与生态环境主管部门的监控设备</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联网。</w:t>
            </w:r>
          </w:p>
          <w:p>
            <w:pPr>
              <w:ind w:left="1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2.《中华人民共和国噪声污染防治法》</w:t>
            </w:r>
          </w:p>
          <w:p>
            <w:pPr>
              <w:ind w:left="2" w:right="37" w:firstLine="1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第七十六条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第二项</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2"/>
              </w:rPr>
              <w:t>违反本法规定，有下列行为之一，由生态环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境主管部门责令改正，处二万元以上二十万元以下的罚</w:t>
            </w:r>
            <w:r>
              <w:rPr>
                <w:rFonts w:ascii="FangSong_GB2312" w:hAnsi="FangSong_GB2312" w:eastAsia="FangSong_GB2312" w:cs="FangSong_GB2312"/>
                <w:sz w:val="24"/>
                <w:szCs w:val="24"/>
                <w:spacing w:val="-1"/>
              </w:rPr>
              <w:t>款；拒不改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正的，责令限制生产、停产整治：</w:t>
            </w:r>
          </w:p>
          <w:p>
            <w:pPr>
              <w:ind w:left="15" w:right="37" w:firstLine="43"/>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(二)噪声重点排污单位未按照国家规定安装、使用、维护噪声</w:t>
            </w:r>
            <w:r>
              <w:rPr>
                <w:rFonts w:ascii="FangSong_GB2312" w:hAnsi="FangSong_GB2312" w:eastAsia="FangSong_GB2312" w:cs="FangSong_GB2312"/>
                <w:sz w:val="24"/>
                <w:szCs w:val="24"/>
                <w:spacing w:val="-3"/>
              </w:rPr>
              <w:t>自动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监测设备，或者未与生态环境主管部门的监控设备联网的。</w:t>
            </w:r>
          </w:p>
        </w:tc>
      </w:tr>
      <w:tr>
        <w:trPr>
          <w:trHeight w:val="629" w:hRule="atLeast"/>
        </w:trPr>
        <w:tc>
          <w:tcPr>
            <w:tcW w:w="4160" w:type="dxa"/>
            <w:vAlign w:val="top"/>
            <w:gridSpan w:val="3"/>
          </w:tcPr>
          <w:p>
            <w:pPr>
              <w:ind w:left="1536"/>
              <w:spacing w:before="19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裁量要素</w:t>
            </w:r>
          </w:p>
        </w:tc>
        <w:tc>
          <w:tcPr>
            <w:tcW w:w="4263" w:type="dxa"/>
            <w:vAlign w:val="top"/>
            <w:gridSpan w:val="2"/>
          </w:tcPr>
          <w:p>
            <w:pPr>
              <w:ind w:left="1610"/>
              <w:spacing w:before="19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13"/>
              </w:rPr>
              <w:t>判定标准</w:t>
            </w:r>
          </w:p>
        </w:tc>
      </w:tr>
      <w:tr>
        <w:trPr>
          <w:trHeight w:val="630" w:hRule="atLeast"/>
        </w:trPr>
        <w:tc>
          <w:tcPr>
            <w:tcW w:w="1421" w:type="dxa"/>
            <w:vAlign w:val="top"/>
          </w:tcPr>
          <w:p>
            <w:pPr>
              <w:ind w:left="483"/>
              <w:spacing w:before="19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48" w:type="dxa"/>
            <w:vAlign w:val="top"/>
          </w:tcPr>
          <w:p>
            <w:pPr>
              <w:ind w:left="544"/>
              <w:spacing w:before="205"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13" w:right="171" w:hanging="32"/>
              <w:spacing w:before="45"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199" w:type="dxa"/>
            <w:vAlign w:val="top"/>
          </w:tcPr>
          <w:p>
            <w:pPr>
              <w:ind w:left="1389"/>
              <w:spacing w:before="204"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4" w:type="dxa"/>
            <w:vAlign w:val="top"/>
          </w:tcPr>
          <w:p>
            <w:pPr>
              <w:ind w:left="218"/>
              <w:spacing w:before="205"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4" w:hRule="atLeast"/>
        </w:trPr>
        <w:tc>
          <w:tcPr>
            <w:tcW w:w="1421"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478" w:right="106" w:hanging="360"/>
              <w:spacing w:before="78" w:line="22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48"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6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c>
          <w:tcPr>
            <w:tcW w:w="3199" w:type="dxa"/>
            <w:vAlign w:val="top"/>
          </w:tcPr>
          <w:p>
            <w:pPr>
              <w:ind w:left="10" w:right="73" w:firstLine="43"/>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自动监测设备已安装，未按照</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规定与生态环境主管部门监控</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3"/>
              </w:rPr>
              <w:t>设备联网</w:t>
            </w:r>
          </w:p>
        </w:tc>
        <w:tc>
          <w:tcPr>
            <w:tcW w:w="1064" w:type="dxa"/>
            <w:vAlign w:val="top"/>
          </w:tcPr>
          <w:p>
            <w:pPr>
              <w:spacing w:line="273" w:lineRule="auto"/>
              <w:rPr>
                <w:rFonts w:ascii="Arial"/>
                <w:sz w:val="21"/>
              </w:rPr>
            </w:pPr>
            <w:r/>
          </w:p>
          <w:p>
            <w:pPr>
              <w:ind w:left="2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630"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14" w:right="73" w:firstLine="38"/>
              <w:spacing w:before="37"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自动监测设备安装、运行维护</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不符合相关技术规范</w:t>
            </w:r>
          </w:p>
        </w:tc>
        <w:tc>
          <w:tcPr>
            <w:tcW w:w="1064" w:type="dxa"/>
            <w:vAlign w:val="top"/>
          </w:tcPr>
          <w:p>
            <w:pPr>
              <w:ind w:left="192"/>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944"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1" w:right="73" w:hanging="1"/>
              <w:spacing w:before="37"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未按照规定安装污染物排放自</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动监测设备，或者擅自停运部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分或全部污染源自动监测设备</w:t>
            </w:r>
          </w:p>
        </w:tc>
        <w:tc>
          <w:tcPr>
            <w:tcW w:w="1064" w:type="dxa"/>
            <w:vAlign w:val="top"/>
          </w:tcPr>
          <w:p>
            <w:pPr>
              <w:spacing w:line="273" w:lineRule="auto"/>
              <w:rPr>
                <w:rFonts w:ascii="Arial"/>
                <w:sz w:val="21"/>
              </w:rPr>
            </w:pPr>
            <w:r/>
          </w:p>
          <w:p>
            <w:pPr>
              <w:ind w:left="13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restart"/>
            <w:tcBorders>
              <w:bottom w:val="nil"/>
            </w:tcBorders>
          </w:tcPr>
          <w:p>
            <w:pPr>
              <w:ind w:left="18"/>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建设地点功能区划</w:t>
            </w:r>
          </w:p>
        </w:tc>
        <w:tc>
          <w:tcPr>
            <w:tcW w:w="791" w:type="dxa"/>
            <w:vAlign w:val="top"/>
            <w:vMerge w:val="restart"/>
            <w:tcBorders>
              <w:bottom w:val="nil"/>
            </w:tcBorders>
          </w:tcPr>
          <w:p>
            <w:pPr>
              <w:ind w:left="2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28"/>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3-4</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类声环境功能区</w:t>
            </w:r>
          </w:p>
        </w:tc>
        <w:tc>
          <w:tcPr>
            <w:tcW w:w="1064" w:type="dxa"/>
            <w:vAlign w:val="top"/>
          </w:tcPr>
          <w:p>
            <w:pPr>
              <w:ind w:left="255"/>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6"/>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0-2</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类声环境功能区</w:t>
            </w:r>
          </w:p>
        </w:tc>
        <w:tc>
          <w:tcPr>
            <w:tcW w:w="1064" w:type="dxa"/>
            <w:vAlign w:val="top"/>
          </w:tcPr>
          <w:p>
            <w:pPr>
              <w:ind w:left="192"/>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1889" w:hRule="atLeast"/>
        </w:trPr>
        <w:tc>
          <w:tcPr>
            <w:tcW w:w="1421"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500" w:right="202" w:hanging="4"/>
              <w:spacing w:before="78" w:line="22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违法行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为类型</w:t>
            </w:r>
          </w:p>
        </w:tc>
        <w:tc>
          <w:tcPr>
            <w:tcW w:w="1948"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spacing w:line="301" w:lineRule="auto"/>
              <w:rPr>
                <w:rFonts w:ascii="Arial"/>
                <w:sz w:val="21"/>
              </w:rPr>
            </w:pPr>
            <w:r/>
          </w:p>
          <w:p>
            <w:pPr>
              <w:ind w:left="507"/>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监测数据</w:t>
            </w:r>
          </w:p>
          <w:p>
            <w:pPr>
              <w:ind w:left="380"/>
              <w:spacing w:before="3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误差或有效</w:t>
            </w:r>
          </w:p>
          <w:p>
            <w:pPr>
              <w:ind w:left="614"/>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传输率</w:t>
            </w:r>
          </w:p>
        </w:tc>
        <w:tc>
          <w:tcPr>
            <w:tcW w:w="791"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c>
          <w:tcPr>
            <w:tcW w:w="3199" w:type="dxa"/>
            <w:vAlign w:val="top"/>
          </w:tcPr>
          <w:p>
            <w:pPr>
              <w:ind w:left="8" w:firstLine="1"/>
              <w:spacing w:before="37"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未保证监测设备正常运行，造</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成自动监测与人工监测(或者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标准物质测试)数据误差超过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技术规范允许范围不足</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rPr>
              <w:t>1倍/自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动监测季度数据有效传输率</w:t>
            </w:r>
          </w:p>
          <w:p>
            <w:pPr>
              <w:ind w:left="21"/>
              <w:spacing w:before="3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75%以上不足</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5"/>
              </w:rPr>
              <w:t>90%</w:t>
            </w:r>
          </w:p>
        </w:tc>
        <w:tc>
          <w:tcPr>
            <w:tcW w:w="1064"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2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94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8" w:right="73" w:firstLine="1"/>
              <w:spacing w:before="4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未保证监测设备正常运行，造</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成自动监测与人工监测(或者</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标准物质测试)数据误差超过</w:t>
            </w:r>
          </w:p>
        </w:tc>
        <w:tc>
          <w:tcPr>
            <w:tcW w:w="1064" w:type="dxa"/>
            <w:vAlign w:val="top"/>
          </w:tcPr>
          <w:p>
            <w:pPr>
              <w:spacing w:line="274" w:lineRule="auto"/>
              <w:rPr>
                <w:rFonts w:ascii="Arial"/>
                <w:sz w:val="21"/>
              </w:rPr>
            </w:pPr>
            <w:r/>
          </w:p>
          <w:p>
            <w:pPr>
              <w:ind w:left="19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355"/>
          <w:pgSz w:w="11905" w:h="16839"/>
          <w:pgMar w:top="1431" w:right="1785" w:bottom="1156" w:left="1416" w:header="0" w:footer="994" w:gutter="0"/>
        </w:sectPr>
        <w:rPr/>
      </w:pPr>
    </w:p>
    <w:p>
      <w:pPr>
        <w:spacing w:before="92"/>
        <w:rPr/>
      </w:pPr>
      <w:r/>
    </w:p>
    <w:p>
      <w:pPr>
        <w:spacing w:before="91"/>
        <w:rPr/>
      </w:pPr>
      <w:r/>
    </w:p>
    <w:tbl>
      <w:tblPr>
        <w:tblStyle w:val="TableNormal"/>
        <w:tblW w:w="84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1948"/>
        <w:gridCol w:w="791"/>
        <w:gridCol w:w="3199"/>
        <w:gridCol w:w="1064"/>
      </w:tblGrid>
      <w:tr>
        <w:trPr>
          <w:trHeight w:val="946" w:hRule="atLeast"/>
        </w:trPr>
        <w:tc>
          <w:tcPr>
            <w:tcW w:w="1421" w:type="dxa"/>
            <w:vAlign w:val="top"/>
            <w:vMerge w:val="restart"/>
            <w:tcBorders>
              <w:bottom w:val="nil"/>
            </w:tcBorders>
          </w:tcPr>
          <w:p>
            <w:pPr>
              <w:rPr>
                <w:rFonts w:ascii="Arial"/>
                <w:sz w:val="21"/>
              </w:rPr>
            </w:pPr>
            <w:r/>
          </w:p>
        </w:tc>
        <w:tc>
          <w:tcPr>
            <w:tcW w:w="1948" w:type="dxa"/>
            <w:vAlign w:val="top"/>
            <w:vMerge w:val="restart"/>
            <w:tcBorders>
              <w:bottom w:val="nil"/>
            </w:tcBorders>
          </w:tcPr>
          <w:p>
            <w:pPr>
              <w:rPr>
                <w:rFonts w:ascii="Arial"/>
                <w:sz w:val="21"/>
              </w:rPr>
            </w:pPr>
            <w:r/>
          </w:p>
        </w:tc>
        <w:tc>
          <w:tcPr>
            <w:tcW w:w="791" w:type="dxa"/>
            <w:vAlign w:val="top"/>
            <w:vMerge w:val="restart"/>
            <w:tcBorders>
              <w:bottom w:val="nil"/>
            </w:tcBorders>
          </w:tcPr>
          <w:p>
            <w:pPr>
              <w:rPr>
                <w:rFonts w:ascii="Arial"/>
                <w:sz w:val="21"/>
              </w:rPr>
            </w:pPr>
            <w:r/>
          </w:p>
        </w:tc>
        <w:tc>
          <w:tcPr>
            <w:tcW w:w="3199" w:type="dxa"/>
            <w:vAlign w:val="top"/>
          </w:tcPr>
          <w:p>
            <w:pPr>
              <w:ind w:left="4" w:firstLine="8"/>
              <w:spacing w:before="38"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技术规范允许范围</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4"/>
              </w:rPr>
              <w:t>倍以上不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足</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rPr>
              <w:t>2倍/自动监测季度数据有效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传输率</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60%以上不足</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4"/>
              </w:rPr>
              <w:t>75%</w:t>
            </w:r>
          </w:p>
        </w:tc>
        <w:tc>
          <w:tcPr>
            <w:tcW w:w="1064" w:type="dxa"/>
            <w:vAlign w:val="top"/>
          </w:tcPr>
          <w:p>
            <w:pPr>
              <w:rPr>
                <w:rFonts w:ascii="Arial"/>
                <w:sz w:val="21"/>
              </w:rPr>
            </w:pPr>
            <w:r/>
          </w:p>
        </w:tc>
      </w:tr>
      <w:tr>
        <w:trPr>
          <w:trHeight w:val="1888"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0"/>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未保证自动监测设备正常运</w:t>
            </w:r>
          </w:p>
          <w:p>
            <w:pPr>
              <w:ind w:left="5" w:right="73" w:firstLine="4"/>
              <w:spacing w:before="42"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行，造成自动监测与人工监测</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(或者标准物质测试)数据误差</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超过技术规范允许范围</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3"/>
              </w:rPr>
              <w:t>倍以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上/自动监测季度数据有效传</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输率不足</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4"/>
              </w:rPr>
              <w:t>60%</w:t>
            </w:r>
          </w:p>
        </w:tc>
        <w:tc>
          <w:tcPr>
            <w:tcW w:w="106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3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314" w:hRule="atLeast"/>
        </w:trPr>
        <w:tc>
          <w:tcPr>
            <w:tcW w:w="1421" w:type="dxa"/>
            <w:vAlign w:val="top"/>
            <w:vMerge w:val="restart"/>
            <w:tcBorders>
              <w:bottom w:val="nil"/>
            </w:tcBorders>
          </w:tcPr>
          <w:p>
            <w:pPr>
              <w:spacing w:line="438" w:lineRule="auto"/>
              <w:rPr>
                <w:rFonts w:ascii="Arial"/>
                <w:sz w:val="21"/>
              </w:rPr>
            </w:pPr>
            <w:r/>
          </w:p>
          <w:p>
            <w:pPr>
              <w:ind w:left="23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48" w:type="dxa"/>
            <w:vAlign w:val="top"/>
            <w:vMerge w:val="restart"/>
            <w:tcBorders>
              <w:bottom w:val="nil"/>
            </w:tcBorders>
          </w:tcPr>
          <w:p>
            <w:pPr>
              <w:spacing w:line="438" w:lineRule="auto"/>
              <w:rPr>
                <w:rFonts w:ascii="Arial"/>
                <w:sz w:val="21"/>
              </w:rPr>
            </w:pPr>
            <w:r/>
          </w:p>
          <w:p>
            <w:pPr>
              <w:ind w:left="2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791" w:type="dxa"/>
            <w:vAlign w:val="top"/>
            <w:vMerge w:val="restart"/>
            <w:tcBorders>
              <w:bottom w:val="nil"/>
            </w:tcBorders>
          </w:tcPr>
          <w:p>
            <w:pPr>
              <w:spacing w:line="439"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7"/>
              <w:spacing w:before="40"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4" w:type="dxa"/>
            <w:vAlign w:val="top"/>
          </w:tcPr>
          <w:p>
            <w:pPr>
              <w:ind w:left="433"/>
              <w:spacing w:before="40"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15"/>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4" w:type="dxa"/>
            <w:vAlign w:val="top"/>
          </w:tcPr>
          <w:p>
            <w:pPr>
              <w:ind w:left="375"/>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5"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2"/>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4" w:type="dxa"/>
            <w:vAlign w:val="top"/>
          </w:tcPr>
          <w:p>
            <w:pPr>
              <w:ind w:left="375"/>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7"/>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4" w:type="dxa"/>
            <w:vAlign w:val="top"/>
          </w:tcPr>
          <w:p>
            <w:pPr>
              <w:ind w:left="370"/>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5" w:hRule="atLeast"/>
        </w:trPr>
        <w:tc>
          <w:tcPr>
            <w:tcW w:w="1421" w:type="dxa"/>
            <w:vAlign w:val="top"/>
            <w:vMerge w:val="restart"/>
            <w:tcBorders>
              <w:bottom w:val="nil"/>
            </w:tcBorders>
          </w:tcPr>
          <w:p>
            <w:pPr>
              <w:ind w:left="361" w:right="106" w:hanging="23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948" w:type="dxa"/>
            <w:vAlign w:val="top"/>
            <w:vMerge w:val="restart"/>
            <w:tcBorders>
              <w:bottom w:val="nil"/>
            </w:tcBorders>
          </w:tcPr>
          <w:p>
            <w:pPr>
              <w:ind w:left="4"/>
              <w:spacing w:before="3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是否配合执法检查</w:t>
            </w:r>
          </w:p>
        </w:tc>
        <w:tc>
          <w:tcPr>
            <w:tcW w:w="791" w:type="dxa"/>
            <w:vAlign w:val="top"/>
            <w:vMerge w:val="restart"/>
            <w:tcBorders>
              <w:bottom w:val="nil"/>
            </w:tcBorders>
          </w:tcPr>
          <w:p>
            <w:pPr>
              <w:ind w:left="2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14"/>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4" w:type="dxa"/>
            <w:vAlign w:val="top"/>
          </w:tcPr>
          <w:p>
            <w:pPr>
              <w:ind w:left="195"/>
              <w:spacing w:before="39"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0"/>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4" w:type="dxa"/>
            <w:vAlign w:val="top"/>
          </w:tcPr>
          <w:p>
            <w:pPr>
              <w:ind w:left="437"/>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15" w:hRule="atLeast"/>
        </w:trPr>
        <w:tc>
          <w:tcPr>
            <w:tcW w:w="1421" w:type="dxa"/>
            <w:vAlign w:val="top"/>
            <w:vMerge w:val="restart"/>
            <w:tcBorders>
              <w:bottom w:val="nil"/>
            </w:tcBorders>
          </w:tcPr>
          <w:p>
            <w:pPr>
              <w:spacing w:line="437"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48" w:type="dxa"/>
            <w:vAlign w:val="top"/>
            <w:vMerge w:val="restart"/>
            <w:tcBorders>
              <w:bottom w:val="nil"/>
            </w:tcBorders>
          </w:tcPr>
          <w:p>
            <w:pPr>
              <w:spacing w:line="438" w:lineRule="auto"/>
              <w:rPr>
                <w:rFonts w:ascii="Arial"/>
                <w:sz w:val="21"/>
              </w:rPr>
            </w:pPr>
            <w:r/>
          </w:p>
          <w:p>
            <w:pPr>
              <w:ind w:left="124"/>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1" w:type="dxa"/>
            <w:vAlign w:val="top"/>
            <w:vMerge w:val="restart"/>
            <w:tcBorders>
              <w:bottom w:val="nil"/>
            </w:tcBorders>
          </w:tcPr>
          <w:p>
            <w:pPr>
              <w:spacing w:line="437" w:lineRule="auto"/>
              <w:rPr>
                <w:rFonts w:ascii="Arial"/>
                <w:sz w:val="21"/>
              </w:rPr>
            </w:pPr>
            <w:r/>
          </w:p>
          <w:p>
            <w:pPr>
              <w:ind w:left="2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199" w:type="dxa"/>
            <w:vAlign w:val="top"/>
          </w:tcPr>
          <w:p>
            <w:pPr>
              <w:ind w:left="9"/>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4" w:type="dxa"/>
            <w:vAlign w:val="top"/>
          </w:tcPr>
          <w:p>
            <w:pPr>
              <w:ind w:left="437"/>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9" w:hRule="atLeast"/>
        </w:trPr>
        <w:tc>
          <w:tcPr>
            <w:tcW w:w="1421" w:type="dxa"/>
            <w:vAlign w:val="top"/>
            <w:vMerge w:val="continue"/>
            <w:tcBorders>
              <w:top w:val="nil"/>
              <w:bottom w:val="nil"/>
            </w:tcBorders>
          </w:tcPr>
          <w:p>
            <w:pPr>
              <w:rPr>
                <w:rFonts w:ascii="Arial"/>
                <w:sz w:val="21"/>
              </w:rPr>
            </w:pPr>
            <w:r/>
          </w:p>
        </w:tc>
        <w:tc>
          <w:tcPr>
            <w:tcW w:w="1948"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199" w:type="dxa"/>
            <w:vAlign w:val="top"/>
          </w:tcPr>
          <w:p>
            <w:pPr>
              <w:ind w:left="25" w:right="73" w:hanging="8"/>
              <w:spacing w:before="39"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4" w:type="dxa"/>
            <w:vAlign w:val="top"/>
          </w:tcPr>
          <w:p>
            <w:pPr>
              <w:ind w:left="255"/>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5"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21"/>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4" w:type="dxa"/>
            <w:vAlign w:val="top"/>
          </w:tcPr>
          <w:p>
            <w:pPr>
              <w:ind w:left="192"/>
              <w:spacing w:before="42" w:line="20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5" w:hRule="atLeast"/>
        </w:trPr>
        <w:tc>
          <w:tcPr>
            <w:tcW w:w="1421" w:type="dxa"/>
            <w:vAlign w:val="top"/>
            <w:vMerge w:val="restart"/>
            <w:tcBorders>
              <w:bottom w:val="nil"/>
            </w:tcBorders>
          </w:tcPr>
          <w:p>
            <w:pPr>
              <w:ind w:left="118"/>
              <w:spacing w:before="4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1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79"/>
              <w:spacing w:before="35"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48" w:type="dxa"/>
            <w:vAlign w:val="top"/>
            <w:vMerge w:val="restart"/>
            <w:tcBorders>
              <w:bottom w:val="nil"/>
            </w:tcBorders>
          </w:tcPr>
          <w:p>
            <w:pPr>
              <w:ind w:left="7" w:right="23" w:hanging="3"/>
              <w:spacing w:before="40"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是否造成社会影响</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或生态破坏</w:t>
            </w:r>
          </w:p>
        </w:tc>
        <w:tc>
          <w:tcPr>
            <w:tcW w:w="791" w:type="dxa"/>
            <w:vAlign w:val="top"/>
            <w:vMerge w:val="restart"/>
            <w:tcBorders>
              <w:bottom w:val="nil"/>
            </w:tcBorders>
          </w:tcPr>
          <w:p>
            <w:pPr>
              <w:spacing w:line="275"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199" w:type="dxa"/>
            <w:vAlign w:val="top"/>
          </w:tcPr>
          <w:p>
            <w:pPr>
              <w:ind w:left="13"/>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4" w:type="dxa"/>
            <w:vAlign w:val="top"/>
          </w:tcPr>
          <w:p>
            <w:pPr>
              <w:ind w:left="195"/>
              <w:spacing w:before="41"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27" w:hRule="atLeast"/>
        </w:trPr>
        <w:tc>
          <w:tcPr>
            <w:tcW w:w="1421" w:type="dxa"/>
            <w:vAlign w:val="top"/>
            <w:vMerge w:val="continue"/>
            <w:tcBorders>
              <w:top w:val="nil"/>
            </w:tcBorders>
          </w:tcPr>
          <w:p>
            <w:pPr>
              <w:rPr>
                <w:rFonts w:ascii="Arial"/>
                <w:sz w:val="21"/>
              </w:rPr>
            </w:pPr>
            <w:r/>
          </w:p>
        </w:tc>
        <w:tc>
          <w:tcPr>
            <w:tcW w:w="1948"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199" w:type="dxa"/>
            <w:vAlign w:val="top"/>
          </w:tcPr>
          <w:p>
            <w:pPr>
              <w:ind w:left="10"/>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4" w:type="dxa"/>
            <w:vAlign w:val="top"/>
          </w:tcPr>
          <w:p>
            <w:pPr>
              <w:ind w:left="437"/>
              <w:spacing w:before="4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56"/>
          <w:pgSz w:w="11905" w:h="16839"/>
          <w:pgMar w:top="1431" w:right="1785" w:bottom="1156" w:left="1416"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bookmarkStart w:name="bookmark21" w:id="24"/>
            <w:bookmarkEnd w:id="24"/>
            <w:r>
              <w:rPr>
                <w:rFonts w:ascii="FZXiaoBiaoSong-B05S" w:hAnsi="FZXiaoBiaoSong-B05S" w:eastAsia="FZXiaoBiaoSong-B05S" w:cs="FZXiaoBiaoSong-B05S"/>
                <w:sz w:val="40"/>
                <w:szCs w:val="40"/>
                <w:spacing w:val="1"/>
              </w:rPr>
              <w:t>河北省生态环境行政处罚裁量规则（海洋类）</w:t>
            </w:r>
          </w:p>
        </w:tc>
      </w:tr>
      <w:tr>
        <w:trPr>
          <w:trHeight w:val="635" w:hRule="atLeast"/>
        </w:trPr>
        <w:tc>
          <w:tcPr>
            <w:tcW w:w="1454" w:type="dxa"/>
            <w:vAlign w:val="top"/>
          </w:tcPr>
          <w:p>
            <w:pPr>
              <w:ind w:left="453"/>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179</w:t>
            </w:r>
          </w:p>
        </w:tc>
      </w:tr>
      <w:tr>
        <w:trPr>
          <w:trHeight w:val="635" w:hRule="atLeast"/>
        </w:trPr>
        <w:tc>
          <w:tcPr>
            <w:tcW w:w="1454" w:type="dxa"/>
            <w:vAlign w:val="top"/>
          </w:tcPr>
          <w:p>
            <w:pPr>
              <w:ind w:left="177"/>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6"/>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违法设置入海排污口的</w:t>
            </w:r>
          </w:p>
        </w:tc>
      </w:tr>
      <w:tr>
        <w:trPr>
          <w:trHeight w:val="7562" w:hRule="atLeast"/>
        </w:trPr>
        <w:tc>
          <w:tcPr>
            <w:tcW w:w="1454"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《中华人民共和国海洋环境保护法》</w:t>
            </w:r>
          </w:p>
          <w:p>
            <w:pPr>
              <w:ind w:left="113" w:right="107" w:firstLine="12"/>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第四十七条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入海排污口位置的选择，应当</w:t>
            </w:r>
            <w:r>
              <w:rPr>
                <w:rFonts w:ascii="FangSong_GB2312" w:hAnsi="FangSong_GB2312" w:eastAsia="FangSong_GB2312" w:cs="FangSong_GB2312"/>
                <w:sz w:val="24"/>
                <w:szCs w:val="24"/>
                <w:spacing w:val="-4"/>
              </w:rPr>
              <w:t>符合国土空间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用途管制要求，根据海水动力条件和有关规定，经科学论证后，</w:t>
            </w:r>
          </w:p>
          <w:p>
            <w:pPr>
              <w:ind w:left="117" w:right="175" w:firstLine="3"/>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报设区的市级以上人民政府生态环境主管部门备案。排污口的责</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任主体应当加强排污口监测，按照规定开展监控和自动监测。</w:t>
            </w:r>
          </w:p>
          <w:p>
            <w:pPr>
              <w:ind w:left="123" w:right="36" w:firstLine="1"/>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沿海县级以上地方人民政府应当根据排污口类别、责任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主体，组织有关部门对本行政区域内各类入海排污口进行排查整</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6"/>
              </w:rPr>
              <w:t>治和日常监督管理，建立健全近岸水体、入海排污</w:t>
            </w:r>
            <w:r>
              <w:rPr>
                <w:rFonts w:ascii="FangSong_GB2312" w:hAnsi="FangSong_GB2312" w:eastAsia="FangSong_GB2312" w:cs="FangSong_GB2312"/>
                <w:sz w:val="24"/>
                <w:szCs w:val="24"/>
                <w:spacing w:val="-67"/>
              </w:rPr>
              <w:t xml:space="preserve"> </w:t>
            </w:r>
            <w:r>
              <w:rPr>
                <w:rFonts w:ascii="FangSong_GB2312" w:hAnsi="FangSong_GB2312" w:eastAsia="FangSong_GB2312" w:cs="FangSong_GB2312"/>
                <w:sz w:val="24"/>
                <w:szCs w:val="24"/>
                <w:spacing w:val="-6"/>
              </w:rPr>
              <w:t>口、排污管</w:t>
            </w:r>
            <w:r>
              <w:rPr>
                <w:rFonts w:ascii="FangSong_GB2312" w:hAnsi="FangSong_GB2312" w:eastAsia="FangSong_GB2312" w:cs="FangSong_GB2312"/>
                <w:sz w:val="24"/>
                <w:szCs w:val="24"/>
                <w:spacing w:val="-7"/>
              </w:rPr>
              <w:t>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污染源全链条治理体系。</w:t>
            </w:r>
          </w:p>
          <w:p>
            <w:pPr>
              <w:spacing w:line="273"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《中华人民共和国海洋环境保护法》</w:t>
            </w:r>
          </w:p>
          <w:p>
            <w:pPr>
              <w:ind w:left="107" w:right="47" w:firstLine="17"/>
              <w:spacing w:before="36"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第九十九条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违反本法规定设置入海排污口</w:t>
            </w:r>
            <w:r>
              <w:rPr>
                <w:rFonts w:ascii="FangSong_GB2312" w:hAnsi="FangSong_GB2312" w:eastAsia="FangSong_GB2312" w:cs="FangSong_GB2312"/>
                <w:sz w:val="24"/>
                <w:szCs w:val="24"/>
                <w:spacing w:val="-4"/>
              </w:rPr>
              <w:t>的，由生态环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境主管部门责令关闭或者拆除，处二万元以上十万元以下的罚</w:t>
            </w:r>
            <w:r>
              <w:rPr>
                <w:rFonts w:ascii="FangSong_GB2312" w:hAnsi="FangSong_GB2312" w:eastAsia="FangSong_GB2312" w:cs="FangSong_GB2312"/>
                <w:sz w:val="24"/>
                <w:szCs w:val="24"/>
                <w:spacing w:val="-5"/>
              </w:rPr>
              <w:t>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拒不关闭或者拆除的，强制关闭、拆除，所需费用由违法者承</w:t>
            </w:r>
            <w:r>
              <w:rPr>
                <w:rFonts w:ascii="FangSong_GB2312" w:hAnsi="FangSong_GB2312" w:eastAsia="FangSong_GB2312" w:cs="FangSong_GB2312"/>
                <w:sz w:val="24"/>
                <w:szCs w:val="24"/>
                <w:spacing w:val="-5"/>
              </w:rPr>
              <w:t>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处十万元以上五十万元以下的罚款；情节严重的，可</w:t>
            </w:r>
            <w:r>
              <w:rPr>
                <w:rFonts w:ascii="FangSong_GB2312" w:hAnsi="FangSong_GB2312" w:eastAsia="FangSong_GB2312" w:cs="FangSong_GB2312"/>
                <w:sz w:val="24"/>
                <w:szCs w:val="24"/>
                <w:spacing w:val="-1"/>
              </w:rPr>
              <w:t>以责令停产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整治。</w:t>
            </w:r>
          </w:p>
          <w:p>
            <w:pPr>
              <w:ind w:left="107" w:right="107" w:firstLine="497"/>
              <w:spacing w:before="3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违反本法规定，设置入海排污口未备案的，由生</w:t>
            </w:r>
            <w:r>
              <w:rPr>
                <w:rFonts w:ascii="FangSong_GB2312" w:hAnsi="FangSong_GB2312" w:eastAsia="FangSong_GB2312" w:cs="FangSong_GB2312"/>
                <w:sz w:val="24"/>
                <w:szCs w:val="24"/>
                <w:spacing w:val="-4"/>
              </w:rPr>
              <w:t>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境主管部门责令改正，处二万元以上十万元以</w:t>
            </w:r>
            <w:r>
              <w:rPr>
                <w:rFonts w:ascii="FangSong_GB2312" w:hAnsi="FangSong_GB2312" w:eastAsia="FangSong_GB2312" w:cs="FangSong_GB2312"/>
                <w:sz w:val="24"/>
                <w:szCs w:val="24"/>
                <w:spacing w:val="-1"/>
              </w:rPr>
              <w:t>下的罚款。</w:t>
            </w:r>
          </w:p>
          <w:p>
            <w:pPr>
              <w:ind w:left="114" w:right="107" w:firstLine="491"/>
              <w:spacing w:before="3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违反本法规定，入海排污口的责任主体未按照规</w:t>
            </w:r>
            <w:r>
              <w:rPr>
                <w:rFonts w:ascii="FangSong_GB2312" w:hAnsi="FangSong_GB2312" w:eastAsia="FangSong_GB2312" w:cs="FangSong_GB2312"/>
                <w:sz w:val="24"/>
                <w:szCs w:val="24"/>
                <w:spacing w:val="-4"/>
              </w:rPr>
              <w:t>定开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展监控、</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2"/>
              </w:rPr>
              <w:t>自动监测的，由生态环境主管部门责</w:t>
            </w:r>
            <w:r>
              <w:rPr>
                <w:rFonts w:ascii="FangSong_GB2312" w:hAnsi="FangSong_GB2312" w:eastAsia="FangSong_GB2312" w:cs="FangSong_GB2312"/>
                <w:sz w:val="24"/>
                <w:szCs w:val="24"/>
                <w:spacing w:val="-3"/>
              </w:rPr>
              <w:t>令改正，处二万元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以上十万元以下的罚款；拒不改正的，可以责令停产整治。</w:t>
            </w:r>
          </w:p>
          <w:p>
            <w:pPr>
              <w:ind w:left="120" w:right="101" w:firstLine="484"/>
              <w:spacing w:before="34"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第四款</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5"/>
              </w:rPr>
              <w:t>自然资源、渔业等部门和海事管理机构、海警机构、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军队生态环境保护部门发现前三款违法行为之一的，应当通报生</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3"/>
              </w:rPr>
              <w:t>态环境主管部门。</w:t>
            </w:r>
          </w:p>
        </w:tc>
      </w:tr>
      <w:tr>
        <w:trPr>
          <w:trHeight w:val="635" w:hRule="atLeast"/>
        </w:trPr>
        <w:tc>
          <w:tcPr>
            <w:tcW w:w="3910" w:type="dxa"/>
            <w:vAlign w:val="top"/>
            <w:gridSpan w:val="3"/>
          </w:tcPr>
          <w:p>
            <w:pPr>
              <w:ind w:left="140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48" w:type="dxa"/>
            <w:vAlign w:val="top"/>
            <w:gridSpan w:val="2"/>
          </w:tcPr>
          <w:p>
            <w:pPr>
              <w:ind w:left="1731"/>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202" w:right="16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8"/>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8" w:type="dxa"/>
            <w:vAlign w:val="top"/>
          </w:tcPr>
          <w:p>
            <w:pPr>
              <w:ind w:left="217"/>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54" w:type="dxa"/>
            <w:vAlign w:val="top"/>
            <w:vMerge w:val="restart"/>
            <w:tcBorders>
              <w:bottom w:val="nil"/>
            </w:tcBorders>
          </w:tcPr>
          <w:p>
            <w:pPr>
              <w:spacing w:line="281"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439" w:lineRule="auto"/>
              <w:rPr>
                <w:rFonts w:ascii="Arial"/>
                <w:sz w:val="21"/>
              </w:rPr>
            </w:pPr>
            <w:r/>
          </w:p>
          <w:p>
            <w:pPr>
              <w:ind w:left="11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39"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设置入海排污</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6"/>
              </w:rPr>
              <w:t>口，未备案的</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right="103" w:firstLine="2"/>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在海洋自然保护区、重要渔业水</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8"/>
              </w:rPr>
              <w:t>域、海滨风景名胜区和其他需要</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特别保护的区域新建排污口的</w:t>
            </w:r>
          </w:p>
        </w:tc>
        <w:tc>
          <w:tcPr>
            <w:tcW w:w="1068" w:type="dxa"/>
            <w:vAlign w:val="top"/>
          </w:tcPr>
          <w:p>
            <w:pPr>
              <w:spacing w:line="278" w:lineRule="auto"/>
              <w:rPr>
                <w:rFonts w:ascii="Arial"/>
                <w:sz w:val="21"/>
              </w:rPr>
            </w:pPr>
            <w:r/>
          </w:p>
          <w:p>
            <w:pPr>
              <w:ind w:left="1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2" w:hRule="atLeast"/>
        </w:trPr>
        <w:tc>
          <w:tcPr>
            <w:tcW w:w="1454" w:type="dxa"/>
            <w:vAlign w:val="top"/>
          </w:tcPr>
          <w:p>
            <w:pPr>
              <w:ind w:left="25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tcPr>
          <w:p>
            <w:pPr>
              <w:ind w:left="14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p>
        </w:tc>
        <w:tc>
          <w:tcPr>
            <w:tcW w:w="771" w:type="dxa"/>
            <w:vAlign w:val="top"/>
          </w:tcPr>
          <w:p>
            <w:pPr>
              <w:ind w:left="22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2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8" w:type="dxa"/>
            <w:vAlign w:val="top"/>
          </w:tcPr>
          <w:p>
            <w:pPr>
              <w:ind w:left="43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bl>
    <w:p>
      <w:pPr>
        <w:pStyle w:val="BodyText"/>
        <w:rPr/>
      </w:pPr>
      <w:r/>
    </w:p>
    <w:p>
      <w:pPr>
        <w:sectPr>
          <w:footerReference w:type="default" r:id="rId357"/>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685"/>
        <w:gridCol w:w="771"/>
        <w:gridCol w:w="3480"/>
        <w:gridCol w:w="1068"/>
      </w:tblGrid>
      <w:tr>
        <w:trPr>
          <w:trHeight w:val="324" w:hRule="atLeast"/>
        </w:trPr>
        <w:tc>
          <w:tcPr>
            <w:tcW w:w="1454" w:type="dxa"/>
            <w:vAlign w:val="top"/>
            <w:vMerge w:val="restart"/>
            <w:tcBorders>
              <w:bottom w:val="nil"/>
            </w:tcBorders>
          </w:tcPr>
          <w:p>
            <w:pPr>
              <w:rPr>
                <w:rFonts w:ascii="Arial"/>
                <w:sz w:val="21"/>
              </w:rPr>
            </w:pPr>
            <w:r/>
          </w:p>
        </w:tc>
        <w:tc>
          <w:tcPr>
            <w:tcW w:w="1685" w:type="dxa"/>
            <w:vAlign w:val="top"/>
            <w:vMerge w:val="restart"/>
            <w:tcBorders>
              <w:bottom w:val="nil"/>
            </w:tcBorders>
          </w:tcPr>
          <w:p>
            <w:pPr>
              <w:ind w:left="734"/>
              <w:spacing w:before="44"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数</w:t>
            </w:r>
          </w:p>
        </w:tc>
        <w:tc>
          <w:tcPr>
            <w:tcW w:w="771" w:type="dxa"/>
            <w:vAlign w:val="top"/>
            <w:vMerge w:val="restart"/>
            <w:tcBorders>
              <w:bottom w:val="nil"/>
            </w:tcBorders>
          </w:tcPr>
          <w:p>
            <w:pPr>
              <w:rPr>
                <w:rFonts w:ascii="Arial"/>
                <w:sz w:val="21"/>
              </w:rPr>
            </w:pPr>
            <w:r/>
          </w:p>
        </w:tc>
        <w:tc>
          <w:tcPr>
            <w:tcW w:w="3480" w:type="dxa"/>
            <w:vAlign w:val="top"/>
          </w:tcPr>
          <w:p>
            <w:pPr>
              <w:ind w:left="12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8" w:type="dxa"/>
            <w:vAlign w:val="top"/>
          </w:tcPr>
          <w:p>
            <w:pPr>
              <w:ind w:left="37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8" w:type="dxa"/>
            <w:vAlign w:val="top"/>
          </w:tcPr>
          <w:p>
            <w:pPr>
              <w:ind w:left="37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9"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3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8" w:type="dxa"/>
            <w:vAlign w:val="top"/>
          </w:tcPr>
          <w:p>
            <w:pPr>
              <w:ind w:left="37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3"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3" w:lineRule="auto"/>
              <w:rPr>
                <w:rFonts w:ascii="Arial"/>
                <w:sz w:val="21"/>
              </w:rPr>
            </w:pPr>
            <w:r/>
          </w:p>
          <w:p>
            <w:pPr>
              <w:ind w:left="22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8" w:type="dxa"/>
            <w:vAlign w:val="top"/>
          </w:tcPr>
          <w:p>
            <w:pPr>
              <w:ind w:left="43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0" w:right="249" w:hanging="8"/>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68" w:type="dxa"/>
            <w:vAlign w:val="top"/>
          </w:tcPr>
          <w:p>
            <w:pPr>
              <w:ind w:left="257"/>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54" w:type="dxa"/>
            <w:vAlign w:val="top"/>
            <w:vMerge w:val="restart"/>
            <w:tcBorders>
              <w:bottom w:val="nil"/>
            </w:tcBorders>
          </w:tcPr>
          <w:p>
            <w:pPr>
              <w:ind w:left="255" w:right="243"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1"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8" w:type="dxa"/>
            <w:vAlign w:val="top"/>
          </w:tcPr>
          <w:p>
            <w:pPr>
              <w:ind w:left="19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8"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1" w:hRule="atLeast"/>
        </w:trPr>
        <w:tc>
          <w:tcPr>
            <w:tcW w:w="1454" w:type="dxa"/>
            <w:vAlign w:val="top"/>
            <w:vMerge w:val="restart"/>
            <w:tcBorders>
              <w:bottom w:val="nil"/>
            </w:tcBorders>
          </w:tcPr>
          <w:p>
            <w:pPr>
              <w:ind w:left="136"/>
              <w:spacing w:before="4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3"/>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6"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1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7"/>
              <w:spacing w:before="1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07" w:hRule="atLeast"/>
        </w:trPr>
        <w:tc>
          <w:tcPr>
            <w:tcW w:w="145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3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8" w:type="dxa"/>
            <w:vAlign w:val="top"/>
          </w:tcPr>
          <w:p>
            <w:pPr>
              <w:ind w:left="438"/>
              <w:spacing w:before="13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58"/>
          <w:pgSz w:w="11905" w:h="16839"/>
          <w:pgMar w:top="1431" w:right="1721" w:bottom="1156" w:left="1720"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河北省生态环境行政处罚裁量规则（海洋类）</w:t>
            </w:r>
          </w:p>
        </w:tc>
      </w:tr>
      <w:tr>
        <w:trPr>
          <w:trHeight w:val="634" w:hRule="atLeast"/>
        </w:trPr>
        <w:tc>
          <w:tcPr>
            <w:tcW w:w="1454" w:type="dxa"/>
            <w:vAlign w:val="top"/>
          </w:tcPr>
          <w:p>
            <w:pPr>
              <w:ind w:left="453"/>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180</w:t>
            </w:r>
          </w:p>
        </w:tc>
      </w:tr>
      <w:tr>
        <w:trPr>
          <w:trHeight w:val="635" w:hRule="atLeast"/>
        </w:trPr>
        <w:tc>
          <w:tcPr>
            <w:tcW w:w="1454" w:type="dxa"/>
            <w:vAlign w:val="top"/>
          </w:tcPr>
          <w:p>
            <w:pPr>
              <w:ind w:left="177"/>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23" w:right="175" w:hanging="4"/>
              <w:spacing w:before="4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海岸工程建设项目未建成环境保护设施，或者环境保护设施未达</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到规定要求即投入生产、使用的</w:t>
            </w:r>
          </w:p>
        </w:tc>
      </w:tr>
      <w:tr>
        <w:trPr>
          <w:trHeight w:val="6617" w:hRule="atLeast"/>
        </w:trPr>
        <w:tc>
          <w:tcPr>
            <w:tcW w:w="145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《中华人民共和国海洋环境保护法》</w:t>
            </w:r>
          </w:p>
          <w:p>
            <w:pPr>
              <w:ind w:left="113" w:right="170" w:firstLine="12"/>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工程建设项目应当按照国家有关建设项目环境</w:t>
            </w:r>
            <w:r>
              <w:rPr>
                <w:rFonts w:ascii="FangSong_GB2312" w:hAnsi="FangSong_GB2312" w:eastAsia="FangSong_GB2312" w:cs="FangSong_GB2312"/>
                <w:sz w:val="24"/>
                <w:szCs w:val="24"/>
                <w:spacing w:val="-2"/>
              </w:rPr>
              <w:t>影响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评价的规定进行环境影响评价。未依法进行并通过环境影响评价</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的建设项目，不得开工建设</w:t>
            </w:r>
          </w:p>
          <w:p>
            <w:pPr>
              <w:ind w:left="108" w:right="175" w:firstLine="484"/>
              <w:spacing w:before="39" w:line="238"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环境保护设施，应当与主体工程同时设计、同时施工、同时</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rPr>
              <w:t>投产使用。环境保护设施应当符合经批准的环境</w:t>
            </w:r>
            <w:r>
              <w:rPr>
                <w:rFonts w:ascii="FangSong_GB2312" w:hAnsi="FangSong_GB2312" w:eastAsia="FangSong_GB2312" w:cs="FangSong_GB2312"/>
                <w:sz w:val="24"/>
                <w:szCs w:val="24"/>
                <w:spacing w:val="-1"/>
              </w:rPr>
              <w:t>影响评价报告书</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（表）的要求。建设单位应当依照有关法律法规</w:t>
            </w:r>
            <w:r>
              <w:rPr>
                <w:rFonts w:ascii="FangSong_GB2312" w:hAnsi="FangSong_GB2312" w:eastAsia="FangSong_GB2312" w:cs="FangSong_GB2312"/>
                <w:sz w:val="24"/>
                <w:szCs w:val="24"/>
                <w:spacing w:val="-1"/>
              </w:rPr>
              <w:t>的规定，对环境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保护设施进行验收，编制验收报告，并向社会公</w:t>
            </w:r>
            <w:r>
              <w:rPr>
                <w:rFonts w:ascii="FangSong_GB2312" w:hAnsi="FangSong_GB2312" w:eastAsia="FangSong_GB2312" w:cs="FangSong_GB2312"/>
                <w:sz w:val="24"/>
                <w:szCs w:val="24"/>
                <w:spacing w:val="-1"/>
              </w:rPr>
              <w:t>开。环境保护设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施未经验收或者经验收不合格的，建设项目不得</w:t>
            </w:r>
            <w:r>
              <w:rPr>
                <w:rFonts w:ascii="FangSong_GB2312" w:hAnsi="FangSong_GB2312" w:eastAsia="FangSong_GB2312" w:cs="FangSong_GB2312"/>
                <w:sz w:val="24"/>
                <w:szCs w:val="24"/>
                <w:spacing w:val="-1"/>
              </w:rPr>
              <w:t>投入生产或者使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用。</w:t>
            </w:r>
          </w:p>
          <w:p>
            <w:pPr>
              <w:spacing w:line="266"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《中华人民共和国海洋环境保护法》</w:t>
            </w:r>
          </w:p>
          <w:p>
            <w:pPr>
              <w:ind w:left="113" w:right="170" w:firstLine="12"/>
              <w:spacing w:before="40"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违反本法规定，环境保护设施未与主体</w:t>
            </w:r>
            <w:r>
              <w:rPr>
                <w:rFonts w:ascii="FangSong_GB2312" w:hAnsi="FangSong_GB2312" w:eastAsia="FangSong_GB2312" w:cs="FangSong_GB2312"/>
                <w:sz w:val="24"/>
                <w:szCs w:val="24"/>
                <w:spacing w:val="-2"/>
              </w:rPr>
              <w:t>工程同时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设计、同时施工、同时投产使用的，或者环境保护</w:t>
            </w:r>
            <w:r>
              <w:rPr>
                <w:rFonts w:ascii="FangSong_GB2312" w:hAnsi="FangSong_GB2312" w:eastAsia="FangSong_GB2312" w:cs="FangSong_GB2312"/>
                <w:sz w:val="24"/>
                <w:szCs w:val="24"/>
                <w:spacing w:val="-1"/>
              </w:rPr>
              <w:t>设施未建成、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未达到规定要求、未经验收或者经验收不合格即投入生产、使用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的，由生态环境主管部门或者海警机构责令改正，处二十万元以</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上一百万元以下的罚款；拒不改正的，处一百万元以上二百万元</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以下的罚款；对直接负责的主管人员和其他责任人员处五万元以</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上二十万元以下的罚款；造成重大环境污染、生态破坏的，责令</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其停止生产、使用，或者报经有批准权的人民政府批准，责令关</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5"/>
              </w:rPr>
              <w:t>闭。</w:t>
            </w:r>
          </w:p>
        </w:tc>
      </w:tr>
      <w:tr>
        <w:trPr>
          <w:trHeight w:val="635" w:hRule="atLeast"/>
        </w:trPr>
        <w:tc>
          <w:tcPr>
            <w:tcW w:w="4135" w:type="dxa"/>
            <w:vAlign w:val="top"/>
            <w:gridSpan w:val="3"/>
          </w:tcPr>
          <w:p>
            <w:pPr>
              <w:ind w:left="1513"/>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82"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ind w:left="494" w:right="121" w:hanging="358"/>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439" w:lineRule="auto"/>
              <w:rPr>
                <w:rFonts w:ascii="Arial"/>
                <w:sz w:val="21"/>
              </w:rPr>
            </w:pPr>
            <w:r/>
          </w:p>
          <w:p>
            <w:pPr>
              <w:ind w:left="28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建设项目类型</w:t>
            </w:r>
          </w:p>
        </w:tc>
        <w:tc>
          <w:tcPr>
            <w:tcW w:w="685" w:type="dxa"/>
            <w:vAlign w:val="top"/>
            <w:vMerge w:val="restart"/>
            <w:tcBorders>
              <w:bottom w:val="nil"/>
            </w:tcBorders>
          </w:tcPr>
          <w:p>
            <w:pPr>
              <w:spacing w:line="43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122" w:type="dxa"/>
            <w:vAlign w:val="top"/>
          </w:tcPr>
          <w:p>
            <w:pPr>
              <w:ind w:left="22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right="209" w:hanging="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122" w:type="dxa"/>
            <w:vAlign w:val="top"/>
          </w:tcPr>
          <w:p>
            <w:pPr>
              <w:ind w:left="1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7" w:hRule="atLeast"/>
        </w:trPr>
        <w:tc>
          <w:tcPr>
            <w:tcW w:w="1454" w:type="dxa"/>
            <w:vAlign w:val="top"/>
            <w:vMerge w:val="continue"/>
            <w:tcBorders>
              <w:top w:val="nil"/>
            </w:tcBorders>
          </w:tcPr>
          <w:p>
            <w:pPr>
              <w:rPr>
                <w:rFonts w:ascii="Arial"/>
                <w:sz w:val="21"/>
              </w:rPr>
            </w:pPr>
            <w:r/>
          </w:p>
        </w:tc>
        <w:tc>
          <w:tcPr>
            <w:tcW w:w="1996" w:type="dxa"/>
            <w:vAlign w:val="top"/>
          </w:tcPr>
          <w:p>
            <w:pPr>
              <w:spacing w:line="434"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tcPr>
          <w:p>
            <w:pPr>
              <w:spacing w:line="434"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0" w:right="209" w:firstLine="5"/>
              <w:spacing w:before="4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环境保护设施已建成但未经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验收或者经验收不合格，主</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体工程即投入生产或者使用</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rPr>
              <w:t>的</w:t>
            </w:r>
          </w:p>
        </w:tc>
        <w:tc>
          <w:tcPr>
            <w:tcW w:w="1122" w:type="dxa"/>
            <w:vAlign w:val="top"/>
          </w:tcPr>
          <w:p>
            <w:pPr>
              <w:spacing w:line="434"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359"/>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639"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0" w:right="209" w:hanging="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环境保护设施未建成，主体</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工程即投入生产或者使用的</w:t>
            </w:r>
          </w:p>
        </w:tc>
        <w:tc>
          <w:tcPr>
            <w:tcW w:w="1122" w:type="dxa"/>
            <w:vAlign w:val="top"/>
          </w:tcPr>
          <w:p>
            <w:pPr>
              <w:ind w:left="16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19" w:hRule="atLeast"/>
        </w:trPr>
        <w:tc>
          <w:tcPr>
            <w:tcW w:w="1454" w:type="dxa"/>
            <w:vAlign w:val="top"/>
            <w:vMerge w:val="restart"/>
            <w:tcBorders>
              <w:bottom w:val="nil"/>
            </w:tcBorders>
          </w:tcPr>
          <w:p>
            <w:pPr>
              <w:spacing w:line="445"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5"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5"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2"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2"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5" w:right="243"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9" w:right="276" w:hanging="480"/>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54" w:type="dxa"/>
            <w:vAlign w:val="top"/>
            <w:vMerge w:val="restart"/>
            <w:tcBorders>
              <w:bottom w:val="nil"/>
            </w:tcBorders>
          </w:tcPr>
          <w:p>
            <w:pPr>
              <w:ind w:left="136"/>
              <w:spacing w:before="8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2"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8"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79"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209"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60"/>
          <w:pgSz w:w="11905" w:h="16839"/>
          <w:pgMar w:top="1431" w:right="1721" w:bottom="1156" w:left="1720"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700" w:hRule="atLeast"/>
        </w:trPr>
        <w:tc>
          <w:tcPr>
            <w:tcW w:w="8458" w:type="dxa"/>
            <w:vAlign w:val="top"/>
            <w:gridSpan w:val="5"/>
          </w:tcPr>
          <w:p>
            <w:pPr>
              <w:ind w:left="22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河北省生态环境行政处罚裁量规则（海洋类）</w:t>
            </w:r>
          </w:p>
        </w:tc>
      </w:tr>
      <w:tr>
        <w:trPr>
          <w:trHeight w:val="635" w:hRule="atLeast"/>
        </w:trPr>
        <w:tc>
          <w:tcPr>
            <w:tcW w:w="1454" w:type="dxa"/>
            <w:vAlign w:val="top"/>
          </w:tcPr>
          <w:p>
            <w:pPr>
              <w:ind w:left="453"/>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04" w:type="dxa"/>
            <w:vAlign w:val="top"/>
            <w:gridSpan w:val="4"/>
          </w:tcPr>
          <w:p>
            <w:pPr>
              <w:ind w:left="3342"/>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181</w:t>
            </w:r>
          </w:p>
        </w:tc>
      </w:tr>
      <w:tr>
        <w:trPr>
          <w:trHeight w:val="635" w:hRule="atLeast"/>
        </w:trPr>
        <w:tc>
          <w:tcPr>
            <w:tcW w:w="1454" w:type="dxa"/>
            <w:vAlign w:val="top"/>
          </w:tcPr>
          <w:p>
            <w:pPr>
              <w:ind w:left="177"/>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04" w:type="dxa"/>
            <w:vAlign w:val="top"/>
            <w:gridSpan w:val="4"/>
          </w:tcPr>
          <w:p>
            <w:pPr>
              <w:ind w:left="113"/>
              <w:spacing w:before="19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未将污染防治和生态保护所需资金纳入建设项目投资计划</w:t>
            </w:r>
          </w:p>
        </w:tc>
      </w:tr>
      <w:tr>
        <w:trPr>
          <w:trHeight w:val="6422" w:hRule="atLeast"/>
        </w:trPr>
        <w:tc>
          <w:tcPr>
            <w:tcW w:w="145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8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04" w:type="dxa"/>
            <w:vAlign w:val="top"/>
            <w:gridSpan w:val="4"/>
          </w:tcPr>
          <w:p>
            <w:pPr>
              <w:ind w:left="128"/>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《中华人民共和国海洋环境保护法》</w:t>
            </w:r>
          </w:p>
          <w:p>
            <w:pPr>
              <w:ind w:left="123" w:right="170" w:firstLine="1"/>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新建、改建、扩建工程建设项目，应当遵守国</w:t>
            </w:r>
            <w:r>
              <w:rPr>
                <w:rFonts w:ascii="FangSong_GB2312" w:hAnsi="FangSong_GB2312" w:eastAsia="FangSong_GB2312" w:cs="FangSong_GB2312"/>
                <w:sz w:val="24"/>
                <w:szCs w:val="24"/>
                <w:spacing w:val="-2"/>
              </w:rPr>
              <w:t>家有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关建设项目环境保护管理的规定，并把污染防治和生态保护所需</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资金纳入建设项目投资计划。</w:t>
            </w:r>
          </w:p>
          <w:p>
            <w:pPr>
              <w:ind w:left="112" w:right="175" w:firstLine="488"/>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禁止在依法划定的自然保护地、重要渔业水域及其他需要特</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别保护的区域，违法建设污染环境、破坏生态的工程建设项目或</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2"/>
              </w:rPr>
              <w:t>者从事其他活动。</w:t>
            </w:r>
          </w:p>
          <w:p>
            <w:pPr>
              <w:spacing w:line="271" w:lineRule="auto"/>
              <w:rPr>
                <w:rFonts w:ascii="Arial"/>
                <w:sz w:val="21"/>
              </w:rPr>
            </w:pPr>
            <w:r/>
          </w:p>
          <w:p>
            <w:pPr>
              <w:ind w:left="1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《中华人民共和国海洋环境保护法》</w:t>
            </w:r>
          </w:p>
          <w:p>
            <w:pPr>
              <w:ind w:left="120" w:right="170" w:firstLine="4"/>
              <w:spacing w:before="42"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第一百零一条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违反本法规定，建设单位未落实建设项</w:t>
            </w:r>
            <w:r>
              <w:rPr>
                <w:rFonts w:ascii="FangSong_GB2312" w:hAnsi="FangSong_GB2312" w:eastAsia="FangSong_GB2312" w:cs="FangSong_GB2312"/>
                <w:sz w:val="24"/>
                <w:szCs w:val="24"/>
                <w:spacing w:val="-2"/>
              </w:rPr>
              <w:t>目投资计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划有关要求的，由生态环境主管部门责令改正，处五万元以上二</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十万元以下的罚款；拒不改正的，处二十万元以上一百万元以下</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5"/>
              </w:rPr>
              <w:t>的罚款。</w:t>
            </w:r>
          </w:p>
          <w:p>
            <w:pPr>
              <w:ind w:left="107" w:right="108" w:firstLine="488"/>
              <w:spacing w:before="36" w:line="238"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违反本法规定，建设单位未依法报批或者报请重新审核环境</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影响报告书（表</w:t>
            </w:r>
            <w:r>
              <w:rPr>
                <w:rFonts w:ascii="FangSong_GB2312" w:hAnsi="FangSong_GB2312" w:eastAsia="FangSong_GB2312" w:cs="FangSong_GB2312"/>
                <w:sz w:val="24"/>
                <w:szCs w:val="24"/>
                <w:spacing w:val="18"/>
              </w:rPr>
              <w:t>），</w:t>
            </w:r>
            <w:r>
              <w:rPr>
                <w:rFonts w:ascii="FangSong_GB2312" w:hAnsi="FangSong_GB2312" w:eastAsia="FangSong_GB2312" w:cs="FangSong_GB2312"/>
                <w:sz w:val="24"/>
                <w:szCs w:val="24"/>
                <w:spacing w:val="1"/>
              </w:rPr>
              <w:t>擅自开工建设的，由生态环境主管部门或者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海警机构责令其停止建设，根据违法情节和危害后果，处建设项</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目总投资额百分之一以上百分之五以下的罚款，并可以责令恢复</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原状；对建设单位直接负责的主管人员和其他直接责任人员，依</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法给予处分。建设单位未依法备案环境影响登记表的，由生态环</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境主管部门责令备案，处五万元以下的罚款。</w:t>
            </w:r>
          </w:p>
        </w:tc>
      </w:tr>
      <w:tr>
        <w:trPr>
          <w:trHeight w:val="635" w:hRule="atLeast"/>
        </w:trPr>
        <w:tc>
          <w:tcPr>
            <w:tcW w:w="4135" w:type="dxa"/>
            <w:vAlign w:val="top"/>
            <w:gridSpan w:val="3"/>
          </w:tcPr>
          <w:p>
            <w:pPr>
              <w:ind w:left="1513"/>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23" w:type="dxa"/>
            <w:vAlign w:val="top"/>
            <w:gridSpan w:val="2"/>
          </w:tcPr>
          <w:p>
            <w:pPr>
              <w:ind w:left="1619"/>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54" w:type="dxa"/>
            <w:vAlign w:val="top"/>
          </w:tcPr>
          <w:p>
            <w:pPr>
              <w:ind w:left="499"/>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996" w:type="dxa"/>
            <w:vAlign w:val="top"/>
          </w:tcPr>
          <w:p>
            <w:pPr>
              <w:ind w:left="568"/>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22"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54"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494" w:right="121" w:hanging="358"/>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spacing w:line="439" w:lineRule="auto"/>
              <w:rPr>
                <w:rFonts w:ascii="Arial"/>
                <w:sz w:val="21"/>
              </w:rPr>
            </w:pPr>
            <w:r/>
          </w:p>
          <w:p>
            <w:pPr>
              <w:ind w:left="28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建设项目类型</w:t>
            </w:r>
          </w:p>
        </w:tc>
        <w:tc>
          <w:tcPr>
            <w:tcW w:w="685" w:type="dxa"/>
            <w:vAlign w:val="top"/>
            <w:vMerge w:val="restart"/>
            <w:tcBorders>
              <w:bottom w:val="nil"/>
            </w:tcBorders>
          </w:tcPr>
          <w:p>
            <w:pPr>
              <w:spacing w:line="43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122" w:type="dxa"/>
            <w:vAlign w:val="top"/>
          </w:tcPr>
          <w:p>
            <w:pPr>
              <w:ind w:left="222"/>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7" w:right="209"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122" w:type="dxa"/>
            <w:vAlign w:val="top"/>
          </w:tcPr>
          <w:p>
            <w:pPr>
              <w:ind w:left="1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4" w:hRule="atLeast"/>
        </w:trPr>
        <w:tc>
          <w:tcPr>
            <w:tcW w:w="1454" w:type="dxa"/>
            <w:vAlign w:val="top"/>
            <w:vMerge w:val="continue"/>
            <w:tcBorders>
              <w:top w:val="nil"/>
              <w:bottom w:val="nil"/>
            </w:tcBorders>
          </w:tcPr>
          <w:p>
            <w:pPr>
              <w:rPr>
                <w:rFonts w:ascii="Arial"/>
                <w:sz w:val="21"/>
              </w:rPr>
            </w:pPr>
            <w:r/>
          </w:p>
        </w:tc>
        <w:tc>
          <w:tcPr>
            <w:tcW w:w="1996"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28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0" w:right="209"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环境保护设施已建成但未经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验收或者经验收不合格，主</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体工程即投入生产或者使用</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rPr>
              <w:t>的</w:t>
            </w:r>
          </w:p>
        </w:tc>
        <w:tc>
          <w:tcPr>
            <w:tcW w:w="1122" w:type="dxa"/>
            <w:vAlign w:val="top"/>
          </w:tcPr>
          <w:p>
            <w:pPr>
              <w:spacing w:line="433" w:lineRule="auto"/>
              <w:rPr>
                <w:rFonts w:ascii="Arial"/>
                <w:sz w:val="21"/>
              </w:rPr>
            </w:pPr>
            <w:r/>
          </w:p>
          <w:p>
            <w:pPr>
              <w:ind w:left="222"/>
              <w:spacing w:before="7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1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环境保护设施未建成，主体</w:t>
            </w:r>
          </w:p>
        </w:tc>
        <w:tc>
          <w:tcPr>
            <w:tcW w:w="1122" w:type="dxa"/>
            <w:vAlign w:val="top"/>
          </w:tcPr>
          <w:p>
            <w:pPr>
              <w:ind w:left="162"/>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361"/>
          <w:pgSz w:w="11905" w:h="16839"/>
          <w:pgMar w:top="1431" w:right="1721" w:bottom="1156" w:left="1720" w:header="0" w:footer="994" w:gutter="0"/>
        </w:sectPr>
        <w:rPr/>
      </w:pPr>
    </w:p>
    <w:p>
      <w:pPr>
        <w:spacing w:before="92"/>
        <w:rPr/>
      </w:pPr>
      <w:r/>
    </w:p>
    <w:p>
      <w:pPr>
        <w:spacing w:before="91"/>
        <w:rPr/>
      </w:pPr>
      <w:r/>
    </w:p>
    <w:tbl>
      <w:tblPr>
        <w:tblStyle w:val="TableNormal"/>
        <w:tblW w:w="84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1996"/>
        <w:gridCol w:w="685"/>
        <w:gridCol w:w="3201"/>
        <w:gridCol w:w="1122"/>
      </w:tblGrid>
      <w:tr>
        <w:trPr>
          <w:trHeight w:val="324" w:hRule="atLeast"/>
        </w:trPr>
        <w:tc>
          <w:tcPr>
            <w:tcW w:w="1454" w:type="dxa"/>
            <w:vAlign w:val="top"/>
          </w:tcPr>
          <w:p>
            <w:pPr>
              <w:rPr>
                <w:rFonts w:ascii="Arial"/>
                <w:sz w:val="21"/>
              </w:rPr>
            </w:pPr>
            <w:r/>
          </w:p>
        </w:tc>
        <w:tc>
          <w:tcPr>
            <w:tcW w:w="1996" w:type="dxa"/>
            <w:vAlign w:val="top"/>
          </w:tcPr>
          <w:p>
            <w:pPr>
              <w:rPr>
                <w:rFonts w:ascii="Arial"/>
                <w:sz w:val="21"/>
              </w:rPr>
            </w:pPr>
            <w:r/>
          </w:p>
        </w:tc>
        <w:tc>
          <w:tcPr>
            <w:tcW w:w="685" w:type="dxa"/>
            <w:vAlign w:val="top"/>
          </w:tcPr>
          <w:p>
            <w:pPr>
              <w:rPr>
                <w:rFonts w:ascii="Arial"/>
                <w:sz w:val="21"/>
              </w:rPr>
            </w:pPr>
            <w:r/>
          </w:p>
        </w:tc>
        <w:tc>
          <w:tcPr>
            <w:tcW w:w="3201"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工程即投入生产或者使用的</w:t>
            </w:r>
          </w:p>
        </w:tc>
        <w:tc>
          <w:tcPr>
            <w:tcW w:w="1122" w:type="dxa"/>
            <w:vAlign w:val="top"/>
          </w:tcPr>
          <w:p>
            <w:pPr>
              <w:rPr>
                <w:rFonts w:ascii="Arial"/>
                <w:sz w:val="21"/>
              </w:rPr>
            </w:pPr>
            <w:r/>
          </w:p>
        </w:tc>
      </w:tr>
      <w:tr>
        <w:trPr>
          <w:trHeight w:val="319" w:hRule="atLeast"/>
        </w:trPr>
        <w:tc>
          <w:tcPr>
            <w:tcW w:w="1454" w:type="dxa"/>
            <w:vAlign w:val="top"/>
            <w:vMerge w:val="restart"/>
            <w:tcBorders>
              <w:bottom w:val="nil"/>
            </w:tcBorders>
          </w:tcPr>
          <w:p>
            <w:pPr>
              <w:spacing w:line="445" w:lineRule="auto"/>
              <w:rPr>
                <w:rFonts w:ascii="Arial"/>
                <w:sz w:val="21"/>
              </w:rPr>
            </w:pPr>
            <w:r/>
          </w:p>
          <w:p>
            <w:pPr>
              <w:ind w:left="25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996" w:type="dxa"/>
            <w:vAlign w:val="top"/>
            <w:vMerge w:val="restart"/>
            <w:tcBorders>
              <w:bottom w:val="nil"/>
            </w:tcBorders>
          </w:tcPr>
          <w:p>
            <w:pPr>
              <w:spacing w:line="445" w:lineRule="auto"/>
              <w:rPr>
                <w:rFonts w:ascii="Arial"/>
                <w:sz w:val="21"/>
              </w:rPr>
            </w:pPr>
            <w:r/>
          </w:p>
          <w:p>
            <w:pPr>
              <w:ind w:left="17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22" w:type="dxa"/>
            <w:vAlign w:val="top"/>
          </w:tcPr>
          <w:p>
            <w:pPr>
              <w:ind w:left="45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1"/>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22" w:type="dxa"/>
            <w:vAlign w:val="top"/>
          </w:tcPr>
          <w:p>
            <w:pPr>
              <w:ind w:left="40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22" w:type="dxa"/>
            <w:vAlign w:val="top"/>
          </w:tcPr>
          <w:p>
            <w:pPr>
              <w:ind w:left="40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22" w:type="dxa"/>
            <w:vAlign w:val="top"/>
          </w:tcPr>
          <w:p>
            <w:pPr>
              <w:ind w:left="396"/>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54" w:type="dxa"/>
            <w:vAlign w:val="top"/>
            <w:vMerge w:val="restart"/>
            <w:tcBorders>
              <w:bottom w:val="nil"/>
            </w:tcBorders>
          </w:tcPr>
          <w:p>
            <w:pPr>
              <w:spacing w:line="440" w:lineRule="auto"/>
              <w:rPr>
                <w:rFonts w:ascii="Arial"/>
                <w:sz w:val="21"/>
              </w:rPr>
            </w:pPr>
            <w:r/>
          </w:p>
          <w:p>
            <w:pPr>
              <w:ind w:left="25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996" w:type="dxa"/>
            <w:vAlign w:val="top"/>
            <w:vMerge w:val="restart"/>
            <w:tcBorders>
              <w:bottom w:val="nil"/>
            </w:tcBorders>
          </w:tcPr>
          <w:p>
            <w:pPr>
              <w:spacing w:line="441" w:lineRule="auto"/>
              <w:rPr>
                <w:rFonts w:ascii="Arial"/>
                <w:sz w:val="21"/>
              </w:rPr>
            </w:pPr>
            <w:r/>
          </w:p>
          <w:p>
            <w:pPr>
              <w:ind w:left="27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0" w:lineRule="auto"/>
              <w:rPr>
                <w:rFonts w:ascii="Arial"/>
                <w:sz w:val="21"/>
              </w:rPr>
            </w:pPr>
            <w:r/>
          </w:p>
          <w:p>
            <w:pPr>
              <w:ind w:left="18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22" w:type="dxa"/>
            <w:vAlign w:val="top"/>
          </w:tcPr>
          <w:p>
            <w:pPr>
              <w:ind w:left="46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54" w:type="dxa"/>
            <w:vAlign w:val="top"/>
            <w:vMerge w:val="continue"/>
            <w:tcBorders>
              <w:top w:val="nil"/>
              <w:bottom w:val="nil"/>
            </w:tcBorders>
          </w:tcPr>
          <w:p>
            <w:pPr>
              <w:rPr>
                <w:rFonts w:ascii="Arial"/>
                <w:sz w:val="21"/>
              </w:rPr>
            </w:pPr>
            <w:r/>
          </w:p>
        </w:tc>
        <w:tc>
          <w:tcPr>
            <w:tcW w:w="199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01" w:type="dxa"/>
            <w:vAlign w:val="top"/>
          </w:tcPr>
          <w:p>
            <w:pPr>
              <w:ind w:left="122" w:right="209"/>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22" w:type="dxa"/>
            <w:vAlign w:val="top"/>
          </w:tcPr>
          <w:p>
            <w:pPr>
              <w:ind w:left="282"/>
              <w:spacing w:before="19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22" w:type="dxa"/>
            <w:vAlign w:val="top"/>
          </w:tcPr>
          <w:p>
            <w:pPr>
              <w:ind w:left="21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54" w:type="dxa"/>
            <w:vAlign w:val="top"/>
            <w:vMerge w:val="restart"/>
            <w:tcBorders>
              <w:bottom w:val="nil"/>
            </w:tcBorders>
          </w:tcPr>
          <w:p>
            <w:pPr>
              <w:ind w:left="255" w:right="243" w:firstLine="7"/>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996" w:type="dxa"/>
            <w:vAlign w:val="top"/>
            <w:vMerge w:val="restart"/>
            <w:tcBorders>
              <w:bottom w:val="nil"/>
            </w:tcBorders>
          </w:tcPr>
          <w:p>
            <w:pPr>
              <w:ind w:left="759" w:right="276" w:hanging="480"/>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4"/>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8"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22" w:type="dxa"/>
            <w:vAlign w:val="top"/>
          </w:tcPr>
          <w:p>
            <w:pPr>
              <w:ind w:left="222"/>
              <w:spacing w:before="48"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22" w:type="dxa"/>
            <w:vAlign w:val="top"/>
          </w:tcPr>
          <w:p>
            <w:pPr>
              <w:ind w:left="46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54" w:type="dxa"/>
            <w:vAlign w:val="top"/>
            <w:vMerge w:val="restart"/>
            <w:tcBorders>
              <w:bottom w:val="nil"/>
            </w:tcBorders>
          </w:tcPr>
          <w:p>
            <w:pPr>
              <w:ind w:left="136"/>
              <w:spacing w:before="8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32"/>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9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996" w:type="dxa"/>
            <w:vAlign w:val="top"/>
            <w:vMerge w:val="restart"/>
            <w:tcBorders>
              <w:bottom w:val="nil"/>
            </w:tcBorders>
          </w:tcPr>
          <w:p>
            <w:pPr>
              <w:ind w:left="290" w:right="156" w:hanging="131"/>
              <w:spacing w:before="240"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22" w:type="dxa"/>
            <w:vAlign w:val="top"/>
          </w:tcPr>
          <w:p>
            <w:pPr>
              <w:ind w:left="222"/>
              <w:spacing w:before="77"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54" w:type="dxa"/>
            <w:vAlign w:val="top"/>
            <w:vMerge w:val="continue"/>
            <w:tcBorders>
              <w:top w:val="nil"/>
            </w:tcBorders>
          </w:tcPr>
          <w:p>
            <w:pPr>
              <w:rPr>
                <w:rFonts w:ascii="Arial"/>
                <w:sz w:val="21"/>
              </w:rPr>
            </w:pPr>
            <w:r/>
          </w:p>
        </w:tc>
        <w:tc>
          <w:tcPr>
            <w:tcW w:w="199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01" w:type="dxa"/>
            <w:vAlign w:val="top"/>
          </w:tcPr>
          <w:p>
            <w:pPr>
              <w:ind w:left="135"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22" w:type="dxa"/>
            <w:vAlign w:val="top"/>
          </w:tcPr>
          <w:p>
            <w:pPr>
              <w:ind w:left="464"/>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62"/>
          <w:pgSz w:w="11905" w:h="16839"/>
          <w:pgMar w:top="1431" w:right="1721" w:bottom="1156" w:left="1720" w:header="0" w:footer="994" w:gutter="0"/>
        </w:sectPr>
        <w:rPr/>
      </w:pPr>
    </w:p>
    <w:p>
      <w:pPr>
        <w:spacing w:before="4"/>
        <w:rPr/>
      </w:pPr>
      <w:r/>
    </w:p>
    <w:p>
      <w:pPr>
        <w:spacing w:before="4"/>
        <w:rPr/>
      </w:pPr>
      <w:r/>
    </w:p>
    <w:p>
      <w:pPr>
        <w:spacing w:before="4"/>
        <w:rPr/>
      </w:pPr>
      <w:r/>
    </w:p>
    <w:p>
      <w:pPr>
        <w:spacing w:before="3"/>
        <w:rPr/>
      </w:pPr>
      <w:r/>
    </w:p>
    <w:tbl>
      <w:tblPr>
        <w:tblStyle w:val="TableNormal"/>
        <w:tblW w:w="833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7"/>
        <w:gridCol w:w="1889"/>
        <w:gridCol w:w="793"/>
        <w:gridCol w:w="3201"/>
        <w:gridCol w:w="1071"/>
      </w:tblGrid>
      <w:tr>
        <w:trPr>
          <w:trHeight w:val="706" w:hRule="atLeast"/>
        </w:trPr>
        <w:tc>
          <w:tcPr>
            <w:tcW w:w="8331" w:type="dxa"/>
            <w:vAlign w:val="top"/>
            <w:gridSpan w:val="5"/>
          </w:tcPr>
          <w:p>
            <w:pPr>
              <w:ind w:left="163"/>
              <w:spacing w:before="112" w:line="226" w:lineRule="auto"/>
              <w:rPr>
                <w:rFonts w:ascii="FZXiaoBiaoSong-B05S" w:hAnsi="FZXiaoBiaoSong-B05S" w:eastAsia="FZXiaoBiaoSong-B05S" w:cs="FZXiaoBiaoSong-B05S"/>
                <w:sz w:val="40"/>
                <w:szCs w:val="40"/>
              </w:rPr>
            </w:pPr>
            <w:bookmarkStart w:name="bookmark22" w:id="25"/>
            <w:bookmarkEnd w:id="25"/>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377" w:type="dxa"/>
            <w:vAlign w:val="top"/>
          </w:tcPr>
          <w:p>
            <w:pPr>
              <w:ind w:left="39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6954" w:type="dxa"/>
            <w:vAlign w:val="top"/>
            <w:gridSpan w:val="4"/>
          </w:tcPr>
          <w:p>
            <w:pPr>
              <w:ind w:left="3295"/>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182</w:t>
            </w:r>
          </w:p>
        </w:tc>
      </w:tr>
      <w:tr>
        <w:trPr>
          <w:trHeight w:val="665" w:hRule="atLeast"/>
        </w:trPr>
        <w:tc>
          <w:tcPr>
            <w:tcW w:w="1377" w:type="dxa"/>
            <w:vAlign w:val="top"/>
          </w:tcPr>
          <w:p>
            <w:pPr>
              <w:ind w:left="116"/>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6954" w:type="dxa"/>
            <w:vAlign w:val="top"/>
            <w:gridSpan w:val="4"/>
          </w:tcPr>
          <w:p>
            <w:pPr>
              <w:spacing w:before="21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不按照规定报告有关环境监测结果的</w:t>
            </w:r>
          </w:p>
        </w:tc>
      </w:tr>
      <w:tr>
        <w:trPr>
          <w:trHeight w:val="4621" w:hRule="atLeast"/>
        </w:trPr>
        <w:tc>
          <w:tcPr>
            <w:tcW w:w="1377"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2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6954" w:type="dxa"/>
            <w:vAlign w:val="top"/>
            <w:gridSpan w:val="4"/>
          </w:tcPr>
          <w:p>
            <w:pPr>
              <w:spacing w:before="1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《中华人民共和国放射性污染防治法》</w:t>
            </w:r>
          </w:p>
          <w:p>
            <w:pPr>
              <w:ind w:right="20" w:firstLine="7"/>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第二十四条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核设施营运单位应当对核设施周围环境中所含的放射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性核素的种类、浓度以及核设施流出物中的放射性核素总</w:t>
            </w:r>
            <w:r>
              <w:rPr>
                <w:rFonts w:ascii="FangSong_GB2312" w:hAnsi="FangSong_GB2312" w:eastAsia="FangSong_GB2312" w:cs="FangSong_GB2312"/>
                <w:sz w:val="24"/>
                <w:szCs w:val="24"/>
                <w:spacing w:val="-2"/>
              </w:rPr>
              <w:t>量实施监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测，并定期向国务院环境保护行政主管部门和所在地省、</w:t>
            </w:r>
            <w:r>
              <w:rPr>
                <w:rFonts w:ascii="FangSong_GB2312" w:hAnsi="FangSong_GB2312" w:eastAsia="FangSong_GB2312" w:cs="FangSong_GB2312"/>
                <w:sz w:val="24"/>
                <w:szCs w:val="24"/>
                <w:spacing w:val="-66"/>
              </w:rPr>
              <w:t xml:space="preserve"> </w:t>
            </w:r>
            <w:r>
              <w:rPr>
                <w:rFonts w:ascii="FangSong_GB2312" w:hAnsi="FangSong_GB2312" w:eastAsia="FangSong_GB2312" w:cs="FangSong_GB2312"/>
                <w:sz w:val="24"/>
                <w:szCs w:val="24"/>
                <w:spacing w:val="-3"/>
              </w:rPr>
              <w:t>自治区、</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直辖市人民政府环境保护行政主管部门报告监测结果。</w:t>
            </w:r>
          </w:p>
          <w:p>
            <w:pPr>
              <w:ind w:right="20" w:firstLine="20"/>
              <w:spacing w:before="41"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国务院环境保护行政主管部门负责对核动力厂等重要核设施实施监</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督性监测，并根据需要对其他核设施的流出物实施监测。</w:t>
            </w:r>
            <w:r>
              <w:rPr>
                <w:rFonts w:ascii="FangSong_GB2312" w:hAnsi="FangSong_GB2312" w:eastAsia="FangSong_GB2312" w:cs="FangSong_GB2312"/>
                <w:sz w:val="24"/>
                <w:szCs w:val="24"/>
                <w:spacing w:val="-2"/>
              </w:rPr>
              <w:t>监督性监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测系统的建设、运行和维护费用由财政预算安排。</w:t>
            </w:r>
          </w:p>
          <w:p>
            <w:pPr>
              <w:spacing w:line="273" w:lineRule="auto"/>
              <w:rPr>
                <w:rFonts w:ascii="Arial"/>
                <w:sz w:val="21"/>
              </w:rPr>
            </w:pPr>
            <w:r/>
          </w:p>
          <w:p>
            <w:pPr>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b/>
                <w:bCs/>
                <w:spacing w:val="-4"/>
              </w:rPr>
              <w:t>《中华人民共和国放射性污染防治法》</w:t>
            </w:r>
          </w:p>
          <w:p>
            <w:pPr>
              <w:ind w:right="13" w:firstLine="10"/>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第四十九条</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违反本法规定，有下列行为之一的，由县级以上人民政</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府环境保护行政主管部门或者其他有关部门依据职权责</w:t>
            </w:r>
            <w:r>
              <w:rPr>
                <w:rFonts w:ascii="FangSong_GB2312" w:hAnsi="FangSong_GB2312" w:eastAsia="FangSong_GB2312" w:cs="FangSong_GB2312"/>
                <w:sz w:val="24"/>
                <w:szCs w:val="24"/>
                <w:spacing w:val="-2"/>
              </w:rPr>
              <w:t>令限期改</w:t>
            </w:r>
          </w:p>
          <w:p>
            <w:pPr>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正，可以处二万元以下罚款：</w:t>
            </w:r>
          </w:p>
          <w:p>
            <w:pPr>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（一）不按照规定报告有关环境监测结果的；</w:t>
            </w:r>
          </w:p>
        </w:tc>
      </w:tr>
      <w:tr>
        <w:trPr>
          <w:trHeight w:val="635" w:hRule="atLeast"/>
        </w:trPr>
        <w:tc>
          <w:tcPr>
            <w:tcW w:w="4059" w:type="dxa"/>
            <w:vAlign w:val="top"/>
            <w:gridSpan w:val="3"/>
          </w:tcPr>
          <w:p>
            <w:pPr>
              <w:ind w:left="148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272" w:type="dxa"/>
            <w:vAlign w:val="top"/>
            <w:gridSpan w:val="2"/>
          </w:tcPr>
          <w:p>
            <w:pPr>
              <w:ind w:left="159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77" w:type="dxa"/>
            <w:vAlign w:val="top"/>
          </w:tcPr>
          <w:p>
            <w:pPr>
              <w:ind w:left="466"/>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23"/>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3" w:type="dxa"/>
            <w:vAlign w:val="top"/>
          </w:tcPr>
          <w:p>
            <w:pPr>
              <w:ind w:left="222" w:right="16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9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71" w:type="dxa"/>
            <w:vAlign w:val="top"/>
          </w:tcPr>
          <w:p>
            <w:pPr>
              <w:ind w:left="22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377" w:type="dxa"/>
            <w:vAlign w:val="top"/>
            <w:vMerge w:val="restart"/>
            <w:tcBorders>
              <w:bottom w:val="nil"/>
            </w:tcBorders>
          </w:tcPr>
          <w:p>
            <w:pPr>
              <w:ind w:left="346" w:right="202" w:hanging="125"/>
              <w:spacing w:before="20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83" w:lineRule="auto"/>
              <w:rPr>
                <w:rFonts w:ascii="Arial"/>
                <w:sz w:val="21"/>
              </w:rPr>
            </w:pPr>
            <w:r/>
          </w:p>
          <w:p>
            <w:pPr>
              <w:ind w:left="24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3" w:type="dxa"/>
            <w:vAlign w:val="top"/>
            <w:vMerge w:val="restart"/>
            <w:tcBorders>
              <w:bottom w:val="nil"/>
            </w:tcBorders>
          </w:tcPr>
          <w:p>
            <w:pPr>
              <w:spacing w:line="283" w:lineRule="auto"/>
              <w:rPr>
                <w:rFonts w:ascii="Arial"/>
                <w:sz w:val="21"/>
              </w:rPr>
            </w:pPr>
            <w:r/>
          </w:p>
          <w:p>
            <w:pPr>
              <w:ind w:left="24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31" w:right="20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报送有关环境监测结果，不</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符合规定的</w:t>
            </w:r>
          </w:p>
        </w:tc>
        <w:tc>
          <w:tcPr>
            <w:tcW w:w="1071" w:type="dxa"/>
            <w:vAlign w:val="top"/>
          </w:tcPr>
          <w:p>
            <w:pPr>
              <w:ind w:left="203"/>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37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3201" w:type="dxa"/>
            <w:vAlign w:val="top"/>
          </w:tcPr>
          <w:p>
            <w:pPr>
              <w:ind w:left="12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不报送有关环境监测结果的</w:t>
            </w:r>
          </w:p>
        </w:tc>
        <w:tc>
          <w:tcPr>
            <w:tcW w:w="1071" w:type="dxa"/>
            <w:vAlign w:val="top"/>
          </w:tcPr>
          <w:p>
            <w:pPr>
              <w:ind w:left="13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377" w:type="dxa"/>
            <w:vAlign w:val="top"/>
            <w:vMerge w:val="restart"/>
            <w:tcBorders>
              <w:bottom w:val="nil"/>
            </w:tcBorders>
          </w:tcPr>
          <w:p>
            <w:pPr>
              <w:spacing w:line="450" w:lineRule="auto"/>
              <w:rPr>
                <w:rFonts w:ascii="Arial"/>
                <w:sz w:val="21"/>
              </w:rPr>
            </w:pPr>
            <w:r/>
          </w:p>
          <w:p>
            <w:pPr>
              <w:ind w:left="21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45" w:right="214"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3" w:type="dxa"/>
            <w:vAlign w:val="top"/>
            <w:vMerge w:val="restart"/>
            <w:tcBorders>
              <w:bottom w:val="nil"/>
            </w:tcBorders>
          </w:tcPr>
          <w:p>
            <w:pPr>
              <w:spacing w:line="450" w:lineRule="auto"/>
              <w:rPr>
                <w:rFonts w:ascii="Arial"/>
                <w:sz w:val="21"/>
              </w:rPr>
            </w:pPr>
            <w:r/>
          </w:p>
          <w:p>
            <w:pPr>
              <w:ind w:left="24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71" w:type="dxa"/>
            <w:vAlign w:val="top"/>
          </w:tcPr>
          <w:p>
            <w:pPr>
              <w:ind w:left="44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7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3" w:type="dxa"/>
            <w:vAlign w:val="top"/>
            <w:vMerge w:val="continue"/>
            <w:tcBorders>
              <w:top w:val="nil"/>
              <w:bottom w:val="nil"/>
            </w:tcBorders>
          </w:tcPr>
          <w:p>
            <w:pPr>
              <w:rPr>
                <w:rFonts w:ascii="Arial"/>
                <w:sz w:val="21"/>
              </w:rPr>
            </w:pPr>
            <w:r/>
          </w:p>
        </w:tc>
        <w:tc>
          <w:tcPr>
            <w:tcW w:w="3201" w:type="dxa"/>
            <w:vAlign w:val="top"/>
          </w:tcPr>
          <w:p>
            <w:pPr>
              <w:ind w:left="1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71" w:type="dxa"/>
            <w:vAlign w:val="top"/>
          </w:tcPr>
          <w:p>
            <w:pPr>
              <w:ind w:left="38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7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3" w:type="dxa"/>
            <w:vAlign w:val="top"/>
            <w:vMerge w:val="continue"/>
            <w:tcBorders>
              <w:top w:val="nil"/>
              <w:bottom w:val="nil"/>
            </w:tcBorders>
          </w:tcPr>
          <w:p>
            <w:pPr>
              <w:rPr>
                <w:rFonts w:ascii="Arial"/>
                <w:sz w:val="21"/>
              </w:rPr>
            </w:pPr>
            <w:r/>
          </w:p>
        </w:tc>
        <w:tc>
          <w:tcPr>
            <w:tcW w:w="3201" w:type="dxa"/>
            <w:vAlign w:val="top"/>
          </w:tcPr>
          <w:p>
            <w:pPr>
              <w:ind w:left="13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71" w:type="dxa"/>
            <w:vAlign w:val="top"/>
          </w:tcPr>
          <w:p>
            <w:pPr>
              <w:ind w:left="38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7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3201" w:type="dxa"/>
            <w:vAlign w:val="top"/>
          </w:tcPr>
          <w:p>
            <w:pPr>
              <w:ind w:left="14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71" w:type="dxa"/>
            <w:vAlign w:val="top"/>
          </w:tcPr>
          <w:p>
            <w:pPr>
              <w:ind w:left="37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77" w:type="dxa"/>
            <w:vAlign w:val="top"/>
            <w:vMerge w:val="restart"/>
            <w:tcBorders>
              <w:bottom w:val="nil"/>
            </w:tcBorders>
          </w:tcPr>
          <w:p>
            <w:pPr>
              <w:spacing w:line="443" w:lineRule="auto"/>
              <w:rPr>
                <w:rFonts w:ascii="Arial"/>
                <w:sz w:val="21"/>
              </w:rPr>
            </w:pPr>
            <w:r/>
          </w:p>
          <w:p>
            <w:pPr>
              <w:ind w:left="220"/>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4" w:lineRule="auto"/>
              <w:rPr>
                <w:rFonts w:ascii="Arial"/>
                <w:sz w:val="21"/>
              </w:rPr>
            </w:pPr>
            <w:r/>
          </w:p>
          <w:p>
            <w:pPr>
              <w:ind w:left="240"/>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3" w:type="dxa"/>
            <w:vAlign w:val="top"/>
            <w:vMerge w:val="restart"/>
            <w:tcBorders>
              <w:bottom w:val="nil"/>
            </w:tcBorders>
          </w:tcPr>
          <w:p>
            <w:pPr>
              <w:spacing w:line="443" w:lineRule="auto"/>
              <w:rPr>
                <w:rFonts w:ascii="Arial"/>
                <w:sz w:val="21"/>
              </w:rPr>
            </w:pPr>
            <w:r/>
          </w:p>
          <w:p>
            <w:pPr>
              <w:ind w:left="24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71" w:type="dxa"/>
            <w:vAlign w:val="top"/>
          </w:tcPr>
          <w:p>
            <w:pPr>
              <w:ind w:left="44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7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3" w:type="dxa"/>
            <w:vAlign w:val="top"/>
            <w:vMerge w:val="continue"/>
            <w:tcBorders>
              <w:top w:val="nil"/>
              <w:bottom w:val="nil"/>
            </w:tcBorders>
          </w:tcPr>
          <w:p>
            <w:pPr>
              <w:rPr>
                <w:rFonts w:ascii="Arial"/>
                <w:sz w:val="21"/>
              </w:rPr>
            </w:pPr>
            <w:r/>
          </w:p>
        </w:tc>
        <w:tc>
          <w:tcPr>
            <w:tcW w:w="3201" w:type="dxa"/>
            <w:vAlign w:val="top"/>
          </w:tcPr>
          <w:p>
            <w:pPr>
              <w:ind w:left="132" w:right="20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071" w:type="dxa"/>
            <w:vAlign w:val="top"/>
          </w:tcPr>
          <w:p>
            <w:pPr>
              <w:ind w:left="26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7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3201" w:type="dxa"/>
            <w:vAlign w:val="top"/>
          </w:tcPr>
          <w:p>
            <w:pPr>
              <w:ind w:left="13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71" w:type="dxa"/>
            <w:vAlign w:val="top"/>
          </w:tcPr>
          <w:p>
            <w:pPr>
              <w:ind w:left="19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77" w:type="dxa"/>
            <w:vAlign w:val="top"/>
            <w:vMerge w:val="restart"/>
            <w:tcBorders>
              <w:bottom w:val="nil"/>
            </w:tcBorders>
          </w:tcPr>
          <w:p>
            <w:pPr>
              <w:ind w:left="219" w:right="202"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15" w:right="214"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3" w:type="dxa"/>
            <w:vAlign w:val="top"/>
            <w:vMerge w:val="restart"/>
            <w:tcBorders>
              <w:bottom w:val="nil"/>
            </w:tcBorders>
          </w:tcPr>
          <w:p>
            <w:pPr>
              <w:ind w:left="246"/>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71" w:type="dxa"/>
            <w:vAlign w:val="top"/>
          </w:tcPr>
          <w:p>
            <w:pPr>
              <w:ind w:left="20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7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3201" w:type="dxa"/>
            <w:vAlign w:val="top"/>
          </w:tcPr>
          <w:p>
            <w:pPr>
              <w:ind w:left="1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71" w:type="dxa"/>
            <w:vAlign w:val="top"/>
          </w:tcPr>
          <w:p>
            <w:pPr>
              <w:ind w:left="44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67" w:hRule="atLeast"/>
        </w:trPr>
        <w:tc>
          <w:tcPr>
            <w:tcW w:w="1377" w:type="dxa"/>
            <w:vAlign w:val="top"/>
          </w:tcPr>
          <w:p>
            <w:pPr>
              <w:ind w:left="221"/>
              <w:spacing w:before="11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p>
        </w:tc>
        <w:tc>
          <w:tcPr>
            <w:tcW w:w="1889" w:type="dxa"/>
            <w:vAlign w:val="top"/>
          </w:tcPr>
          <w:p>
            <w:pPr>
              <w:ind w:left="235"/>
              <w:spacing w:before="11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93" w:type="dxa"/>
            <w:vAlign w:val="top"/>
          </w:tcPr>
          <w:p>
            <w:pPr>
              <w:ind w:left="241"/>
              <w:spacing w:before="11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8"/>
              <w:spacing w:before="11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71" w:type="dxa"/>
            <w:vAlign w:val="top"/>
          </w:tcPr>
          <w:p>
            <w:pPr>
              <w:ind w:left="260"/>
              <w:spacing w:before="11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63"/>
          <w:pgSz w:w="11905" w:h="16839"/>
          <w:pgMar w:top="1431" w:right="1784" w:bottom="1156" w:left="1784" w:header="0" w:footer="994" w:gutter="0"/>
        </w:sectPr>
        <w:rPr/>
      </w:pPr>
    </w:p>
    <w:p>
      <w:pPr>
        <w:spacing w:before="92"/>
        <w:rPr/>
      </w:pPr>
      <w:r/>
    </w:p>
    <w:p>
      <w:pPr>
        <w:spacing w:before="91"/>
        <w:rPr/>
      </w:pPr>
      <w:r/>
    </w:p>
    <w:tbl>
      <w:tblPr>
        <w:tblStyle w:val="TableNormal"/>
        <w:tblW w:w="833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201"/>
        <w:gridCol w:w="1062"/>
      </w:tblGrid>
      <w:tr>
        <w:trPr>
          <w:trHeight w:val="639" w:hRule="atLeast"/>
        </w:trPr>
        <w:tc>
          <w:tcPr>
            <w:tcW w:w="1387" w:type="dxa"/>
            <w:vAlign w:val="top"/>
          </w:tcPr>
          <w:p>
            <w:pPr>
              <w:ind w:left="212" w:right="212" w:firstLine="11"/>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tcPr>
          <w:p>
            <w:pPr>
              <w:ind w:left="836" w:right="224"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92" w:type="dxa"/>
            <w:vAlign w:val="top"/>
          </w:tcPr>
          <w:p>
            <w:pPr>
              <w:rPr>
                <w:rFonts w:ascii="Arial"/>
                <w:sz w:val="21"/>
              </w:rPr>
            </w:pPr>
            <w:r/>
          </w:p>
        </w:tc>
        <w:tc>
          <w:tcPr>
            <w:tcW w:w="3201" w:type="dxa"/>
            <w:vAlign w:val="top"/>
          </w:tcPr>
          <w:p>
            <w:pPr>
              <w:ind w:left="136"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62" w:type="dxa"/>
            <w:vAlign w:val="top"/>
          </w:tcPr>
          <w:p>
            <w:pPr>
              <w:ind w:left="43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64"/>
          <w:pgSz w:w="11905" w:h="16839"/>
          <w:pgMar w:top="1431" w:right="1784" w:bottom="1156" w:left="1784"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8"/>
        <w:gridCol w:w="52"/>
        <w:gridCol w:w="1685"/>
        <w:gridCol w:w="996"/>
        <w:gridCol w:w="3255"/>
        <w:gridCol w:w="1076"/>
      </w:tblGrid>
      <w:tr>
        <w:trPr>
          <w:trHeight w:val="706" w:hRule="atLeast"/>
        </w:trPr>
        <w:tc>
          <w:tcPr>
            <w:tcW w:w="8492" w:type="dxa"/>
            <w:vAlign w:val="top"/>
            <w:gridSpan w:val="6"/>
          </w:tcPr>
          <w:p>
            <w:pPr>
              <w:ind w:left="244"/>
              <w:spacing w:before="112" w:line="226"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28" w:type="dxa"/>
            <w:vAlign w:val="top"/>
          </w:tcPr>
          <w:p>
            <w:pPr>
              <w:ind w:left="438"/>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64" w:type="dxa"/>
            <w:vAlign w:val="top"/>
            <w:gridSpan w:val="5"/>
          </w:tcPr>
          <w:p>
            <w:pPr>
              <w:ind w:left="3373"/>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183</w:t>
            </w:r>
          </w:p>
        </w:tc>
      </w:tr>
      <w:tr>
        <w:trPr>
          <w:trHeight w:val="740" w:hRule="atLeast"/>
        </w:trPr>
        <w:tc>
          <w:tcPr>
            <w:tcW w:w="1428" w:type="dxa"/>
            <w:vAlign w:val="top"/>
          </w:tcPr>
          <w:p>
            <w:pPr>
              <w:ind w:left="163"/>
              <w:spacing w:before="23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64" w:type="dxa"/>
            <w:vAlign w:val="top"/>
            <w:gridSpan w:val="5"/>
          </w:tcPr>
          <w:p>
            <w:pPr>
              <w:ind w:left="16" w:right="88" w:firstLine="8"/>
              <w:spacing w:before="9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拒绝环境保护行政主管部门和其他有关部门进行现场检查，或者被</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检查时不如实反映情况和提供必要资料的</w:t>
            </w:r>
          </w:p>
        </w:tc>
      </w:tr>
      <w:tr>
        <w:trPr>
          <w:trHeight w:val="4128" w:hRule="atLeast"/>
        </w:trPr>
        <w:tc>
          <w:tcPr>
            <w:tcW w:w="1428"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71"/>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64" w:type="dxa"/>
            <w:vAlign w:val="top"/>
            <w:gridSpan w:val="5"/>
          </w:tcPr>
          <w:p>
            <w:pPr>
              <w:ind w:left="34"/>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15" w:right="88" w:firstLine="16"/>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监督检查人员进行现场</w:t>
            </w:r>
            <w:r>
              <w:rPr>
                <w:rFonts w:ascii="FangSong_GB2312" w:hAnsi="FangSong_GB2312" w:eastAsia="FangSong_GB2312" w:cs="FangSong_GB2312"/>
                <w:sz w:val="24"/>
                <w:szCs w:val="24"/>
                <w:spacing w:val="-2"/>
              </w:rPr>
              <w:t>检查时，应当出示证件。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被检查的单位必须如实反映情况，提供必要的资料。</w:t>
            </w:r>
            <w:r>
              <w:rPr>
                <w:rFonts w:ascii="FangSong_GB2312" w:hAnsi="FangSong_GB2312" w:eastAsia="FangSong_GB2312" w:cs="FangSong_GB2312"/>
                <w:sz w:val="24"/>
                <w:szCs w:val="24"/>
                <w:spacing w:val="-1"/>
              </w:rPr>
              <w:t>监督检查人员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应当为被检查单位保守技术秘密和业务秘密。对涉及</w:t>
            </w:r>
            <w:r>
              <w:rPr>
                <w:rFonts w:ascii="FangSong_GB2312" w:hAnsi="FangSong_GB2312" w:eastAsia="FangSong_GB2312" w:cs="FangSong_GB2312"/>
                <w:sz w:val="24"/>
                <w:szCs w:val="24"/>
                <w:spacing w:val="-1"/>
              </w:rPr>
              <w:t>国家秘密的单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位和部位进行检查时，应当遵守国家有关保守国家秘</w:t>
            </w:r>
            <w:r>
              <w:rPr>
                <w:rFonts w:ascii="FangSong_GB2312" w:hAnsi="FangSong_GB2312" w:eastAsia="FangSong_GB2312" w:cs="FangSong_GB2312"/>
                <w:sz w:val="24"/>
                <w:szCs w:val="24"/>
                <w:spacing w:val="-1"/>
              </w:rPr>
              <w:t>密的规定，依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法办理有关审批手续。</w:t>
            </w:r>
          </w:p>
          <w:p>
            <w:pPr>
              <w:spacing w:line="272" w:lineRule="auto"/>
              <w:rPr>
                <w:rFonts w:ascii="Arial"/>
                <w:sz w:val="21"/>
              </w:rPr>
            </w:pPr>
            <w:r/>
          </w:p>
          <w:p>
            <w:pPr>
              <w:ind w:left="2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21" w:right="14" w:firstLine="10"/>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违反本法规定，有下列行为之一的，由县级以上人民政</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府环境保护行政主管部门或者其他有关部门依据职权责令限期改</w:t>
            </w:r>
          </w:p>
          <w:p>
            <w:pPr>
              <w:ind w:left="27"/>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正，可以处二万元以下罚款：</w:t>
            </w:r>
          </w:p>
          <w:p>
            <w:pPr>
              <w:ind w:left="21" w:right="14" w:hanging="6"/>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（二)拒绝环境保护行政主管部门和其他有关部门进行现场检查，或</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者被检查时不如实反映情况和提供必要资料的。</w:t>
            </w:r>
          </w:p>
        </w:tc>
      </w:tr>
      <w:tr>
        <w:trPr>
          <w:trHeight w:val="635" w:hRule="atLeast"/>
        </w:trPr>
        <w:tc>
          <w:tcPr>
            <w:tcW w:w="4161" w:type="dxa"/>
            <w:vAlign w:val="top"/>
            <w:gridSpan w:val="4"/>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31" w:type="dxa"/>
            <w:vAlign w:val="top"/>
            <w:gridSpan w:val="2"/>
          </w:tcPr>
          <w:p>
            <w:pPr>
              <w:ind w:left="161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0" w:type="dxa"/>
            <w:vAlign w:val="top"/>
            <w:gridSpan w:val="2"/>
          </w:tcPr>
          <w:p>
            <w:pPr>
              <w:ind w:left="514"/>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2"/>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996" w:type="dxa"/>
            <w:vAlign w:val="top"/>
          </w:tcPr>
          <w:p>
            <w:pPr>
              <w:ind w:left="315" w:right="2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55" w:type="dxa"/>
            <w:vAlign w:val="top"/>
          </w:tcPr>
          <w:p>
            <w:pPr>
              <w:ind w:left="1416"/>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76" w:type="dxa"/>
            <w:vAlign w:val="top"/>
          </w:tcPr>
          <w:p>
            <w:pPr>
              <w:ind w:left="217"/>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0" w:type="dxa"/>
            <w:vAlign w:val="top"/>
            <w:gridSpan w:val="2"/>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509" w:right="13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拒绝检查情形</w:t>
            </w:r>
          </w:p>
        </w:tc>
        <w:tc>
          <w:tcPr>
            <w:tcW w:w="996"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ind w:left="33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55" w:type="dxa"/>
            <w:vAlign w:val="top"/>
          </w:tcPr>
          <w:p>
            <w:pPr>
              <w:ind w:left="11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迟滞</w:t>
            </w:r>
            <w:r>
              <w:rPr>
                <w:rFonts w:ascii="FangSong_GB2312" w:hAnsi="FangSong_GB2312" w:eastAsia="FangSong_GB2312" w:cs="FangSong_GB2312"/>
                <w:sz w:val="24"/>
                <w:szCs w:val="24"/>
                <w:spacing w:val="-45"/>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7"/>
              </w:rPr>
              <w:t>分钟以上</w:t>
            </w:r>
            <w:r>
              <w:rPr>
                <w:rFonts w:ascii="FangSong_GB2312" w:hAnsi="FangSong_GB2312" w:eastAsia="FangSong_GB2312" w:cs="FangSong_GB2312"/>
                <w:sz w:val="24"/>
                <w:szCs w:val="24"/>
                <w:spacing w:val="-51"/>
              </w:rPr>
              <w:t xml:space="preserve"> </w:t>
            </w:r>
            <w:r>
              <w:rPr>
                <w:rFonts w:ascii="FangSong_GB2312" w:hAnsi="FangSong_GB2312" w:eastAsia="FangSong_GB2312" w:cs="FangSong_GB2312"/>
                <w:sz w:val="24"/>
                <w:szCs w:val="24"/>
                <w:spacing w:val="-7"/>
              </w:rPr>
              <w:t>30</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7"/>
              </w:rPr>
              <w:t>分钟以内</w:t>
            </w:r>
          </w:p>
        </w:tc>
        <w:tc>
          <w:tcPr>
            <w:tcW w:w="1076" w:type="dxa"/>
            <w:vAlign w:val="top"/>
          </w:tcPr>
          <w:p>
            <w:pPr>
              <w:ind w:left="19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93"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3255" w:type="dxa"/>
            <w:vAlign w:val="top"/>
          </w:tcPr>
          <w:p>
            <w:pPr>
              <w:ind w:left="11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迟滞超过半小时</w:t>
            </w:r>
          </w:p>
        </w:tc>
        <w:tc>
          <w:tcPr>
            <w:tcW w:w="1076" w:type="dxa"/>
            <w:vAlign w:val="top"/>
          </w:tcPr>
          <w:p>
            <w:pPr>
              <w:ind w:left="135"/>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3255" w:type="dxa"/>
            <w:vAlign w:val="top"/>
          </w:tcPr>
          <w:p>
            <w:pPr>
              <w:ind w:left="14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阻碍或隐匿部分资料</w:t>
            </w:r>
          </w:p>
        </w:tc>
        <w:tc>
          <w:tcPr>
            <w:tcW w:w="1076" w:type="dxa"/>
            <w:vAlign w:val="top"/>
          </w:tcPr>
          <w:p>
            <w:pPr>
              <w:ind w:left="12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3255" w:type="dxa"/>
            <w:vAlign w:val="top"/>
          </w:tcPr>
          <w:p>
            <w:pPr>
              <w:ind w:left="111" w:right="102" w:firstLine="2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围堵、留滞执法人员或拒绝提</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供资料</w:t>
            </w:r>
          </w:p>
        </w:tc>
        <w:tc>
          <w:tcPr>
            <w:tcW w:w="1076" w:type="dxa"/>
            <w:vAlign w:val="top"/>
          </w:tcPr>
          <w:p>
            <w:pPr>
              <w:ind w:left="139"/>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3255"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暴力抗法</w:t>
            </w:r>
          </w:p>
        </w:tc>
        <w:tc>
          <w:tcPr>
            <w:tcW w:w="1076"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restart"/>
            <w:tcBorders>
              <w:bottom w:val="nil"/>
            </w:tcBorders>
          </w:tcPr>
          <w:p>
            <w:pPr>
              <w:spacing w:line="288" w:lineRule="auto"/>
              <w:rPr>
                <w:rFonts w:ascii="Arial"/>
                <w:sz w:val="21"/>
              </w:rPr>
            </w:pPr>
            <w:r/>
          </w:p>
          <w:p>
            <w:pPr>
              <w:ind w:left="12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弄虚作假情形</w:t>
            </w:r>
          </w:p>
        </w:tc>
        <w:tc>
          <w:tcPr>
            <w:tcW w:w="996" w:type="dxa"/>
            <w:vAlign w:val="top"/>
            <w:vMerge w:val="continue"/>
            <w:tcBorders>
              <w:top w:val="nil"/>
              <w:bottom w:val="nil"/>
            </w:tcBorders>
          </w:tcPr>
          <w:p>
            <w:pPr>
              <w:rPr>
                <w:rFonts w:ascii="Arial"/>
                <w:sz w:val="21"/>
              </w:rPr>
            </w:pPr>
            <w:r/>
          </w:p>
        </w:tc>
        <w:tc>
          <w:tcPr>
            <w:tcW w:w="3255" w:type="dxa"/>
            <w:vAlign w:val="top"/>
          </w:tcPr>
          <w:p>
            <w:pPr>
              <w:ind w:left="11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未提供必要资料的</w:t>
            </w:r>
          </w:p>
        </w:tc>
        <w:tc>
          <w:tcPr>
            <w:tcW w:w="1076" w:type="dxa"/>
            <w:vAlign w:val="top"/>
          </w:tcPr>
          <w:p>
            <w:pPr>
              <w:ind w:left="19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3255"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提供虚假信息的</w:t>
            </w:r>
          </w:p>
        </w:tc>
        <w:tc>
          <w:tcPr>
            <w:tcW w:w="1076" w:type="dxa"/>
            <w:vAlign w:val="top"/>
          </w:tcPr>
          <w:p>
            <w:pPr>
              <w:ind w:left="1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11%-30%</w:t>
            </w:r>
          </w:p>
        </w:tc>
      </w:tr>
      <w:tr>
        <w:trPr>
          <w:trHeight w:val="320" w:hRule="atLeast"/>
        </w:trPr>
        <w:tc>
          <w:tcPr>
            <w:tcW w:w="1480" w:type="dxa"/>
            <w:vAlign w:val="top"/>
            <w:gridSpan w:val="2"/>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3255"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伪造现场或证据的</w:t>
            </w:r>
          </w:p>
        </w:tc>
        <w:tc>
          <w:tcPr>
            <w:tcW w:w="1076" w:type="dxa"/>
            <w:vAlign w:val="top"/>
          </w:tcPr>
          <w:p>
            <w:pPr>
              <w:ind w:left="13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80" w:type="dxa"/>
            <w:vAlign w:val="top"/>
            <w:gridSpan w:val="2"/>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294" w:lineRule="auto"/>
              <w:rPr>
                <w:rFonts w:ascii="Arial"/>
                <w:sz w:val="21"/>
              </w:rPr>
            </w:pPr>
            <w:r/>
          </w:p>
          <w:p>
            <w:pPr>
              <w:ind w:left="734" w:right="121"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996" w:type="dxa"/>
            <w:vAlign w:val="top"/>
            <w:vMerge w:val="restart"/>
            <w:tcBorders>
              <w:bottom w:val="nil"/>
            </w:tcBorders>
          </w:tcPr>
          <w:p>
            <w:pPr>
              <w:spacing w:line="450" w:lineRule="auto"/>
              <w:rPr>
                <w:rFonts w:ascii="Arial"/>
                <w:sz w:val="21"/>
              </w:rPr>
            </w:pPr>
            <w:r/>
          </w:p>
          <w:p>
            <w:pPr>
              <w:ind w:left="33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76" w:type="dxa"/>
            <w:vAlign w:val="top"/>
          </w:tcPr>
          <w:p>
            <w:pPr>
              <w:ind w:left="43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3255"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76" w:type="dxa"/>
            <w:vAlign w:val="top"/>
          </w:tcPr>
          <w:p>
            <w:pPr>
              <w:ind w:left="37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gridSpan w:val="2"/>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3255" w:type="dxa"/>
            <w:vAlign w:val="top"/>
          </w:tcPr>
          <w:p>
            <w:pPr>
              <w:ind w:left="12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76" w:type="dxa"/>
            <w:vAlign w:val="top"/>
          </w:tcPr>
          <w:p>
            <w:pPr>
              <w:ind w:left="37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gridSpan w:val="2"/>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3255"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76" w:type="dxa"/>
            <w:vAlign w:val="top"/>
          </w:tcPr>
          <w:p>
            <w:pPr>
              <w:ind w:left="36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gridSpan w:val="2"/>
            <w:vMerge w:val="restart"/>
            <w:tcBorders>
              <w:bottom w:val="nil"/>
            </w:tcBorders>
          </w:tcPr>
          <w:p>
            <w:pPr>
              <w:ind w:left="268"/>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ind w:left="611" w:right="121" w:hanging="487"/>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是否及时进行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整改</w:t>
            </w:r>
          </w:p>
        </w:tc>
        <w:tc>
          <w:tcPr>
            <w:tcW w:w="996" w:type="dxa"/>
            <w:vAlign w:val="top"/>
            <w:vMerge w:val="restart"/>
            <w:tcBorders>
              <w:bottom w:val="nil"/>
            </w:tcBorders>
          </w:tcPr>
          <w:p>
            <w:pPr>
              <w:ind w:left="340"/>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55" w:type="dxa"/>
            <w:vAlign w:val="top"/>
          </w:tcPr>
          <w:p>
            <w:pPr>
              <w:ind w:left="1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76" w:type="dxa"/>
            <w:vAlign w:val="top"/>
          </w:tcPr>
          <w:p>
            <w:pPr>
              <w:ind w:left="43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2" w:hRule="atLeast"/>
        </w:trPr>
        <w:tc>
          <w:tcPr>
            <w:tcW w:w="1480" w:type="dxa"/>
            <w:vAlign w:val="top"/>
            <w:gridSpan w:val="2"/>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3255" w:type="dxa"/>
            <w:vAlign w:val="top"/>
          </w:tcPr>
          <w:p>
            <w:pPr>
              <w:ind w:left="12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076" w:type="dxa"/>
            <w:vAlign w:val="top"/>
          </w:tcPr>
          <w:p>
            <w:pPr>
              <w:ind w:left="255"/>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65"/>
          <w:pgSz w:w="11905" w:h="16839"/>
          <w:pgMar w:top="1431" w:right="1704" w:bottom="1156" w:left="1703" w:header="0" w:footer="994" w:gutter="0"/>
        </w:sectPr>
        <w:rPr/>
      </w:pPr>
    </w:p>
    <w:p>
      <w:pPr>
        <w:spacing w:before="92"/>
        <w:rPr/>
      </w:pPr>
      <w:r/>
    </w:p>
    <w:p>
      <w:pPr>
        <w:spacing w:before="91"/>
        <w:rPr/>
      </w:pPr>
      <w:r/>
    </w:p>
    <w:tbl>
      <w:tblPr>
        <w:tblStyle w:val="TableNormal"/>
        <w:tblW w:w="84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685"/>
        <w:gridCol w:w="996"/>
        <w:gridCol w:w="3255"/>
        <w:gridCol w:w="1068"/>
      </w:tblGrid>
      <w:tr>
        <w:trPr>
          <w:trHeight w:val="323" w:hRule="atLeast"/>
        </w:trPr>
        <w:tc>
          <w:tcPr>
            <w:tcW w:w="1480" w:type="dxa"/>
            <w:vAlign w:val="top"/>
            <w:vMerge w:val="restart"/>
            <w:tcBorders>
              <w:bottom w:val="nil"/>
            </w:tcBorders>
          </w:tcPr>
          <w:p>
            <w:pPr>
              <w:rPr>
                <w:rFonts w:ascii="Arial"/>
                <w:sz w:val="21"/>
              </w:rPr>
            </w:pPr>
            <w:r/>
          </w:p>
        </w:tc>
        <w:tc>
          <w:tcPr>
            <w:tcW w:w="1685" w:type="dxa"/>
            <w:vAlign w:val="top"/>
            <w:vMerge w:val="restart"/>
            <w:tcBorders>
              <w:bottom w:val="nil"/>
            </w:tcBorders>
          </w:tcPr>
          <w:p>
            <w:pPr>
              <w:rPr>
                <w:rFonts w:ascii="Arial"/>
                <w:sz w:val="21"/>
              </w:rPr>
            </w:pPr>
            <w:r/>
          </w:p>
        </w:tc>
        <w:tc>
          <w:tcPr>
            <w:tcW w:w="996" w:type="dxa"/>
            <w:vAlign w:val="top"/>
            <w:vMerge w:val="restart"/>
            <w:tcBorders>
              <w:bottom w:val="nil"/>
            </w:tcBorders>
          </w:tcPr>
          <w:p>
            <w:pPr>
              <w:rPr>
                <w:rFonts w:ascii="Arial"/>
                <w:sz w:val="21"/>
              </w:rPr>
            </w:pPr>
            <w:r/>
          </w:p>
        </w:tc>
        <w:tc>
          <w:tcPr>
            <w:tcW w:w="3255" w:type="dxa"/>
            <w:vAlign w:val="top"/>
          </w:tcPr>
          <w:p>
            <w:pPr>
              <w:ind w:left="123"/>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068" w:type="dxa"/>
            <w:vAlign w:val="top"/>
          </w:tcPr>
          <w:p>
            <w:pPr>
              <w:rPr>
                <w:rFonts w:ascii="Arial"/>
                <w:sz w:val="21"/>
              </w:rPr>
            </w:pPr>
            <w:r/>
          </w:p>
        </w:tc>
      </w:tr>
      <w:tr>
        <w:trPr>
          <w:trHeight w:val="319" w:hRule="atLeast"/>
        </w:trPr>
        <w:tc>
          <w:tcPr>
            <w:tcW w:w="1480"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3255" w:type="dxa"/>
            <w:vAlign w:val="top"/>
          </w:tcPr>
          <w:p>
            <w:pPr>
              <w:ind w:left="12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8" w:type="dxa"/>
            <w:vAlign w:val="top"/>
          </w:tcPr>
          <w:p>
            <w:pPr>
              <w:ind w:left="191"/>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87" w:hRule="atLeast"/>
        </w:trPr>
        <w:tc>
          <w:tcPr>
            <w:tcW w:w="1480" w:type="dxa"/>
            <w:vAlign w:val="top"/>
            <w:vMerge w:val="restart"/>
            <w:tcBorders>
              <w:bottom w:val="nil"/>
            </w:tcBorders>
          </w:tcPr>
          <w:p>
            <w:pPr>
              <w:ind w:left="149"/>
              <w:spacing w:before="8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685" w:type="dxa"/>
            <w:vAlign w:val="top"/>
            <w:vMerge w:val="restart"/>
            <w:tcBorders>
              <w:bottom w:val="nil"/>
            </w:tcBorders>
          </w:tcPr>
          <w:p>
            <w:pPr>
              <w:ind w:left="124"/>
              <w:spacing w:before="8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5"/>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996" w:type="dxa"/>
            <w:vAlign w:val="top"/>
            <w:vMerge w:val="restart"/>
            <w:tcBorders>
              <w:bottom w:val="nil"/>
            </w:tcBorders>
          </w:tcPr>
          <w:p>
            <w:pPr>
              <w:ind w:left="334"/>
              <w:spacing w:before="23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55" w:type="dxa"/>
            <w:vAlign w:val="top"/>
          </w:tcPr>
          <w:p>
            <w:pPr>
              <w:ind w:left="119"/>
              <w:spacing w:before="7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8" w:type="dxa"/>
            <w:vAlign w:val="top"/>
          </w:tcPr>
          <w:p>
            <w:pPr>
              <w:ind w:left="195"/>
              <w:spacing w:before="76"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3255" w:type="dxa"/>
            <w:vAlign w:val="top"/>
          </w:tcPr>
          <w:p>
            <w:pPr>
              <w:ind w:left="136" w:right="102"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2"/>
              </w:rPr>
              <w:t>未造成社会影响与生态破坏</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rPr>
              <w:t>的</w:t>
            </w:r>
          </w:p>
        </w:tc>
        <w:tc>
          <w:tcPr>
            <w:tcW w:w="1068" w:type="dxa"/>
            <w:vAlign w:val="top"/>
          </w:tcPr>
          <w:p>
            <w:pPr>
              <w:ind w:left="43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66"/>
          <w:pgSz w:w="11905" w:h="16839"/>
          <w:pgMar w:top="1431" w:right="1712" w:bottom="1156" w:left="1703"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56"/>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72"/>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184</w:t>
            </w:r>
          </w:p>
        </w:tc>
      </w:tr>
      <w:tr>
        <w:trPr>
          <w:trHeight w:val="665" w:hRule="atLeast"/>
        </w:trPr>
        <w:tc>
          <w:tcPr>
            <w:tcW w:w="1489"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60" w:right="15" w:hanging="4"/>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未编制环境影响评价文件，或者环境影响评价文件未经环境保护行</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政主管部门批准，擅自进行建造、运行、生产和使用等活动的</w:t>
            </w:r>
          </w:p>
        </w:tc>
      </w:tr>
      <w:tr>
        <w:trPr>
          <w:trHeight w:val="3813" w:hRule="atLeast"/>
        </w:trPr>
        <w:tc>
          <w:tcPr>
            <w:tcW w:w="1489"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2" w:right="15" w:firstLine="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第二十九条</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b/>
                <w:bCs/>
                <w:spacing w:val="-3"/>
              </w:rPr>
              <w:t>第一款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生产、销售、使用放射性同位素和加速器、中</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子发生器以及含放射源的射线装置的单位，应当在申请领取许可证</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3"/>
              </w:rPr>
              <w:t>前编制环境影响评价文件，报省、</w:t>
            </w:r>
            <w:r>
              <w:rPr>
                <w:rFonts w:ascii="FangSong_GB2312" w:hAnsi="FangSong_GB2312" w:eastAsia="FangSong_GB2312" w:cs="FangSong_GB2312"/>
                <w:sz w:val="24"/>
                <w:szCs w:val="24"/>
                <w:spacing w:val="-50"/>
              </w:rPr>
              <w:t xml:space="preserve"> </w:t>
            </w:r>
            <w:r>
              <w:rPr>
                <w:rFonts w:ascii="FangSong_GB2312" w:hAnsi="FangSong_GB2312" w:eastAsia="FangSong_GB2312" w:cs="FangSong_GB2312"/>
                <w:sz w:val="24"/>
                <w:szCs w:val="24"/>
                <w:spacing w:val="-3"/>
              </w:rPr>
              <w:t>自治区、直辖市人民政府环境保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护行政主管部门审查批准；未经批准，有关部门不得颁发许可证。</w:t>
            </w:r>
          </w:p>
          <w:p>
            <w:pPr>
              <w:spacing w:line="273"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7" w:firstLine="11"/>
              <w:spacing w:before="36"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第五十条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违反本法规定，未编制环境影响评价文件，或者环境影</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8"/>
              </w:rPr>
              <w:t>响评价文件未经环境保护行政主管部门批准，擅自进行建造、运行、</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生产和使用等活动的，由审批环境影响评价文</w:t>
            </w:r>
            <w:r>
              <w:rPr>
                <w:rFonts w:ascii="FangSong_GB2312" w:hAnsi="FangSong_GB2312" w:eastAsia="FangSong_GB2312" w:cs="FangSong_GB2312"/>
                <w:sz w:val="24"/>
                <w:szCs w:val="24"/>
                <w:spacing w:val="-3"/>
              </w:rPr>
              <w:t>件的环境保护行政主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管部门责令停止违法行为，限期补办手续或者</w:t>
            </w:r>
            <w:r>
              <w:rPr>
                <w:rFonts w:ascii="FangSong_GB2312" w:hAnsi="FangSong_GB2312" w:eastAsia="FangSong_GB2312" w:cs="FangSong_GB2312"/>
                <w:sz w:val="24"/>
                <w:szCs w:val="24"/>
                <w:spacing w:val="-3"/>
              </w:rPr>
              <w:t>恢复原状，并处一万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元以上二十万元以下罚款。</w:t>
            </w:r>
          </w:p>
        </w:tc>
      </w:tr>
      <w:tr>
        <w:trPr>
          <w:trHeight w:val="635" w:hRule="atLeast"/>
        </w:trPr>
        <w:tc>
          <w:tcPr>
            <w:tcW w:w="4170" w:type="dxa"/>
            <w:vAlign w:val="top"/>
            <w:gridSpan w:val="3"/>
          </w:tcPr>
          <w:p>
            <w:pPr>
              <w:ind w:left="152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579" w:hRule="atLeast"/>
        </w:trPr>
        <w:tc>
          <w:tcPr>
            <w:tcW w:w="1489"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509" w:right="144"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2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09" w:right="218" w:hanging="2"/>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项目，环境影响评价文件未</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经环境保护行政主管部门批</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准，擅自进行建造、运行、</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生产和使用等活动的</w:t>
            </w:r>
          </w:p>
        </w:tc>
        <w:tc>
          <w:tcPr>
            <w:tcW w:w="1146" w:type="dxa"/>
            <w:vAlign w:val="top"/>
          </w:tcPr>
          <w:p>
            <w:pPr>
              <w:spacing w:line="294" w:lineRule="auto"/>
              <w:rPr>
                <w:rFonts w:ascii="Arial"/>
                <w:sz w:val="21"/>
              </w:rPr>
            </w:pPr>
            <w:r/>
          </w:p>
          <w:p>
            <w:pPr>
              <w:spacing w:line="295"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1579"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09" w:right="147" w:hanging="2"/>
              <w:spacing w:before="41"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项目，环境影响评价文件未</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经环境保护行政主管部门批</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5"/>
              </w:rPr>
              <w:t>准,，擅自进行建造、运行、</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生产和使用等活动的</w:t>
            </w:r>
          </w:p>
        </w:tc>
        <w:tc>
          <w:tcPr>
            <w:tcW w:w="1146" w:type="dxa"/>
            <w:vAlign w:val="top"/>
          </w:tcPr>
          <w:p>
            <w:pPr>
              <w:spacing w:line="295" w:lineRule="auto"/>
              <w:rPr>
                <w:rFonts w:ascii="Arial"/>
                <w:sz w:val="21"/>
              </w:rPr>
            </w:pPr>
            <w:r/>
          </w:p>
          <w:p>
            <w:pPr>
              <w:spacing w:line="296" w:lineRule="auto"/>
              <w:rPr>
                <w:rFonts w:ascii="Arial"/>
                <w:sz w:val="21"/>
              </w:rPr>
            </w:pPr>
            <w:r/>
          </w:p>
          <w:p>
            <w:pPr>
              <w:ind w:left="17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0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未编制环境影响评价文件</w:t>
            </w:r>
          </w:p>
        </w:tc>
        <w:tc>
          <w:tcPr>
            <w:tcW w:w="1146" w:type="dxa"/>
            <w:vAlign w:val="top"/>
          </w:tcPr>
          <w:p>
            <w:pPr>
              <w:ind w:left="17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89" w:type="dxa"/>
            <w:vAlign w:val="top"/>
            <w:vMerge w:val="restart"/>
            <w:tcBorders>
              <w:bottom w:val="nil"/>
            </w:tcBorders>
          </w:tcPr>
          <w:p>
            <w:pPr>
              <w:spacing w:line="449"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6"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ind w:left="267" w:right="266"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6" w:right="233"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6" w:type="dxa"/>
            <w:vAlign w:val="top"/>
          </w:tcPr>
          <w:p>
            <w:pPr>
              <w:ind w:left="2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6" w:type="dxa"/>
            <w:vAlign w:val="top"/>
          </w:tcPr>
          <w:p>
            <w:pPr>
              <w:ind w:left="47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67" w:hRule="atLeast"/>
        </w:trPr>
        <w:tc>
          <w:tcPr>
            <w:tcW w:w="1489" w:type="dxa"/>
            <w:vAlign w:val="top"/>
          </w:tcPr>
          <w:p>
            <w:pPr>
              <w:ind w:left="149"/>
              <w:spacing w:before="11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889" w:type="dxa"/>
            <w:vAlign w:val="top"/>
          </w:tcPr>
          <w:p>
            <w:pPr>
              <w:ind w:left="216"/>
              <w:spacing w:before="11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92" w:type="dxa"/>
            <w:vAlign w:val="top"/>
          </w:tcPr>
          <w:p>
            <w:pPr>
              <w:ind w:left="222"/>
              <w:spacing w:before="11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0"/>
              <w:spacing w:before="11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11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67"/>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848" w:hRule="atLeast"/>
        </w:trPr>
        <w:tc>
          <w:tcPr>
            <w:tcW w:w="1480" w:type="dxa"/>
            <w:vAlign w:val="top"/>
          </w:tcPr>
          <w:p>
            <w:pPr>
              <w:ind w:left="509" w:right="135" w:hanging="365"/>
              <w:spacing w:before="4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889" w:type="dxa"/>
            <w:vAlign w:val="top"/>
          </w:tcPr>
          <w:p>
            <w:pPr>
              <w:ind w:left="836" w:right="224" w:hanging="600"/>
              <w:spacing w:before="4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92" w:type="dxa"/>
            <w:vAlign w:val="top"/>
          </w:tcPr>
          <w:p>
            <w:pPr>
              <w:rPr>
                <w:rFonts w:ascii="Arial"/>
                <w:sz w:val="21"/>
              </w:rPr>
            </w:pPr>
            <w:r/>
          </w:p>
        </w:tc>
        <w:tc>
          <w:tcPr>
            <w:tcW w:w="3201" w:type="dxa"/>
            <w:vAlign w:val="top"/>
          </w:tcPr>
          <w:p>
            <w:pPr>
              <w:ind w:left="136" w:right="209" w:hanging="20"/>
              <w:spacing w:before="14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3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68"/>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72"/>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185</w:t>
            </w:r>
          </w:p>
        </w:tc>
      </w:tr>
      <w:tr>
        <w:trPr>
          <w:trHeight w:val="665" w:hRule="atLeast"/>
        </w:trPr>
        <w:tc>
          <w:tcPr>
            <w:tcW w:w="1489"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61" w:right="15" w:hanging="5"/>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未建造放射性污染防治设施、放射防护设施，或者防治防护设施未</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经验收合格，主体工程即投入生产或者使用的</w:t>
            </w:r>
          </w:p>
        </w:tc>
      </w:tr>
      <w:tr>
        <w:trPr>
          <w:trHeight w:val="3498" w:hRule="atLeast"/>
        </w:trPr>
        <w:tc>
          <w:tcPr>
            <w:tcW w:w="148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2" w:right="118" w:firstLine="6"/>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第二十一条</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与核设施相配套的放射性污染防治设施，应当与主体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工程同时设计、同时施工、同时投入使用。</w:t>
            </w:r>
          </w:p>
          <w:p>
            <w:pPr>
              <w:ind w:left="61" w:right="15" w:hanging="4"/>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放射性污染防治设施应当与主体工程同时验收；验收合格的，主体</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2"/>
              </w:rPr>
              <w:t>工程方可投入生产或者使用。</w:t>
            </w:r>
          </w:p>
          <w:p>
            <w:pPr>
              <w:spacing w:line="273"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0" w:right="15" w:firstLine="18"/>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违反本法规定，未建造放射性污染防治设施、放射防</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rPr>
              <w:t>护设施，或者防治防护设施未经验收合格，主体工程即投</w:t>
            </w:r>
            <w:r>
              <w:rPr>
                <w:rFonts w:ascii="FangSong_GB2312" w:hAnsi="FangSong_GB2312" w:eastAsia="FangSong_GB2312" w:cs="FangSong_GB2312"/>
                <w:sz w:val="24"/>
                <w:szCs w:val="24"/>
                <w:spacing w:val="-1"/>
              </w:rPr>
              <w:t>入生产或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者使用的，由审批环境影响评价文件的环境保护行政主管</w:t>
            </w:r>
            <w:r>
              <w:rPr>
                <w:rFonts w:ascii="FangSong_GB2312" w:hAnsi="FangSong_GB2312" w:eastAsia="FangSong_GB2312" w:cs="FangSong_GB2312"/>
                <w:sz w:val="24"/>
                <w:szCs w:val="24"/>
                <w:spacing w:val="-1"/>
              </w:rPr>
              <w:t>部门责令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停止违法行为，限期改正，并处五万元以上二十万元以</w:t>
            </w:r>
            <w:r>
              <w:rPr>
                <w:rFonts w:ascii="FangSong_GB2312" w:hAnsi="FangSong_GB2312" w:eastAsia="FangSong_GB2312" w:cs="FangSong_GB2312"/>
                <w:sz w:val="24"/>
                <w:szCs w:val="24"/>
                <w:spacing w:val="-1"/>
              </w:rPr>
              <w:t>下罚款。</w:t>
            </w:r>
          </w:p>
        </w:tc>
      </w:tr>
      <w:tr>
        <w:trPr>
          <w:trHeight w:val="635" w:hRule="atLeast"/>
        </w:trPr>
        <w:tc>
          <w:tcPr>
            <w:tcW w:w="4170" w:type="dxa"/>
            <w:vAlign w:val="top"/>
            <w:gridSpan w:val="3"/>
          </w:tcPr>
          <w:p>
            <w:pPr>
              <w:ind w:left="152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9"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509" w:right="144"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39" w:lineRule="auto"/>
              <w:rPr>
                <w:rFonts w:ascii="Arial"/>
                <w:sz w:val="21"/>
              </w:rPr>
            </w:pPr>
            <w:r/>
          </w:p>
          <w:p>
            <w:pPr>
              <w:ind w:left="218"/>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建设项目类型</w:t>
            </w:r>
          </w:p>
        </w:tc>
        <w:tc>
          <w:tcPr>
            <w:tcW w:w="792" w:type="dxa"/>
            <w:vAlign w:val="top"/>
            <w:vMerge w:val="restart"/>
            <w:tcBorders>
              <w:bottom w:val="nil"/>
            </w:tcBorders>
          </w:tcPr>
          <w:p>
            <w:pPr>
              <w:spacing w:line="439"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09" w:right="218"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填报环境影响报告表的建设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146" w:type="dxa"/>
            <w:vAlign w:val="top"/>
          </w:tcPr>
          <w:p>
            <w:pPr>
              <w:ind w:left="23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09" w:right="218" w:hanging="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编制环境影响报告书的建设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项目</w:t>
            </w:r>
          </w:p>
        </w:tc>
        <w:tc>
          <w:tcPr>
            <w:tcW w:w="1146" w:type="dxa"/>
            <w:vAlign w:val="top"/>
          </w:tcPr>
          <w:p>
            <w:pPr>
              <w:ind w:left="17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264" w:hRule="atLeast"/>
        </w:trPr>
        <w:tc>
          <w:tcPr>
            <w:tcW w:w="1489" w:type="dxa"/>
            <w:vAlign w:val="top"/>
            <w:vMerge w:val="continue"/>
            <w:tcBorders>
              <w:top w:val="nil"/>
              <w:bottom w:val="nil"/>
            </w:tcBorders>
          </w:tcPr>
          <w:p>
            <w:pPr>
              <w:rPr>
                <w:rFonts w:ascii="Arial"/>
                <w:sz w:val="21"/>
              </w:rPr>
            </w:pPr>
            <w:r/>
          </w:p>
        </w:tc>
        <w:tc>
          <w:tcPr>
            <w:tcW w:w="1889"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10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01" w:right="218"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环境保护设施已建成但未经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验收或者经验收不合格，主</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体工程即投入生产或者使用</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rPr>
              <w:t>的</w:t>
            </w:r>
          </w:p>
        </w:tc>
        <w:tc>
          <w:tcPr>
            <w:tcW w:w="1146" w:type="dxa"/>
            <w:vAlign w:val="top"/>
          </w:tcPr>
          <w:p>
            <w:pPr>
              <w:spacing w:line="43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2" w:right="218"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环境保护设施未建成，主体</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工程即投入生产或者使用的</w:t>
            </w:r>
          </w:p>
        </w:tc>
        <w:tc>
          <w:tcPr>
            <w:tcW w:w="1146" w:type="dxa"/>
            <w:vAlign w:val="top"/>
          </w:tcPr>
          <w:p>
            <w:pPr>
              <w:ind w:left="17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9" w:type="dxa"/>
            <w:vAlign w:val="top"/>
            <w:vMerge w:val="restart"/>
            <w:tcBorders>
              <w:bottom w:val="nil"/>
            </w:tcBorders>
          </w:tcPr>
          <w:p>
            <w:pPr>
              <w:spacing w:line="449"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3" w:lineRule="auto"/>
              <w:rPr>
                <w:rFonts w:ascii="Arial"/>
                <w:sz w:val="21"/>
              </w:rPr>
            </w:pPr>
            <w:r/>
          </w:p>
          <w:p>
            <w:pPr>
              <w:ind w:left="826" w:right="23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spacing w:line="443"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288" w:lineRule="auto"/>
              <w:rPr>
                <w:rFonts w:ascii="Arial"/>
                <w:sz w:val="21"/>
              </w:rPr>
            </w:pPr>
            <w:r/>
          </w:p>
          <w:p>
            <w:pPr>
              <w:ind w:left="703" w:right="233" w:hanging="487"/>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是否及时进行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整改</w:t>
            </w:r>
          </w:p>
        </w:tc>
        <w:tc>
          <w:tcPr>
            <w:tcW w:w="792" w:type="dxa"/>
            <w:vAlign w:val="top"/>
            <w:vMerge w:val="restart"/>
            <w:tcBorders>
              <w:bottom w:val="nil"/>
            </w:tcBorders>
          </w:tcPr>
          <w:p>
            <w:pPr>
              <w:spacing w:line="443"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6" w:type="dxa"/>
            <w:vAlign w:val="top"/>
          </w:tcPr>
          <w:p>
            <w:pPr>
              <w:ind w:left="47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1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6" w:type="dxa"/>
            <w:vAlign w:val="top"/>
          </w:tcPr>
          <w:p>
            <w:pPr>
              <w:ind w:left="29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2"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6" w:type="dxa"/>
            <w:vAlign w:val="top"/>
          </w:tcPr>
          <w:p>
            <w:pPr>
              <w:ind w:left="22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bl>
    <w:p>
      <w:pPr>
        <w:pStyle w:val="BodyText"/>
        <w:rPr/>
      </w:pPr>
      <w:r/>
    </w:p>
    <w:p>
      <w:pPr>
        <w:sectPr>
          <w:footerReference w:type="default" r:id="rId369"/>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24" w:hRule="atLeast"/>
        </w:trPr>
        <w:tc>
          <w:tcPr>
            <w:tcW w:w="1480" w:type="dxa"/>
            <w:vAlign w:val="top"/>
            <w:vMerge w:val="restart"/>
            <w:tcBorders>
              <w:bottom w:val="nil"/>
            </w:tcBorders>
          </w:tcPr>
          <w:p>
            <w:pPr>
              <w:ind w:left="267" w:right="257" w:firstLine="7"/>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4" w:hanging="480"/>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63" w:hRule="atLeast"/>
        </w:trPr>
        <w:tc>
          <w:tcPr>
            <w:tcW w:w="1480" w:type="dxa"/>
            <w:vAlign w:val="top"/>
            <w:vMerge w:val="restart"/>
            <w:tcBorders>
              <w:bottom w:val="nil"/>
            </w:tcBorders>
          </w:tcPr>
          <w:p>
            <w:pPr>
              <w:ind w:left="149"/>
              <w:spacing w:before="11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1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53"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11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1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70"/>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72"/>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186</w:t>
            </w:r>
          </w:p>
        </w:tc>
      </w:tr>
      <w:tr>
        <w:trPr>
          <w:trHeight w:val="664" w:hRule="atLeast"/>
        </w:trPr>
        <w:tc>
          <w:tcPr>
            <w:tcW w:w="1489"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54" w:right="15" w:firstLine="17"/>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生产、销售、使用、转让、进</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3"/>
              </w:rPr>
              <w:t>口、贮存放射性同位素和射线装置以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及装备有放射性同位素的仪表的</w:t>
            </w:r>
          </w:p>
        </w:tc>
      </w:tr>
      <w:tr>
        <w:trPr>
          <w:trHeight w:val="5388" w:hRule="atLeast"/>
        </w:trPr>
        <w:tc>
          <w:tcPr>
            <w:tcW w:w="1489"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9"/>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生产、销售、使用放射性同位素和射线装置的单</w:t>
            </w:r>
            <w:r>
              <w:rPr>
                <w:rFonts w:ascii="FangSong_GB2312" w:hAnsi="FangSong_GB2312" w:eastAsia="FangSong_GB2312" w:cs="FangSong_GB2312"/>
                <w:sz w:val="24"/>
                <w:szCs w:val="24"/>
                <w:spacing w:val="-2"/>
              </w:rPr>
              <w:t>位，</w:t>
            </w:r>
          </w:p>
          <w:p>
            <w:pPr>
              <w:ind w:left="49" w:right="15" w:firstLine="13"/>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应当按照国务院有关放射性同位素与射线装置放射防护的规定申请</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领取许可证，办理登记手续。</w:t>
            </w:r>
          </w:p>
          <w:p>
            <w:pPr>
              <w:ind w:left="67" w:right="15" w:firstLine="1"/>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转让、进口放射性同位素和射线装置的单位以及装备有放射性同位</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素的仪表的单位，应当按照国务院有关放射性同位素与射线装置放</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射防护的规定办理有关手续。</w:t>
            </w:r>
          </w:p>
          <w:p>
            <w:pPr>
              <w:spacing w:line="269" w:lineRule="auto"/>
              <w:rPr>
                <w:rFonts w:ascii="Arial"/>
                <w:sz w:val="21"/>
              </w:rPr>
            </w:pPr>
            <w:r/>
          </w:p>
          <w:p>
            <w:pPr>
              <w:ind w:left="66"/>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4" w:right="15" w:firstLine="15"/>
              <w:spacing w:before="34" w:line="23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第五十三条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违反本法规定，生产、销售、使用、转让、进</w:t>
            </w:r>
            <w:r>
              <w:rPr>
                <w:rFonts w:ascii="FangSong_GB2312" w:hAnsi="FangSong_GB2312" w:eastAsia="FangSong_GB2312" w:cs="FangSong_GB2312"/>
                <w:sz w:val="24"/>
                <w:szCs w:val="24"/>
                <w:spacing w:val="-66"/>
              </w:rPr>
              <w:t xml:space="preserve"> </w:t>
            </w:r>
            <w:r>
              <w:rPr>
                <w:rFonts w:ascii="FangSong_GB2312" w:hAnsi="FangSong_GB2312" w:eastAsia="FangSong_GB2312" w:cs="FangSong_GB2312"/>
                <w:sz w:val="24"/>
                <w:szCs w:val="24"/>
                <w:spacing w:val="-3"/>
              </w:rPr>
              <w:t>口、贮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存放射性同位素和射线装置以及装备有放射性同</w:t>
            </w:r>
            <w:r>
              <w:rPr>
                <w:rFonts w:ascii="FangSong_GB2312" w:hAnsi="FangSong_GB2312" w:eastAsia="FangSong_GB2312" w:cs="FangSong_GB2312"/>
                <w:sz w:val="24"/>
                <w:szCs w:val="24"/>
                <w:spacing w:val="-1"/>
              </w:rPr>
              <w:t>位素的仪表的，由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县级以上人民政府环境保护行政主管部门或者其</w:t>
            </w:r>
            <w:r>
              <w:rPr>
                <w:rFonts w:ascii="FangSong_GB2312" w:hAnsi="FangSong_GB2312" w:eastAsia="FangSong_GB2312" w:cs="FangSong_GB2312"/>
                <w:sz w:val="24"/>
                <w:szCs w:val="24"/>
                <w:spacing w:val="-1"/>
              </w:rPr>
              <w:t>他有关部门依据职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权责令停止违法行为，限期改正；逾期不改正的</w:t>
            </w:r>
            <w:r>
              <w:rPr>
                <w:rFonts w:ascii="FangSong_GB2312" w:hAnsi="FangSong_GB2312" w:eastAsia="FangSong_GB2312" w:cs="FangSong_GB2312"/>
                <w:sz w:val="24"/>
                <w:szCs w:val="24"/>
                <w:spacing w:val="-1"/>
              </w:rPr>
              <w:t>，责令停产停业或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者吊销许可证；有违法所得的，没收违法所得；</w:t>
            </w:r>
            <w:r>
              <w:rPr>
                <w:rFonts w:ascii="FangSong_GB2312" w:hAnsi="FangSong_GB2312" w:eastAsia="FangSong_GB2312" w:cs="FangSong_GB2312"/>
                <w:sz w:val="24"/>
                <w:szCs w:val="24"/>
                <w:spacing w:val="-1"/>
              </w:rPr>
              <w:t>违法所得十万元以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上的，并处违法所得一倍以上五倍以下罚款；没</w:t>
            </w:r>
            <w:r>
              <w:rPr>
                <w:rFonts w:ascii="FangSong_GB2312" w:hAnsi="FangSong_GB2312" w:eastAsia="FangSong_GB2312" w:cs="FangSong_GB2312"/>
                <w:sz w:val="24"/>
                <w:szCs w:val="24"/>
                <w:spacing w:val="-1"/>
              </w:rPr>
              <w:t>有违法所得或者违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法所得不足十万元的，并处一万元以上十万元以</w:t>
            </w:r>
            <w:r>
              <w:rPr>
                <w:rFonts w:ascii="FangSong_GB2312" w:hAnsi="FangSong_GB2312" w:eastAsia="FangSong_GB2312" w:cs="FangSong_GB2312"/>
                <w:sz w:val="24"/>
                <w:szCs w:val="24"/>
                <w:spacing w:val="-1"/>
              </w:rPr>
              <w:t>下罚款；构成犯罪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的，依法追究刑事责任。</w:t>
            </w:r>
          </w:p>
        </w:tc>
      </w:tr>
      <w:tr>
        <w:trPr>
          <w:trHeight w:val="635" w:hRule="atLeast"/>
        </w:trPr>
        <w:tc>
          <w:tcPr>
            <w:tcW w:w="4170" w:type="dxa"/>
            <w:vAlign w:val="top"/>
            <w:gridSpan w:val="3"/>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9" w:type="dxa"/>
            <w:vAlign w:val="top"/>
            <w:vMerge w:val="restart"/>
            <w:tcBorders>
              <w:bottom w:val="nil"/>
            </w:tcBorders>
          </w:tcPr>
          <w:p>
            <w:pPr>
              <w:spacing w:line="448" w:lineRule="auto"/>
              <w:rPr>
                <w:rFonts w:ascii="Arial"/>
                <w:sz w:val="21"/>
              </w:rPr>
            </w:pPr>
            <w:r/>
          </w:p>
          <w:p>
            <w:pPr>
              <w:ind w:left="509" w:right="144"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ind w:left="2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没有违法所得的</w:t>
            </w:r>
          </w:p>
        </w:tc>
        <w:tc>
          <w:tcPr>
            <w:tcW w:w="1146"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违法所得不足</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万元的</w:t>
            </w:r>
          </w:p>
        </w:tc>
        <w:tc>
          <w:tcPr>
            <w:tcW w:w="1146" w:type="dxa"/>
            <w:vAlign w:val="top"/>
          </w:tcPr>
          <w:p>
            <w:pPr>
              <w:ind w:left="1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21%-50%</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right="218"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违法所得</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万元以上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元以下的</w:t>
            </w:r>
          </w:p>
        </w:tc>
        <w:tc>
          <w:tcPr>
            <w:tcW w:w="1146" w:type="dxa"/>
            <w:vAlign w:val="top"/>
          </w:tcPr>
          <w:p>
            <w:pPr>
              <w:ind w:left="23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违法所得</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万元以上的</w:t>
            </w:r>
          </w:p>
        </w:tc>
        <w:tc>
          <w:tcPr>
            <w:tcW w:w="1146" w:type="dxa"/>
            <w:vAlign w:val="top"/>
          </w:tcPr>
          <w:p>
            <w:pPr>
              <w:ind w:left="1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21%-50%</w:t>
            </w:r>
          </w:p>
        </w:tc>
      </w:tr>
      <w:tr>
        <w:trPr>
          <w:trHeight w:val="320" w:hRule="atLeast"/>
        </w:trPr>
        <w:tc>
          <w:tcPr>
            <w:tcW w:w="1489" w:type="dxa"/>
            <w:vAlign w:val="top"/>
            <w:vMerge w:val="restart"/>
            <w:tcBorders>
              <w:bottom w:val="nil"/>
            </w:tcBorders>
          </w:tcPr>
          <w:p>
            <w:pPr>
              <w:spacing w:line="449"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ind w:left="267" w:right="266"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6" w:right="233"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7"/>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6"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6" w:type="dxa"/>
            <w:vAlign w:val="top"/>
          </w:tcPr>
          <w:p>
            <w:pPr>
              <w:ind w:left="47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67" w:hRule="atLeast"/>
        </w:trPr>
        <w:tc>
          <w:tcPr>
            <w:tcW w:w="1489" w:type="dxa"/>
            <w:vAlign w:val="top"/>
          </w:tcPr>
          <w:p>
            <w:pPr>
              <w:ind w:left="149"/>
              <w:spacing w:before="11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889" w:type="dxa"/>
            <w:vAlign w:val="top"/>
          </w:tcPr>
          <w:p>
            <w:pPr>
              <w:ind w:left="216"/>
              <w:spacing w:before="11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92" w:type="dxa"/>
            <w:vAlign w:val="top"/>
          </w:tcPr>
          <w:p>
            <w:pPr>
              <w:ind w:left="222"/>
              <w:spacing w:before="11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0"/>
              <w:spacing w:before="11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11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71"/>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639" w:hRule="atLeast"/>
        </w:trPr>
        <w:tc>
          <w:tcPr>
            <w:tcW w:w="1480" w:type="dxa"/>
            <w:vAlign w:val="top"/>
          </w:tcPr>
          <w:p>
            <w:pPr>
              <w:ind w:left="509" w:right="135" w:hanging="3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889" w:type="dxa"/>
            <w:vAlign w:val="top"/>
          </w:tcPr>
          <w:p>
            <w:pPr>
              <w:ind w:left="836" w:right="224"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92" w:type="dxa"/>
            <w:vAlign w:val="top"/>
          </w:tcPr>
          <w:p>
            <w:pPr>
              <w:rPr>
                <w:rFonts w:ascii="Arial"/>
                <w:sz w:val="21"/>
              </w:rPr>
            </w:pPr>
            <w:r/>
          </w:p>
        </w:tc>
        <w:tc>
          <w:tcPr>
            <w:tcW w:w="3201" w:type="dxa"/>
            <w:vAlign w:val="top"/>
          </w:tcPr>
          <w:p>
            <w:pPr>
              <w:ind w:left="136"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72"/>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8"/>
        <w:gridCol w:w="1889"/>
        <w:gridCol w:w="792"/>
        <w:gridCol w:w="3201"/>
        <w:gridCol w:w="1147"/>
      </w:tblGrid>
      <w:tr>
        <w:trPr>
          <w:trHeight w:val="738" w:hRule="atLeast"/>
        </w:trPr>
        <w:tc>
          <w:tcPr>
            <w:tcW w:w="8517" w:type="dxa"/>
            <w:vAlign w:val="top"/>
            <w:gridSpan w:val="5"/>
          </w:tcPr>
          <w:p>
            <w:pPr>
              <w:ind w:left="297"/>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733" w:hRule="atLeast"/>
        </w:trPr>
        <w:tc>
          <w:tcPr>
            <w:tcW w:w="1488" w:type="dxa"/>
            <w:vAlign w:val="top"/>
          </w:tcPr>
          <w:p>
            <w:pPr>
              <w:ind w:left="486"/>
              <w:spacing w:before="22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9" w:type="dxa"/>
            <w:vAlign w:val="top"/>
            <w:gridSpan w:val="4"/>
          </w:tcPr>
          <w:p>
            <w:pPr>
              <w:ind w:left="3373"/>
              <w:spacing w:before="27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187</w:t>
            </w:r>
          </w:p>
        </w:tc>
      </w:tr>
      <w:tr>
        <w:trPr>
          <w:trHeight w:val="664" w:hRule="atLeast"/>
        </w:trPr>
        <w:tc>
          <w:tcPr>
            <w:tcW w:w="1488"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9" w:type="dxa"/>
            <w:vAlign w:val="top"/>
            <w:gridSpan w:val="4"/>
          </w:tcPr>
          <w:p>
            <w:pPr>
              <w:ind w:left="66" w:hanging="9"/>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未建造尾矿库或者不按照放射性污染防治的要求建造尾矿库，贮存、</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3"/>
              </w:rPr>
              <w:t>处置铀（钍）矿和伴生放射性矿的尾矿的</w:t>
            </w:r>
          </w:p>
        </w:tc>
      </w:tr>
      <w:tr>
        <w:trPr>
          <w:trHeight w:val="4128" w:hRule="atLeast"/>
        </w:trPr>
        <w:tc>
          <w:tcPr>
            <w:tcW w:w="1488"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9" w:type="dxa"/>
            <w:vAlign w:val="top"/>
            <w:gridSpan w:val="4"/>
          </w:tcPr>
          <w:p>
            <w:pPr>
              <w:ind w:left="73"/>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3" w:right="15" w:firstLine="6"/>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对铀（钍）矿和伴生放射性矿开发利用过程中产</w:t>
            </w:r>
            <w:r>
              <w:rPr>
                <w:rFonts w:ascii="FangSong_GB2312" w:hAnsi="FangSong_GB2312" w:eastAsia="FangSong_GB2312" w:cs="FangSong_GB2312"/>
                <w:sz w:val="24"/>
                <w:szCs w:val="24"/>
                <w:spacing w:val="-2"/>
              </w:rPr>
              <w:t>生的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尾矿，应当建造尾矿库进行贮存、处置；建造的尾矿库应当符合放</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射性污染防治的要求。</w:t>
            </w:r>
          </w:p>
          <w:p>
            <w:pPr>
              <w:spacing w:line="273" w:lineRule="auto"/>
              <w:rPr>
                <w:rFonts w:ascii="Arial"/>
                <w:sz w:val="21"/>
              </w:rPr>
            </w:pPr>
            <w:r/>
          </w:p>
          <w:p>
            <w:pPr>
              <w:ind w:left="6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9" w:right="15" w:firstLine="10"/>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w:t>
            </w:r>
            <w:r>
              <w:rPr>
                <w:rFonts w:ascii="FangSong_GB2312" w:hAnsi="FangSong_GB2312" w:eastAsia="FangSong_GB2312" w:cs="FangSong_GB2312"/>
                <w:sz w:val="24"/>
                <w:szCs w:val="24"/>
                <w:spacing w:val="-2"/>
              </w:rPr>
              <w:t>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政府环境保护行政主管部门责令停止违法行为，限期改正，处以罚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款；构成犯罪的，依法追究刑事责任：</w:t>
            </w:r>
          </w:p>
          <w:p>
            <w:pPr>
              <w:ind w:left="63" w:hanging="10"/>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（一）未建造尾矿库或者不按照放射性污染防治的要求建造尾矿库，</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3"/>
              </w:rPr>
              <w:t>贮存、处置铀（钍）矿和伴生放射性矿的尾矿的；</w:t>
            </w:r>
          </w:p>
          <w:p>
            <w:pPr>
              <w:ind w:left="72" w:right="15" w:hanging="9"/>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有前款第（一）项、第（二）项、第（三）项、第（五）项行为之</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一的，处十万元以上二十万元以下罚款；</w:t>
            </w:r>
          </w:p>
        </w:tc>
      </w:tr>
      <w:tr>
        <w:trPr>
          <w:trHeight w:val="635" w:hRule="atLeast"/>
        </w:trPr>
        <w:tc>
          <w:tcPr>
            <w:tcW w:w="4169" w:type="dxa"/>
            <w:vAlign w:val="top"/>
            <w:gridSpan w:val="3"/>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8" w:type="dxa"/>
            <w:vAlign w:val="top"/>
            <w:gridSpan w:val="2"/>
          </w:tcPr>
          <w:p>
            <w:pPr>
              <w:ind w:left="1626"/>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8"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5"/>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4" w:right="181"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2"/>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7" w:type="dxa"/>
            <w:vAlign w:val="top"/>
          </w:tcPr>
          <w:p>
            <w:pPr>
              <w:ind w:left="25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8" w:type="dxa"/>
            <w:vAlign w:val="top"/>
            <w:vMerge w:val="restart"/>
            <w:tcBorders>
              <w:bottom w:val="nil"/>
            </w:tcBorders>
          </w:tcPr>
          <w:p>
            <w:pPr>
              <w:ind w:left="509" w:right="143" w:hanging="360"/>
              <w:spacing w:before="20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84" w:lineRule="auto"/>
              <w:rPr>
                <w:rFonts w:ascii="Arial"/>
                <w:sz w:val="21"/>
              </w:rPr>
            </w:pPr>
            <w:r/>
          </w:p>
          <w:p>
            <w:pPr>
              <w:ind w:left="22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84"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8" w:right="217" w:firstLine="3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已建造尾矿库，但未按照要</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0"/>
              </w:rPr>
              <w:t>求的</w:t>
            </w:r>
          </w:p>
        </w:tc>
        <w:tc>
          <w:tcPr>
            <w:tcW w:w="1147" w:type="dxa"/>
            <w:vAlign w:val="top"/>
          </w:tcPr>
          <w:p>
            <w:pPr>
              <w:ind w:left="23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0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未建造尾矿库的</w:t>
            </w:r>
          </w:p>
        </w:tc>
        <w:tc>
          <w:tcPr>
            <w:tcW w:w="1147" w:type="dxa"/>
            <w:vAlign w:val="top"/>
          </w:tcPr>
          <w:p>
            <w:pPr>
              <w:ind w:left="16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8" w:type="dxa"/>
            <w:vAlign w:val="top"/>
            <w:vMerge w:val="restart"/>
            <w:tcBorders>
              <w:bottom w:val="nil"/>
            </w:tcBorders>
          </w:tcPr>
          <w:p>
            <w:pPr>
              <w:spacing w:line="448"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27" w:right="23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7" w:type="dxa"/>
            <w:vAlign w:val="top"/>
          </w:tcPr>
          <w:p>
            <w:pPr>
              <w:ind w:left="4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7" w:type="dxa"/>
            <w:vAlign w:val="top"/>
          </w:tcPr>
          <w:p>
            <w:pPr>
              <w:ind w:left="4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7" w:type="dxa"/>
            <w:vAlign w:val="top"/>
          </w:tcPr>
          <w:p>
            <w:pPr>
              <w:ind w:left="4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7" w:type="dxa"/>
            <w:vAlign w:val="top"/>
          </w:tcPr>
          <w:p>
            <w:pPr>
              <w:ind w:left="40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8" w:type="dxa"/>
            <w:vAlign w:val="top"/>
            <w:vMerge w:val="restart"/>
            <w:tcBorders>
              <w:bottom w:val="nil"/>
            </w:tcBorders>
          </w:tcPr>
          <w:p>
            <w:pPr>
              <w:spacing w:line="444"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2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7" w:type="dxa"/>
            <w:vAlign w:val="top"/>
          </w:tcPr>
          <w:p>
            <w:pPr>
              <w:ind w:left="4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right="2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7" w:type="dxa"/>
            <w:vAlign w:val="top"/>
          </w:tcPr>
          <w:p>
            <w:pPr>
              <w:ind w:left="29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7" w:type="dxa"/>
            <w:vAlign w:val="top"/>
          </w:tcPr>
          <w:p>
            <w:pPr>
              <w:ind w:left="2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8" w:type="dxa"/>
            <w:vAlign w:val="top"/>
            <w:vMerge w:val="restart"/>
            <w:tcBorders>
              <w:bottom w:val="nil"/>
            </w:tcBorders>
          </w:tcPr>
          <w:p>
            <w:pPr>
              <w:ind w:left="267" w:right="26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7" w:right="23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8"/>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7" w:type="dxa"/>
            <w:vAlign w:val="top"/>
          </w:tcPr>
          <w:p>
            <w:pPr>
              <w:ind w:left="2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7" w:type="dxa"/>
            <w:vAlign w:val="top"/>
          </w:tcPr>
          <w:p>
            <w:pPr>
              <w:ind w:left="4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56" w:hRule="atLeast"/>
        </w:trPr>
        <w:tc>
          <w:tcPr>
            <w:tcW w:w="1488" w:type="dxa"/>
            <w:vAlign w:val="top"/>
          </w:tcPr>
          <w:p>
            <w:pPr>
              <w:ind w:left="149"/>
              <w:spacing w:before="10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5"/>
                <w:w w:val="97"/>
              </w:rPr>
              <w:t>对社会影响或</w:t>
            </w:r>
          </w:p>
        </w:tc>
        <w:tc>
          <w:tcPr>
            <w:tcW w:w="1889" w:type="dxa"/>
            <w:vAlign w:val="top"/>
          </w:tcPr>
          <w:p>
            <w:pPr>
              <w:ind w:left="118"/>
              <w:spacing w:before="10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p>
        </w:tc>
        <w:tc>
          <w:tcPr>
            <w:tcW w:w="792" w:type="dxa"/>
            <w:vAlign w:val="top"/>
          </w:tcPr>
          <w:p>
            <w:pPr>
              <w:ind w:left="223"/>
              <w:spacing w:before="1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1"/>
              <w:spacing w:before="10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7" w:type="dxa"/>
            <w:vAlign w:val="top"/>
          </w:tcPr>
          <w:p>
            <w:pPr>
              <w:ind w:left="243"/>
              <w:spacing w:before="1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73"/>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93" w:hRule="atLeast"/>
        </w:trPr>
        <w:tc>
          <w:tcPr>
            <w:tcW w:w="1480" w:type="dxa"/>
            <w:vAlign w:val="top"/>
          </w:tcPr>
          <w:p>
            <w:pPr>
              <w:ind w:left="159"/>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7"/>
                <w:w w:val="97"/>
              </w:rPr>
              <w:t>生态破坏程度</w:t>
            </w:r>
          </w:p>
        </w:tc>
        <w:tc>
          <w:tcPr>
            <w:tcW w:w="1889" w:type="dxa"/>
            <w:vAlign w:val="top"/>
          </w:tcPr>
          <w:p>
            <w:pPr>
              <w:ind w:left="356"/>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0"/>
              </w:rPr>
              <w:t>响或生态破坏</w:t>
            </w:r>
          </w:p>
        </w:tc>
        <w:tc>
          <w:tcPr>
            <w:tcW w:w="792" w:type="dxa"/>
            <w:vAlign w:val="top"/>
          </w:tcPr>
          <w:p>
            <w:pPr>
              <w:rPr>
                <w:rFonts w:ascii="Arial"/>
                <w:sz w:val="21"/>
              </w:rPr>
            </w:pPr>
            <w:r/>
          </w:p>
        </w:tc>
        <w:tc>
          <w:tcPr>
            <w:tcW w:w="3201" w:type="dxa"/>
            <w:vAlign w:val="top"/>
          </w:tcPr>
          <w:p>
            <w:pPr>
              <w:ind w:left="116"/>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2"/>
              </w:rPr>
              <w:t>未造成社会影响与生态破坏的</w:t>
            </w:r>
          </w:p>
        </w:tc>
        <w:tc>
          <w:tcPr>
            <w:tcW w:w="1155" w:type="dxa"/>
            <w:vAlign w:val="top"/>
          </w:tcPr>
          <w:p>
            <w:pPr>
              <w:ind w:left="481"/>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74"/>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2"/>
        <w:gridCol w:w="1844"/>
        <w:gridCol w:w="792"/>
        <w:gridCol w:w="3201"/>
        <w:gridCol w:w="1155"/>
      </w:tblGrid>
      <w:tr>
        <w:trPr>
          <w:trHeight w:val="738" w:hRule="atLeast"/>
        </w:trPr>
        <w:tc>
          <w:tcPr>
            <w:tcW w:w="8424" w:type="dxa"/>
            <w:vAlign w:val="top"/>
            <w:gridSpan w:val="5"/>
          </w:tcPr>
          <w:p>
            <w:pPr>
              <w:ind w:left="210"/>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733" w:hRule="atLeast"/>
        </w:trPr>
        <w:tc>
          <w:tcPr>
            <w:tcW w:w="1432" w:type="dxa"/>
            <w:vAlign w:val="top"/>
          </w:tcPr>
          <w:p>
            <w:pPr>
              <w:ind w:left="440"/>
              <w:spacing w:before="22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6992" w:type="dxa"/>
            <w:vAlign w:val="top"/>
            <w:gridSpan w:val="4"/>
          </w:tcPr>
          <w:p>
            <w:pPr>
              <w:ind w:left="3335"/>
              <w:spacing w:before="27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188</w:t>
            </w:r>
          </w:p>
        </w:tc>
      </w:tr>
      <w:tr>
        <w:trPr>
          <w:trHeight w:val="664" w:hRule="atLeast"/>
        </w:trPr>
        <w:tc>
          <w:tcPr>
            <w:tcW w:w="1432" w:type="dxa"/>
            <w:vAlign w:val="top"/>
          </w:tcPr>
          <w:p>
            <w:pPr>
              <w:ind w:left="165"/>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6992" w:type="dxa"/>
            <w:vAlign w:val="top"/>
            <w:gridSpan w:val="4"/>
          </w:tcPr>
          <w:p>
            <w:pPr>
              <w:ind w:left="48"/>
              <w:spacing w:before="21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向环境排放不得排放的放射性废气、废液的</w:t>
            </w:r>
          </w:p>
        </w:tc>
      </w:tr>
      <w:tr>
        <w:trPr>
          <w:trHeight w:val="3498" w:hRule="atLeast"/>
        </w:trPr>
        <w:tc>
          <w:tcPr>
            <w:tcW w:w="1432"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7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6992" w:type="dxa"/>
            <w:vAlign w:val="top"/>
            <w:gridSpan w:val="4"/>
          </w:tcPr>
          <w:p>
            <w:pPr>
              <w:ind w:left="35"/>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27" w:right="131" w:firstLine="4"/>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第四十条</w:t>
            </w:r>
            <w:r>
              <w:rPr>
                <w:rFonts w:ascii="FangSong_GB2312" w:hAnsi="FangSong_GB2312" w:eastAsia="FangSong_GB2312" w:cs="FangSong_GB2312"/>
                <w:sz w:val="24"/>
                <w:szCs w:val="24"/>
                <w:spacing w:val="56"/>
              </w:rPr>
              <w:t xml:space="preserve"> </w:t>
            </w:r>
            <w:r>
              <w:rPr>
                <w:rFonts w:ascii="FangSong_GB2312" w:hAnsi="FangSong_GB2312" w:eastAsia="FangSong_GB2312" w:cs="FangSong_GB2312"/>
                <w:sz w:val="24"/>
                <w:szCs w:val="24"/>
                <w:spacing w:val="-3"/>
              </w:rPr>
              <w:t>向环境排放放射性废气、废液，必须符合国家放射性污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染防治标准。</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21" w:right="16" w:firstLine="10"/>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违反本法规定，有下列行为之一的，由县级以上</w:t>
            </w:r>
            <w:r>
              <w:rPr>
                <w:rFonts w:ascii="FangSong_GB2312" w:hAnsi="FangSong_GB2312" w:eastAsia="FangSong_GB2312" w:cs="FangSong_GB2312"/>
                <w:sz w:val="24"/>
                <w:szCs w:val="24"/>
                <w:spacing w:val="-2"/>
              </w:rPr>
              <w:t>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政府环境保护行政主管部门责令停止违法行为，限期改正，处以罚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款；构成犯罪的，依法追究刑事责任：</w:t>
            </w:r>
          </w:p>
          <w:p>
            <w:pPr>
              <w:ind w:left="15"/>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（二）向环境排放不得排放的放射性废气、废液的；</w:t>
            </w:r>
          </w:p>
          <w:p>
            <w:pPr>
              <w:ind w:left="34" w:right="16" w:hanging="9"/>
              <w:spacing w:before="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有前款第（一）项、第（二）项、第（三）项、第（五）项行为之</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一的，处十万元以上二十万元以下罚款；</w:t>
            </w:r>
          </w:p>
        </w:tc>
      </w:tr>
      <w:tr>
        <w:trPr>
          <w:trHeight w:val="635" w:hRule="atLeast"/>
        </w:trPr>
        <w:tc>
          <w:tcPr>
            <w:tcW w:w="4068" w:type="dxa"/>
            <w:vAlign w:val="top"/>
            <w:gridSpan w:val="3"/>
          </w:tcPr>
          <w:p>
            <w:pPr>
              <w:ind w:left="148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6" w:type="dxa"/>
            <w:vAlign w:val="top"/>
            <w:gridSpan w:val="2"/>
          </w:tcPr>
          <w:p>
            <w:pPr>
              <w:ind w:left="1636"/>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32" w:type="dxa"/>
            <w:vAlign w:val="top"/>
          </w:tcPr>
          <w:p>
            <w:pPr>
              <w:ind w:left="489"/>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44" w:type="dxa"/>
            <w:vAlign w:val="top"/>
          </w:tcPr>
          <w:p>
            <w:pPr>
              <w:ind w:left="491"/>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5" w:type="dxa"/>
            <w:vAlign w:val="top"/>
          </w:tcPr>
          <w:p>
            <w:pPr>
              <w:ind w:left="261"/>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32" w:type="dxa"/>
            <w:vAlign w:val="top"/>
          </w:tcPr>
          <w:p>
            <w:pPr>
              <w:ind w:left="484" w:right="111" w:hanging="36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44" w:type="dxa"/>
            <w:vAlign w:val="top"/>
          </w:tcPr>
          <w:p>
            <w:pPr>
              <w:ind w:left="210"/>
              <w:spacing w:before="19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tcPr>
          <w:p>
            <w:pPr>
              <w:ind w:left="23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9" w:right="210" w:firstLine="2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向环境排放不得排放的放射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3"/>
              </w:rPr>
              <w:t>性废气、废液的</w:t>
            </w:r>
          </w:p>
        </w:tc>
        <w:tc>
          <w:tcPr>
            <w:tcW w:w="1155" w:type="dxa"/>
            <w:vAlign w:val="top"/>
          </w:tcPr>
          <w:p>
            <w:pPr>
              <w:ind w:left="23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1%-40%</w:t>
            </w:r>
          </w:p>
        </w:tc>
      </w:tr>
      <w:tr>
        <w:trPr>
          <w:trHeight w:val="320" w:hRule="atLeast"/>
        </w:trPr>
        <w:tc>
          <w:tcPr>
            <w:tcW w:w="1432" w:type="dxa"/>
            <w:vAlign w:val="top"/>
            <w:vMerge w:val="restart"/>
            <w:tcBorders>
              <w:bottom w:val="nil"/>
            </w:tcBorders>
          </w:tcPr>
          <w:p>
            <w:pPr>
              <w:spacing w:line="448" w:lineRule="auto"/>
              <w:rPr>
                <w:rFonts w:ascii="Arial"/>
                <w:sz w:val="21"/>
              </w:rPr>
            </w:pPr>
            <w:r/>
          </w:p>
          <w:p>
            <w:pPr>
              <w:ind w:left="24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44" w:type="dxa"/>
            <w:vAlign w:val="top"/>
            <w:vMerge w:val="restart"/>
            <w:tcBorders>
              <w:bottom w:val="nil"/>
            </w:tcBorders>
          </w:tcPr>
          <w:p>
            <w:pPr>
              <w:spacing w:line="295" w:lineRule="auto"/>
              <w:rPr>
                <w:rFonts w:ascii="Arial"/>
                <w:sz w:val="21"/>
              </w:rPr>
            </w:pPr>
            <w:r/>
          </w:p>
          <w:p>
            <w:pPr>
              <w:ind w:left="813" w:right="201"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32" w:type="dxa"/>
            <w:vAlign w:val="top"/>
            <w:vMerge w:val="restart"/>
            <w:tcBorders>
              <w:bottom w:val="nil"/>
            </w:tcBorders>
          </w:tcPr>
          <w:p>
            <w:pPr>
              <w:spacing w:line="444" w:lineRule="auto"/>
              <w:rPr>
                <w:rFonts w:ascii="Arial"/>
                <w:sz w:val="21"/>
              </w:rPr>
            </w:pPr>
            <w:r/>
          </w:p>
          <w:p>
            <w:pPr>
              <w:ind w:left="243"/>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44" w:type="dxa"/>
            <w:vAlign w:val="top"/>
            <w:vMerge w:val="restart"/>
            <w:tcBorders>
              <w:bottom w:val="nil"/>
            </w:tcBorders>
          </w:tcPr>
          <w:p>
            <w:pPr>
              <w:spacing w:line="445" w:lineRule="auto"/>
              <w:rPr>
                <w:rFonts w:ascii="Arial"/>
                <w:sz w:val="21"/>
              </w:rPr>
            </w:pPr>
            <w:r/>
          </w:p>
          <w:p>
            <w:pPr>
              <w:ind w:left="22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4" w:lineRule="auto"/>
              <w:rPr>
                <w:rFonts w:ascii="Arial"/>
                <w:sz w:val="21"/>
              </w:rPr>
            </w:pPr>
            <w:r/>
          </w:p>
          <w:p>
            <w:pPr>
              <w:ind w:left="23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55" w:type="dxa"/>
            <w:vAlign w:val="top"/>
          </w:tcPr>
          <w:p>
            <w:pPr>
              <w:ind w:left="48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2" w:right="21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55" w:type="dxa"/>
            <w:vAlign w:val="top"/>
          </w:tcPr>
          <w:p>
            <w:pPr>
              <w:ind w:left="29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5" w:type="dxa"/>
            <w:vAlign w:val="top"/>
          </w:tcPr>
          <w:p>
            <w:pPr>
              <w:ind w:left="23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32" w:type="dxa"/>
            <w:vAlign w:val="top"/>
            <w:vMerge w:val="restart"/>
            <w:tcBorders>
              <w:bottom w:val="nil"/>
            </w:tcBorders>
          </w:tcPr>
          <w:p>
            <w:pPr>
              <w:ind w:left="242" w:right="234"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44" w:type="dxa"/>
            <w:vAlign w:val="top"/>
            <w:vMerge w:val="restart"/>
            <w:tcBorders>
              <w:bottom w:val="nil"/>
            </w:tcBorders>
          </w:tcPr>
          <w:p>
            <w:pPr>
              <w:ind w:left="683" w:right="201"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8"/>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14" w:hRule="atLeast"/>
        </w:trPr>
        <w:tc>
          <w:tcPr>
            <w:tcW w:w="1432" w:type="dxa"/>
            <w:vAlign w:val="top"/>
            <w:vMerge w:val="restart"/>
            <w:tcBorders>
              <w:bottom w:val="nil"/>
            </w:tcBorders>
          </w:tcPr>
          <w:p>
            <w:pPr>
              <w:ind w:left="124"/>
              <w:spacing w:before="9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19"/>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85"/>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44" w:type="dxa"/>
            <w:vAlign w:val="top"/>
            <w:vMerge w:val="restart"/>
            <w:tcBorders>
              <w:bottom w:val="nil"/>
            </w:tcBorders>
          </w:tcPr>
          <w:p>
            <w:pPr>
              <w:ind w:left="203"/>
              <w:spacing w:before="9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14"/>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14"/>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9"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8"/>
              <w:spacing w:before="9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3"/>
              <w:spacing w:before="9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10"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0"/>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75"/>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8"/>
        <w:gridCol w:w="1889"/>
        <w:gridCol w:w="792"/>
        <w:gridCol w:w="3201"/>
        <w:gridCol w:w="1147"/>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733" w:hRule="atLeast"/>
        </w:trPr>
        <w:tc>
          <w:tcPr>
            <w:tcW w:w="1488" w:type="dxa"/>
            <w:vAlign w:val="top"/>
          </w:tcPr>
          <w:p>
            <w:pPr>
              <w:ind w:left="486"/>
              <w:spacing w:before="22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9" w:type="dxa"/>
            <w:vAlign w:val="top"/>
            <w:gridSpan w:val="4"/>
          </w:tcPr>
          <w:p>
            <w:pPr>
              <w:ind w:left="3373"/>
              <w:spacing w:before="27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189</w:t>
            </w:r>
          </w:p>
        </w:tc>
      </w:tr>
      <w:tr>
        <w:trPr>
          <w:trHeight w:val="665" w:hRule="atLeast"/>
        </w:trPr>
        <w:tc>
          <w:tcPr>
            <w:tcW w:w="1488" w:type="dxa"/>
            <w:vAlign w:val="top"/>
          </w:tcPr>
          <w:p>
            <w:pPr>
              <w:ind w:left="211"/>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9" w:type="dxa"/>
            <w:vAlign w:val="top"/>
            <w:gridSpan w:val="4"/>
          </w:tcPr>
          <w:p>
            <w:pPr>
              <w:ind w:left="66" w:right="64" w:hanging="4"/>
              <w:spacing w:before="5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不按照规定的方式排放放射性废液，利用渗井、渗</w:t>
            </w:r>
            <w:r>
              <w:rPr>
                <w:rFonts w:ascii="FangSong_GB2312" w:hAnsi="FangSong_GB2312" w:eastAsia="FangSong_GB2312" w:cs="FangSong_GB2312"/>
                <w:sz w:val="24"/>
                <w:szCs w:val="24"/>
                <w:spacing w:val="-3"/>
              </w:rPr>
              <w:t>坑、天然裂隙、</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溶洞或者国家禁止的其他方式排放放射性废液的</w:t>
            </w:r>
          </w:p>
        </w:tc>
      </w:tr>
      <w:tr>
        <w:trPr>
          <w:trHeight w:val="3813" w:hRule="atLeast"/>
        </w:trPr>
        <w:tc>
          <w:tcPr>
            <w:tcW w:w="1488" w:type="dxa"/>
            <w:vAlign w:val="top"/>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9" w:type="dxa"/>
            <w:vAlign w:val="top"/>
            <w:gridSpan w:val="4"/>
          </w:tcPr>
          <w:p>
            <w:pPr>
              <w:ind w:left="73"/>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3" w:right="15" w:firstLine="6"/>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第四十二条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第三款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禁止利用渗井、渗坑、天然裂隙、溶洞或者国</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家禁止的其他方式排放放射性废液。</w:t>
            </w:r>
          </w:p>
          <w:p>
            <w:pPr>
              <w:spacing w:line="271" w:lineRule="auto"/>
              <w:rPr>
                <w:rFonts w:ascii="Arial"/>
                <w:sz w:val="21"/>
              </w:rPr>
            </w:pPr>
            <w:r/>
          </w:p>
          <w:p>
            <w:pPr>
              <w:ind w:left="6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9" w:right="15" w:firstLine="10"/>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w:t>
            </w:r>
            <w:r>
              <w:rPr>
                <w:rFonts w:ascii="FangSong_GB2312" w:hAnsi="FangSong_GB2312" w:eastAsia="FangSong_GB2312" w:cs="FangSong_GB2312"/>
                <w:sz w:val="24"/>
                <w:szCs w:val="24"/>
                <w:spacing w:val="-2"/>
              </w:rPr>
              <w:t>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政府环境保护行政主管部门责令停止违法行为，限期改正，处以罚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款；构成犯罪的，依法追究刑事责任：</w:t>
            </w:r>
          </w:p>
          <w:p>
            <w:pPr>
              <w:ind w:left="63" w:right="15" w:hanging="10"/>
              <w:spacing w:before="37"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（三）不按照规定的方式排放放射性废液，利用渗井</w:t>
            </w:r>
            <w:r>
              <w:rPr>
                <w:rFonts w:ascii="FangSong_GB2312" w:hAnsi="FangSong_GB2312" w:eastAsia="FangSong_GB2312" w:cs="FangSong_GB2312"/>
                <w:sz w:val="24"/>
                <w:szCs w:val="24"/>
                <w:spacing w:val="-1"/>
              </w:rPr>
              <w:t>、渗坑、天然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裂隙、溶洞或者国家禁止的其他方式排放放射性废液的；</w:t>
            </w:r>
          </w:p>
          <w:p>
            <w:pPr>
              <w:ind w:left="72" w:right="15" w:hanging="9"/>
              <w:spacing w:before="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有前款第（一）项、第（二）项、第（三）项、第（五）项行为之</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一的，处十万元以上二十万元以下罚款；</w:t>
            </w:r>
          </w:p>
        </w:tc>
      </w:tr>
      <w:tr>
        <w:trPr>
          <w:trHeight w:val="635" w:hRule="atLeast"/>
        </w:trPr>
        <w:tc>
          <w:tcPr>
            <w:tcW w:w="4169" w:type="dxa"/>
            <w:vAlign w:val="top"/>
            <w:gridSpan w:val="3"/>
          </w:tcPr>
          <w:p>
            <w:pPr>
              <w:ind w:left="152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8" w:type="dxa"/>
            <w:vAlign w:val="top"/>
            <w:gridSpan w:val="2"/>
          </w:tcPr>
          <w:p>
            <w:pPr>
              <w:ind w:left="1626"/>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8"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5"/>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4" w:right="181"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2"/>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7" w:type="dxa"/>
            <w:vAlign w:val="top"/>
          </w:tcPr>
          <w:p>
            <w:pPr>
              <w:ind w:left="25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8" w:type="dxa"/>
            <w:vAlign w:val="top"/>
            <w:vMerge w:val="restart"/>
            <w:tcBorders>
              <w:bottom w:val="nil"/>
            </w:tcBorders>
          </w:tcPr>
          <w:p>
            <w:pPr>
              <w:spacing w:line="439" w:lineRule="auto"/>
              <w:rPr>
                <w:rFonts w:ascii="Arial"/>
                <w:sz w:val="21"/>
              </w:rPr>
            </w:pPr>
            <w:r/>
          </w:p>
          <w:p>
            <w:pPr>
              <w:ind w:left="509" w:right="143"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ind w:left="22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2" w:right="2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不按照规定的方式排放放射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性废液的</w:t>
            </w:r>
          </w:p>
        </w:tc>
        <w:tc>
          <w:tcPr>
            <w:tcW w:w="1147" w:type="dxa"/>
            <w:vAlign w:val="top"/>
          </w:tcPr>
          <w:p>
            <w:pPr>
              <w:ind w:left="23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right="40" w:hanging="1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利用渗井、渗坑、天然裂隙、</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溶洞或者国家禁止的其他方</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3"/>
              </w:rPr>
              <w:t>式排放放射性废液的</w:t>
            </w:r>
          </w:p>
        </w:tc>
        <w:tc>
          <w:tcPr>
            <w:tcW w:w="1147" w:type="dxa"/>
            <w:vAlign w:val="top"/>
          </w:tcPr>
          <w:p>
            <w:pPr>
              <w:spacing w:line="278" w:lineRule="auto"/>
              <w:rPr>
                <w:rFonts w:ascii="Arial"/>
                <w:sz w:val="21"/>
              </w:rPr>
            </w:pPr>
            <w:r/>
          </w:p>
          <w:p>
            <w:pPr>
              <w:ind w:left="16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8" w:type="dxa"/>
            <w:vAlign w:val="top"/>
            <w:vMerge w:val="restart"/>
            <w:tcBorders>
              <w:bottom w:val="nil"/>
            </w:tcBorders>
          </w:tcPr>
          <w:p>
            <w:pPr>
              <w:spacing w:line="448"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27" w:right="23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7" w:type="dxa"/>
            <w:vAlign w:val="top"/>
          </w:tcPr>
          <w:p>
            <w:pPr>
              <w:ind w:left="46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7" w:type="dxa"/>
            <w:vAlign w:val="top"/>
          </w:tcPr>
          <w:p>
            <w:pPr>
              <w:ind w:left="4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7" w:type="dxa"/>
            <w:vAlign w:val="top"/>
          </w:tcPr>
          <w:p>
            <w:pPr>
              <w:ind w:left="4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7" w:type="dxa"/>
            <w:vAlign w:val="top"/>
          </w:tcPr>
          <w:p>
            <w:pPr>
              <w:ind w:left="40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8" w:type="dxa"/>
            <w:vAlign w:val="top"/>
            <w:vMerge w:val="restart"/>
            <w:tcBorders>
              <w:bottom w:val="nil"/>
            </w:tcBorders>
          </w:tcPr>
          <w:p>
            <w:pPr>
              <w:spacing w:line="444"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2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5" w:lineRule="auto"/>
              <w:rPr>
                <w:rFonts w:ascii="Arial"/>
                <w:sz w:val="21"/>
              </w:rPr>
            </w:pPr>
            <w:r/>
          </w:p>
          <w:p>
            <w:pPr>
              <w:ind w:left="2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7" w:type="dxa"/>
            <w:vAlign w:val="top"/>
          </w:tcPr>
          <w:p>
            <w:pPr>
              <w:ind w:left="4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right="21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7" w:type="dxa"/>
            <w:vAlign w:val="top"/>
          </w:tcPr>
          <w:p>
            <w:pPr>
              <w:ind w:left="29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7" w:type="dxa"/>
            <w:vAlign w:val="top"/>
          </w:tcPr>
          <w:p>
            <w:pPr>
              <w:ind w:left="2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8" w:type="dxa"/>
            <w:vAlign w:val="top"/>
            <w:vMerge w:val="restart"/>
            <w:tcBorders>
              <w:bottom w:val="nil"/>
            </w:tcBorders>
          </w:tcPr>
          <w:p>
            <w:pPr>
              <w:ind w:left="267" w:right="26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7" w:right="23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8"/>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7" w:type="dxa"/>
            <w:vAlign w:val="top"/>
          </w:tcPr>
          <w:p>
            <w:pPr>
              <w:ind w:left="2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7" w:type="dxa"/>
            <w:vAlign w:val="top"/>
          </w:tcPr>
          <w:p>
            <w:pPr>
              <w:ind w:left="4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99" w:hRule="atLeast"/>
        </w:trPr>
        <w:tc>
          <w:tcPr>
            <w:tcW w:w="1488" w:type="dxa"/>
            <w:vAlign w:val="top"/>
          </w:tcPr>
          <w:p>
            <w:pPr>
              <w:ind w:left="149"/>
              <w:spacing w:before="13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tc>
        <w:tc>
          <w:tcPr>
            <w:tcW w:w="1889" w:type="dxa"/>
            <w:vAlign w:val="top"/>
          </w:tcPr>
          <w:p>
            <w:pPr>
              <w:ind w:left="217"/>
              <w:spacing w:before="13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792" w:type="dxa"/>
            <w:vAlign w:val="top"/>
          </w:tcPr>
          <w:p>
            <w:pPr>
              <w:ind w:left="223"/>
              <w:spacing w:before="13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1"/>
              <w:spacing w:before="13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7" w:type="dxa"/>
            <w:vAlign w:val="top"/>
          </w:tcPr>
          <w:p>
            <w:pPr>
              <w:ind w:left="243"/>
              <w:spacing w:before="13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376"/>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639" w:hRule="atLeast"/>
        </w:trPr>
        <w:tc>
          <w:tcPr>
            <w:tcW w:w="1480" w:type="dxa"/>
            <w:vAlign w:val="top"/>
          </w:tcPr>
          <w:p>
            <w:pPr>
              <w:ind w:left="509" w:right="135" w:hanging="36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9"/>
              </w:rPr>
              <w:t>程度</w:t>
            </w:r>
          </w:p>
        </w:tc>
        <w:tc>
          <w:tcPr>
            <w:tcW w:w="1889" w:type="dxa"/>
            <w:vAlign w:val="top"/>
          </w:tcPr>
          <w:p>
            <w:pPr>
              <w:ind w:left="836" w:right="224"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792" w:type="dxa"/>
            <w:vAlign w:val="top"/>
          </w:tcPr>
          <w:p>
            <w:pPr>
              <w:rPr>
                <w:rFonts w:ascii="Arial"/>
                <w:sz w:val="21"/>
              </w:rPr>
            </w:pPr>
            <w:r/>
          </w:p>
        </w:tc>
        <w:tc>
          <w:tcPr>
            <w:tcW w:w="3201" w:type="dxa"/>
            <w:vAlign w:val="top"/>
          </w:tcPr>
          <w:p>
            <w:pPr>
              <w:ind w:left="136"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77"/>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97"/>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734" w:hRule="atLeast"/>
        </w:trPr>
        <w:tc>
          <w:tcPr>
            <w:tcW w:w="1489" w:type="dxa"/>
            <w:vAlign w:val="top"/>
          </w:tcPr>
          <w:p>
            <w:pPr>
              <w:ind w:left="486"/>
              <w:spacing w:before="22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72"/>
              <w:spacing w:before="277"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190</w:t>
            </w:r>
          </w:p>
        </w:tc>
      </w:tr>
      <w:tr>
        <w:trPr>
          <w:trHeight w:val="665" w:hRule="atLeast"/>
        </w:trPr>
        <w:tc>
          <w:tcPr>
            <w:tcW w:w="1489"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61"/>
              <w:spacing w:before="21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不按照规定处理或者贮存不得向环境排放的放射性废液的</w:t>
            </w:r>
          </w:p>
        </w:tc>
      </w:tr>
      <w:tr>
        <w:trPr>
          <w:trHeight w:val="3498" w:hRule="atLeast"/>
        </w:trPr>
        <w:tc>
          <w:tcPr>
            <w:tcW w:w="148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58" w:right="15" w:firstLine="10"/>
              <w:spacing w:before="3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第四十二条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产生放射性废液的单位，必须按照国家放射性</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污染防治标准的要求，对不得向环境排放的放射性废液进行处理或</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3"/>
              </w:rPr>
              <w:t>者贮存。</w:t>
            </w:r>
          </w:p>
          <w:p>
            <w:pPr>
              <w:spacing w:line="268"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8" w:right="15" w:firstLine="10"/>
              <w:spacing w:before="40"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w:t>
            </w:r>
            <w:r>
              <w:rPr>
                <w:rFonts w:ascii="FangSong_GB2312" w:hAnsi="FangSong_GB2312" w:eastAsia="FangSong_GB2312" w:cs="FangSong_GB2312"/>
                <w:sz w:val="24"/>
                <w:szCs w:val="24"/>
                <w:spacing w:val="-2"/>
              </w:rPr>
              <w:t>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政府环境保护行政主管部门责令停止违法行为，限期改正，处以罚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款；构成犯罪的，依法追究刑事责任：</w:t>
            </w:r>
          </w:p>
          <w:p>
            <w:pPr>
              <w:ind w:left="62" w:right="83" w:hanging="10"/>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（四）不按照规定处理或者贮存不得向环境排放的放射性废液的；</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有前款第（四）项行为的，处一万元以上十万元以下罚款。</w:t>
            </w:r>
          </w:p>
        </w:tc>
      </w:tr>
      <w:tr>
        <w:trPr>
          <w:trHeight w:val="635" w:hRule="atLeast"/>
        </w:trPr>
        <w:tc>
          <w:tcPr>
            <w:tcW w:w="4170" w:type="dxa"/>
            <w:vAlign w:val="top"/>
            <w:gridSpan w:val="3"/>
          </w:tcPr>
          <w:p>
            <w:pPr>
              <w:ind w:left="152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89"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509" w:right="144"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1" w:right="218"/>
              <w:spacing w:before="43"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不按照规定处理或者贮存不</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得向环境排放的放射性废</w:t>
            </w:r>
          </w:p>
          <w:p>
            <w:pPr>
              <w:ind w:left="112"/>
              <w:spacing w:before="37"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液，量小活度低的</w:t>
            </w:r>
          </w:p>
        </w:tc>
        <w:tc>
          <w:tcPr>
            <w:tcW w:w="1146" w:type="dxa"/>
            <w:vAlign w:val="top"/>
          </w:tcPr>
          <w:p>
            <w:pPr>
              <w:spacing w:line="27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1" w:right="218"/>
              <w:spacing w:before="42"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不按照规定处理或者贮存不</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得向环境排放的放射性废</w:t>
            </w:r>
          </w:p>
          <w:p>
            <w:pPr>
              <w:ind w:left="112"/>
              <w:spacing w:before="37"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液，量大活度低的</w:t>
            </w:r>
          </w:p>
        </w:tc>
        <w:tc>
          <w:tcPr>
            <w:tcW w:w="1146" w:type="dxa"/>
            <w:vAlign w:val="top"/>
          </w:tcPr>
          <w:p>
            <w:pPr>
              <w:spacing w:line="278" w:lineRule="auto"/>
              <w:rPr>
                <w:rFonts w:ascii="Arial"/>
                <w:sz w:val="21"/>
              </w:rPr>
            </w:pPr>
            <w:r/>
          </w:p>
          <w:p>
            <w:pPr>
              <w:ind w:left="17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11%-25%</w:t>
            </w:r>
          </w:p>
        </w:tc>
      </w:tr>
      <w:tr>
        <w:trPr>
          <w:trHeight w:val="95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1" w:right="218"/>
              <w:spacing w:before="4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不按照规定处理或者贮存不</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得向环境排放的放射性废</w:t>
            </w:r>
          </w:p>
          <w:p>
            <w:pPr>
              <w:ind w:left="112"/>
              <w:spacing w:before="37"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液，量小活度较高的</w:t>
            </w:r>
          </w:p>
        </w:tc>
        <w:tc>
          <w:tcPr>
            <w:tcW w:w="1146" w:type="dxa"/>
            <w:vAlign w:val="top"/>
          </w:tcPr>
          <w:p>
            <w:pPr>
              <w:spacing w:line="279" w:lineRule="auto"/>
              <w:rPr>
                <w:rFonts w:ascii="Arial"/>
                <w:sz w:val="21"/>
              </w:rPr>
            </w:pPr>
            <w:r/>
          </w:p>
          <w:p>
            <w:pPr>
              <w:ind w:left="16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26%-35%</w:t>
            </w:r>
          </w:p>
        </w:tc>
      </w:tr>
      <w:tr>
        <w:trPr>
          <w:trHeight w:val="949"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1" w:right="218"/>
              <w:spacing w:before="43"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不按照规定处理或者贮存不</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得向环境排放的放射性废</w:t>
            </w:r>
          </w:p>
          <w:p>
            <w:pPr>
              <w:ind w:left="112"/>
              <w:spacing w:before="37"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液，量大活度较高的</w:t>
            </w:r>
          </w:p>
        </w:tc>
        <w:tc>
          <w:tcPr>
            <w:tcW w:w="1146" w:type="dxa"/>
            <w:vAlign w:val="top"/>
          </w:tcPr>
          <w:p>
            <w:pPr>
              <w:spacing w:line="279" w:lineRule="auto"/>
              <w:rPr>
                <w:rFonts w:ascii="Arial"/>
                <w:sz w:val="21"/>
              </w:rPr>
            </w:pPr>
            <w:r/>
          </w:p>
          <w:p>
            <w:pPr>
              <w:ind w:left="17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36%-50%</w:t>
            </w:r>
          </w:p>
        </w:tc>
      </w:tr>
      <w:tr>
        <w:trPr>
          <w:trHeight w:val="320" w:hRule="atLeast"/>
        </w:trPr>
        <w:tc>
          <w:tcPr>
            <w:tcW w:w="1489"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6"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ind w:left="268"/>
              <w:spacing w:before="20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ind w:left="221"/>
              <w:spacing w:before="205"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ind w:left="22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6" w:type="dxa"/>
            <w:vAlign w:val="top"/>
          </w:tcPr>
          <w:p>
            <w:pPr>
              <w:ind w:left="47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3"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p>
        </w:tc>
        <w:tc>
          <w:tcPr>
            <w:tcW w:w="1146" w:type="dxa"/>
            <w:vAlign w:val="top"/>
          </w:tcPr>
          <w:p>
            <w:pPr>
              <w:ind w:left="290"/>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378"/>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23"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消除的</w:t>
            </w:r>
          </w:p>
        </w:tc>
        <w:tc>
          <w:tcPr>
            <w:tcW w:w="1155" w:type="dxa"/>
            <w:vAlign w:val="top"/>
          </w:tcPr>
          <w:p>
            <w:pPr>
              <w:rPr>
                <w:rFonts w:ascii="Arial"/>
                <w:sz w:val="21"/>
              </w:rPr>
            </w:pPr>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5" w:type="dxa"/>
            <w:vAlign w:val="top"/>
          </w:tcPr>
          <w:p>
            <w:pPr>
              <w:ind w:left="236"/>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82" w:hRule="atLeast"/>
        </w:trPr>
        <w:tc>
          <w:tcPr>
            <w:tcW w:w="1480" w:type="dxa"/>
            <w:vAlign w:val="top"/>
            <w:vMerge w:val="restart"/>
            <w:tcBorders>
              <w:bottom w:val="nil"/>
            </w:tcBorders>
          </w:tcPr>
          <w:p>
            <w:pPr>
              <w:ind w:left="149"/>
              <w:spacing w:before="7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7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13"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7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71"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79"/>
          <w:pgSz w:w="11905" w:h="16839"/>
          <w:pgMar w:top="1431" w:right="1691" w:bottom="1156" w:left="1691" w:header="0" w:footer="994" w:gutter="0"/>
        </w:sectPr>
        <w:rPr/>
      </w:pPr>
    </w:p>
    <w:p>
      <w:pPr>
        <w:spacing w:before="51"/>
        <w:rPr/>
      </w:pPr>
      <w:r/>
    </w:p>
    <w:p>
      <w:pPr>
        <w:spacing w:before="51"/>
        <w:rPr/>
      </w:pPr>
      <w:r/>
    </w:p>
    <w:p>
      <w:pPr>
        <w:spacing w:before="50"/>
        <w:rPr/>
      </w:pPr>
      <w:r/>
    </w:p>
    <w:p>
      <w:pPr>
        <w:spacing w:before="50"/>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0"/>
        <w:gridCol w:w="1889"/>
        <w:gridCol w:w="791"/>
        <w:gridCol w:w="3201"/>
        <w:gridCol w:w="1146"/>
      </w:tblGrid>
      <w:tr>
        <w:trPr>
          <w:trHeight w:val="738" w:hRule="atLeast"/>
        </w:trPr>
        <w:tc>
          <w:tcPr>
            <w:tcW w:w="8517" w:type="dxa"/>
            <w:vAlign w:val="top"/>
            <w:gridSpan w:val="5"/>
          </w:tcPr>
          <w:p>
            <w:pPr>
              <w:ind w:left="16"/>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490"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7" w:type="dxa"/>
            <w:vAlign w:val="top"/>
            <w:gridSpan w:val="4"/>
          </w:tcPr>
          <w:p>
            <w:pPr>
              <w:ind w:left="3371"/>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191</w:t>
            </w:r>
          </w:p>
        </w:tc>
      </w:tr>
      <w:tr>
        <w:trPr>
          <w:trHeight w:val="665" w:hRule="atLeast"/>
        </w:trPr>
        <w:tc>
          <w:tcPr>
            <w:tcW w:w="1490" w:type="dxa"/>
            <w:vAlign w:val="top"/>
          </w:tcPr>
          <w:p>
            <w:pPr>
              <w:ind w:left="21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7" w:type="dxa"/>
            <w:vAlign w:val="top"/>
            <w:gridSpan w:val="4"/>
          </w:tcPr>
          <w:p>
            <w:pPr>
              <w:ind w:left="58"/>
              <w:spacing w:before="21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将放射性固体废物提供或者委托给无许可证的单位贮存和处置的</w:t>
            </w:r>
          </w:p>
        </w:tc>
      </w:tr>
      <w:tr>
        <w:trPr>
          <w:trHeight w:val="3813" w:hRule="atLeast"/>
        </w:trPr>
        <w:tc>
          <w:tcPr>
            <w:tcW w:w="1490"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7" w:type="dxa"/>
            <w:vAlign w:val="top"/>
            <w:gridSpan w:val="4"/>
          </w:tcPr>
          <w:p>
            <w:pPr>
              <w:ind w:left="71"/>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6" w:right="248" w:firstLine="1"/>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禁止将放射性固体废物提供</w:t>
            </w:r>
            <w:r>
              <w:rPr>
                <w:rFonts w:ascii="FangSong_GB2312" w:hAnsi="FangSong_GB2312" w:eastAsia="FangSong_GB2312" w:cs="FangSong_GB2312"/>
                <w:sz w:val="24"/>
                <w:szCs w:val="24"/>
                <w:spacing w:val="-2"/>
              </w:rPr>
              <w:t>或者委托给无许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可证的单位贮存和处置。</w:t>
            </w:r>
          </w:p>
          <w:p>
            <w:pPr>
              <w:spacing w:line="270" w:lineRule="auto"/>
              <w:rPr>
                <w:rFonts w:ascii="Arial"/>
                <w:sz w:val="21"/>
              </w:rPr>
            </w:pPr>
            <w:r/>
          </w:p>
          <w:p>
            <w:pPr>
              <w:ind w:left="65"/>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7" w:right="15" w:firstLine="10"/>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违反本法规定，有下列行为之一的，由县级</w:t>
            </w:r>
            <w:r>
              <w:rPr>
                <w:rFonts w:ascii="FangSong_GB2312" w:hAnsi="FangSong_GB2312" w:eastAsia="FangSong_GB2312" w:cs="FangSong_GB2312"/>
                <w:sz w:val="24"/>
                <w:szCs w:val="24"/>
                <w:spacing w:val="-2"/>
              </w:rPr>
              <w:t>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政府环境保护行政主管部门责令停止违法行为，限期改正，处以罚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款；构成犯罪的，依法追究刑事责任：</w:t>
            </w:r>
          </w:p>
          <w:p>
            <w:pPr>
              <w:ind w:left="62" w:right="15" w:hanging="11"/>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（五）将放射性固体废物提供或者委托给无许可证的</w:t>
            </w:r>
            <w:r>
              <w:rPr>
                <w:rFonts w:ascii="FangSong_GB2312" w:hAnsi="FangSong_GB2312" w:eastAsia="FangSong_GB2312" w:cs="FangSong_GB2312"/>
                <w:sz w:val="24"/>
                <w:szCs w:val="24"/>
                <w:spacing w:val="-1"/>
              </w:rPr>
              <w:t>单位贮存和处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置的。</w:t>
            </w:r>
          </w:p>
          <w:p>
            <w:pPr>
              <w:ind w:left="70" w:right="15" w:hanging="9"/>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有前款第（一）项、第（二）项、第（三）项、第（五）项行为之</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一的，处十万元以上二十万元以下罚款；</w:t>
            </w:r>
          </w:p>
        </w:tc>
      </w:tr>
      <w:tr>
        <w:trPr>
          <w:trHeight w:val="635" w:hRule="atLeast"/>
        </w:trPr>
        <w:tc>
          <w:tcPr>
            <w:tcW w:w="4170" w:type="dxa"/>
            <w:vAlign w:val="top"/>
            <w:gridSpan w:val="3"/>
          </w:tcPr>
          <w:p>
            <w:pPr>
              <w:ind w:left="152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90" w:type="dxa"/>
            <w:vAlign w:val="top"/>
          </w:tcPr>
          <w:p>
            <w:pPr>
              <w:ind w:left="514"/>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3"/>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02" w:right="18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9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509" w:right="145"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2" w:right="218" w:hanging="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将放射性固体废物提供或者</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委托给无许可证的单位贮存</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和处置，量小活度低的</w:t>
            </w:r>
          </w:p>
        </w:tc>
        <w:tc>
          <w:tcPr>
            <w:tcW w:w="1146" w:type="dxa"/>
            <w:vAlign w:val="top"/>
          </w:tcPr>
          <w:p>
            <w:pPr>
              <w:spacing w:line="27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2" w:right="218" w:hanging="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将放射性固体废物提供或者</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委托给无许可证的单位贮存</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和处置，量大活度低的</w:t>
            </w:r>
          </w:p>
        </w:tc>
        <w:tc>
          <w:tcPr>
            <w:tcW w:w="1146" w:type="dxa"/>
            <w:vAlign w:val="top"/>
          </w:tcPr>
          <w:p>
            <w:pPr>
              <w:spacing w:line="277" w:lineRule="auto"/>
              <w:rPr>
                <w:rFonts w:ascii="Arial"/>
                <w:sz w:val="21"/>
              </w:rPr>
            </w:pPr>
            <w:r/>
          </w:p>
          <w:p>
            <w:pPr>
              <w:ind w:left="17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11%-25%</w:t>
            </w:r>
          </w:p>
        </w:tc>
      </w:tr>
      <w:tr>
        <w:trPr>
          <w:trHeight w:val="949"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2" w:right="218" w:hanging="2"/>
              <w:spacing w:before="45" w:line="229"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将放射性固体废物提供或者</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委托给无许可证的单位贮存</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和处置，量小活度较高的</w:t>
            </w:r>
          </w:p>
        </w:tc>
        <w:tc>
          <w:tcPr>
            <w:tcW w:w="1146" w:type="dxa"/>
            <w:vAlign w:val="top"/>
          </w:tcPr>
          <w:p>
            <w:pPr>
              <w:spacing w:line="278" w:lineRule="auto"/>
              <w:rPr>
                <w:rFonts w:ascii="Arial"/>
                <w:sz w:val="21"/>
              </w:rPr>
            </w:pPr>
            <w:r/>
          </w:p>
          <w:p>
            <w:pPr>
              <w:ind w:left="16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26%-35%</w:t>
            </w:r>
          </w:p>
        </w:tc>
      </w:tr>
      <w:tr>
        <w:trPr>
          <w:trHeight w:val="950" w:hRule="atLeast"/>
        </w:trPr>
        <w:tc>
          <w:tcPr>
            <w:tcW w:w="149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12" w:right="218" w:hanging="2"/>
              <w:spacing w:before="46" w:line="229"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将放射性固体废物提供或者</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委托给无许可证的单位贮存</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和处置，量大活度较高的</w:t>
            </w:r>
          </w:p>
        </w:tc>
        <w:tc>
          <w:tcPr>
            <w:tcW w:w="1146" w:type="dxa"/>
            <w:vAlign w:val="top"/>
          </w:tcPr>
          <w:p>
            <w:pPr>
              <w:spacing w:line="279" w:lineRule="auto"/>
              <w:rPr>
                <w:rFonts w:ascii="Arial"/>
                <w:sz w:val="21"/>
              </w:rPr>
            </w:pPr>
            <w:r/>
          </w:p>
          <w:p>
            <w:pPr>
              <w:ind w:left="17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36%-50%</w:t>
            </w:r>
          </w:p>
        </w:tc>
      </w:tr>
      <w:tr>
        <w:trPr>
          <w:trHeight w:val="320" w:hRule="atLeast"/>
        </w:trPr>
        <w:tc>
          <w:tcPr>
            <w:tcW w:w="1490" w:type="dxa"/>
            <w:vAlign w:val="top"/>
            <w:vMerge w:val="restart"/>
            <w:tcBorders>
              <w:bottom w:val="nil"/>
            </w:tcBorders>
          </w:tcPr>
          <w:p>
            <w:pPr>
              <w:spacing w:line="451"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25" w:right="234"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1" w:type="dxa"/>
            <w:vAlign w:val="top"/>
            <w:vMerge w:val="restart"/>
            <w:tcBorders>
              <w:bottom w:val="nil"/>
            </w:tcBorders>
          </w:tcPr>
          <w:p>
            <w:pPr>
              <w:spacing w:line="451"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9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3" w:hRule="atLeast"/>
        </w:trPr>
        <w:tc>
          <w:tcPr>
            <w:tcW w:w="1490" w:type="dxa"/>
            <w:vAlign w:val="top"/>
          </w:tcPr>
          <w:p>
            <w:pPr>
              <w:ind w:left="268"/>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tcPr>
          <w:p>
            <w:pPr>
              <w:ind w:left="220"/>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1" w:type="dxa"/>
            <w:vAlign w:val="top"/>
          </w:tcPr>
          <w:p>
            <w:pPr>
              <w:ind w:left="226"/>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6"/>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6" w:type="dxa"/>
            <w:vAlign w:val="top"/>
          </w:tcPr>
          <w:p>
            <w:pPr>
              <w:ind w:left="472"/>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0"/>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638"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23" w:right="209"/>
              <w:spacing w:before="4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55" w:type="dxa"/>
            <w:vAlign w:val="top"/>
          </w:tcPr>
          <w:p>
            <w:pPr>
              <w:ind w:left="299"/>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5" w:type="dxa"/>
            <w:vAlign w:val="top"/>
          </w:tcPr>
          <w:p>
            <w:pPr>
              <w:ind w:left="23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82" w:hRule="atLeast"/>
        </w:trPr>
        <w:tc>
          <w:tcPr>
            <w:tcW w:w="1480" w:type="dxa"/>
            <w:vAlign w:val="top"/>
            <w:vMerge w:val="restart"/>
            <w:tcBorders>
              <w:bottom w:val="nil"/>
            </w:tcBorders>
          </w:tcPr>
          <w:p>
            <w:pPr>
              <w:ind w:left="149"/>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7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12"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7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7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1"/>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25"/>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72"/>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192</w:t>
            </w:r>
          </w:p>
        </w:tc>
      </w:tr>
      <w:tr>
        <w:trPr>
          <w:trHeight w:val="665" w:hRule="atLeast"/>
        </w:trPr>
        <w:tc>
          <w:tcPr>
            <w:tcW w:w="1489" w:type="dxa"/>
            <w:vAlign w:val="top"/>
          </w:tcPr>
          <w:p>
            <w:pPr>
              <w:ind w:left="211"/>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75" w:right="15" w:hanging="14"/>
              <w:spacing w:before="50"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不按照规定设置放射性标识、标志、中文警示说明的，经责令限期</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4"/>
              </w:rPr>
              <w:t>改正但逾期不改正的</w:t>
            </w:r>
          </w:p>
        </w:tc>
      </w:tr>
      <w:tr>
        <w:trPr>
          <w:trHeight w:val="3813" w:hRule="atLeast"/>
        </w:trPr>
        <w:tc>
          <w:tcPr>
            <w:tcW w:w="1489"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4" w:right="15" w:firstLine="4"/>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放射性物质和射线装置应当设置明显的放射性标识</w:t>
            </w:r>
            <w:r>
              <w:rPr>
                <w:rFonts w:ascii="FangSong_GB2312" w:hAnsi="FangSong_GB2312" w:eastAsia="FangSong_GB2312" w:cs="FangSong_GB2312"/>
                <w:sz w:val="24"/>
                <w:szCs w:val="24"/>
                <w:spacing w:val="-2"/>
              </w:rPr>
              <w:t>和中</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文警示说明。生产、销售、使用、贮存、处置放射性物质和射线装</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置的场所，以及运输放射性物质和含放射源的射线装置的工具，应</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当设置明显的放射性标志。</w:t>
            </w:r>
          </w:p>
          <w:p>
            <w:pPr>
              <w:spacing w:line="273"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8" w:right="15" w:firstLine="10"/>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w:t>
            </w:r>
            <w:r>
              <w:rPr>
                <w:rFonts w:ascii="FangSong_GB2312" w:hAnsi="FangSong_GB2312" w:eastAsia="FangSong_GB2312" w:cs="FangSong_GB2312"/>
                <w:sz w:val="24"/>
                <w:szCs w:val="24"/>
                <w:spacing w:val="-2"/>
              </w:rPr>
              <w:t>县级以上人民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政府环境保护行政主管部门或者其他有关部门依据职权责令限期改</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正；逾期不改正的，责令停产停业，并处二万元以上十万元以下罚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款；构成犯罪的，依法追究刑事责任：</w:t>
            </w:r>
          </w:p>
          <w:p>
            <w:pPr>
              <w:ind w:left="52"/>
              <w:spacing w:before="3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（一）不按照规定设置放射性标识、标志、中文</w:t>
            </w:r>
            <w:r>
              <w:rPr>
                <w:rFonts w:ascii="FangSong_GB2312" w:hAnsi="FangSong_GB2312" w:eastAsia="FangSong_GB2312" w:cs="FangSong_GB2312"/>
                <w:sz w:val="24"/>
                <w:szCs w:val="24"/>
                <w:spacing w:val="-1"/>
              </w:rPr>
              <w:t>警示说明的；</w:t>
            </w:r>
          </w:p>
        </w:tc>
      </w:tr>
      <w:tr>
        <w:trPr>
          <w:trHeight w:val="635" w:hRule="atLeast"/>
        </w:trPr>
        <w:tc>
          <w:tcPr>
            <w:tcW w:w="4170" w:type="dxa"/>
            <w:vAlign w:val="top"/>
            <w:gridSpan w:val="3"/>
          </w:tcPr>
          <w:p>
            <w:pPr>
              <w:ind w:left="152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89"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509" w:right="144"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1" w:right="218"/>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不按照规定设置中文警示说</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明，经责令限期改正但逾期</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4"/>
              </w:rPr>
              <w:t>不改正的</w:t>
            </w:r>
          </w:p>
        </w:tc>
        <w:tc>
          <w:tcPr>
            <w:tcW w:w="1146" w:type="dxa"/>
            <w:vAlign w:val="top"/>
          </w:tcPr>
          <w:p>
            <w:pPr>
              <w:spacing w:line="276"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1"/>
              <w:spacing w:before="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不按照规定设置放射性标</w:t>
            </w:r>
          </w:p>
          <w:p>
            <w:pPr>
              <w:ind w:left="106" w:right="218" w:firstLine="11"/>
              <w:spacing w:before="36"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识、标志，经责令限期改正</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但逾期不改正的</w:t>
            </w:r>
          </w:p>
        </w:tc>
        <w:tc>
          <w:tcPr>
            <w:tcW w:w="1146" w:type="dxa"/>
            <w:vAlign w:val="top"/>
          </w:tcPr>
          <w:p>
            <w:pPr>
              <w:spacing w:line="277" w:lineRule="auto"/>
              <w:rPr>
                <w:rFonts w:ascii="Arial"/>
                <w:sz w:val="21"/>
              </w:rPr>
            </w:pPr>
            <w:r/>
          </w:p>
          <w:p>
            <w:pPr>
              <w:ind w:left="16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9"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26" w:right="23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ind w:left="267" w:right="266"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6" w:right="233"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6" w:type="dxa"/>
            <w:vAlign w:val="top"/>
          </w:tcPr>
          <w:p>
            <w:pPr>
              <w:ind w:left="2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6" w:type="dxa"/>
            <w:vAlign w:val="top"/>
          </w:tcPr>
          <w:p>
            <w:pPr>
              <w:ind w:left="47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1" w:hRule="atLeast"/>
        </w:trPr>
        <w:tc>
          <w:tcPr>
            <w:tcW w:w="1489" w:type="dxa"/>
            <w:vAlign w:val="top"/>
            <w:vMerge w:val="restart"/>
            <w:tcBorders>
              <w:bottom w:val="nil"/>
            </w:tcBorders>
          </w:tcPr>
          <w:p>
            <w:pPr>
              <w:ind w:left="149"/>
              <w:spacing w:before="8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16"/>
              <w:spacing w:before="88"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7"/>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2"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0"/>
              <w:spacing w:before="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639"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right="218"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46" w:type="dxa"/>
            <w:vAlign w:val="top"/>
          </w:tcPr>
          <w:p>
            <w:pPr>
              <w:ind w:left="47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2"/>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7"/>
        <w:gridCol w:w="1889"/>
        <w:gridCol w:w="789"/>
        <w:gridCol w:w="3201"/>
        <w:gridCol w:w="1141"/>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497"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0" w:type="dxa"/>
            <w:vAlign w:val="top"/>
            <w:gridSpan w:val="4"/>
          </w:tcPr>
          <w:p>
            <w:pPr>
              <w:ind w:left="3364"/>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193</w:t>
            </w:r>
          </w:p>
        </w:tc>
      </w:tr>
      <w:tr>
        <w:trPr>
          <w:trHeight w:val="979" w:hRule="atLeast"/>
        </w:trPr>
        <w:tc>
          <w:tcPr>
            <w:tcW w:w="1497" w:type="dxa"/>
            <w:vAlign w:val="top"/>
          </w:tcPr>
          <w:p>
            <w:pPr>
              <w:spacing w:line="258"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0" w:type="dxa"/>
            <w:vAlign w:val="top"/>
            <w:gridSpan w:val="4"/>
          </w:tcPr>
          <w:p>
            <w:pPr>
              <w:ind w:left="49" w:right="15" w:firstLine="3"/>
              <w:spacing w:before="5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不按照规定建立健全安全保卫制度和制定事故应急计划或者应急措</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施的；不按照规定报告放射源丢失、被盗情况或者放射性污染事故</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的，经责令限期改正但逾期不改正的</w:t>
            </w:r>
          </w:p>
        </w:tc>
      </w:tr>
      <w:tr>
        <w:trPr>
          <w:trHeight w:val="5073" w:hRule="atLeast"/>
        </w:trPr>
        <w:tc>
          <w:tcPr>
            <w:tcW w:w="1497"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0" w:type="dxa"/>
            <w:vAlign w:val="top"/>
            <w:gridSpan w:val="4"/>
          </w:tcPr>
          <w:p>
            <w:pPr>
              <w:ind w:left="64"/>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47" w:right="15" w:firstLine="14"/>
              <w:spacing w:before="3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第三十三条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第一款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生产、销售、使用、贮存放射源的单位，应当</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rPr>
              <w:t>建立健全安全保卫制度，指定专人负责，落实</w:t>
            </w:r>
            <w:r>
              <w:rPr>
                <w:rFonts w:ascii="FangSong_GB2312" w:hAnsi="FangSong_GB2312" w:eastAsia="FangSong_GB2312" w:cs="FangSong_GB2312"/>
                <w:sz w:val="24"/>
                <w:szCs w:val="24"/>
                <w:spacing w:val="-1"/>
              </w:rPr>
              <w:t>安全责任制，制定必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要的事故应急措施。发生放射源丢失、被盗和</w:t>
            </w:r>
            <w:r>
              <w:rPr>
                <w:rFonts w:ascii="FangSong_GB2312" w:hAnsi="FangSong_GB2312" w:eastAsia="FangSong_GB2312" w:cs="FangSong_GB2312"/>
                <w:sz w:val="24"/>
                <w:szCs w:val="24"/>
                <w:spacing w:val="-1"/>
              </w:rPr>
              <w:t>放射性污染事故时，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有关单位和个人必须立即采取应急措施，并向</w:t>
            </w:r>
            <w:r>
              <w:rPr>
                <w:rFonts w:ascii="FangSong_GB2312" w:hAnsi="FangSong_GB2312" w:eastAsia="FangSong_GB2312" w:cs="FangSong_GB2312"/>
                <w:sz w:val="24"/>
                <w:szCs w:val="24"/>
                <w:spacing w:val="-1"/>
              </w:rPr>
              <w:t>公安部门、卫生行政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部门和环境保护行政主管部门报告。</w:t>
            </w:r>
          </w:p>
          <w:p>
            <w:pPr>
              <w:spacing w:line="271" w:lineRule="auto"/>
              <w:rPr>
                <w:rFonts w:ascii="Arial"/>
                <w:sz w:val="21"/>
              </w:rPr>
            </w:pPr>
            <w:r/>
          </w:p>
          <w:p>
            <w:pPr>
              <w:ind w:left="5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0" w:right="15" w:firstLine="10"/>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违反本法规定，有下列行为之一的，由</w:t>
            </w:r>
            <w:r>
              <w:rPr>
                <w:rFonts w:ascii="FangSong_GB2312" w:hAnsi="FangSong_GB2312" w:eastAsia="FangSong_GB2312" w:cs="FangSong_GB2312"/>
                <w:sz w:val="24"/>
                <w:szCs w:val="24"/>
                <w:spacing w:val="-2"/>
              </w:rPr>
              <w:t>县级以上人民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政府环境保护行政主管部门或者其他有关部门依据职权责令限期改</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正；逾期不改正的，责令停产停业，并处二万元以上十万元以下罚</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款；构成犯罪的，依法追究刑事责任：</w:t>
            </w:r>
          </w:p>
          <w:p>
            <w:pPr>
              <w:ind w:left="54" w:right="15" w:hanging="10"/>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（二）不按照规定建立健全安全保卫制度和制定事故</w:t>
            </w:r>
            <w:r>
              <w:rPr>
                <w:rFonts w:ascii="FangSong_GB2312" w:hAnsi="FangSong_GB2312" w:eastAsia="FangSong_GB2312" w:cs="FangSong_GB2312"/>
                <w:sz w:val="24"/>
                <w:szCs w:val="24"/>
                <w:spacing w:val="-1"/>
              </w:rPr>
              <w:t>应急计划或者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应急措施的；</w:t>
            </w:r>
          </w:p>
          <w:p>
            <w:pPr>
              <w:ind w:left="69" w:right="15" w:hanging="25"/>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（三）不按照规定报告放射源丢失、被盗情况或者放</w:t>
            </w:r>
            <w:r>
              <w:rPr>
                <w:rFonts w:ascii="FangSong_GB2312" w:hAnsi="FangSong_GB2312" w:eastAsia="FangSong_GB2312" w:cs="FangSong_GB2312"/>
                <w:sz w:val="24"/>
                <w:szCs w:val="24"/>
                <w:spacing w:val="-1"/>
              </w:rPr>
              <w:t>射性污染事故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tc>
      </w:tr>
      <w:tr>
        <w:trPr>
          <w:trHeight w:val="635" w:hRule="atLeast"/>
        </w:trPr>
        <w:tc>
          <w:tcPr>
            <w:tcW w:w="4175"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2" w:type="dxa"/>
            <w:vAlign w:val="top"/>
            <w:gridSpan w:val="2"/>
          </w:tcPr>
          <w:p>
            <w:pPr>
              <w:ind w:left="162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97" w:type="dxa"/>
            <w:vAlign w:val="top"/>
          </w:tcPr>
          <w:p>
            <w:pPr>
              <w:ind w:left="514"/>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496"/>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89" w:type="dxa"/>
            <w:vAlign w:val="top"/>
          </w:tcPr>
          <w:p>
            <w:pPr>
              <w:ind w:left="195" w:right="187"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76"/>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1" w:type="dxa"/>
            <w:vAlign w:val="top"/>
          </w:tcPr>
          <w:p>
            <w:pPr>
              <w:ind w:left="248"/>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0" w:hRule="atLeast"/>
        </w:trPr>
        <w:tc>
          <w:tcPr>
            <w:tcW w:w="1497"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509" w:right="152"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15"/>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89"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1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01" w:right="223" w:firstLine="5"/>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不按照规定建立健全安全保</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
              </w:rPr>
              <w:t>卫制度，经责令限期改正但</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逾期不改正的</w:t>
            </w:r>
          </w:p>
        </w:tc>
        <w:tc>
          <w:tcPr>
            <w:tcW w:w="1141" w:type="dxa"/>
            <w:vAlign w:val="top"/>
          </w:tcPr>
          <w:p>
            <w:pPr>
              <w:spacing w:line="278" w:lineRule="auto"/>
              <w:rPr>
                <w:rFonts w:ascii="Arial"/>
                <w:sz w:val="21"/>
              </w:rPr>
            </w:pPr>
            <w:r/>
          </w:p>
          <w:p>
            <w:pPr>
              <w:ind w:left="22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50" w:hRule="atLeast"/>
        </w:trPr>
        <w:tc>
          <w:tcPr>
            <w:tcW w:w="149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3201" w:type="dxa"/>
            <w:vAlign w:val="top"/>
          </w:tcPr>
          <w:p>
            <w:pPr>
              <w:ind w:left="105" w:right="223"/>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不按照规定制定事故应急计</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划或者应急措施，经责令限</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期改正但逾期不改正的</w:t>
            </w:r>
          </w:p>
        </w:tc>
        <w:tc>
          <w:tcPr>
            <w:tcW w:w="1141" w:type="dxa"/>
            <w:vAlign w:val="top"/>
          </w:tcPr>
          <w:p>
            <w:pPr>
              <w:spacing w:line="276" w:lineRule="auto"/>
              <w:rPr>
                <w:rFonts w:ascii="Arial"/>
                <w:sz w:val="21"/>
              </w:rPr>
            </w:pPr>
            <w:r/>
          </w:p>
          <w:p>
            <w:pPr>
              <w:ind w:left="16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21%-50%</w:t>
            </w:r>
          </w:p>
        </w:tc>
      </w:tr>
      <w:tr>
        <w:trPr>
          <w:trHeight w:val="1264" w:hRule="atLeast"/>
        </w:trPr>
        <w:tc>
          <w:tcPr>
            <w:tcW w:w="149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3201" w:type="dxa"/>
            <w:vAlign w:val="top"/>
          </w:tcPr>
          <w:p>
            <w:pPr>
              <w:ind w:left="100" w:right="223" w:firstLine="6"/>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不按照规定报告Ⅳ类、</w:t>
            </w:r>
            <w:r>
              <w:rPr>
                <w:rFonts w:ascii="FangSong_GB2312" w:hAnsi="FangSong_GB2312" w:eastAsia="FangSong_GB2312" w:cs="FangSong_GB2312"/>
                <w:sz w:val="24"/>
                <w:szCs w:val="24"/>
                <w:spacing w:val="-76"/>
              </w:rPr>
              <w:t xml:space="preserve"> </w:t>
            </w:r>
            <w:r>
              <w:rPr>
                <w:rFonts w:ascii="FangSong_GB2312" w:hAnsi="FangSong_GB2312" w:eastAsia="FangSong_GB2312" w:cs="FangSong_GB2312"/>
                <w:sz w:val="24"/>
                <w:szCs w:val="24"/>
                <w:spacing w:val="-5"/>
              </w:rPr>
              <w:t>Ⅴ类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放射源丢失、被盗情况或者</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一般放射性环境事件，经责</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令限期改正但逾期不改正的</w:t>
            </w:r>
          </w:p>
        </w:tc>
        <w:tc>
          <w:tcPr>
            <w:tcW w:w="1141" w:type="dxa"/>
            <w:vAlign w:val="top"/>
          </w:tcPr>
          <w:p>
            <w:pPr>
              <w:spacing w:line="434" w:lineRule="auto"/>
              <w:rPr>
                <w:rFonts w:ascii="Arial"/>
                <w:sz w:val="21"/>
              </w:rPr>
            </w:pPr>
            <w:r/>
          </w:p>
          <w:p>
            <w:pPr>
              <w:ind w:left="22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9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3201" w:type="dxa"/>
            <w:vAlign w:val="top"/>
          </w:tcPr>
          <w:p>
            <w:pPr>
              <w:ind w:left="108" w:right="223" w:hanging="2"/>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不按照规定报告Ⅲ类源放射</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源丢失、被盗情况或者较大</w:t>
            </w:r>
          </w:p>
        </w:tc>
        <w:tc>
          <w:tcPr>
            <w:tcW w:w="1141" w:type="dxa"/>
            <w:vAlign w:val="top"/>
          </w:tcPr>
          <w:p>
            <w:pPr>
              <w:ind w:left="16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bl>
    <w:p>
      <w:pPr>
        <w:pStyle w:val="BodyText"/>
        <w:rPr/>
      </w:pPr>
      <w:r/>
    </w:p>
    <w:p>
      <w:pPr>
        <w:sectPr>
          <w:footerReference w:type="default" r:id="rId383"/>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639" w:hRule="atLeast"/>
        </w:trPr>
        <w:tc>
          <w:tcPr>
            <w:tcW w:w="1480" w:type="dxa"/>
            <w:vAlign w:val="top"/>
            <w:vMerge w:val="restart"/>
            <w:tcBorders>
              <w:bottom w:val="nil"/>
            </w:tcBorders>
          </w:tcPr>
          <w:p>
            <w:pPr>
              <w:rPr>
                <w:rFonts w:ascii="Arial"/>
                <w:sz w:val="21"/>
              </w:rPr>
            </w:pPr>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19" w:right="209" w:hanging="2"/>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放射性环境事件，经责令限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期改正但逾期不改正的</w:t>
            </w:r>
          </w:p>
        </w:tc>
        <w:tc>
          <w:tcPr>
            <w:tcW w:w="1155" w:type="dxa"/>
            <w:vAlign w:val="top"/>
          </w:tcPr>
          <w:p>
            <w:pPr>
              <w:rPr>
                <w:rFonts w:ascii="Arial"/>
                <w:sz w:val="21"/>
              </w:rPr>
            </w:pPr>
            <w:r/>
          </w:p>
        </w:tc>
      </w:tr>
      <w:tr>
        <w:trPr>
          <w:trHeight w:val="126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right="209"/>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不按照规定报告Ⅱ类放射源</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丢失、被盗情况或者重大放</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射性环境事件，经责令限期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改正但逾期不改正的</w:t>
            </w:r>
          </w:p>
        </w:tc>
        <w:tc>
          <w:tcPr>
            <w:tcW w:w="1155" w:type="dxa"/>
            <w:vAlign w:val="top"/>
          </w:tcPr>
          <w:p>
            <w:pPr>
              <w:spacing w:line="431" w:lineRule="auto"/>
              <w:rPr>
                <w:rFonts w:ascii="Arial"/>
                <w:sz w:val="21"/>
              </w:rPr>
            </w:pPr>
            <w:r/>
          </w:p>
          <w:p>
            <w:pPr>
              <w:ind w:left="17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r>
        <w:trPr>
          <w:trHeight w:val="126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right="209"/>
              <w:spacing w:before="3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不按照规定报告</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11"/>
              </w:rPr>
              <w:t>Ⅰ</w:t>
            </w:r>
            <w:r>
              <w:rPr>
                <w:rFonts w:ascii="FangSong_GB2312" w:hAnsi="FangSong_GB2312" w:eastAsia="FangSong_GB2312" w:cs="FangSong_GB2312"/>
                <w:sz w:val="24"/>
                <w:szCs w:val="24"/>
                <w:spacing w:val="-99"/>
              </w:rPr>
              <w:t xml:space="preserve"> </w:t>
            </w:r>
            <w:r>
              <w:rPr>
                <w:rFonts w:ascii="FangSong_GB2312" w:hAnsi="FangSong_GB2312" w:eastAsia="FangSong_GB2312" w:cs="FangSong_GB2312"/>
                <w:sz w:val="24"/>
                <w:szCs w:val="24"/>
                <w:spacing w:val="-11"/>
              </w:rPr>
              <w:t>类放射源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丢失、被盗情况或者特别重</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大放射性环境事件，经责令</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限期改正但逾期不改正的</w:t>
            </w:r>
          </w:p>
        </w:tc>
        <w:tc>
          <w:tcPr>
            <w:tcW w:w="1155" w:type="dxa"/>
            <w:vAlign w:val="top"/>
          </w:tcPr>
          <w:p>
            <w:pPr>
              <w:spacing w:line="431" w:lineRule="auto"/>
              <w:rPr>
                <w:rFonts w:ascii="Arial"/>
                <w:sz w:val="21"/>
              </w:rPr>
            </w:pPr>
            <w:r/>
          </w:p>
          <w:p>
            <w:pPr>
              <w:ind w:left="41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r>
      <w:tr>
        <w:trPr>
          <w:trHeight w:val="320" w:hRule="atLeast"/>
        </w:trPr>
        <w:tc>
          <w:tcPr>
            <w:tcW w:w="1480" w:type="dxa"/>
            <w:vAlign w:val="top"/>
            <w:vMerge w:val="restart"/>
            <w:tcBorders>
              <w:bottom w:val="nil"/>
            </w:tcBorders>
          </w:tcPr>
          <w:p>
            <w:pPr>
              <w:spacing w:line="446"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3" w:lineRule="auto"/>
              <w:rPr>
                <w:rFonts w:ascii="Arial"/>
                <w:sz w:val="21"/>
              </w:rPr>
            </w:pPr>
            <w:r/>
          </w:p>
          <w:p>
            <w:pPr>
              <w:ind w:left="835" w:right="224"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6"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47" w:hRule="atLeast"/>
        </w:trPr>
        <w:tc>
          <w:tcPr>
            <w:tcW w:w="1480" w:type="dxa"/>
            <w:vAlign w:val="top"/>
            <w:vMerge w:val="restart"/>
            <w:tcBorders>
              <w:bottom w:val="nil"/>
            </w:tcBorders>
          </w:tcPr>
          <w:p>
            <w:pPr>
              <w:ind w:left="267" w:right="257" w:firstLine="7"/>
              <w:spacing w:before="9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4" w:hanging="480"/>
              <w:spacing w:before="9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5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5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9"/>
              <w:spacing w:before="56"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86"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7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75"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0" w:type="dxa"/>
            <w:vAlign w:val="top"/>
            <w:vMerge w:val="restart"/>
            <w:tcBorders>
              <w:bottom w:val="nil"/>
            </w:tcBorders>
          </w:tcPr>
          <w:p>
            <w:pPr>
              <w:ind w:left="149"/>
              <w:spacing w:before="4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2"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4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83"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4"/>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2"/>
        <w:gridCol w:w="1844"/>
        <w:gridCol w:w="792"/>
        <w:gridCol w:w="3201"/>
        <w:gridCol w:w="1155"/>
      </w:tblGrid>
      <w:tr>
        <w:trPr>
          <w:trHeight w:val="738" w:hRule="atLeast"/>
        </w:trPr>
        <w:tc>
          <w:tcPr>
            <w:tcW w:w="8424" w:type="dxa"/>
            <w:vAlign w:val="top"/>
            <w:gridSpan w:val="5"/>
          </w:tcPr>
          <w:p>
            <w:pPr>
              <w:ind w:left="210"/>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32" w:type="dxa"/>
            <w:vAlign w:val="top"/>
          </w:tcPr>
          <w:p>
            <w:pPr>
              <w:ind w:left="440"/>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6992" w:type="dxa"/>
            <w:vAlign w:val="top"/>
            <w:gridSpan w:val="4"/>
          </w:tcPr>
          <w:p>
            <w:pPr>
              <w:ind w:left="3335"/>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194</w:t>
            </w:r>
          </w:p>
        </w:tc>
      </w:tr>
      <w:tr>
        <w:trPr>
          <w:trHeight w:val="979" w:hRule="atLeast"/>
        </w:trPr>
        <w:tc>
          <w:tcPr>
            <w:tcW w:w="1432" w:type="dxa"/>
            <w:vAlign w:val="top"/>
          </w:tcPr>
          <w:p>
            <w:pPr>
              <w:spacing w:line="258" w:lineRule="auto"/>
              <w:rPr>
                <w:rFonts w:ascii="Arial"/>
                <w:sz w:val="21"/>
              </w:rPr>
            </w:pPr>
            <w:r/>
          </w:p>
          <w:p>
            <w:pPr>
              <w:ind w:left="165"/>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6992" w:type="dxa"/>
            <w:vAlign w:val="top"/>
            <w:gridSpan w:val="4"/>
          </w:tcPr>
          <w:p>
            <w:pPr>
              <w:ind w:left="19" w:right="16"/>
              <w:spacing w:before="55"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产生放射性固体废物的单位不按照规定对其产生的放射性固体废物</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进行处理后，送交放射性固体废物处置单位处置的，经责令限期改</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2"/>
              </w:rPr>
              <w:t>正但逾期不改正的</w:t>
            </w:r>
          </w:p>
        </w:tc>
      </w:tr>
      <w:tr>
        <w:trPr>
          <w:trHeight w:val="3813" w:hRule="atLeast"/>
        </w:trPr>
        <w:tc>
          <w:tcPr>
            <w:tcW w:w="1432"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17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6992" w:type="dxa"/>
            <w:vAlign w:val="top"/>
            <w:gridSpan w:val="4"/>
          </w:tcPr>
          <w:p>
            <w:pPr>
              <w:ind w:left="35"/>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29" w:right="16" w:firstLine="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产生放射性固体废物的单位，</w:t>
            </w:r>
            <w:r>
              <w:rPr>
                <w:rFonts w:ascii="FangSong_GB2312" w:hAnsi="FangSong_GB2312" w:eastAsia="FangSong_GB2312" w:cs="FangSong_GB2312"/>
                <w:sz w:val="24"/>
                <w:szCs w:val="24"/>
                <w:spacing w:val="-2"/>
              </w:rPr>
              <w:t>应当按照国务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院环境保护行政主管部门的规定，对其产生的放射性固体废物进行</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处理后，送交放射性固体废物处置单位处置，并承担处置费用。</w:t>
            </w:r>
          </w:p>
          <w:p>
            <w:pPr>
              <w:spacing w:line="270"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19" w:firstLine="12"/>
              <w:spacing w:before="35"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第五十六条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产生放射性固体废物的单位，</w:t>
            </w:r>
            <w:r>
              <w:rPr>
                <w:rFonts w:ascii="FangSong_GB2312" w:hAnsi="FangSong_GB2312" w:eastAsia="FangSong_GB2312" w:cs="FangSong_GB2312"/>
                <w:sz w:val="24"/>
                <w:szCs w:val="24"/>
                <w:spacing w:val="-3"/>
              </w:rPr>
              <w:t>不按照本法第四十五条</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的规定对其产生的放射性固体废物进行处置的，由审批该单位立项</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环境影响评价文件的环境保护行政主管部门责令停止违法行为，限</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期改正；逾期不改正的，指定有处置能力的单位代为处置，所需费</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8"/>
              </w:rPr>
              <w:t>用由产生放射性固体废物的单位承担，可以并处二十万元以下罚款；</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构成犯罪的，依法追究刑事责任。</w:t>
            </w:r>
          </w:p>
        </w:tc>
      </w:tr>
      <w:tr>
        <w:trPr>
          <w:trHeight w:val="635" w:hRule="atLeast"/>
        </w:trPr>
        <w:tc>
          <w:tcPr>
            <w:tcW w:w="4068" w:type="dxa"/>
            <w:vAlign w:val="top"/>
            <w:gridSpan w:val="3"/>
          </w:tcPr>
          <w:p>
            <w:pPr>
              <w:ind w:left="1482"/>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6" w:type="dxa"/>
            <w:vAlign w:val="top"/>
            <w:gridSpan w:val="2"/>
          </w:tcPr>
          <w:p>
            <w:pPr>
              <w:ind w:left="1636"/>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41" w:hRule="atLeast"/>
        </w:trPr>
        <w:tc>
          <w:tcPr>
            <w:tcW w:w="1432" w:type="dxa"/>
            <w:vAlign w:val="top"/>
          </w:tcPr>
          <w:p>
            <w:pPr>
              <w:ind w:left="489"/>
              <w:spacing w:before="2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44" w:type="dxa"/>
            <w:vAlign w:val="top"/>
          </w:tcPr>
          <w:p>
            <w:pPr>
              <w:ind w:left="491"/>
              <w:spacing w:before="214"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4"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9"/>
              <w:spacing w:before="213"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5" w:type="dxa"/>
            <w:vAlign w:val="top"/>
          </w:tcPr>
          <w:p>
            <w:pPr>
              <w:ind w:left="261"/>
              <w:spacing w:before="213"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32"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484" w:right="111"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44" w:type="dxa"/>
            <w:vAlign w:val="top"/>
            <w:vMerge w:val="restart"/>
            <w:tcBorders>
              <w:bottom w:val="nil"/>
            </w:tcBorders>
          </w:tcPr>
          <w:p>
            <w:pPr>
              <w:spacing w:line="329" w:lineRule="auto"/>
              <w:rPr>
                <w:rFonts w:ascii="Arial"/>
                <w:sz w:val="21"/>
              </w:rPr>
            </w:pPr>
            <w:r/>
          </w:p>
          <w:p>
            <w:pPr>
              <w:ind w:left="467" w:right="201" w:hanging="2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产生的放射性</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8"/>
              </w:rPr>
              <w:t>固体废物</w:t>
            </w:r>
          </w:p>
        </w:tc>
        <w:tc>
          <w:tcPr>
            <w:tcW w:w="79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量小活度低的</w:t>
            </w:r>
          </w:p>
        </w:tc>
        <w:tc>
          <w:tcPr>
            <w:tcW w:w="1155" w:type="dxa"/>
            <w:vAlign w:val="top"/>
          </w:tcPr>
          <w:p>
            <w:pPr>
              <w:ind w:left="29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量大活度低的</w:t>
            </w:r>
          </w:p>
        </w:tc>
        <w:tc>
          <w:tcPr>
            <w:tcW w:w="1155" w:type="dxa"/>
            <w:vAlign w:val="top"/>
          </w:tcPr>
          <w:p>
            <w:pPr>
              <w:ind w:left="23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96"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8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量小活度高的</w:t>
            </w:r>
          </w:p>
        </w:tc>
        <w:tc>
          <w:tcPr>
            <w:tcW w:w="1155" w:type="dxa"/>
            <w:vAlign w:val="top"/>
          </w:tcPr>
          <w:p>
            <w:pPr>
              <w:ind w:left="178"/>
              <w:spacing w:before="81"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量大活度高的</w:t>
            </w:r>
          </w:p>
        </w:tc>
        <w:tc>
          <w:tcPr>
            <w:tcW w:w="1155" w:type="dxa"/>
            <w:vAlign w:val="top"/>
          </w:tcPr>
          <w:p>
            <w:pPr>
              <w:ind w:left="1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restart"/>
            <w:tcBorders>
              <w:bottom w:val="nil"/>
            </w:tcBorders>
          </w:tcPr>
          <w:p>
            <w:pPr>
              <w:spacing w:line="455" w:lineRule="auto"/>
              <w:rPr>
                <w:rFonts w:ascii="Arial"/>
                <w:sz w:val="21"/>
              </w:rPr>
            </w:pPr>
            <w:r/>
          </w:p>
          <w:p>
            <w:pPr>
              <w:ind w:left="697" w:right="321" w:hanging="37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产生的废放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0"/>
              </w:rPr>
              <w:t>射源</w:t>
            </w:r>
          </w:p>
        </w:tc>
        <w:tc>
          <w:tcPr>
            <w:tcW w:w="792" w:type="dxa"/>
            <w:vAlign w:val="top"/>
            <w:vMerge w:val="restart"/>
            <w:tcBorders>
              <w:bottom w:val="nil"/>
            </w:tcBorders>
          </w:tcPr>
          <w:p>
            <w:pPr>
              <w:spacing w:line="305" w:lineRule="auto"/>
              <w:rPr>
                <w:rFonts w:ascii="Arial"/>
                <w:sz w:val="21"/>
              </w:rPr>
            </w:pPr>
            <w:r/>
          </w:p>
          <w:p>
            <w:pPr>
              <w:spacing w:line="306"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25%</w:t>
            </w:r>
          </w:p>
        </w:tc>
        <w:tc>
          <w:tcPr>
            <w:tcW w:w="3201"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属Ⅴ类放射源的</w:t>
            </w:r>
          </w:p>
        </w:tc>
        <w:tc>
          <w:tcPr>
            <w:tcW w:w="1155" w:type="dxa"/>
            <w:vAlign w:val="top"/>
          </w:tcPr>
          <w:p>
            <w:pPr>
              <w:ind w:left="29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属Ⅳ类放射源的</w:t>
            </w:r>
          </w:p>
        </w:tc>
        <w:tc>
          <w:tcPr>
            <w:tcW w:w="1155" w:type="dxa"/>
            <w:vAlign w:val="top"/>
          </w:tcPr>
          <w:p>
            <w:pPr>
              <w:ind w:left="23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属Ⅲ类放射源的</w:t>
            </w:r>
          </w:p>
        </w:tc>
        <w:tc>
          <w:tcPr>
            <w:tcW w:w="1155" w:type="dxa"/>
            <w:vAlign w:val="top"/>
          </w:tcPr>
          <w:p>
            <w:pPr>
              <w:ind w:left="17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11%-15%</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属Ⅱ类放射源的</w:t>
            </w:r>
          </w:p>
        </w:tc>
        <w:tc>
          <w:tcPr>
            <w:tcW w:w="1155" w:type="dxa"/>
            <w:vAlign w:val="top"/>
          </w:tcPr>
          <w:p>
            <w:pPr>
              <w:ind w:left="17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16%-20%</w:t>
            </w:r>
          </w:p>
        </w:tc>
      </w:tr>
      <w:tr>
        <w:trPr>
          <w:trHeight w:val="320"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7"/>
              </w:rPr>
              <w:t>属</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7"/>
              </w:rPr>
              <w:t>Ⅰ</w:t>
            </w:r>
            <w:r>
              <w:rPr>
                <w:rFonts w:ascii="FangSong_GB2312" w:hAnsi="FangSong_GB2312" w:eastAsia="FangSong_GB2312" w:cs="FangSong_GB2312"/>
                <w:sz w:val="24"/>
                <w:szCs w:val="24"/>
                <w:spacing w:val="-98"/>
              </w:rPr>
              <w:t xml:space="preserve"> </w:t>
            </w:r>
            <w:r>
              <w:rPr>
                <w:rFonts w:ascii="FangSong_GB2312" w:hAnsi="FangSong_GB2312" w:eastAsia="FangSong_GB2312" w:cs="FangSong_GB2312"/>
                <w:sz w:val="24"/>
                <w:szCs w:val="24"/>
                <w:spacing w:val="-17"/>
              </w:rPr>
              <w:t>类放射源的</w:t>
            </w:r>
          </w:p>
        </w:tc>
        <w:tc>
          <w:tcPr>
            <w:tcW w:w="1155" w:type="dxa"/>
            <w:vAlign w:val="top"/>
          </w:tcPr>
          <w:p>
            <w:pPr>
              <w:ind w:left="1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21%-25%</w:t>
            </w:r>
          </w:p>
        </w:tc>
      </w:tr>
      <w:tr>
        <w:trPr>
          <w:trHeight w:val="320" w:hRule="atLeast"/>
        </w:trPr>
        <w:tc>
          <w:tcPr>
            <w:tcW w:w="1432" w:type="dxa"/>
            <w:vAlign w:val="top"/>
            <w:vMerge w:val="restart"/>
            <w:tcBorders>
              <w:bottom w:val="nil"/>
            </w:tcBorders>
          </w:tcPr>
          <w:p>
            <w:pPr>
              <w:spacing w:line="448" w:lineRule="auto"/>
              <w:rPr>
                <w:rFonts w:ascii="Arial"/>
                <w:sz w:val="21"/>
              </w:rPr>
            </w:pPr>
            <w:r/>
          </w:p>
          <w:p>
            <w:pPr>
              <w:ind w:left="24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44" w:type="dxa"/>
            <w:vAlign w:val="top"/>
            <w:vMerge w:val="restart"/>
            <w:tcBorders>
              <w:bottom w:val="nil"/>
            </w:tcBorders>
          </w:tcPr>
          <w:p>
            <w:pPr>
              <w:spacing w:line="292" w:lineRule="auto"/>
              <w:rPr>
                <w:rFonts w:ascii="Arial"/>
                <w:sz w:val="21"/>
              </w:rPr>
            </w:pPr>
            <w:r/>
          </w:p>
          <w:p>
            <w:pPr>
              <w:ind w:left="813" w:right="201"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32"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32" w:type="dxa"/>
            <w:vAlign w:val="top"/>
            <w:vMerge w:val="restart"/>
            <w:tcBorders>
              <w:bottom w:val="nil"/>
            </w:tcBorders>
          </w:tcPr>
          <w:p>
            <w:pPr>
              <w:ind w:left="242" w:right="234" w:firstLine="7"/>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44" w:type="dxa"/>
            <w:vAlign w:val="top"/>
            <w:vMerge w:val="restart"/>
            <w:tcBorders>
              <w:bottom w:val="nil"/>
            </w:tcBorders>
          </w:tcPr>
          <w:p>
            <w:pPr>
              <w:ind w:left="683" w:right="201" w:hanging="480"/>
              <w:spacing w:before="49"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8"/>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2"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0"/>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5"/>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2"/>
        <w:gridCol w:w="1844"/>
        <w:gridCol w:w="792"/>
        <w:gridCol w:w="3201"/>
        <w:gridCol w:w="1155"/>
      </w:tblGrid>
      <w:tr>
        <w:trPr>
          <w:trHeight w:val="447" w:hRule="atLeast"/>
        </w:trPr>
        <w:tc>
          <w:tcPr>
            <w:tcW w:w="1432" w:type="dxa"/>
            <w:vAlign w:val="top"/>
            <w:vMerge w:val="restart"/>
            <w:tcBorders>
              <w:bottom w:val="nil"/>
            </w:tcBorders>
          </w:tcPr>
          <w:p>
            <w:pPr>
              <w:ind w:left="124"/>
              <w:spacing w:before="10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19"/>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485"/>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44" w:type="dxa"/>
            <w:vAlign w:val="top"/>
            <w:vMerge w:val="restart"/>
            <w:tcBorders>
              <w:bottom w:val="nil"/>
            </w:tcBorders>
          </w:tcPr>
          <w:p>
            <w:pPr>
              <w:ind w:left="203"/>
              <w:spacing w:before="10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14"/>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14"/>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46"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25%</w:t>
            </w:r>
          </w:p>
        </w:tc>
        <w:tc>
          <w:tcPr>
            <w:tcW w:w="3201" w:type="dxa"/>
            <w:vAlign w:val="top"/>
          </w:tcPr>
          <w:p>
            <w:pPr>
              <w:ind w:left="118"/>
              <w:spacing w:before="1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3"/>
              <w:spacing w:before="1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1%-25%</w:t>
            </w:r>
          </w:p>
        </w:tc>
      </w:tr>
      <w:tr>
        <w:trPr>
          <w:trHeight w:val="637" w:hRule="atLeast"/>
        </w:trPr>
        <w:tc>
          <w:tcPr>
            <w:tcW w:w="1432"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5" w:right="210"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0"/>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6"/>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0"/>
        <w:gridCol w:w="1889"/>
        <w:gridCol w:w="791"/>
        <w:gridCol w:w="3201"/>
        <w:gridCol w:w="1146"/>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90"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7" w:type="dxa"/>
            <w:vAlign w:val="top"/>
            <w:gridSpan w:val="4"/>
          </w:tcPr>
          <w:p>
            <w:pPr>
              <w:ind w:left="3371"/>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195</w:t>
            </w:r>
          </w:p>
        </w:tc>
      </w:tr>
      <w:tr>
        <w:trPr>
          <w:trHeight w:val="979" w:hRule="atLeast"/>
        </w:trPr>
        <w:tc>
          <w:tcPr>
            <w:tcW w:w="1490" w:type="dxa"/>
            <w:vAlign w:val="top"/>
          </w:tcPr>
          <w:p>
            <w:pPr>
              <w:spacing w:line="259"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7" w:type="dxa"/>
            <w:vAlign w:val="top"/>
            <w:gridSpan w:val="4"/>
          </w:tcPr>
          <w:p>
            <w:pPr>
              <w:ind w:left="51"/>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（一）未经许可，擅自从事贮存和处置放射性固</w:t>
            </w:r>
            <w:r>
              <w:rPr>
                <w:rFonts w:ascii="FangSong_GB2312" w:hAnsi="FangSong_GB2312" w:eastAsia="FangSong_GB2312" w:cs="FangSong_GB2312"/>
                <w:sz w:val="24"/>
                <w:szCs w:val="24"/>
                <w:spacing w:val="-1"/>
              </w:rPr>
              <w:t>体废物活动的；</w:t>
            </w:r>
          </w:p>
          <w:p>
            <w:pPr>
              <w:ind w:left="76" w:right="15" w:hanging="25"/>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（二）不按照许可的有关规定从事贮存和处置放射性</w:t>
            </w:r>
            <w:r>
              <w:rPr>
                <w:rFonts w:ascii="FangSong_GB2312" w:hAnsi="FangSong_GB2312" w:eastAsia="FangSong_GB2312" w:cs="FangSong_GB2312"/>
                <w:sz w:val="24"/>
                <w:szCs w:val="24"/>
                <w:spacing w:val="-1"/>
              </w:rPr>
              <w:t>固体废物活动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tc>
      </w:tr>
      <w:tr>
        <w:trPr>
          <w:trHeight w:val="5703" w:hRule="atLeast"/>
        </w:trPr>
        <w:tc>
          <w:tcPr>
            <w:tcW w:w="1490"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7" w:type="dxa"/>
            <w:vAlign w:val="top"/>
            <w:gridSpan w:val="4"/>
          </w:tcPr>
          <w:p>
            <w:pPr>
              <w:ind w:left="71"/>
              <w:spacing w:before="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《中华人民共和国放射性污染防治法》</w:t>
            </w:r>
          </w:p>
          <w:p>
            <w:pPr>
              <w:ind w:left="62" w:right="15" w:firstLine="5"/>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设立专门从事放射性固体废物贮存、处置的单位</w:t>
            </w:r>
            <w:r>
              <w:rPr>
                <w:rFonts w:ascii="FangSong_GB2312" w:hAnsi="FangSong_GB2312" w:eastAsia="FangSong_GB2312" w:cs="FangSong_GB2312"/>
                <w:sz w:val="24"/>
                <w:szCs w:val="24"/>
                <w:spacing w:val="-2"/>
              </w:rPr>
              <w:t>，必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须经国务院环境保护行政主管部门审查批准，取得许可证。具体办</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法由国务院规定。</w:t>
            </w:r>
          </w:p>
          <w:p>
            <w:pPr>
              <w:ind w:left="50" w:right="15" w:firstLine="12"/>
              <w:spacing w:before="3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禁止未经许可或者不按照许可的有关规定从事贮存和处置放射性固</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体废物的活动。</w:t>
            </w:r>
          </w:p>
          <w:p>
            <w:pPr>
              <w:ind w:left="63" w:right="255"/>
              <w:spacing w:before="34"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禁止将放射性固体废物提供或者委托给无许可证的单位贮存和处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9"/>
              </w:rPr>
              <w:t>置。</w:t>
            </w:r>
          </w:p>
          <w:p>
            <w:pPr>
              <w:spacing w:line="262" w:lineRule="auto"/>
              <w:rPr>
                <w:rFonts w:ascii="Arial"/>
                <w:sz w:val="21"/>
              </w:rPr>
            </w:pPr>
            <w:r/>
          </w:p>
          <w:p>
            <w:pPr>
              <w:ind w:left="65"/>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《中华人民共和国放射性污染防治法》</w:t>
            </w:r>
          </w:p>
          <w:p>
            <w:pPr>
              <w:ind w:left="51" w:firstLine="16"/>
              <w:spacing w:before="40"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第五十七条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违反本法规定，有下列行为之</w:t>
            </w:r>
            <w:r>
              <w:rPr>
                <w:rFonts w:ascii="FangSong_GB2312" w:hAnsi="FangSong_GB2312" w:eastAsia="FangSong_GB2312" w:cs="FangSong_GB2312"/>
                <w:sz w:val="24"/>
                <w:szCs w:val="24"/>
                <w:spacing w:val="-3"/>
              </w:rPr>
              <w:t>一的，由省级以上人民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政府环境保护行政主管部门责令停产停业或者吊销许可证；有违法</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2"/>
              </w:rPr>
              <w:t>所得的，没收违法所得；违法所得十万元以上的，并处违法所得一</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rPr>
              <w:t>倍以上五倍以下罚款；没有违法所得或者违法所</w:t>
            </w:r>
            <w:r>
              <w:rPr>
                <w:rFonts w:ascii="FangSong_GB2312" w:hAnsi="FangSong_GB2312" w:eastAsia="FangSong_GB2312" w:cs="FangSong_GB2312"/>
                <w:sz w:val="24"/>
                <w:szCs w:val="24"/>
                <w:spacing w:val="-1"/>
              </w:rPr>
              <w:t>得不足十万元的，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并处五万元以上十万元以下罚款；构成犯罪的，依法追究刑事责任：</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2"/>
              </w:rPr>
              <w:t>（一）未经许可，擅自从事贮存和处置放射性固体废物活动的；</w:t>
            </w:r>
          </w:p>
          <w:p>
            <w:pPr>
              <w:ind w:left="76" w:right="15" w:hanging="25"/>
              <w:spacing w:before="3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（二）不按照许可的有关规定从事贮存和处置放射性</w:t>
            </w:r>
            <w:r>
              <w:rPr>
                <w:rFonts w:ascii="FangSong_GB2312" w:hAnsi="FangSong_GB2312" w:eastAsia="FangSong_GB2312" w:cs="FangSong_GB2312"/>
                <w:sz w:val="24"/>
                <w:szCs w:val="24"/>
                <w:spacing w:val="-1"/>
              </w:rPr>
              <w:t>固体废物活动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5"/>
              </w:rPr>
              <w:t>的。</w:t>
            </w:r>
          </w:p>
        </w:tc>
      </w:tr>
      <w:tr>
        <w:trPr>
          <w:trHeight w:val="635" w:hRule="atLeast"/>
        </w:trPr>
        <w:tc>
          <w:tcPr>
            <w:tcW w:w="4170"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90" w:type="dxa"/>
            <w:vAlign w:val="top"/>
          </w:tcPr>
          <w:p>
            <w:pPr>
              <w:ind w:left="514"/>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3"/>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02" w:right="18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90" w:type="dxa"/>
            <w:vAlign w:val="top"/>
            <w:vMerge w:val="restart"/>
            <w:tcBorders>
              <w:bottom w:val="nil"/>
            </w:tcBorders>
          </w:tcPr>
          <w:p>
            <w:pPr>
              <w:spacing w:line="450" w:lineRule="auto"/>
              <w:rPr>
                <w:rFonts w:ascii="Arial"/>
                <w:sz w:val="21"/>
              </w:rPr>
            </w:pPr>
            <w:r/>
          </w:p>
          <w:p>
            <w:pPr>
              <w:ind w:left="509" w:right="145"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303" w:lineRule="auto"/>
              <w:rPr>
                <w:rFonts w:ascii="Arial"/>
                <w:sz w:val="21"/>
              </w:rPr>
            </w:pPr>
            <w:r/>
          </w:p>
          <w:p>
            <w:pPr>
              <w:spacing w:line="304" w:lineRule="auto"/>
              <w:rPr>
                <w:rFonts w:ascii="Arial"/>
                <w:sz w:val="21"/>
              </w:rPr>
            </w:pPr>
            <w:r/>
          </w:p>
          <w:p>
            <w:pPr>
              <w:ind w:left="22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303" w:lineRule="auto"/>
              <w:rPr>
                <w:rFonts w:ascii="Arial"/>
                <w:sz w:val="21"/>
              </w:rPr>
            </w:pPr>
            <w:r/>
          </w:p>
          <w:p>
            <w:pPr>
              <w:spacing w:line="304"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没有违法所得的</w:t>
            </w:r>
          </w:p>
        </w:tc>
        <w:tc>
          <w:tcPr>
            <w:tcW w:w="1146" w:type="dxa"/>
            <w:vAlign w:val="top"/>
          </w:tcPr>
          <w:p>
            <w:pPr>
              <w:ind w:left="23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违法所得不足</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万元的</w:t>
            </w:r>
          </w:p>
        </w:tc>
        <w:tc>
          <w:tcPr>
            <w:tcW w:w="1146" w:type="dxa"/>
            <w:vAlign w:val="top"/>
          </w:tcPr>
          <w:p>
            <w:pPr>
              <w:ind w:left="1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21%-50%</w:t>
            </w:r>
          </w:p>
        </w:tc>
      </w:tr>
      <w:tr>
        <w:trPr>
          <w:trHeight w:val="635"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5" w:right="218" w:hanging="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违法所得</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8"/>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万元以上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元以下的</w:t>
            </w:r>
          </w:p>
        </w:tc>
        <w:tc>
          <w:tcPr>
            <w:tcW w:w="1146" w:type="dxa"/>
            <w:vAlign w:val="top"/>
          </w:tcPr>
          <w:p>
            <w:pPr>
              <w:ind w:left="23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9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违法所得</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万元以上的</w:t>
            </w:r>
          </w:p>
        </w:tc>
        <w:tc>
          <w:tcPr>
            <w:tcW w:w="1146" w:type="dxa"/>
            <w:vAlign w:val="top"/>
          </w:tcPr>
          <w:p>
            <w:pPr>
              <w:ind w:left="16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21%-50%</w:t>
            </w:r>
          </w:p>
        </w:tc>
      </w:tr>
      <w:tr>
        <w:trPr>
          <w:trHeight w:val="320" w:hRule="atLeast"/>
        </w:trPr>
        <w:tc>
          <w:tcPr>
            <w:tcW w:w="1490"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25" w:right="234"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1" w:type="dxa"/>
            <w:vAlign w:val="top"/>
            <w:vMerge w:val="restart"/>
            <w:tcBorders>
              <w:bottom w:val="nil"/>
            </w:tcBorders>
          </w:tcPr>
          <w:p>
            <w:pPr>
              <w:spacing w:line="450"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9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9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2" w:hRule="atLeast"/>
        </w:trPr>
        <w:tc>
          <w:tcPr>
            <w:tcW w:w="1490" w:type="dxa"/>
            <w:vAlign w:val="top"/>
          </w:tcPr>
          <w:p>
            <w:pPr>
              <w:ind w:left="274"/>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p>
        </w:tc>
        <w:tc>
          <w:tcPr>
            <w:tcW w:w="1889" w:type="dxa"/>
            <w:vAlign w:val="top"/>
          </w:tcPr>
          <w:p>
            <w:pPr>
              <w:ind w:left="21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p>
        </w:tc>
        <w:tc>
          <w:tcPr>
            <w:tcW w:w="791" w:type="dxa"/>
            <w:vAlign w:val="top"/>
          </w:tcPr>
          <w:p>
            <w:pPr>
              <w:ind w:left="226"/>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1"/>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6" w:type="dxa"/>
            <w:vAlign w:val="top"/>
          </w:tcPr>
          <w:p>
            <w:pPr>
              <w:ind w:left="230"/>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387"/>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24" w:hRule="atLeast"/>
        </w:trPr>
        <w:tc>
          <w:tcPr>
            <w:tcW w:w="1480" w:type="dxa"/>
            <w:vAlign w:val="top"/>
          </w:tcPr>
          <w:p>
            <w:pPr>
              <w:ind w:left="26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取证情况</w:t>
            </w:r>
          </w:p>
        </w:tc>
        <w:tc>
          <w:tcPr>
            <w:tcW w:w="1889" w:type="dxa"/>
            <w:vAlign w:val="top"/>
          </w:tcPr>
          <w:p>
            <w:pPr>
              <w:ind w:left="70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检查</w:t>
            </w:r>
          </w:p>
        </w:tc>
        <w:tc>
          <w:tcPr>
            <w:tcW w:w="792" w:type="dxa"/>
            <w:vAlign w:val="top"/>
          </w:tcPr>
          <w:p>
            <w:pPr>
              <w:rPr>
                <w:rFonts w:ascii="Arial"/>
                <w:sz w:val="21"/>
              </w:rPr>
            </w:pPr>
            <w:r/>
          </w:p>
        </w:tc>
        <w:tc>
          <w:tcPr>
            <w:tcW w:w="3201" w:type="dxa"/>
            <w:vAlign w:val="top"/>
          </w:tcPr>
          <w:p>
            <w:pPr>
              <w:ind w:left="126"/>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53" w:hRule="atLeast"/>
        </w:trPr>
        <w:tc>
          <w:tcPr>
            <w:tcW w:w="1480" w:type="dxa"/>
            <w:vAlign w:val="top"/>
            <w:vMerge w:val="restart"/>
            <w:tcBorders>
              <w:bottom w:val="nil"/>
            </w:tcBorders>
          </w:tcPr>
          <w:p>
            <w:pPr>
              <w:ind w:left="149"/>
              <w:spacing w:before="11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1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45"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10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1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7"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1"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88"/>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3"/>
        <w:gridCol w:w="1889"/>
        <w:gridCol w:w="791"/>
        <w:gridCol w:w="3201"/>
        <w:gridCol w:w="1143"/>
      </w:tblGrid>
      <w:tr>
        <w:trPr>
          <w:trHeight w:val="738" w:hRule="atLeast"/>
        </w:trPr>
        <w:tc>
          <w:tcPr>
            <w:tcW w:w="8517" w:type="dxa"/>
            <w:vAlign w:val="top"/>
            <w:gridSpan w:val="5"/>
          </w:tcPr>
          <w:p>
            <w:pPr>
              <w:ind w:left="1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493"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4" w:type="dxa"/>
            <w:vAlign w:val="top"/>
            <w:gridSpan w:val="4"/>
          </w:tcPr>
          <w:p>
            <w:pPr>
              <w:ind w:left="3368"/>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196</w:t>
            </w:r>
          </w:p>
        </w:tc>
      </w:tr>
      <w:tr>
        <w:trPr>
          <w:trHeight w:val="979" w:hRule="atLeast"/>
        </w:trPr>
        <w:tc>
          <w:tcPr>
            <w:tcW w:w="1493" w:type="dxa"/>
            <w:vAlign w:val="top"/>
          </w:tcPr>
          <w:p>
            <w:pPr>
              <w:spacing w:line="258"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4" w:type="dxa"/>
            <w:vAlign w:val="top"/>
            <w:gridSpan w:val="4"/>
          </w:tcPr>
          <w:p>
            <w:pPr>
              <w:ind w:left="57" w:right="15" w:hanging="2"/>
              <w:spacing w:before="55"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在室外、野外使用放射性同位素和射线装置，未按照国家有关安全</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和防护标准的要求划出安全防护区域和设置明显的放射性标志的，</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经责令限期改正但逾期不改正的</w:t>
            </w:r>
          </w:p>
        </w:tc>
      </w:tr>
      <w:tr>
        <w:trPr>
          <w:trHeight w:val="6017" w:hRule="atLeast"/>
        </w:trPr>
        <w:tc>
          <w:tcPr>
            <w:tcW w:w="149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4" w:type="dxa"/>
            <w:vAlign w:val="top"/>
            <w:gridSpan w:val="4"/>
          </w:tcPr>
          <w:p>
            <w:pPr>
              <w:ind w:left="68"/>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《放射性同位素与射线装置安全和防护条例》</w:t>
            </w:r>
          </w:p>
          <w:p>
            <w:pPr>
              <w:ind w:left="65"/>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在室外、野外使用放射性同</w:t>
            </w:r>
            <w:r>
              <w:rPr>
                <w:rFonts w:ascii="FangSong_GB2312" w:hAnsi="FangSong_GB2312" w:eastAsia="FangSong_GB2312" w:cs="FangSong_GB2312"/>
                <w:sz w:val="24"/>
                <w:szCs w:val="24"/>
                <w:spacing w:val="-2"/>
              </w:rPr>
              <w:t>位素和射线装置</w:t>
            </w:r>
          </w:p>
          <w:p>
            <w:pPr>
              <w:ind w:left="74" w:right="15" w:hanging="1"/>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的，应当按照国家安全和防护标准的要求划出安全防护区域</w:t>
            </w:r>
            <w:r>
              <w:rPr>
                <w:rFonts w:ascii="FangSong_GB2312" w:hAnsi="FangSong_GB2312" w:eastAsia="FangSong_GB2312" w:cs="FangSong_GB2312"/>
                <w:sz w:val="24"/>
                <w:szCs w:val="24"/>
                <w:spacing w:val="-2"/>
              </w:rPr>
              <w:t>，设置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明显的放射性标志，必要时设专人警戒。</w:t>
            </w:r>
          </w:p>
          <w:p>
            <w:pPr>
              <w:spacing w:line="273" w:lineRule="auto"/>
              <w:rPr>
                <w:rFonts w:ascii="Arial"/>
                <w:sz w:val="21"/>
              </w:rPr>
            </w:pPr>
            <w:r/>
          </w:p>
          <w:p>
            <w:pPr>
              <w:ind w:left="62"/>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《放射性同位素与射线装置安全和防护条例》</w:t>
            </w:r>
          </w:p>
          <w:p>
            <w:pPr>
              <w:ind w:left="63" w:right="15" w:firstLine="1"/>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违反本条例规定，生产、销售、使用放射性</w:t>
            </w:r>
            <w:r>
              <w:rPr>
                <w:rFonts w:ascii="FangSong_GB2312" w:hAnsi="FangSong_GB2312" w:eastAsia="FangSong_GB2312" w:cs="FangSong_GB2312"/>
                <w:sz w:val="24"/>
                <w:szCs w:val="24"/>
                <w:spacing w:val="-2"/>
              </w:rPr>
              <w:t>同位素和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射线装置的单位有下列行为之一的，由县级以上人民政府环境保护</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主管部门责令停止违法行为，限期改正；逾</w:t>
            </w:r>
            <w:r>
              <w:rPr>
                <w:rFonts w:ascii="FangSong_GB2312" w:hAnsi="FangSong_GB2312" w:eastAsia="FangSong_GB2312" w:cs="FangSong_GB2312"/>
                <w:sz w:val="24"/>
                <w:szCs w:val="24"/>
                <w:spacing w:val="-3"/>
              </w:rPr>
              <w:t>期不改正的，处</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3"/>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万元以下的罚款：</w:t>
            </w:r>
          </w:p>
          <w:p>
            <w:pPr>
              <w:ind w:left="62" w:right="15" w:hanging="14"/>
              <w:spacing w:before="3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（一）在室外、野外使用放射性同位素和射线装置</w:t>
            </w:r>
            <w:r>
              <w:rPr>
                <w:rFonts w:ascii="FangSong_GB2312" w:hAnsi="FangSong_GB2312" w:eastAsia="FangSong_GB2312" w:cs="FangSong_GB2312"/>
                <w:sz w:val="24"/>
                <w:szCs w:val="24"/>
                <w:spacing w:val="-1"/>
              </w:rPr>
              <w:t>，未按照国家有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关安全和防护标准的要求划出安全防护区域和设置明显的放射性标</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7"/>
              </w:rPr>
              <w:t>志的；</w:t>
            </w:r>
          </w:p>
          <w:p>
            <w:pPr>
              <w:spacing w:line="269" w:lineRule="auto"/>
              <w:rPr>
                <w:rFonts w:ascii="Arial"/>
                <w:sz w:val="21"/>
              </w:rPr>
            </w:pPr>
            <w:r/>
          </w:p>
          <w:p>
            <w:pPr>
              <w:ind w:left="71"/>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3.《河北省辐射污染防治条例》</w:t>
            </w:r>
          </w:p>
          <w:p>
            <w:pPr>
              <w:ind w:left="53" w:right="15" w:firstLine="11"/>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违反本条例规定，在室外、野外使用放射性</w:t>
            </w:r>
            <w:r>
              <w:rPr>
                <w:rFonts w:ascii="FangSong_GB2312" w:hAnsi="FangSong_GB2312" w:eastAsia="FangSong_GB2312" w:cs="FangSong_GB2312"/>
                <w:sz w:val="24"/>
                <w:szCs w:val="24"/>
                <w:spacing w:val="-2"/>
              </w:rPr>
              <w:t>同位素和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射线装置未按照国家有关安全和防护标准的要求划出安全防护区域</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并设置明显的放射性标志的，由县级以上人民政府生态环境行政主</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管部门责令改正，处一万元以上五万元以下的罚款。</w:t>
            </w:r>
          </w:p>
        </w:tc>
      </w:tr>
      <w:tr>
        <w:trPr>
          <w:trHeight w:val="635" w:hRule="atLeast"/>
        </w:trPr>
        <w:tc>
          <w:tcPr>
            <w:tcW w:w="4173"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4" w:type="dxa"/>
            <w:vAlign w:val="top"/>
            <w:gridSpan w:val="2"/>
          </w:tcPr>
          <w:p>
            <w:pPr>
              <w:ind w:left="162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93"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0"/>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199" w:right="185"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78"/>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3" w:type="dxa"/>
            <w:vAlign w:val="top"/>
          </w:tcPr>
          <w:p>
            <w:pPr>
              <w:ind w:left="250"/>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93" w:type="dxa"/>
            <w:vAlign w:val="top"/>
            <w:vMerge w:val="restart"/>
            <w:tcBorders>
              <w:bottom w:val="nil"/>
            </w:tcBorders>
          </w:tcPr>
          <w:p>
            <w:pPr>
              <w:spacing w:line="439" w:lineRule="auto"/>
              <w:rPr>
                <w:rFonts w:ascii="Arial"/>
                <w:sz w:val="21"/>
              </w:rPr>
            </w:pPr>
            <w:r/>
          </w:p>
          <w:p>
            <w:pPr>
              <w:ind w:left="509" w:right="148"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98" w:lineRule="auto"/>
              <w:rPr>
                <w:rFonts w:ascii="Arial"/>
                <w:sz w:val="21"/>
              </w:rPr>
            </w:pPr>
            <w:r/>
          </w:p>
          <w:p>
            <w:pPr>
              <w:spacing w:line="299" w:lineRule="auto"/>
              <w:rPr>
                <w:rFonts w:ascii="Arial"/>
                <w:sz w:val="21"/>
              </w:rPr>
            </w:pPr>
            <w:r/>
          </w:p>
          <w:p>
            <w:pPr>
              <w:ind w:left="219"/>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298" w:lineRule="auto"/>
              <w:rPr>
                <w:rFonts w:ascii="Arial"/>
                <w:sz w:val="21"/>
              </w:rPr>
            </w:pPr>
            <w:r/>
          </w:p>
          <w:p>
            <w:pPr>
              <w:spacing w:line="299"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0" w:right="221" w:firstLine="33"/>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已划出安全防护区域/已设</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置明显的放射性标志，但不</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符合规定的</w:t>
            </w:r>
          </w:p>
        </w:tc>
        <w:tc>
          <w:tcPr>
            <w:tcW w:w="1143" w:type="dxa"/>
            <w:vAlign w:val="top"/>
          </w:tcPr>
          <w:p>
            <w:pPr>
              <w:spacing w:line="278"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1%-25%</w:t>
            </w:r>
          </w:p>
        </w:tc>
      </w:tr>
      <w:tr>
        <w:trPr>
          <w:trHeight w:val="635" w:hRule="atLeast"/>
        </w:trPr>
        <w:tc>
          <w:tcPr>
            <w:tcW w:w="1493"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26" w:right="221" w:hanging="2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未划出安全防护区域和设置</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明显的放射性标志的</w:t>
            </w:r>
          </w:p>
        </w:tc>
        <w:tc>
          <w:tcPr>
            <w:tcW w:w="1143" w:type="dxa"/>
            <w:vAlign w:val="top"/>
          </w:tcPr>
          <w:p>
            <w:pPr>
              <w:ind w:left="16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26%-50%</w:t>
            </w:r>
          </w:p>
        </w:tc>
      </w:tr>
      <w:tr>
        <w:trPr>
          <w:trHeight w:val="320" w:hRule="atLeast"/>
        </w:trPr>
        <w:tc>
          <w:tcPr>
            <w:tcW w:w="1493" w:type="dxa"/>
            <w:vAlign w:val="top"/>
            <w:vMerge w:val="restart"/>
            <w:tcBorders>
              <w:bottom w:val="nil"/>
            </w:tcBorders>
          </w:tcPr>
          <w:p>
            <w:pPr>
              <w:spacing w:line="451"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22" w:right="237"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1" w:type="dxa"/>
            <w:vAlign w:val="top"/>
            <w:vMerge w:val="restart"/>
            <w:tcBorders>
              <w:bottom w:val="nil"/>
            </w:tcBorders>
          </w:tcPr>
          <w:p>
            <w:pPr>
              <w:spacing w:line="451" w:lineRule="auto"/>
              <w:rPr>
                <w:rFonts w:ascii="Arial"/>
                <w:sz w:val="21"/>
              </w:rPr>
            </w:pPr>
            <w:r/>
          </w:p>
          <w:p>
            <w:pPr>
              <w:ind w:left="2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1"/>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3" w:type="dxa"/>
            <w:vAlign w:val="top"/>
          </w:tcPr>
          <w:p>
            <w:pPr>
              <w:ind w:left="464"/>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93"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0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3" w:type="dxa"/>
            <w:vAlign w:val="top"/>
          </w:tcPr>
          <w:p>
            <w:pPr>
              <w:ind w:left="40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93"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3" w:type="dxa"/>
            <w:vAlign w:val="top"/>
          </w:tcPr>
          <w:p>
            <w:pPr>
              <w:ind w:left="40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3" w:hRule="atLeast"/>
        </w:trPr>
        <w:tc>
          <w:tcPr>
            <w:tcW w:w="1493"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21"/>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3" w:type="dxa"/>
            <w:vAlign w:val="top"/>
          </w:tcPr>
          <w:p>
            <w:pPr>
              <w:ind w:left="402"/>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bl>
    <w:p>
      <w:pPr>
        <w:pStyle w:val="BodyText"/>
        <w:rPr/>
      </w:pPr>
      <w:r/>
    </w:p>
    <w:p>
      <w:pPr>
        <w:sectPr>
          <w:footerReference w:type="default" r:id="rId389"/>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24" w:hRule="atLeast"/>
        </w:trPr>
        <w:tc>
          <w:tcPr>
            <w:tcW w:w="1480" w:type="dxa"/>
            <w:vAlign w:val="top"/>
            <w:vMerge w:val="restart"/>
            <w:tcBorders>
              <w:bottom w:val="nil"/>
            </w:tcBorders>
          </w:tcPr>
          <w:p>
            <w:pPr>
              <w:spacing w:line="443"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4" w:lineRule="auto"/>
              <w:rPr>
                <w:rFonts w:ascii="Arial"/>
                <w:sz w:val="21"/>
              </w:rPr>
            </w:pPr>
            <w:r/>
          </w:p>
          <w:p>
            <w:pPr>
              <w:ind w:left="230"/>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是否完成改正</w:t>
            </w:r>
          </w:p>
        </w:tc>
        <w:tc>
          <w:tcPr>
            <w:tcW w:w="792" w:type="dxa"/>
            <w:vAlign w:val="top"/>
            <w:vMerge w:val="restart"/>
            <w:tcBorders>
              <w:bottom w:val="nil"/>
            </w:tcBorders>
          </w:tcPr>
          <w:p>
            <w:pPr>
              <w:spacing w:line="443" w:lineRule="auto"/>
              <w:rPr>
                <w:rFonts w:ascii="Arial"/>
                <w:sz w:val="21"/>
              </w:rPr>
            </w:pPr>
            <w:r/>
          </w:p>
          <w:p>
            <w:pPr>
              <w:ind w:left="23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55" w:type="dxa"/>
            <w:vAlign w:val="top"/>
          </w:tcPr>
          <w:p>
            <w:pPr>
              <w:ind w:left="48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3" w:right="209"/>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55" w:type="dxa"/>
            <w:vAlign w:val="top"/>
          </w:tcPr>
          <w:p>
            <w:pPr>
              <w:ind w:left="299"/>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55" w:type="dxa"/>
            <w:vAlign w:val="top"/>
          </w:tcPr>
          <w:p>
            <w:pPr>
              <w:ind w:left="236"/>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82" w:hRule="atLeast"/>
        </w:trPr>
        <w:tc>
          <w:tcPr>
            <w:tcW w:w="1480" w:type="dxa"/>
            <w:vAlign w:val="top"/>
            <w:vMerge w:val="restart"/>
            <w:tcBorders>
              <w:bottom w:val="nil"/>
            </w:tcBorders>
          </w:tcPr>
          <w:p>
            <w:pPr>
              <w:ind w:left="149"/>
              <w:spacing w:before="7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7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11"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7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7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90"/>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72"/>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197</w:t>
            </w:r>
          </w:p>
        </w:tc>
      </w:tr>
      <w:tr>
        <w:trPr>
          <w:trHeight w:val="664" w:hRule="atLeast"/>
        </w:trPr>
        <w:tc>
          <w:tcPr>
            <w:tcW w:w="1489"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63" w:right="15" w:hanging="7"/>
              <w:spacing w:before="5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未经批准擅自在野外进行放射性同位素示踪试验的，经责令限期改</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3"/>
              </w:rPr>
              <w:t>正但逾期不改正的</w:t>
            </w:r>
          </w:p>
        </w:tc>
      </w:tr>
      <w:tr>
        <w:trPr>
          <w:trHeight w:val="3498" w:hRule="atLeast"/>
        </w:trPr>
        <w:tc>
          <w:tcPr>
            <w:tcW w:w="148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《放射性同位素与射线装置安全和防护条例》</w:t>
            </w:r>
          </w:p>
          <w:p>
            <w:pPr>
              <w:ind w:left="64" w:right="15" w:firstLine="4"/>
              <w:spacing w:before="40"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第三十六条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第二款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在野外进行放射性同位素示踪试验的，应当经</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省级以上人民政府环境保护主管部门商同级有关部门批准方可进</w:t>
            </w:r>
          </w:p>
          <w:p>
            <w:pPr>
              <w:ind w:left="56"/>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行。</w:t>
            </w:r>
          </w:p>
          <w:p>
            <w:pPr>
              <w:spacing w:line="268"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《放射性同位素与射线装置安全和防护条例》</w:t>
            </w:r>
          </w:p>
          <w:p>
            <w:pPr>
              <w:ind w:left="67" w:right="15" w:firstLine="1"/>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违反本条例规定，生产、销售、使用放射性</w:t>
            </w:r>
            <w:r>
              <w:rPr>
                <w:rFonts w:ascii="FangSong_GB2312" w:hAnsi="FangSong_GB2312" w:eastAsia="FangSong_GB2312" w:cs="FangSong_GB2312"/>
                <w:sz w:val="24"/>
                <w:szCs w:val="24"/>
                <w:spacing w:val="-2"/>
              </w:rPr>
              <w:t>同位素和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射线装置的单位有下列行为之一的，由县级以上人民政府环境保护</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主管部门责令停止违法行为，限期改正；逾</w:t>
            </w:r>
            <w:r>
              <w:rPr>
                <w:rFonts w:ascii="FangSong_GB2312" w:hAnsi="FangSong_GB2312" w:eastAsia="FangSong_GB2312" w:cs="FangSong_GB2312"/>
                <w:sz w:val="24"/>
                <w:szCs w:val="24"/>
                <w:spacing w:val="-3"/>
              </w:rPr>
              <w:t>期不改正的，处</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3"/>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6"/>
              </w:rPr>
              <w:t>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6"/>
              </w:rPr>
              <w:t>万元以下的罚款：</w:t>
            </w:r>
          </w:p>
          <w:p>
            <w:pPr>
              <w:ind w:left="52"/>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（二）未经批准擅自在野外进行放射性同位</w:t>
            </w:r>
            <w:r>
              <w:rPr>
                <w:rFonts w:ascii="FangSong_GB2312" w:hAnsi="FangSong_GB2312" w:eastAsia="FangSong_GB2312" w:cs="FangSong_GB2312"/>
                <w:sz w:val="24"/>
                <w:szCs w:val="24"/>
                <w:spacing w:val="-1"/>
              </w:rPr>
              <w:t>素示踪试验的。</w:t>
            </w:r>
          </w:p>
        </w:tc>
      </w:tr>
      <w:tr>
        <w:trPr>
          <w:trHeight w:val="635" w:hRule="atLeast"/>
        </w:trPr>
        <w:tc>
          <w:tcPr>
            <w:tcW w:w="4170"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9" w:type="dxa"/>
            <w:vAlign w:val="top"/>
          </w:tcPr>
          <w:p>
            <w:pPr>
              <w:ind w:left="509" w:right="144" w:hanging="36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tcPr>
          <w:p>
            <w:pPr>
              <w:ind w:left="223"/>
              <w:spacing w:before="19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tcPr>
          <w:p>
            <w:pPr>
              <w:ind w:left="22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7" w:right="218" w:hanging="10"/>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未经批准擅自在野外进行放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射性同位素示踪试验的</w:t>
            </w:r>
          </w:p>
        </w:tc>
        <w:tc>
          <w:tcPr>
            <w:tcW w:w="1146" w:type="dxa"/>
            <w:vAlign w:val="top"/>
          </w:tcPr>
          <w:p>
            <w:pPr>
              <w:ind w:left="23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1%-40%</w:t>
            </w:r>
          </w:p>
        </w:tc>
      </w:tr>
      <w:tr>
        <w:trPr>
          <w:trHeight w:val="320" w:hRule="atLeast"/>
        </w:trPr>
        <w:tc>
          <w:tcPr>
            <w:tcW w:w="1489" w:type="dxa"/>
            <w:vAlign w:val="top"/>
            <w:vMerge w:val="restart"/>
            <w:tcBorders>
              <w:bottom w:val="nil"/>
            </w:tcBorders>
          </w:tcPr>
          <w:p>
            <w:pPr>
              <w:spacing w:line="448"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spacing w:line="444"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21"/>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是否完成改正</w:t>
            </w:r>
          </w:p>
        </w:tc>
        <w:tc>
          <w:tcPr>
            <w:tcW w:w="792" w:type="dxa"/>
            <w:vAlign w:val="top"/>
            <w:vMerge w:val="restart"/>
            <w:tcBorders>
              <w:bottom w:val="nil"/>
            </w:tcBorders>
          </w:tcPr>
          <w:p>
            <w:pPr>
              <w:spacing w:line="444"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6" w:type="dxa"/>
            <w:vAlign w:val="top"/>
          </w:tcPr>
          <w:p>
            <w:pPr>
              <w:ind w:left="47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1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6" w:type="dxa"/>
            <w:vAlign w:val="top"/>
          </w:tcPr>
          <w:p>
            <w:pPr>
              <w:ind w:left="2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6" w:type="dxa"/>
            <w:vAlign w:val="top"/>
          </w:tcPr>
          <w:p>
            <w:pPr>
              <w:ind w:left="2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83" w:hRule="atLeast"/>
        </w:trPr>
        <w:tc>
          <w:tcPr>
            <w:tcW w:w="1489" w:type="dxa"/>
            <w:vAlign w:val="top"/>
            <w:vMerge w:val="restart"/>
            <w:tcBorders>
              <w:bottom w:val="nil"/>
            </w:tcBorders>
          </w:tcPr>
          <w:p>
            <w:pPr>
              <w:ind w:left="149"/>
              <w:spacing w:before="8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16"/>
              <w:spacing w:before="8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7"/>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14"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0"/>
              <w:spacing w:before="7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7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639"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right="218"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46" w:type="dxa"/>
            <w:vAlign w:val="top"/>
          </w:tcPr>
          <w:p>
            <w:pPr>
              <w:ind w:left="47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91"/>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5"/>
        <w:gridCol w:w="6992"/>
      </w:tblGrid>
      <w:tr>
        <w:trPr>
          <w:trHeight w:val="738" w:hRule="atLeast"/>
        </w:trPr>
        <w:tc>
          <w:tcPr>
            <w:tcW w:w="8517" w:type="dxa"/>
            <w:vAlign w:val="top"/>
            <w:gridSpan w:val="2"/>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525" w:type="dxa"/>
            <w:vAlign w:val="top"/>
          </w:tcPr>
          <w:p>
            <w:pPr>
              <w:ind w:left="486"/>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6992" w:type="dxa"/>
            <w:vAlign w:val="top"/>
          </w:tcPr>
          <w:p>
            <w:pPr>
              <w:ind w:left="3336"/>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198</w:t>
            </w:r>
          </w:p>
        </w:tc>
      </w:tr>
      <w:tr>
        <w:trPr>
          <w:trHeight w:val="2554" w:hRule="atLeast"/>
        </w:trPr>
        <w:tc>
          <w:tcPr>
            <w:tcW w:w="1525"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6992" w:type="dxa"/>
            <w:vAlign w:val="top"/>
          </w:tcPr>
          <w:p>
            <w:pPr>
              <w:ind w:left="40" w:right="15" w:hanging="24"/>
              <w:spacing w:before="51"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（一）未建立放射性同位素产品台账的，经责令限期</w:t>
            </w:r>
            <w:r>
              <w:rPr>
                <w:rFonts w:ascii="FangSong_GB2312" w:hAnsi="FangSong_GB2312" w:eastAsia="FangSong_GB2312" w:cs="FangSong_GB2312"/>
                <w:sz w:val="24"/>
                <w:szCs w:val="24"/>
                <w:spacing w:val="-1"/>
              </w:rPr>
              <w:t>改正但逾期不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改正的；</w:t>
            </w:r>
          </w:p>
          <w:p>
            <w:pPr>
              <w:ind w:left="21" w:right="15" w:hanging="5"/>
              <w:spacing w:before="2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（二）未按照国务院环境保护主管部门制定的编码规</w:t>
            </w:r>
            <w:r>
              <w:rPr>
                <w:rFonts w:ascii="FangSong_GB2312" w:hAnsi="FangSong_GB2312" w:eastAsia="FangSong_GB2312" w:cs="FangSong_GB2312"/>
                <w:sz w:val="24"/>
                <w:szCs w:val="24"/>
                <w:spacing w:val="-1"/>
              </w:rPr>
              <w:t>则，对生产的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放射源进行统一编码的，经责令限期改正但逾期不改正的；</w:t>
            </w:r>
          </w:p>
          <w:p>
            <w:pPr>
              <w:ind w:left="17" w:right="15" w:hanging="1"/>
              <w:spacing w:before="3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（三）未将放射性同位素产品台账和放射源编码清单</w:t>
            </w:r>
            <w:r>
              <w:rPr>
                <w:rFonts w:ascii="FangSong_GB2312" w:hAnsi="FangSong_GB2312" w:eastAsia="FangSong_GB2312" w:cs="FangSong_GB2312"/>
                <w:sz w:val="24"/>
                <w:szCs w:val="24"/>
                <w:spacing w:val="-1"/>
              </w:rPr>
              <w:t>报国务院环境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保护主管部门备案的，经责令限期改正但逾期不改正的；</w:t>
            </w:r>
          </w:p>
          <w:p>
            <w:pPr>
              <w:ind w:left="30" w:right="15" w:hanging="14"/>
              <w:spacing w:before="30"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（四）出厂或者销售未列入产品台账的放射性同位素</w:t>
            </w:r>
            <w:r>
              <w:rPr>
                <w:rFonts w:ascii="FangSong_GB2312" w:hAnsi="FangSong_GB2312" w:eastAsia="FangSong_GB2312" w:cs="FangSong_GB2312"/>
                <w:sz w:val="24"/>
                <w:szCs w:val="24"/>
                <w:spacing w:val="-1"/>
              </w:rPr>
              <w:t>和未编码的放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射源的，经责令限期改正但逾期不改正的。</w:t>
            </w:r>
          </w:p>
        </w:tc>
      </w:tr>
      <w:tr>
        <w:trPr>
          <w:trHeight w:val="8224" w:hRule="atLeast"/>
        </w:trPr>
        <w:tc>
          <w:tcPr>
            <w:tcW w:w="1525" w:type="dxa"/>
            <w:vAlign w:val="top"/>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6992" w:type="dxa"/>
            <w:vAlign w:val="top"/>
          </w:tcPr>
          <w:p>
            <w:pPr>
              <w:ind w:left="36"/>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《放射性同位素与射线装置安全和防护条例》</w:t>
            </w:r>
          </w:p>
          <w:p>
            <w:pPr>
              <w:ind w:left="28" w:right="15" w:firstLine="4"/>
              <w:spacing w:before="37"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第二十二条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生产放射性同位素的单位，应当建立放射性同位</w:t>
            </w:r>
            <w:r>
              <w:rPr>
                <w:rFonts w:ascii="FangSong_GB2312" w:hAnsi="FangSong_GB2312" w:eastAsia="FangSong_GB2312" w:cs="FangSong_GB2312"/>
                <w:sz w:val="24"/>
                <w:szCs w:val="24"/>
                <w:spacing w:val="-2"/>
              </w:rPr>
              <w:t>素产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品台账，并按照国务院环境保护主管部门制定的编码规则，对生产</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的放射源统一编码。放射性同位素产品台账和放射源编码清单应当</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报国务院环境保护主管部门备案。</w:t>
            </w:r>
          </w:p>
          <w:p>
            <w:pPr>
              <w:ind w:left="41" w:hanging="5"/>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生产的放射源应当有明确标号和必要说明文件。其中，</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11"/>
              </w:rPr>
              <w:t>Ⅰ</w:t>
            </w:r>
            <w:r>
              <w:rPr>
                <w:rFonts w:ascii="FangSong_GB2312" w:hAnsi="FangSong_GB2312" w:eastAsia="FangSong_GB2312" w:cs="FangSong_GB2312"/>
                <w:sz w:val="24"/>
                <w:szCs w:val="24"/>
                <w:spacing w:val="-99"/>
              </w:rPr>
              <w:t xml:space="preserve"> </w:t>
            </w:r>
            <w:r>
              <w:rPr>
                <w:rFonts w:ascii="FangSong_GB2312" w:hAnsi="FangSong_GB2312" w:eastAsia="FangSong_GB2312" w:cs="FangSong_GB2312"/>
                <w:sz w:val="24"/>
                <w:szCs w:val="24"/>
                <w:spacing w:val="-11"/>
              </w:rPr>
              <w:t>类、Ⅱ类、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9"/>
              </w:rPr>
              <w:t>Ⅲ类放射源的标号应当刻制在放射源本体或者密封包壳体上，Ⅳ类、</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4"/>
              </w:rPr>
              <w:t>Ⅴ类放射源的标号应当记录在相应说明文件中。</w:t>
            </w:r>
          </w:p>
          <w:p>
            <w:pPr>
              <w:ind w:left="32" w:right="255" w:firstLine="9"/>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国务院环境保护主管部门负责建立放射性同位素备案信</w:t>
            </w:r>
            <w:r>
              <w:rPr>
                <w:rFonts w:ascii="FangSong_GB2312" w:hAnsi="FangSong_GB2312" w:eastAsia="FangSong_GB2312" w:cs="FangSong_GB2312"/>
                <w:sz w:val="24"/>
                <w:szCs w:val="24"/>
                <w:spacing w:val="-2"/>
              </w:rPr>
              <w:t>息管理系</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统，与有关部门实行信息共享。</w:t>
            </w:r>
          </w:p>
          <w:p>
            <w:pPr>
              <w:ind w:left="21" w:right="15" w:hanging="1"/>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未列入产品台账的放射性同位素和未编码的放射源，不得出厂和销</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6"/>
              </w:rPr>
              <w:t>售。</w:t>
            </w:r>
          </w:p>
          <w:p>
            <w:pPr>
              <w:spacing w:line="270" w:lineRule="auto"/>
              <w:rPr>
                <w:rFonts w:ascii="Arial"/>
                <w:sz w:val="21"/>
              </w:rPr>
            </w:pPr>
            <w:r/>
          </w:p>
          <w:p>
            <w:pPr>
              <w:ind w:left="30"/>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《放射性同位素与射线装置安全和防护条例》</w:t>
            </w:r>
          </w:p>
          <w:p>
            <w:pPr>
              <w:ind w:left="19" w:right="15" w:firstLine="14"/>
              <w:spacing w:before="37"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违反本条例规定，生产放射性同位素的单位</w:t>
            </w:r>
            <w:r>
              <w:rPr>
                <w:rFonts w:ascii="FangSong_GB2312" w:hAnsi="FangSong_GB2312" w:eastAsia="FangSong_GB2312" w:cs="FangSong_GB2312"/>
                <w:sz w:val="24"/>
                <w:szCs w:val="24"/>
                <w:spacing w:val="-2"/>
              </w:rPr>
              <w:t>有下列行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为之一的，由县级以上人民政府环境保护主管</w:t>
            </w:r>
            <w:r>
              <w:rPr>
                <w:rFonts w:ascii="FangSong_GB2312" w:hAnsi="FangSong_GB2312" w:eastAsia="FangSong_GB2312" w:cs="FangSong_GB2312"/>
                <w:sz w:val="24"/>
                <w:szCs w:val="24"/>
                <w:spacing w:val="-1"/>
              </w:rPr>
              <w:t>部门责令限期改正，</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给予警告；逾期不改正的，依法收缴其未备案</w:t>
            </w:r>
            <w:r>
              <w:rPr>
                <w:rFonts w:ascii="FangSong_GB2312" w:hAnsi="FangSong_GB2312" w:eastAsia="FangSong_GB2312" w:cs="FangSong_GB2312"/>
                <w:sz w:val="24"/>
                <w:szCs w:val="24"/>
                <w:spacing w:val="-1"/>
              </w:rPr>
              <w:t>的放射性同位素和未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编码的放射源，处</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7"/>
              </w:rPr>
              <w:t>5</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7"/>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万元以下的</w:t>
            </w:r>
            <w:r>
              <w:rPr>
                <w:rFonts w:ascii="FangSong_GB2312" w:hAnsi="FangSong_GB2312" w:eastAsia="FangSong_GB2312" w:cs="FangSong_GB2312"/>
                <w:sz w:val="24"/>
                <w:szCs w:val="24"/>
                <w:spacing w:val="-8"/>
              </w:rPr>
              <w:t>罚款，并可以由原发证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机关暂扣或者吊销许可证：</w:t>
            </w:r>
          </w:p>
          <w:p>
            <w:pPr>
              <w:ind w:left="16"/>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（一）未建立放射性同位素产品台账的；</w:t>
            </w:r>
          </w:p>
          <w:p>
            <w:pPr>
              <w:ind w:left="21" w:right="15" w:hanging="5"/>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（二）未按照国务院环境保护主管部门制定的编码规</w:t>
            </w:r>
            <w:r>
              <w:rPr>
                <w:rFonts w:ascii="FangSong_GB2312" w:hAnsi="FangSong_GB2312" w:eastAsia="FangSong_GB2312" w:cs="FangSong_GB2312"/>
                <w:sz w:val="24"/>
                <w:szCs w:val="24"/>
                <w:spacing w:val="-1"/>
              </w:rPr>
              <w:t>则，对生产的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放射源进行统一编码的；</w:t>
            </w:r>
          </w:p>
          <w:p>
            <w:pPr>
              <w:ind w:left="17" w:right="15" w:hanging="1"/>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（三）未将放射性同位素产品台账和放射源编码清单</w:t>
            </w:r>
            <w:r>
              <w:rPr>
                <w:rFonts w:ascii="FangSong_GB2312" w:hAnsi="FangSong_GB2312" w:eastAsia="FangSong_GB2312" w:cs="FangSong_GB2312"/>
                <w:sz w:val="24"/>
                <w:szCs w:val="24"/>
                <w:spacing w:val="-1"/>
              </w:rPr>
              <w:t>报国务院环境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保护主管部门备案的；</w:t>
            </w:r>
          </w:p>
          <w:p>
            <w:pPr>
              <w:ind w:left="30" w:right="15" w:hanging="14"/>
              <w:spacing w:before="3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（四）出厂或者销售未列入产品台账的放射性同位素</w:t>
            </w:r>
            <w:r>
              <w:rPr>
                <w:rFonts w:ascii="FangSong_GB2312" w:hAnsi="FangSong_GB2312" w:eastAsia="FangSong_GB2312" w:cs="FangSong_GB2312"/>
                <w:sz w:val="24"/>
                <w:szCs w:val="24"/>
                <w:spacing w:val="-1"/>
              </w:rPr>
              <w:t>和未编码的放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射源的。</w:t>
            </w:r>
          </w:p>
        </w:tc>
      </w:tr>
    </w:tbl>
    <w:p>
      <w:pPr>
        <w:pStyle w:val="BodyText"/>
        <w:rPr/>
      </w:pPr>
      <w:r/>
    </w:p>
    <w:p>
      <w:pPr>
        <w:sectPr>
          <w:footerReference w:type="default" r:id="rId392"/>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639" w:hRule="atLeast"/>
        </w:trPr>
        <w:tc>
          <w:tcPr>
            <w:tcW w:w="4161"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6" w:type="dxa"/>
            <w:vAlign w:val="top"/>
            <w:gridSpan w:val="2"/>
          </w:tcPr>
          <w:p>
            <w:pPr>
              <w:ind w:left="1634"/>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80" w:type="dxa"/>
            <w:vAlign w:val="top"/>
          </w:tcPr>
          <w:p>
            <w:pPr>
              <w:ind w:left="514"/>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3"/>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47"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90"/>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5" w:type="dxa"/>
            <w:vAlign w:val="top"/>
          </w:tcPr>
          <w:p>
            <w:pPr>
              <w:ind w:left="262"/>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894" w:hRule="atLeast"/>
        </w:trPr>
        <w:tc>
          <w:tcPr>
            <w:tcW w:w="1480"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509" w:right="135"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32"/>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3" w:right="209" w:firstLine="2"/>
              <w:spacing w:before="4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未建立放射性同位素产品台</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账或未按照国务院环境保护</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主管部门制定的编码规则，</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对生产的放射源进行统一编</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码，经责令限期改正，给予</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警告但是逾期不改正的</w:t>
            </w:r>
          </w:p>
        </w:tc>
        <w:tc>
          <w:tcPr>
            <w:tcW w:w="1155"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23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157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right="209" w:firstLine="3"/>
              <w:spacing w:before="41"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未将放射性同位素产品台账</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和放射源编码清单报国务院</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环境保护主管部门备案，经</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责令限期改正，给予警告但</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是逾期不改正的</w:t>
            </w:r>
          </w:p>
        </w:tc>
        <w:tc>
          <w:tcPr>
            <w:tcW w:w="1155" w:type="dxa"/>
            <w:vAlign w:val="top"/>
          </w:tcPr>
          <w:p>
            <w:pPr>
              <w:spacing w:line="294" w:lineRule="auto"/>
              <w:rPr>
                <w:rFonts w:ascii="Arial"/>
                <w:sz w:val="21"/>
              </w:rPr>
            </w:pPr>
            <w:r/>
          </w:p>
          <w:p>
            <w:pPr>
              <w:spacing w:line="295" w:lineRule="auto"/>
              <w:rPr>
                <w:rFonts w:ascii="Arial"/>
                <w:sz w:val="21"/>
              </w:rPr>
            </w:pPr>
            <w:r/>
          </w:p>
          <w:p>
            <w:pPr>
              <w:ind w:left="17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1264"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3" w:right="43" w:firstLine="33"/>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出厂或者销售未列入产品台</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账的放射性同位素和未编码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7"/>
              </w:rPr>
              <w:t>的放射源，经责令限期改正，</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给予警告但是逾期不改正的</w:t>
            </w:r>
          </w:p>
        </w:tc>
        <w:tc>
          <w:tcPr>
            <w:tcW w:w="1155" w:type="dxa"/>
            <w:vAlign w:val="top"/>
          </w:tcPr>
          <w:p>
            <w:pPr>
              <w:spacing w:line="434"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80" w:type="dxa"/>
            <w:vAlign w:val="top"/>
            <w:vMerge w:val="restart"/>
            <w:tcBorders>
              <w:bottom w:val="nil"/>
            </w:tcBorders>
          </w:tcPr>
          <w:p>
            <w:pPr>
              <w:spacing w:line="449"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6" w:lineRule="auto"/>
              <w:rPr>
                <w:rFonts w:ascii="Arial"/>
                <w:sz w:val="21"/>
              </w:rPr>
            </w:pPr>
            <w:r/>
          </w:p>
          <w:p>
            <w:pPr>
              <w:ind w:left="835" w:right="224"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83" w:hRule="atLeast"/>
        </w:trPr>
        <w:tc>
          <w:tcPr>
            <w:tcW w:w="1480" w:type="dxa"/>
            <w:vAlign w:val="top"/>
            <w:vMerge w:val="restart"/>
            <w:tcBorders>
              <w:bottom w:val="nil"/>
            </w:tcBorders>
          </w:tcPr>
          <w:p>
            <w:pPr>
              <w:ind w:left="149"/>
              <w:spacing w:before="7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8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1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9"/>
              <w:spacing w:before="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7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1%-40%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93"/>
          <w:pgSz w:w="11905" w:h="16839"/>
          <w:pgMar w:top="1431" w:right="1691" w:bottom="1156" w:left="1691" w:header="0" w:footer="994" w:gutter="0"/>
        </w:sectPr>
        <w:rPr/>
      </w:pPr>
    </w:p>
    <w:p>
      <w:pPr>
        <w:spacing w:before="34"/>
        <w:rPr/>
      </w:pPr>
      <w:r/>
    </w:p>
    <w:p>
      <w:pPr>
        <w:spacing w:before="34"/>
        <w:rPr/>
      </w:pPr>
      <w:r/>
    </w:p>
    <w:p>
      <w:pPr>
        <w:spacing w:before="34"/>
        <w:rPr/>
      </w:pPr>
      <w:r/>
    </w:p>
    <w:p>
      <w:pPr>
        <w:spacing w:before="34"/>
        <w:rPr/>
      </w:pPr>
      <w:r/>
    </w:p>
    <w:p>
      <w:pPr>
        <w:spacing w:before="34"/>
        <w:rPr/>
      </w:pPr>
      <w:r/>
    </w:p>
    <w:p>
      <w:pPr>
        <w:spacing w:before="33"/>
        <w:rPr/>
      </w:pPr>
      <w:r/>
    </w:p>
    <w:p>
      <w:pPr>
        <w:spacing w:before="3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5"/>
        <w:gridCol w:w="1889"/>
        <w:gridCol w:w="790"/>
        <w:gridCol w:w="3201"/>
        <w:gridCol w:w="1142"/>
      </w:tblGrid>
      <w:tr>
        <w:trPr>
          <w:trHeight w:val="738" w:hRule="atLeast"/>
        </w:trPr>
        <w:tc>
          <w:tcPr>
            <w:tcW w:w="8517" w:type="dxa"/>
            <w:vAlign w:val="top"/>
            <w:gridSpan w:val="5"/>
          </w:tcPr>
          <w:p>
            <w:pPr>
              <w:ind w:left="256"/>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95"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2" w:type="dxa"/>
            <w:vAlign w:val="top"/>
            <w:gridSpan w:val="4"/>
          </w:tcPr>
          <w:p>
            <w:pPr>
              <w:ind w:left="3366"/>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199</w:t>
            </w:r>
          </w:p>
        </w:tc>
      </w:tr>
      <w:tr>
        <w:trPr>
          <w:trHeight w:val="665" w:hRule="atLeast"/>
        </w:trPr>
        <w:tc>
          <w:tcPr>
            <w:tcW w:w="1495" w:type="dxa"/>
            <w:vAlign w:val="top"/>
          </w:tcPr>
          <w:p>
            <w:pPr>
              <w:ind w:left="211"/>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2" w:type="dxa"/>
            <w:vAlign w:val="top"/>
            <w:gridSpan w:val="4"/>
          </w:tcPr>
          <w:p>
            <w:pPr>
              <w:ind w:left="59" w:right="15" w:hanging="9"/>
              <w:spacing w:before="54"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未按照规定对废旧放射源进行处理的，经责令限期改正但逾期不改</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0"/>
              </w:rPr>
              <w:t>正的</w:t>
            </w:r>
          </w:p>
        </w:tc>
      </w:tr>
      <w:tr>
        <w:trPr>
          <w:trHeight w:val="6017" w:hRule="atLeast"/>
        </w:trPr>
        <w:tc>
          <w:tcPr>
            <w:tcW w:w="1495"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2" w:type="dxa"/>
            <w:vAlign w:val="top"/>
            <w:gridSpan w:val="4"/>
          </w:tcPr>
          <w:p>
            <w:pPr>
              <w:ind w:left="66"/>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《放射性同位素与射线装置安全和防护条例》</w:t>
            </w:r>
          </w:p>
          <w:p>
            <w:pPr>
              <w:ind w:left="50" w:right="15" w:firstLine="12"/>
              <w:spacing w:before="37"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8"/>
              </w:rPr>
              <w:t>第三十二条</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8"/>
              </w:rPr>
              <w:t>生产、进口放射源的单位销售</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8"/>
              </w:rPr>
              <w:t>Ⅰ</w:t>
            </w:r>
            <w:r>
              <w:rPr>
                <w:rFonts w:ascii="FangSong_GB2312" w:hAnsi="FangSong_GB2312" w:eastAsia="FangSong_GB2312" w:cs="FangSong_GB2312"/>
                <w:sz w:val="24"/>
                <w:szCs w:val="24"/>
                <w:spacing w:val="-98"/>
              </w:rPr>
              <w:t xml:space="preserve"> </w:t>
            </w:r>
            <w:r>
              <w:rPr>
                <w:rFonts w:ascii="FangSong_GB2312" w:hAnsi="FangSong_GB2312" w:eastAsia="FangSong_GB2312" w:cs="FangSong_GB2312"/>
                <w:sz w:val="24"/>
                <w:szCs w:val="24"/>
                <w:spacing w:val="-8"/>
              </w:rPr>
              <w:t>类、</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Ⅱ类、</w:t>
            </w:r>
            <w:r>
              <w:rPr>
                <w:rFonts w:ascii="FangSong_GB2312" w:hAnsi="FangSong_GB2312" w:eastAsia="FangSong_GB2312" w:cs="FangSong_GB2312"/>
                <w:sz w:val="24"/>
                <w:szCs w:val="24"/>
                <w:spacing w:val="-90"/>
              </w:rPr>
              <w:t xml:space="preserve"> </w:t>
            </w:r>
            <w:r>
              <w:rPr>
                <w:rFonts w:ascii="FangSong_GB2312" w:hAnsi="FangSong_GB2312" w:eastAsia="FangSong_GB2312" w:cs="FangSong_GB2312"/>
                <w:sz w:val="24"/>
                <w:szCs w:val="24"/>
                <w:spacing w:val="-8"/>
              </w:rPr>
              <w:t>Ⅲ类放射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源给其他单位使用的，应当与使用放射源的单位签订废旧放射源返</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回协议；使用放射源的单位应当按照废旧放射源返回协议规定将废</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旧放射源交回生产单位或者返回原出口方。确实无法交回生产单位</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或者返回原出口方的，送交有相应资质的放射性废物集中贮存单位</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4"/>
              </w:rPr>
              <w:t>贮存。</w:t>
            </w:r>
          </w:p>
          <w:p>
            <w:pPr>
              <w:ind w:left="55" w:right="15" w:hanging="7"/>
              <w:spacing w:before="35"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使用放射源的单位应当按照国务院环境保护主管</w:t>
            </w:r>
            <w:r>
              <w:rPr>
                <w:rFonts w:ascii="FangSong_GB2312" w:hAnsi="FangSong_GB2312" w:eastAsia="FangSong_GB2312" w:cs="FangSong_GB2312"/>
                <w:sz w:val="24"/>
                <w:szCs w:val="24"/>
                <w:spacing w:val="-1"/>
              </w:rPr>
              <w:t>部门的规定，将Ⅳ</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类、</w:t>
            </w:r>
            <w:r>
              <w:rPr>
                <w:rFonts w:ascii="FangSong_GB2312" w:hAnsi="FangSong_GB2312" w:eastAsia="FangSong_GB2312" w:cs="FangSong_GB2312"/>
                <w:sz w:val="24"/>
                <w:szCs w:val="24"/>
                <w:spacing w:val="-78"/>
              </w:rPr>
              <w:t xml:space="preserve"> </w:t>
            </w:r>
            <w:r>
              <w:rPr>
                <w:rFonts w:ascii="FangSong_GB2312" w:hAnsi="FangSong_GB2312" w:eastAsia="FangSong_GB2312" w:cs="FangSong_GB2312"/>
                <w:sz w:val="24"/>
                <w:szCs w:val="24"/>
                <w:spacing w:val="-2"/>
              </w:rPr>
              <w:t>Ⅴ类废旧放射源进行包装整备后送交有相应资质的放射性废物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集中贮存单位贮存。</w:t>
            </w:r>
          </w:p>
          <w:p>
            <w:pPr>
              <w:spacing w:line="273" w:lineRule="auto"/>
              <w:rPr>
                <w:rFonts w:ascii="Arial"/>
                <w:sz w:val="21"/>
              </w:rPr>
            </w:pPr>
            <w:r/>
          </w:p>
          <w:p>
            <w:pPr>
              <w:ind w:left="6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《放射性同位素与射线装置安全和防护条例》</w:t>
            </w:r>
          </w:p>
          <w:p>
            <w:pPr>
              <w:ind w:left="47" w:right="15" w:firstLine="16"/>
              <w:spacing w:before="35"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违反本条例规定，生产、销售、使用放射性</w:t>
            </w:r>
            <w:r>
              <w:rPr>
                <w:rFonts w:ascii="FangSong_GB2312" w:hAnsi="FangSong_GB2312" w:eastAsia="FangSong_GB2312" w:cs="FangSong_GB2312"/>
                <w:sz w:val="24"/>
                <w:szCs w:val="24"/>
                <w:spacing w:val="-2"/>
              </w:rPr>
              <w:t>同位素和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射线装置的单位有下列行为之一的，由县级以上人</w:t>
            </w:r>
            <w:r>
              <w:rPr>
                <w:rFonts w:ascii="FangSong_GB2312" w:hAnsi="FangSong_GB2312" w:eastAsia="FangSong_GB2312" w:cs="FangSong_GB2312"/>
                <w:sz w:val="24"/>
                <w:szCs w:val="24"/>
                <w:spacing w:val="-1"/>
              </w:rPr>
              <w:t>民政府环境保护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主管部门责令停止违法行为，限期改正；逾期不改</w:t>
            </w:r>
            <w:r>
              <w:rPr>
                <w:rFonts w:ascii="FangSong_GB2312" w:hAnsi="FangSong_GB2312" w:eastAsia="FangSong_GB2312" w:cs="FangSong_GB2312"/>
                <w:sz w:val="24"/>
                <w:szCs w:val="24"/>
                <w:spacing w:val="-1"/>
              </w:rPr>
              <w:t>正的，由原发证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机关指定有处理能力的单位代为处理或者实施退役</w:t>
            </w:r>
            <w:r>
              <w:rPr>
                <w:rFonts w:ascii="FangSong_GB2312" w:hAnsi="FangSong_GB2312" w:eastAsia="FangSong_GB2312" w:cs="FangSong_GB2312"/>
                <w:sz w:val="24"/>
                <w:szCs w:val="24"/>
                <w:spacing w:val="-1"/>
              </w:rPr>
              <w:t>，费用由生产、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销售、使用放射性同位素和射线装置的单位承担，并处</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2"/>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3"/>
              </w:rPr>
              <w:t>万元以下的罚款：</w:t>
            </w:r>
          </w:p>
          <w:p>
            <w:pPr>
              <w:ind w:left="46"/>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（一）未按照规定对废旧放射源进行处理的；</w:t>
            </w:r>
          </w:p>
        </w:tc>
      </w:tr>
      <w:tr>
        <w:trPr>
          <w:trHeight w:val="635" w:hRule="atLeast"/>
        </w:trPr>
        <w:tc>
          <w:tcPr>
            <w:tcW w:w="4174" w:type="dxa"/>
            <w:vAlign w:val="top"/>
            <w:gridSpan w:val="3"/>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3" w:type="dxa"/>
            <w:vAlign w:val="top"/>
            <w:gridSpan w:val="2"/>
          </w:tcPr>
          <w:p>
            <w:pPr>
              <w:ind w:left="162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95" w:type="dxa"/>
            <w:vAlign w:val="top"/>
          </w:tcPr>
          <w:p>
            <w:pPr>
              <w:ind w:left="514"/>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498"/>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0" w:type="dxa"/>
            <w:vAlign w:val="top"/>
          </w:tcPr>
          <w:p>
            <w:pPr>
              <w:ind w:left="197" w:right="186"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77"/>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2" w:type="dxa"/>
            <w:vAlign w:val="top"/>
          </w:tcPr>
          <w:p>
            <w:pPr>
              <w:ind w:left="249"/>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95"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509" w:right="150"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ind w:left="21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0"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ind w:left="21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0" w:right="222" w:hanging="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属Ⅴ类放射源或Ⅲ类射线装</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9"/>
              </w:rPr>
              <w:t>置的</w:t>
            </w:r>
          </w:p>
        </w:tc>
        <w:tc>
          <w:tcPr>
            <w:tcW w:w="1142" w:type="dxa"/>
            <w:vAlign w:val="top"/>
          </w:tcPr>
          <w:p>
            <w:pPr>
              <w:ind w:left="22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95"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0" w:type="dxa"/>
            <w:vAlign w:val="top"/>
            <w:vMerge w:val="continue"/>
            <w:tcBorders>
              <w:top w:val="nil"/>
              <w:bottom w:val="nil"/>
            </w:tcBorders>
          </w:tcPr>
          <w:p>
            <w:pPr>
              <w:rPr>
                <w:rFonts w:ascii="Arial"/>
                <w:sz w:val="21"/>
              </w:rPr>
            </w:pPr>
            <w:r/>
          </w:p>
        </w:tc>
        <w:tc>
          <w:tcPr>
            <w:tcW w:w="3201" w:type="dxa"/>
            <w:vAlign w:val="top"/>
          </w:tcPr>
          <w:p>
            <w:pPr>
              <w:ind w:left="10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属Ⅳ类放射源的</w:t>
            </w:r>
          </w:p>
        </w:tc>
        <w:tc>
          <w:tcPr>
            <w:tcW w:w="1142" w:type="dxa"/>
            <w:vAlign w:val="top"/>
          </w:tcPr>
          <w:p>
            <w:pPr>
              <w:ind w:left="16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495"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0" w:type="dxa"/>
            <w:vAlign w:val="top"/>
            <w:vMerge w:val="continue"/>
            <w:tcBorders>
              <w:top w:val="nil"/>
              <w:bottom w:val="nil"/>
            </w:tcBorders>
          </w:tcPr>
          <w:p>
            <w:pPr>
              <w:rPr>
                <w:rFonts w:ascii="Arial"/>
                <w:sz w:val="21"/>
              </w:rPr>
            </w:pPr>
            <w:r/>
          </w:p>
        </w:tc>
        <w:tc>
          <w:tcPr>
            <w:tcW w:w="3201" w:type="dxa"/>
            <w:vAlign w:val="top"/>
          </w:tcPr>
          <w:p>
            <w:pPr>
              <w:ind w:left="110" w:right="222" w:hanging="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属Ⅲ类放射源或Ⅱ类射线装</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9"/>
              </w:rPr>
              <w:t>置的</w:t>
            </w:r>
          </w:p>
        </w:tc>
        <w:tc>
          <w:tcPr>
            <w:tcW w:w="1142" w:type="dxa"/>
            <w:vAlign w:val="top"/>
          </w:tcPr>
          <w:p>
            <w:pPr>
              <w:ind w:left="16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95"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0" w:type="dxa"/>
            <w:vAlign w:val="top"/>
            <w:vMerge w:val="continue"/>
            <w:tcBorders>
              <w:top w:val="nil"/>
              <w:bottom w:val="nil"/>
            </w:tcBorders>
          </w:tcPr>
          <w:p>
            <w:pPr>
              <w:rPr>
                <w:rFonts w:ascii="Arial"/>
                <w:sz w:val="21"/>
              </w:rPr>
            </w:pPr>
            <w:r/>
          </w:p>
        </w:tc>
        <w:tc>
          <w:tcPr>
            <w:tcW w:w="3201" w:type="dxa"/>
            <w:vAlign w:val="top"/>
          </w:tcPr>
          <w:p>
            <w:pPr>
              <w:ind w:left="10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属Ⅱ类放射源的</w:t>
            </w:r>
          </w:p>
        </w:tc>
        <w:tc>
          <w:tcPr>
            <w:tcW w:w="1142" w:type="dxa"/>
            <w:vAlign w:val="top"/>
          </w:tcPr>
          <w:p>
            <w:pPr>
              <w:ind w:left="17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2" w:hRule="atLeast"/>
        </w:trPr>
        <w:tc>
          <w:tcPr>
            <w:tcW w:w="1495"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0" w:type="dxa"/>
            <w:vAlign w:val="top"/>
            <w:vMerge w:val="continue"/>
            <w:tcBorders>
              <w:top w:val="nil"/>
            </w:tcBorders>
          </w:tcPr>
          <w:p>
            <w:pPr>
              <w:rPr>
                <w:rFonts w:ascii="Arial"/>
                <w:sz w:val="21"/>
              </w:rPr>
            </w:pPr>
            <w:r/>
          </w:p>
        </w:tc>
        <w:tc>
          <w:tcPr>
            <w:tcW w:w="3201" w:type="dxa"/>
            <w:vAlign w:val="top"/>
          </w:tcPr>
          <w:p>
            <w:pPr>
              <w:ind w:left="101"/>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属</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9"/>
              </w:rPr>
              <w:t>Ⅰ</w:t>
            </w:r>
            <w:r>
              <w:rPr>
                <w:rFonts w:ascii="FangSong_GB2312" w:hAnsi="FangSong_GB2312" w:eastAsia="FangSong_GB2312" w:cs="FangSong_GB2312"/>
                <w:sz w:val="24"/>
                <w:szCs w:val="24"/>
                <w:spacing w:val="-99"/>
              </w:rPr>
              <w:t xml:space="preserve"> </w:t>
            </w:r>
            <w:r>
              <w:rPr>
                <w:rFonts w:ascii="FangSong_GB2312" w:hAnsi="FangSong_GB2312" w:eastAsia="FangSong_GB2312" w:cs="FangSong_GB2312"/>
                <w:sz w:val="24"/>
                <w:szCs w:val="24"/>
                <w:spacing w:val="-19"/>
              </w:rPr>
              <w:t>类放射源或</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19"/>
              </w:rPr>
              <w:t>Ⅰ</w:t>
            </w:r>
            <w:r>
              <w:rPr>
                <w:rFonts w:ascii="FangSong_GB2312" w:hAnsi="FangSong_GB2312" w:eastAsia="FangSong_GB2312" w:cs="FangSong_GB2312"/>
                <w:sz w:val="24"/>
                <w:szCs w:val="24"/>
                <w:spacing w:val="-98"/>
              </w:rPr>
              <w:t xml:space="preserve"> </w:t>
            </w:r>
            <w:r>
              <w:rPr>
                <w:rFonts w:ascii="FangSong_GB2312" w:hAnsi="FangSong_GB2312" w:eastAsia="FangSong_GB2312" w:cs="FangSong_GB2312"/>
                <w:sz w:val="24"/>
                <w:szCs w:val="24"/>
                <w:spacing w:val="-19"/>
              </w:rPr>
              <w:t>类射线装</w:t>
            </w:r>
          </w:p>
        </w:tc>
        <w:tc>
          <w:tcPr>
            <w:tcW w:w="1142" w:type="dxa"/>
            <w:vAlign w:val="top"/>
          </w:tcPr>
          <w:p>
            <w:pPr>
              <w:ind w:left="160"/>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41%-50%</w:t>
            </w:r>
          </w:p>
        </w:tc>
      </w:tr>
    </w:tbl>
    <w:p>
      <w:pPr>
        <w:pStyle w:val="BodyText"/>
        <w:rPr/>
      </w:pPr>
      <w:r/>
    </w:p>
    <w:p>
      <w:pPr>
        <w:sectPr>
          <w:footerReference w:type="default" r:id="rId394"/>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24" w:hRule="atLeast"/>
        </w:trPr>
        <w:tc>
          <w:tcPr>
            <w:tcW w:w="1480" w:type="dxa"/>
            <w:vAlign w:val="top"/>
          </w:tcPr>
          <w:p>
            <w:pPr>
              <w:rPr>
                <w:rFonts w:ascii="Arial"/>
                <w:sz w:val="21"/>
              </w:rPr>
            </w:pPr>
            <w:r/>
          </w:p>
        </w:tc>
        <w:tc>
          <w:tcPr>
            <w:tcW w:w="1889"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2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置的</w:t>
            </w:r>
          </w:p>
        </w:tc>
        <w:tc>
          <w:tcPr>
            <w:tcW w:w="1155" w:type="dxa"/>
            <w:vAlign w:val="top"/>
          </w:tcPr>
          <w:p>
            <w:pPr>
              <w:rPr>
                <w:rFonts w:ascii="Arial"/>
                <w:sz w:val="21"/>
              </w:rPr>
            </w:pPr>
            <w:r/>
          </w:p>
        </w:tc>
      </w:tr>
      <w:tr>
        <w:trPr>
          <w:trHeight w:val="319" w:hRule="atLeast"/>
        </w:trPr>
        <w:tc>
          <w:tcPr>
            <w:tcW w:w="1480" w:type="dxa"/>
            <w:vAlign w:val="top"/>
            <w:vMerge w:val="restart"/>
            <w:tcBorders>
              <w:bottom w:val="nil"/>
            </w:tcBorders>
          </w:tcPr>
          <w:p>
            <w:pPr>
              <w:spacing w:line="445"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89" w:lineRule="auto"/>
              <w:rPr>
                <w:rFonts w:ascii="Arial"/>
                <w:sz w:val="21"/>
              </w:rPr>
            </w:pPr>
            <w:r/>
          </w:p>
          <w:p>
            <w:pPr>
              <w:ind w:left="835" w:right="224"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6"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9"/>
              <w:spacing w:before="42"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vMerge w:val="restart"/>
            <w:tcBorders>
              <w:bottom w:val="nil"/>
            </w:tcBorders>
          </w:tcPr>
          <w:p>
            <w:pPr>
              <w:ind w:left="267" w:right="257"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4"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24" w:hRule="atLeast"/>
        </w:trPr>
        <w:tc>
          <w:tcPr>
            <w:tcW w:w="1480" w:type="dxa"/>
            <w:vAlign w:val="top"/>
            <w:vMerge w:val="restart"/>
            <w:tcBorders>
              <w:bottom w:val="nil"/>
            </w:tcBorders>
          </w:tcPr>
          <w:p>
            <w:pPr>
              <w:ind w:left="149"/>
              <w:spacing w:before="19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19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433"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19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95"/>
          <w:pgSz w:w="11905" w:h="16839"/>
          <w:pgMar w:top="1431" w:right="1691" w:bottom="1156" w:left="1691" w:header="0" w:footer="994" w:gutter="0"/>
        </w:sectPr>
        <w:rPr/>
      </w:pPr>
    </w:p>
    <w:p>
      <w:pPr>
        <w:spacing w:before="34"/>
        <w:rPr/>
      </w:pPr>
      <w:r/>
    </w:p>
    <w:p>
      <w:pPr>
        <w:spacing w:before="34"/>
        <w:rPr/>
      </w:pPr>
      <w:r/>
    </w:p>
    <w:p>
      <w:pPr>
        <w:spacing w:before="34"/>
        <w:rPr/>
      </w:pPr>
      <w:r/>
    </w:p>
    <w:p>
      <w:pPr>
        <w:spacing w:before="34"/>
        <w:rPr/>
      </w:pPr>
      <w:r/>
    </w:p>
    <w:p>
      <w:pPr>
        <w:spacing w:before="34"/>
        <w:rPr/>
      </w:pPr>
      <w:r/>
    </w:p>
    <w:p>
      <w:pPr>
        <w:spacing w:before="33"/>
        <w:rPr/>
      </w:pPr>
      <w:r/>
    </w:p>
    <w:p>
      <w:pPr>
        <w:spacing w:before="3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2"/>
        <w:gridCol w:w="1889"/>
        <w:gridCol w:w="791"/>
        <w:gridCol w:w="3201"/>
        <w:gridCol w:w="1144"/>
      </w:tblGrid>
      <w:tr>
        <w:trPr>
          <w:trHeight w:val="738" w:hRule="atLeast"/>
        </w:trPr>
        <w:tc>
          <w:tcPr>
            <w:tcW w:w="8517" w:type="dxa"/>
            <w:vAlign w:val="top"/>
            <w:gridSpan w:val="5"/>
          </w:tcPr>
          <w:p>
            <w:pPr>
              <w:ind w:left="256"/>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92"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5" w:type="dxa"/>
            <w:vAlign w:val="top"/>
            <w:gridSpan w:val="4"/>
          </w:tcPr>
          <w:p>
            <w:pPr>
              <w:ind w:left="3363"/>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200</w:t>
            </w:r>
          </w:p>
        </w:tc>
      </w:tr>
      <w:tr>
        <w:trPr>
          <w:trHeight w:val="979" w:hRule="atLeast"/>
        </w:trPr>
        <w:tc>
          <w:tcPr>
            <w:tcW w:w="1492" w:type="dxa"/>
            <w:vAlign w:val="top"/>
          </w:tcPr>
          <w:p>
            <w:pPr>
              <w:spacing w:line="257"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5" w:type="dxa"/>
            <w:vAlign w:val="top"/>
            <w:gridSpan w:val="4"/>
          </w:tcPr>
          <w:p>
            <w:pPr>
              <w:ind w:left="50" w:right="15" w:firstLine="3"/>
              <w:spacing w:before="54"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未按照规定对使用</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7"/>
              </w:rPr>
              <w:t>Ⅰ</w:t>
            </w:r>
            <w:r>
              <w:rPr>
                <w:rFonts w:ascii="FangSong_GB2312" w:hAnsi="FangSong_GB2312" w:eastAsia="FangSong_GB2312" w:cs="FangSong_GB2312"/>
                <w:sz w:val="24"/>
                <w:szCs w:val="24"/>
                <w:spacing w:val="-98"/>
              </w:rPr>
              <w:t xml:space="preserve"> </w:t>
            </w:r>
            <w:r>
              <w:rPr>
                <w:rFonts w:ascii="FangSong_GB2312" w:hAnsi="FangSong_GB2312" w:eastAsia="FangSong_GB2312" w:cs="FangSong_GB2312"/>
                <w:sz w:val="24"/>
                <w:szCs w:val="24"/>
                <w:spacing w:val="-7"/>
              </w:rPr>
              <w:t>类、</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7"/>
              </w:rPr>
              <w:t>Ⅱ类、</w:t>
            </w:r>
            <w:r>
              <w:rPr>
                <w:rFonts w:ascii="FangSong_GB2312" w:hAnsi="FangSong_GB2312" w:eastAsia="FangSong_GB2312" w:cs="FangSong_GB2312"/>
                <w:sz w:val="24"/>
                <w:szCs w:val="24"/>
                <w:spacing w:val="-90"/>
              </w:rPr>
              <w:t xml:space="preserve"> </w:t>
            </w:r>
            <w:r>
              <w:rPr>
                <w:rFonts w:ascii="FangSong_GB2312" w:hAnsi="FangSong_GB2312" w:eastAsia="FangSong_GB2312" w:cs="FangSong_GB2312"/>
                <w:sz w:val="24"/>
                <w:szCs w:val="24"/>
                <w:spacing w:val="-7"/>
              </w:rPr>
              <w:t>Ⅲ类放射源的场所和生</w:t>
            </w:r>
            <w:r>
              <w:rPr>
                <w:rFonts w:ascii="FangSong_GB2312" w:hAnsi="FangSong_GB2312" w:eastAsia="FangSong_GB2312" w:cs="FangSong_GB2312"/>
                <w:sz w:val="24"/>
                <w:szCs w:val="24"/>
                <w:spacing w:val="-8"/>
              </w:rPr>
              <w:t>产放射性同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位素的场所，以及终结运行后产生放射性污染的射</w:t>
            </w:r>
            <w:r>
              <w:rPr>
                <w:rFonts w:ascii="FangSong_GB2312" w:hAnsi="FangSong_GB2312" w:eastAsia="FangSong_GB2312" w:cs="FangSong_GB2312"/>
                <w:sz w:val="24"/>
                <w:szCs w:val="24"/>
                <w:spacing w:val="-1"/>
              </w:rPr>
              <w:t>线装置实施退役</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的，经责令限期改正但逾期不改正的</w:t>
            </w:r>
          </w:p>
        </w:tc>
      </w:tr>
      <w:tr>
        <w:trPr>
          <w:trHeight w:val="4758" w:hRule="atLeast"/>
        </w:trPr>
        <w:tc>
          <w:tcPr>
            <w:tcW w:w="1492"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5" w:type="dxa"/>
            <w:vAlign w:val="top"/>
            <w:gridSpan w:val="4"/>
          </w:tcPr>
          <w:p>
            <w:pPr>
              <w:ind w:left="69"/>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《放射性同位素与射线装置安全和防护条例》</w:t>
            </w:r>
          </w:p>
          <w:p>
            <w:pPr>
              <w:ind w:left="50" w:right="15" w:firstLine="16"/>
              <w:spacing w:before="39"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8"/>
              </w:rPr>
              <w:t>第三十三条</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8"/>
              </w:rPr>
              <w:t>使用</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8"/>
              </w:rPr>
              <w:t>Ⅰ</w:t>
            </w:r>
            <w:r>
              <w:rPr>
                <w:rFonts w:ascii="FangSong_GB2312" w:hAnsi="FangSong_GB2312" w:eastAsia="FangSong_GB2312" w:cs="FangSong_GB2312"/>
                <w:sz w:val="24"/>
                <w:szCs w:val="24"/>
                <w:spacing w:val="-98"/>
              </w:rPr>
              <w:t xml:space="preserve"> </w:t>
            </w:r>
            <w:r>
              <w:rPr>
                <w:rFonts w:ascii="FangSong_GB2312" w:hAnsi="FangSong_GB2312" w:eastAsia="FangSong_GB2312" w:cs="FangSong_GB2312"/>
                <w:sz w:val="24"/>
                <w:szCs w:val="24"/>
                <w:spacing w:val="-8"/>
              </w:rPr>
              <w:t>类、</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8"/>
              </w:rPr>
              <w:t>Ⅱ类、</w:t>
            </w:r>
            <w:r>
              <w:rPr>
                <w:rFonts w:ascii="FangSong_GB2312" w:hAnsi="FangSong_GB2312" w:eastAsia="FangSong_GB2312" w:cs="FangSong_GB2312"/>
                <w:sz w:val="24"/>
                <w:szCs w:val="24"/>
                <w:spacing w:val="-90"/>
              </w:rPr>
              <w:t xml:space="preserve"> </w:t>
            </w:r>
            <w:r>
              <w:rPr>
                <w:rFonts w:ascii="FangSong_GB2312" w:hAnsi="FangSong_GB2312" w:eastAsia="FangSong_GB2312" w:cs="FangSong_GB2312"/>
                <w:sz w:val="24"/>
                <w:szCs w:val="24"/>
                <w:spacing w:val="-8"/>
              </w:rPr>
              <w:t>Ⅲ类放射源的场所和生产放射性同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位素的场所，以及终结运行后产生放射性污染的射</w:t>
            </w:r>
            <w:r>
              <w:rPr>
                <w:rFonts w:ascii="FangSong_GB2312" w:hAnsi="FangSong_GB2312" w:eastAsia="FangSong_GB2312" w:cs="FangSong_GB2312"/>
                <w:sz w:val="24"/>
                <w:szCs w:val="24"/>
                <w:spacing w:val="-1"/>
              </w:rPr>
              <w:t>线装置，应当依</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法实施退役。</w:t>
            </w:r>
          </w:p>
          <w:p>
            <w:pPr>
              <w:spacing w:line="270" w:lineRule="auto"/>
              <w:rPr>
                <w:rFonts w:ascii="Arial"/>
                <w:sz w:val="21"/>
              </w:rPr>
            </w:pPr>
            <w:r/>
          </w:p>
          <w:p>
            <w:pPr>
              <w:ind w:left="6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《放射性同位素与射线装置安全和防护条例》</w:t>
            </w:r>
          </w:p>
          <w:p>
            <w:pPr>
              <w:ind w:left="50" w:right="15" w:firstLine="16"/>
              <w:spacing w:before="35"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违反本条例规定，生产、销售、使用放射性</w:t>
            </w:r>
            <w:r>
              <w:rPr>
                <w:rFonts w:ascii="FangSong_GB2312" w:hAnsi="FangSong_GB2312" w:eastAsia="FangSong_GB2312" w:cs="FangSong_GB2312"/>
                <w:sz w:val="24"/>
                <w:szCs w:val="24"/>
                <w:spacing w:val="-2"/>
              </w:rPr>
              <w:t>同位素和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射线装置的单位有下列行为之一的，由县级以上人</w:t>
            </w:r>
            <w:r>
              <w:rPr>
                <w:rFonts w:ascii="FangSong_GB2312" w:hAnsi="FangSong_GB2312" w:eastAsia="FangSong_GB2312" w:cs="FangSong_GB2312"/>
                <w:sz w:val="24"/>
                <w:szCs w:val="24"/>
                <w:spacing w:val="-1"/>
              </w:rPr>
              <w:t>民政府环境保护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主管部门责令停止违法行为，限期改正；逾期不改</w:t>
            </w:r>
            <w:r>
              <w:rPr>
                <w:rFonts w:ascii="FangSong_GB2312" w:hAnsi="FangSong_GB2312" w:eastAsia="FangSong_GB2312" w:cs="FangSong_GB2312"/>
                <w:sz w:val="24"/>
                <w:szCs w:val="24"/>
                <w:spacing w:val="-1"/>
              </w:rPr>
              <w:t>正的，由原发证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机关指定有处理能力的单位代为处理或者实施退役</w:t>
            </w:r>
            <w:r>
              <w:rPr>
                <w:rFonts w:ascii="FangSong_GB2312" w:hAnsi="FangSong_GB2312" w:eastAsia="FangSong_GB2312" w:cs="FangSong_GB2312"/>
                <w:sz w:val="24"/>
                <w:szCs w:val="24"/>
                <w:spacing w:val="-1"/>
              </w:rPr>
              <w:t>，费用由生产、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销售、使用放射性同位素和射线装置的单位承担，并处</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2"/>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10</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3"/>
              </w:rPr>
              <w:t>万元以下的罚款：</w:t>
            </w:r>
          </w:p>
          <w:p>
            <w:pPr>
              <w:ind w:left="54" w:right="15" w:hanging="5"/>
              <w:spacing w:before="33"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（二）未按照规定对使用</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7"/>
              </w:rPr>
              <w:t>Ⅰ</w:t>
            </w:r>
            <w:r>
              <w:rPr>
                <w:rFonts w:ascii="FangSong_GB2312" w:hAnsi="FangSong_GB2312" w:eastAsia="FangSong_GB2312" w:cs="FangSong_GB2312"/>
                <w:sz w:val="24"/>
                <w:szCs w:val="24"/>
                <w:spacing w:val="-99"/>
              </w:rPr>
              <w:t xml:space="preserve"> </w:t>
            </w:r>
            <w:r>
              <w:rPr>
                <w:rFonts w:ascii="FangSong_GB2312" w:hAnsi="FangSong_GB2312" w:eastAsia="FangSong_GB2312" w:cs="FangSong_GB2312"/>
                <w:sz w:val="24"/>
                <w:szCs w:val="24"/>
                <w:spacing w:val="-7"/>
              </w:rPr>
              <w:t>类、</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7"/>
              </w:rPr>
              <w:t>Ⅱ类、</w:t>
            </w:r>
            <w:r>
              <w:rPr>
                <w:rFonts w:ascii="FangSong_GB2312" w:hAnsi="FangSong_GB2312" w:eastAsia="FangSong_GB2312" w:cs="FangSong_GB2312"/>
                <w:sz w:val="24"/>
                <w:szCs w:val="24"/>
                <w:spacing w:val="-89"/>
              </w:rPr>
              <w:t xml:space="preserve"> </w:t>
            </w:r>
            <w:r>
              <w:rPr>
                <w:rFonts w:ascii="FangSong_GB2312" w:hAnsi="FangSong_GB2312" w:eastAsia="FangSong_GB2312" w:cs="FangSong_GB2312"/>
                <w:sz w:val="24"/>
                <w:szCs w:val="24"/>
                <w:spacing w:val="-7"/>
              </w:rPr>
              <w:t>Ⅲ类放射源的场所和生产放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射性同位素的场所，以及终结运行后产生放射性污染的射线装置实</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施退役的。</w:t>
            </w:r>
          </w:p>
        </w:tc>
      </w:tr>
      <w:tr>
        <w:trPr>
          <w:trHeight w:val="635" w:hRule="atLeast"/>
        </w:trPr>
        <w:tc>
          <w:tcPr>
            <w:tcW w:w="4172"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5" w:type="dxa"/>
            <w:vAlign w:val="top"/>
            <w:gridSpan w:val="2"/>
          </w:tcPr>
          <w:p>
            <w:pPr>
              <w:ind w:left="1623"/>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92" w:type="dxa"/>
            <w:vAlign w:val="top"/>
          </w:tcPr>
          <w:p>
            <w:pPr>
              <w:ind w:left="514"/>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1"/>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1" w:type="dxa"/>
            <w:vAlign w:val="top"/>
          </w:tcPr>
          <w:p>
            <w:pPr>
              <w:ind w:left="200" w:right="18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79"/>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4" w:type="dxa"/>
            <w:vAlign w:val="top"/>
          </w:tcPr>
          <w:p>
            <w:pPr>
              <w:ind w:left="251"/>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92"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ind w:left="509" w:right="147"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2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1"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08" w:right="220" w:hanging="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属Ⅲ类放射源的，经责令限</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期改正但逾期不改正的</w:t>
            </w:r>
          </w:p>
        </w:tc>
        <w:tc>
          <w:tcPr>
            <w:tcW w:w="1144" w:type="dxa"/>
            <w:vAlign w:val="top"/>
          </w:tcPr>
          <w:p>
            <w:pPr>
              <w:ind w:left="22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92"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08" w:right="220"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属Ⅱ类放射源的，经责令限</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期改正但逾期不改正的</w:t>
            </w:r>
          </w:p>
        </w:tc>
        <w:tc>
          <w:tcPr>
            <w:tcW w:w="1144" w:type="dxa"/>
            <w:vAlign w:val="top"/>
          </w:tcPr>
          <w:p>
            <w:pPr>
              <w:ind w:left="16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11%-30%</w:t>
            </w:r>
          </w:p>
        </w:tc>
      </w:tr>
      <w:tr>
        <w:trPr>
          <w:trHeight w:val="635" w:hRule="atLeast"/>
        </w:trPr>
        <w:tc>
          <w:tcPr>
            <w:tcW w:w="1492"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08" w:right="220" w:hanging="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属</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0"/>
              </w:rPr>
              <w:t>Ⅰ</w:t>
            </w:r>
            <w:r>
              <w:rPr>
                <w:rFonts w:ascii="FangSong_GB2312" w:hAnsi="FangSong_GB2312" w:eastAsia="FangSong_GB2312" w:cs="FangSong_GB2312"/>
                <w:sz w:val="24"/>
                <w:szCs w:val="24"/>
                <w:spacing w:val="-98"/>
              </w:rPr>
              <w:t xml:space="preserve"> </w:t>
            </w:r>
            <w:r>
              <w:rPr>
                <w:rFonts w:ascii="FangSong_GB2312" w:hAnsi="FangSong_GB2312" w:eastAsia="FangSong_GB2312" w:cs="FangSong_GB2312"/>
                <w:sz w:val="24"/>
                <w:szCs w:val="24"/>
                <w:spacing w:val="-10"/>
              </w:rPr>
              <w:t>类放射源的，经责令限</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期改正但逾期不改正的</w:t>
            </w:r>
          </w:p>
        </w:tc>
        <w:tc>
          <w:tcPr>
            <w:tcW w:w="1144" w:type="dxa"/>
            <w:vAlign w:val="top"/>
          </w:tcPr>
          <w:p>
            <w:pPr>
              <w:ind w:left="17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92"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23" w:right="236"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1" w:type="dxa"/>
            <w:vAlign w:val="top"/>
            <w:vMerge w:val="restart"/>
            <w:tcBorders>
              <w:bottom w:val="nil"/>
            </w:tcBorders>
          </w:tcPr>
          <w:p>
            <w:pPr>
              <w:spacing w:line="450"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4" w:type="dxa"/>
            <w:vAlign w:val="top"/>
          </w:tcPr>
          <w:p>
            <w:pPr>
              <w:ind w:left="46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92"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4" w:type="dxa"/>
            <w:vAlign w:val="top"/>
          </w:tcPr>
          <w:p>
            <w:pPr>
              <w:ind w:left="40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92"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1" w:type="dxa"/>
            <w:vAlign w:val="top"/>
            <w:vMerge w:val="continue"/>
            <w:tcBorders>
              <w:top w:val="nil"/>
              <w:bottom w:val="nil"/>
            </w:tcBorders>
          </w:tcPr>
          <w:p>
            <w:pPr>
              <w:rPr>
                <w:rFonts w:ascii="Arial"/>
                <w:sz w:val="21"/>
              </w:rPr>
            </w:pPr>
            <w:r/>
          </w:p>
        </w:tc>
        <w:tc>
          <w:tcPr>
            <w:tcW w:w="3201"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4" w:type="dxa"/>
            <w:vAlign w:val="top"/>
          </w:tcPr>
          <w:p>
            <w:pPr>
              <w:ind w:left="40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2" w:hRule="atLeast"/>
        </w:trPr>
        <w:tc>
          <w:tcPr>
            <w:tcW w:w="1492"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1" w:type="dxa"/>
            <w:vAlign w:val="top"/>
            <w:vMerge w:val="continue"/>
            <w:tcBorders>
              <w:top w:val="nil"/>
            </w:tcBorders>
          </w:tcPr>
          <w:p>
            <w:pPr>
              <w:rPr>
                <w:rFonts w:ascii="Arial"/>
                <w:sz w:val="21"/>
              </w:rPr>
            </w:pPr>
            <w:r/>
          </w:p>
        </w:tc>
        <w:tc>
          <w:tcPr>
            <w:tcW w:w="3201" w:type="dxa"/>
            <w:vAlign w:val="top"/>
          </w:tcPr>
          <w:p>
            <w:pPr>
              <w:ind w:left="122"/>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4" w:type="dxa"/>
            <w:vAlign w:val="top"/>
          </w:tcPr>
          <w:p>
            <w:pPr>
              <w:ind w:left="40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bl>
    <w:p>
      <w:pPr>
        <w:pStyle w:val="BodyText"/>
        <w:rPr/>
      </w:pPr>
      <w:r/>
    </w:p>
    <w:p>
      <w:pPr>
        <w:sectPr>
          <w:footerReference w:type="default" r:id="rId396"/>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24" w:hRule="atLeast"/>
        </w:trPr>
        <w:tc>
          <w:tcPr>
            <w:tcW w:w="1480" w:type="dxa"/>
            <w:vAlign w:val="top"/>
            <w:vMerge w:val="restart"/>
            <w:tcBorders>
              <w:bottom w:val="nil"/>
            </w:tcBorders>
          </w:tcPr>
          <w:p>
            <w:pPr>
              <w:ind w:left="267" w:right="257" w:firstLine="7"/>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5" w:right="224" w:hanging="480"/>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55" w:hRule="atLeast"/>
        </w:trPr>
        <w:tc>
          <w:tcPr>
            <w:tcW w:w="1480" w:type="dxa"/>
            <w:vAlign w:val="top"/>
            <w:vMerge w:val="restart"/>
            <w:tcBorders>
              <w:bottom w:val="nil"/>
            </w:tcBorders>
          </w:tcPr>
          <w:p>
            <w:pPr>
              <w:ind w:left="159" w:right="94" w:hanging="10"/>
              <w:spacing w:before="147"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4"/>
                <w:w w:val="94"/>
              </w:rPr>
              <w:t>对社会影响或</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26"/>
                <w:w w:val="94"/>
              </w:rPr>
              <w:t>生态破坏程度</w:t>
            </w:r>
          </w:p>
        </w:tc>
        <w:tc>
          <w:tcPr>
            <w:tcW w:w="1889" w:type="dxa"/>
            <w:vAlign w:val="top"/>
            <w:vMerge w:val="restart"/>
            <w:tcBorders>
              <w:bottom w:val="nil"/>
            </w:tcBorders>
          </w:tcPr>
          <w:p>
            <w:pPr>
              <w:ind w:left="449" w:right="104" w:hanging="303"/>
              <w:spacing w:before="14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4"/>
                <w:w w:val="95"/>
              </w:rPr>
              <w:t>是否造成社会影响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6"/>
              </w:rPr>
              <w:t>或生态破坏</w:t>
            </w:r>
          </w:p>
        </w:tc>
        <w:tc>
          <w:tcPr>
            <w:tcW w:w="792" w:type="dxa"/>
            <w:vAlign w:val="top"/>
            <w:vMerge w:val="restart"/>
            <w:tcBorders>
              <w:bottom w:val="nil"/>
            </w:tcBorders>
          </w:tcPr>
          <w:p>
            <w:pPr>
              <w:ind w:left="262"/>
              <w:spacing w:before="3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2"/>
              </w:rPr>
              <w:t>20%</w:t>
            </w:r>
          </w:p>
        </w:tc>
        <w:tc>
          <w:tcPr>
            <w:tcW w:w="3201" w:type="dxa"/>
            <w:vAlign w:val="top"/>
          </w:tcPr>
          <w:p>
            <w:pPr>
              <w:ind w:left="119"/>
              <w:spacing w:before="10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0"/>
                <w:w w:val="98"/>
              </w:rPr>
              <w:t>造成社会影响或生态破坏的</w:t>
            </w:r>
          </w:p>
        </w:tc>
        <w:tc>
          <w:tcPr>
            <w:tcW w:w="1155" w:type="dxa"/>
            <w:vAlign w:val="top"/>
          </w:tcPr>
          <w:p>
            <w:pPr>
              <w:ind w:left="251"/>
              <w:spacing w:before="1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92"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6"/>
              <w:spacing w:before="7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155" w:type="dxa"/>
            <w:vAlign w:val="top"/>
          </w:tcPr>
          <w:p>
            <w:pPr>
              <w:ind w:left="481"/>
              <w:spacing w:before="76"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97"/>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5"/>
        <w:gridCol w:w="1844"/>
        <w:gridCol w:w="792"/>
        <w:gridCol w:w="3201"/>
        <w:gridCol w:w="1155"/>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525" w:type="dxa"/>
            <w:vAlign w:val="top"/>
          </w:tcPr>
          <w:p>
            <w:pPr>
              <w:ind w:left="486"/>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6992" w:type="dxa"/>
            <w:vAlign w:val="top"/>
            <w:gridSpan w:val="4"/>
          </w:tcPr>
          <w:p>
            <w:pPr>
              <w:ind w:left="3330"/>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201</w:t>
            </w:r>
          </w:p>
        </w:tc>
      </w:tr>
      <w:tr>
        <w:trPr>
          <w:trHeight w:val="979" w:hRule="atLeast"/>
        </w:trPr>
        <w:tc>
          <w:tcPr>
            <w:tcW w:w="1525" w:type="dxa"/>
            <w:vAlign w:val="top"/>
          </w:tcPr>
          <w:p>
            <w:pPr>
              <w:spacing w:line="257"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6992" w:type="dxa"/>
            <w:vAlign w:val="top"/>
            <w:gridSpan w:val="4"/>
          </w:tcPr>
          <w:p>
            <w:pPr>
              <w:ind w:left="20" w:right="15"/>
              <w:spacing w:before="52"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未按照规定对本单位的放射性同位素、射线装置安全和防护状况进</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行评估或者发现安全隐患不及时整改的，经责令限期改正但逾期不</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4"/>
              </w:rPr>
              <w:t>改正的</w:t>
            </w:r>
          </w:p>
        </w:tc>
      </w:tr>
      <w:tr>
        <w:trPr>
          <w:trHeight w:val="4128" w:hRule="atLeast"/>
        </w:trPr>
        <w:tc>
          <w:tcPr>
            <w:tcW w:w="1525"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19"/>
              <w:spacing w:before="92"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6992" w:type="dxa"/>
            <w:vAlign w:val="top"/>
            <w:gridSpan w:val="4"/>
          </w:tcPr>
          <w:p>
            <w:pPr>
              <w:ind w:left="36"/>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《放射性同位素与射线装置安全和防护条例》</w:t>
            </w:r>
          </w:p>
          <w:p>
            <w:pPr>
              <w:ind w:left="20" w:right="15" w:firstLine="12"/>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生产、销售、使用放射性同位素和射线装置的单位</w:t>
            </w:r>
            <w:r>
              <w:rPr>
                <w:rFonts w:ascii="FangSong_GB2312" w:hAnsi="FangSong_GB2312" w:eastAsia="FangSong_GB2312" w:cs="FangSong_GB2312"/>
                <w:sz w:val="24"/>
                <w:szCs w:val="24"/>
                <w:spacing w:val="-2"/>
              </w:rPr>
              <w:t>，应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当对本单位的放射性同位素、射线装置的安全和防护状况进行年度</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评估。发现安全隐患的，应当立即进行整改。</w:t>
            </w:r>
          </w:p>
          <w:p>
            <w:pPr>
              <w:spacing w:line="270"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《放射性同位素与射线装置安全和防护条例》</w:t>
            </w:r>
          </w:p>
          <w:p>
            <w:pPr>
              <w:ind w:left="21" w:right="15"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违反本条例规定，生产、销售、使用放射性同位</w:t>
            </w:r>
            <w:r>
              <w:rPr>
                <w:rFonts w:ascii="FangSong_GB2312" w:hAnsi="FangSong_GB2312" w:eastAsia="FangSong_GB2312" w:cs="FangSong_GB2312"/>
                <w:sz w:val="24"/>
                <w:szCs w:val="24"/>
                <w:spacing w:val="-2"/>
              </w:rPr>
              <w:t>素和射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线装置的单位有下列行为之一的，由县级以上人民政府环境保护主</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管部门责令停止违法行为，限期改正；逾期不改正的，责令停产停</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7"/>
              </w:rPr>
              <w:t>业，并处</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7"/>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万元以下的罚款；构成犯罪的，依</w:t>
            </w:r>
            <w:r>
              <w:rPr>
                <w:rFonts w:ascii="FangSong_GB2312" w:hAnsi="FangSong_GB2312" w:eastAsia="FangSong_GB2312" w:cs="FangSong_GB2312"/>
                <w:sz w:val="24"/>
                <w:szCs w:val="24"/>
                <w:spacing w:val="-8"/>
              </w:rPr>
              <w:t>法追究刑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事责任：</w:t>
            </w:r>
          </w:p>
          <w:p>
            <w:pPr>
              <w:ind w:left="23" w:right="15" w:hanging="7"/>
              <w:spacing w:before="3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（一）未按照规定对本单位的放射性同位素、射线装</w:t>
            </w:r>
            <w:r>
              <w:rPr>
                <w:rFonts w:ascii="FangSong_GB2312" w:hAnsi="FangSong_GB2312" w:eastAsia="FangSong_GB2312" w:cs="FangSong_GB2312"/>
                <w:sz w:val="24"/>
                <w:szCs w:val="24"/>
                <w:spacing w:val="-1"/>
              </w:rPr>
              <w:t>置安全和防护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状况进行评估或者发现安全隐患不及时整改的；</w:t>
            </w:r>
          </w:p>
        </w:tc>
      </w:tr>
      <w:tr>
        <w:trPr>
          <w:trHeight w:val="635" w:hRule="atLeast"/>
        </w:trPr>
        <w:tc>
          <w:tcPr>
            <w:tcW w:w="4161" w:type="dxa"/>
            <w:vAlign w:val="top"/>
            <w:gridSpan w:val="3"/>
          </w:tcPr>
          <w:p>
            <w:pPr>
              <w:ind w:left="152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56" w:type="dxa"/>
            <w:vAlign w:val="top"/>
            <w:gridSpan w:val="2"/>
          </w:tcPr>
          <w:p>
            <w:pPr>
              <w:ind w:left="1634"/>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525" w:type="dxa"/>
            <w:vAlign w:val="top"/>
          </w:tcPr>
          <w:p>
            <w:pPr>
              <w:ind w:left="535"/>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44" w:type="dxa"/>
            <w:vAlign w:val="top"/>
          </w:tcPr>
          <w:p>
            <w:pPr>
              <w:ind w:left="492"/>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2" w:right="173"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90"/>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55" w:type="dxa"/>
            <w:vAlign w:val="top"/>
          </w:tcPr>
          <w:p>
            <w:pPr>
              <w:ind w:left="262"/>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264" w:hRule="atLeast"/>
        </w:trPr>
        <w:tc>
          <w:tcPr>
            <w:tcW w:w="1525"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530" w:right="158"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44"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1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20" w:right="209" w:firstLine="5"/>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没按照规定对本单位的放射</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性同位素、射线装置安全和</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防护状况进行评估，经责令</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限期改正但逾期不改正的</w:t>
            </w:r>
          </w:p>
        </w:tc>
        <w:tc>
          <w:tcPr>
            <w:tcW w:w="1155" w:type="dxa"/>
            <w:vAlign w:val="top"/>
          </w:tcPr>
          <w:p>
            <w:pPr>
              <w:spacing w:line="432" w:lineRule="auto"/>
              <w:rPr>
                <w:rFonts w:ascii="Arial"/>
                <w:sz w:val="21"/>
              </w:rPr>
            </w:pPr>
            <w:r/>
          </w:p>
          <w:p>
            <w:pPr>
              <w:ind w:left="23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264" w:hRule="atLeast"/>
        </w:trPr>
        <w:tc>
          <w:tcPr>
            <w:tcW w:w="1525"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6"/>
              <w:spacing w:before="4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未对本单位的放射性同位</w:t>
            </w:r>
          </w:p>
          <w:p>
            <w:pPr>
              <w:ind w:left="123" w:right="209" w:firstLine="2"/>
              <w:spacing w:before="3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素、射线装置安全和防护状</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况进行评估，经责令限期改</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3"/>
              </w:rPr>
              <w:t>正但逾期不改正的</w:t>
            </w:r>
          </w:p>
        </w:tc>
        <w:tc>
          <w:tcPr>
            <w:tcW w:w="1155" w:type="dxa"/>
            <w:vAlign w:val="top"/>
          </w:tcPr>
          <w:p>
            <w:pPr>
              <w:spacing w:line="435"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11%-30%</w:t>
            </w:r>
          </w:p>
        </w:tc>
      </w:tr>
      <w:tr>
        <w:trPr>
          <w:trHeight w:val="950" w:hRule="atLeast"/>
        </w:trPr>
        <w:tc>
          <w:tcPr>
            <w:tcW w:w="1525"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1" w:right="209" w:hanging="5"/>
              <w:spacing w:before="4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发现安全隐患不及时整改，</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经责令限期改正但逾期不改</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8"/>
              </w:rPr>
              <w:t>正的</w:t>
            </w:r>
          </w:p>
        </w:tc>
        <w:tc>
          <w:tcPr>
            <w:tcW w:w="1155" w:type="dxa"/>
            <w:vAlign w:val="top"/>
          </w:tcPr>
          <w:p>
            <w:pPr>
              <w:spacing w:line="278"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525" w:type="dxa"/>
            <w:vAlign w:val="top"/>
            <w:vMerge w:val="restart"/>
            <w:tcBorders>
              <w:bottom w:val="nil"/>
            </w:tcBorders>
          </w:tcPr>
          <w:p>
            <w:pPr>
              <w:spacing w:line="288" w:lineRule="auto"/>
              <w:rPr>
                <w:rFonts w:ascii="Arial"/>
                <w:sz w:val="21"/>
              </w:rPr>
            </w:pPr>
            <w:r/>
          </w:p>
          <w:p>
            <w:pPr>
              <w:ind w:left="28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44" w:type="dxa"/>
            <w:vAlign w:val="top"/>
            <w:vMerge w:val="restart"/>
            <w:tcBorders>
              <w:bottom w:val="nil"/>
            </w:tcBorders>
          </w:tcPr>
          <w:p>
            <w:pPr>
              <w:ind w:left="814" w:right="200" w:hanging="591"/>
              <w:spacing w:before="21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288"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525" w:type="dxa"/>
            <w:vAlign w:val="top"/>
            <w:vMerge w:val="continue"/>
            <w:tcBorders>
              <w:top w:val="nil"/>
              <w:bottom w:val="nil"/>
            </w:tcBorders>
          </w:tcPr>
          <w:p>
            <w:pPr>
              <w:rPr>
                <w:rFonts w:ascii="Arial"/>
                <w:sz w:val="21"/>
              </w:rPr>
            </w:pPr>
            <w:r/>
          </w:p>
        </w:tc>
        <w:tc>
          <w:tcPr>
            <w:tcW w:w="1844"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3" w:hRule="atLeast"/>
        </w:trPr>
        <w:tc>
          <w:tcPr>
            <w:tcW w:w="1525"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8"/>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9"/>
              <w:spacing w:before="45"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bl>
    <w:p>
      <w:pPr>
        <w:pStyle w:val="BodyText"/>
        <w:rPr/>
      </w:pPr>
      <w:r/>
    </w:p>
    <w:p>
      <w:pPr>
        <w:sectPr>
          <w:footerReference w:type="default" r:id="rId398"/>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5"/>
        <w:gridCol w:w="1844"/>
        <w:gridCol w:w="792"/>
        <w:gridCol w:w="3201"/>
        <w:gridCol w:w="1155"/>
      </w:tblGrid>
      <w:tr>
        <w:trPr>
          <w:trHeight w:val="324" w:hRule="atLeast"/>
        </w:trPr>
        <w:tc>
          <w:tcPr>
            <w:tcW w:w="1525" w:type="dxa"/>
            <w:vAlign w:val="top"/>
          </w:tcPr>
          <w:p>
            <w:pPr>
              <w:rPr>
                <w:rFonts w:ascii="Arial"/>
                <w:sz w:val="21"/>
              </w:rPr>
            </w:pPr>
            <w:r/>
          </w:p>
        </w:tc>
        <w:tc>
          <w:tcPr>
            <w:tcW w:w="1844" w:type="dxa"/>
            <w:vAlign w:val="top"/>
          </w:tcPr>
          <w:p>
            <w:pPr>
              <w:rPr>
                <w:rFonts w:ascii="Arial"/>
                <w:sz w:val="21"/>
              </w:rPr>
            </w:pPr>
            <w:r/>
          </w:p>
        </w:tc>
        <w:tc>
          <w:tcPr>
            <w:tcW w:w="792" w:type="dxa"/>
            <w:vAlign w:val="top"/>
          </w:tcPr>
          <w:p>
            <w:pPr>
              <w:rPr>
                <w:rFonts w:ascii="Arial"/>
                <w:sz w:val="21"/>
              </w:rPr>
            </w:pPr>
            <w:r/>
          </w:p>
        </w:tc>
        <w:tc>
          <w:tcPr>
            <w:tcW w:w="3201" w:type="dxa"/>
            <w:vAlign w:val="top"/>
          </w:tcPr>
          <w:p>
            <w:pPr>
              <w:ind w:left="133"/>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4"/>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19" w:hRule="atLeast"/>
        </w:trPr>
        <w:tc>
          <w:tcPr>
            <w:tcW w:w="1525" w:type="dxa"/>
            <w:vAlign w:val="top"/>
            <w:vMerge w:val="restart"/>
            <w:tcBorders>
              <w:bottom w:val="nil"/>
            </w:tcBorders>
          </w:tcPr>
          <w:p>
            <w:pPr>
              <w:ind w:left="288" w:right="281"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44" w:type="dxa"/>
            <w:vAlign w:val="top"/>
            <w:vMerge w:val="restart"/>
            <w:tcBorders>
              <w:bottom w:val="nil"/>
            </w:tcBorders>
          </w:tcPr>
          <w:p>
            <w:pPr>
              <w:ind w:left="684" w:right="200"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20"/>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525"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525" w:type="dxa"/>
            <w:vAlign w:val="top"/>
            <w:vMerge w:val="restart"/>
            <w:tcBorders>
              <w:bottom w:val="nil"/>
            </w:tcBorders>
          </w:tcPr>
          <w:p>
            <w:pPr>
              <w:ind w:left="170"/>
              <w:spacing w:before="4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65"/>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31"/>
              <w:spacing w:before="32"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44" w:type="dxa"/>
            <w:vAlign w:val="top"/>
            <w:vMerge w:val="restart"/>
            <w:tcBorders>
              <w:bottom w:val="nil"/>
            </w:tcBorders>
          </w:tcPr>
          <w:p>
            <w:pPr>
              <w:ind w:left="204"/>
              <w:spacing w:before="4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15"/>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15"/>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81"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525" w:type="dxa"/>
            <w:vAlign w:val="top"/>
            <w:vMerge w:val="continue"/>
            <w:tcBorders>
              <w:top w:val="nil"/>
            </w:tcBorders>
          </w:tcPr>
          <w:p>
            <w:pPr>
              <w:rPr>
                <w:rFonts w:ascii="Arial"/>
                <w:sz w:val="21"/>
              </w:rPr>
            </w:pPr>
            <w:r/>
          </w:p>
        </w:tc>
        <w:tc>
          <w:tcPr>
            <w:tcW w:w="1844"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399"/>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66"/>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202</w:t>
            </w:r>
          </w:p>
        </w:tc>
      </w:tr>
      <w:tr>
        <w:trPr>
          <w:trHeight w:val="979" w:hRule="atLeast"/>
        </w:trPr>
        <w:tc>
          <w:tcPr>
            <w:tcW w:w="1489" w:type="dxa"/>
            <w:vAlign w:val="top"/>
          </w:tcPr>
          <w:p>
            <w:pPr>
              <w:spacing w:line="259"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59" w:right="15" w:firstLine="12"/>
              <w:spacing w:before="5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生产、销售、使用、贮存放射性同位素和射线装置的场所未按照规</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1"/>
              </w:rPr>
              <w:t>定设置安全和防护设施以及放射性标志的，经责令限期改正但逾期</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4"/>
              </w:rPr>
              <w:t>不改正的</w:t>
            </w:r>
          </w:p>
        </w:tc>
      </w:tr>
      <w:tr>
        <w:trPr>
          <w:trHeight w:val="5073" w:hRule="atLeast"/>
        </w:trPr>
        <w:tc>
          <w:tcPr>
            <w:tcW w:w="1489"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《放射性同位素与射线装置安全和防护条例》</w:t>
            </w:r>
          </w:p>
          <w:p>
            <w:pPr>
              <w:ind w:left="56" w:right="15" w:firstLine="12"/>
              <w:spacing w:before="40"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生产、销售、使用、贮存放射</w:t>
            </w:r>
            <w:r>
              <w:rPr>
                <w:rFonts w:ascii="FangSong_GB2312" w:hAnsi="FangSong_GB2312" w:eastAsia="FangSong_GB2312" w:cs="FangSong_GB2312"/>
                <w:sz w:val="24"/>
                <w:szCs w:val="24"/>
                <w:spacing w:val="-2"/>
              </w:rPr>
              <w:t>性同位素和射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线装置的场所，应当按照国家有关规定设置明显的放射性标志，其</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入口处应当按照国家有关安全和防护标准的要求，设置安全和防护</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设施以及必要的防护安全联锁、报警装置或者工作信号。射线装置</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的生产调试和使用场所，应当具有防止误操作、防止工作人员和公</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众受到意外照射的安全措施。</w:t>
            </w:r>
          </w:p>
          <w:p>
            <w:pPr>
              <w:spacing w:line="273"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《放射性同位素与射线装置安全和防护条例》</w:t>
            </w:r>
          </w:p>
          <w:p>
            <w:pPr>
              <w:ind w:left="57" w:right="15" w:firstLine="11"/>
              <w:spacing w:before="33"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违反本条例规定，生产、销售、使用放射性同位</w:t>
            </w:r>
            <w:r>
              <w:rPr>
                <w:rFonts w:ascii="FangSong_GB2312" w:hAnsi="FangSong_GB2312" w:eastAsia="FangSong_GB2312" w:cs="FangSong_GB2312"/>
                <w:sz w:val="24"/>
                <w:szCs w:val="24"/>
                <w:spacing w:val="-2"/>
              </w:rPr>
              <w:t>素和射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线装置的单位有下列行为之一的，由县级以上人民政府环境保护主</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管部门责令停止违法行为，限期改正；逾期不改正的，责令停产停</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7"/>
              </w:rPr>
              <w:t>业，并处</w:t>
            </w:r>
            <w:r>
              <w:rPr>
                <w:rFonts w:ascii="FangSong_GB2312" w:hAnsi="FangSong_GB2312" w:eastAsia="FangSong_GB2312" w:cs="FangSong_GB2312"/>
                <w:sz w:val="24"/>
                <w:szCs w:val="24"/>
                <w:spacing w:val="-42"/>
              </w:rPr>
              <w:t xml:space="preserve"> </w:t>
            </w:r>
            <w:r>
              <w:rPr>
                <w:rFonts w:ascii="FangSong_GB2312" w:hAnsi="FangSong_GB2312" w:eastAsia="FangSong_GB2312" w:cs="FangSong_GB2312"/>
                <w:sz w:val="24"/>
                <w:szCs w:val="24"/>
                <w:spacing w:val="-7"/>
              </w:rPr>
              <w:t>2</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7"/>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7"/>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7"/>
              </w:rPr>
              <w:t>万元以下的罚款；构成犯罪的，依</w:t>
            </w:r>
            <w:r>
              <w:rPr>
                <w:rFonts w:ascii="FangSong_GB2312" w:hAnsi="FangSong_GB2312" w:eastAsia="FangSong_GB2312" w:cs="FangSong_GB2312"/>
                <w:sz w:val="24"/>
                <w:szCs w:val="24"/>
                <w:spacing w:val="-8"/>
              </w:rPr>
              <w:t>法追究刑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事责任：</w:t>
            </w:r>
          </w:p>
          <w:p>
            <w:pPr>
              <w:ind w:left="57" w:right="15" w:hanging="5"/>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（二）生产、销售、使用、贮存放射性同位素和射线</w:t>
            </w:r>
            <w:r>
              <w:rPr>
                <w:rFonts w:ascii="FangSong_GB2312" w:hAnsi="FangSong_GB2312" w:eastAsia="FangSong_GB2312" w:cs="FangSong_GB2312"/>
                <w:sz w:val="24"/>
                <w:szCs w:val="24"/>
                <w:spacing w:val="-1"/>
              </w:rPr>
              <w:t>装置的场所未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按照规定设置安全和防护设施以及放射性标志的。</w:t>
            </w:r>
          </w:p>
        </w:tc>
      </w:tr>
      <w:tr>
        <w:trPr>
          <w:trHeight w:val="635" w:hRule="atLeast"/>
        </w:trPr>
        <w:tc>
          <w:tcPr>
            <w:tcW w:w="4170" w:type="dxa"/>
            <w:vAlign w:val="top"/>
            <w:gridSpan w:val="3"/>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9" w:type="dxa"/>
            <w:vAlign w:val="top"/>
            <w:vMerge w:val="restart"/>
            <w:tcBorders>
              <w:bottom w:val="nil"/>
            </w:tcBorders>
          </w:tcPr>
          <w:p>
            <w:pPr>
              <w:spacing w:line="284" w:lineRule="auto"/>
              <w:rPr>
                <w:rFonts w:ascii="Arial"/>
                <w:sz w:val="21"/>
              </w:rPr>
            </w:pPr>
            <w:r/>
          </w:p>
          <w:p>
            <w:pPr>
              <w:ind w:left="509" w:right="144"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39"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39" w:lineRule="auto"/>
              <w:rPr>
                <w:rFonts w:ascii="Arial"/>
                <w:sz w:val="21"/>
              </w:rPr>
            </w:pPr>
            <w:r/>
          </w:p>
          <w:p>
            <w:pPr>
              <w:ind w:left="2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07" w:right="21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未按照规定设置安全和防护</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设施或放射性标志的</w:t>
            </w:r>
          </w:p>
        </w:tc>
        <w:tc>
          <w:tcPr>
            <w:tcW w:w="1146" w:type="dxa"/>
            <w:vAlign w:val="top"/>
          </w:tcPr>
          <w:p>
            <w:pPr>
              <w:ind w:left="23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635"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right="218" w:hanging="10"/>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未设置安全和防护设施或放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射性标志的</w:t>
            </w:r>
          </w:p>
        </w:tc>
        <w:tc>
          <w:tcPr>
            <w:tcW w:w="1146" w:type="dxa"/>
            <w:vAlign w:val="top"/>
          </w:tcPr>
          <w:p>
            <w:pPr>
              <w:ind w:left="174"/>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89"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ind w:left="391" w:right="144" w:hanging="23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配合调查取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证情况</w:t>
            </w:r>
          </w:p>
        </w:tc>
        <w:tc>
          <w:tcPr>
            <w:tcW w:w="1889" w:type="dxa"/>
            <w:vAlign w:val="top"/>
            <w:vMerge w:val="restart"/>
            <w:tcBorders>
              <w:bottom w:val="nil"/>
            </w:tcBorders>
          </w:tcPr>
          <w:p>
            <w:pPr>
              <w:ind w:left="696" w:right="23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7"/>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6"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6" w:type="dxa"/>
            <w:vAlign w:val="top"/>
          </w:tcPr>
          <w:p>
            <w:pPr>
              <w:ind w:left="47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70" w:hRule="atLeast"/>
        </w:trPr>
        <w:tc>
          <w:tcPr>
            <w:tcW w:w="1489" w:type="dxa"/>
            <w:vAlign w:val="top"/>
            <w:vMerge w:val="restart"/>
            <w:tcBorders>
              <w:bottom w:val="nil"/>
            </w:tcBorders>
          </w:tcPr>
          <w:p>
            <w:pPr>
              <w:ind w:left="159" w:right="103" w:hanging="10"/>
              <w:spacing w:before="107"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4"/>
                <w:w w:val="94"/>
              </w:rPr>
              <w:t>对社会影响或</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26"/>
                <w:w w:val="94"/>
              </w:rPr>
              <w:t>生态破坏程度</w:t>
            </w:r>
          </w:p>
        </w:tc>
        <w:tc>
          <w:tcPr>
            <w:tcW w:w="1889" w:type="dxa"/>
            <w:vAlign w:val="top"/>
            <w:vMerge w:val="restart"/>
            <w:tcBorders>
              <w:bottom w:val="nil"/>
            </w:tcBorders>
          </w:tcPr>
          <w:p>
            <w:pPr>
              <w:ind w:left="440" w:right="113" w:hanging="303"/>
              <w:spacing w:before="106"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4"/>
                <w:w w:val="95"/>
              </w:rPr>
              <w:t>是否造成社会影响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6"/>
              </w:rPr>
              <w:t>或生态破坏</w:t>
            </w:r>
          </w:p>
        </w:tc>
        <w:tc>
          <w:tcPr>
            <w:tcW w:w="792" w:type="dxa"/>
            <w:vAlign w:val="top"/>
            <w:vMerge w:val="restart"/>
            <w:tcBorders>
              <w:bottom w:val="nil"/>
            </w:tcBorders>
          </w:tcPr>
          <w:p>
            <w:pPr>
              <w:ind w:left="222"/>
              <w:spacing w:before="26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0"/>
              <w:spacing w:before="6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70"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93"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0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146" w:type="dxa"/>
            <w:vAlign w:val="top"/>
          </w:tcPr>
          <w:p>
            <w:pPr>
              <w:ind w:left="472"/>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00"/>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8"/>
        <w:gridCol w:w="1889"/>
        <w:gridCol w:w="792"/>
        <w:gridCol w:w="3201"/>
        <w:gridCol w:w="1147"/>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88"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9" w:type="dxa"/>
            <w:vAlign w:val="top"/>
            <w:gridSpan w:val="4"/>
          </w:tcPr>
          <w:p>
            <w:pPr>
              <w:ind w:left="3367"/>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203</w:t>
            </w:r>
          </w:p>
        </w:tc>
      </w:tr>
      <w:tr>
        <w:trPr>
          <w:trHeight w:val="664" w:hRule="atLeast"/>
        </w:trPr>
        <w:tc>
          <w:tcPr>
            <w:tcW w:w="1488"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9" w:type="dxa"/>
            <w:vAlign w:val="top"/>
            <w:gridSpan w:val="4"/>
          </w:tcPr>
          <w:p>
            <w:pPr>
              <w:ind w:left="60"/>
              <w:spacing w:before="21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造成电磁辐射污染环境事故的</w:t>
            </w:r>
          </w:p>
        </w:tc>
      </w:tr>
      <w:tr>
        <w:trPr>
          <w:trHeight w:val="1609" w:hRule="atLeast"/>
        </w:trPr>
        <w:tc>
          <w:tcPr>
            <w:tcW w:w="1488" w:type="dxa"/>
            <w:vAlign w:val="top"/>
          </w:tcPr>
          <w:p>
            <w:pPr>
              <w:spacing w:line="285" w:lineRule="auto"/>
              <w:rPr>
                <w:rFonts w:ascii="Arial"/>
                <w:sz w:val="21"/>
              </w:rPr>
            </w:pPr>
            <w:r/>
          </w:p>
          <w:p>
            <w:pPr>
              <w:spacing w:line="286"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9" w:type="dxa"/>
            <w:vAlign w:val="top"/>
            <w:gridSpan w:val="4"/>
          </w:tcPr>
          <w:p>
            <w:pPr>
              <w:ind w:left="73"/>
              <w:spacing w:before="5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《电磁辐射环境保护管理办法》</w:t>
            </w:r>
          </w:p>
          <w:p>
            <w:pPr>
              <w:ind w:left="55" w:right="15" w:firstLine="15"/>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违反本办法规定，造成电磁辐射污染环境事故的</w:t>
            </w:r>
            <w:r>
              <w:rPr>
                <w:rFonts w:ascii="FangSong_GB2312" w:hAnsi="FangSong_GB2312" w:eastAsia="FangSong_GB2312" w:cs="FangSong_GB2312"/>
                <w:sz w:val="24"/>
                <w:szCs w:val="24"/>
                <w:spacing w:val="-2"/>
              </w:rPr>
              <w:t>，由省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级环境保护行政主管部门处以罚款。有违法所得的</w:t>
            </w:r>
            <w:r>
              <w:rPr>
                <w:rFonts w:ascii="FangSong_GB2312" w:hAnsi="FangSong_GB2312" w:eastAsia="FangSong_GB2312" w:cs="FangSong_GB2312"/>
                <w:sz w:val="24"/>
                <w:szCs w:val="24"/>
                <w:spacing w:val="-2"/>
              </w:rPr>
              <w:t>，处违法所得</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2"/>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倍以下的罚款，但最高不超过</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万元；没有违法所得的，处</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4"/>
              </w:rPr>
              <w:t>万元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以下的罚款。</w:t>
            </w:r>
          </w:p>
        </w:tc>
      </w:tr>
      <w:tr>
        <w:trPr>
          <w:trHeight w:val="635" w:hRule="atLeast"/>
        </w:trPr>
        <w:tc>
          <w:tcPr>
            <w:tcW w:w="4169"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8" w:type="dxa"/>
            <w:vAlign w:val="top"/>
            <w:gridSpan w:val="2"/>
          </w:tcPr>
          <w:p>
            <w:pPr>
              <w:ind w:left="1626"/>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488" w:type="dxa"/>
            <w:vAlign w:val="top"/>
          </w:tcPr>
          <w:p>
            <w:pPr>
              <w:ind w:left="514"/>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5"/>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4" w:right="181" w:hanging="32"/>
              <w:spacing w:before="52"/>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2"/>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7" w:type="dxa"/>
            <w:vAlign w:val="top"/>
          </w:tcPr>
          <w:p>
            <w:pPr>
              <w:ind w:left="254"/>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88" w:type="dxa"/>
            <w:vAlign w:val="top"/>
            <w:vMerge w:val="restart"/>
            <w:tcBorders>
              <w:bottom w:val="nil"/>
            </w:tcBorders>
          </w:tcPr>
          <w:p>
            <w:pPr>
              <w:spacing w:line="284" w:lineRule="auto"/>
              <w:rPr>
                <w:rFonts w:ascii="Arial"/>
                <w:sz w:val="21"/>
              </w:rPr>
            </w:pPr>
            <w:r/>
          </w:p>
          <w:p>
            <w:pPr>
              <w:ind w:left="509" w:right="143"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39" w:lineRule="auto"/>
              <w:rPr>
                <w:rFonts w:ascii="Arial"/>
                <w:sz w:val="21"/>
              </w:rPr>
            </w:pPr>
            <w:r/>
          </w:p>
          <w:p>
            <w:pPr>
              <w:ind w:left="22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39"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5" w:right="217" w:hanging="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发生电磁辐射污染环境突发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事件但无违法所得的</w:t>
            </w:r>
          </w:p>
        </w:tc>
        <w:tc>
          <w:tcPr>
            <w:tcW w:w="1147" w:type="dxa"/>
            <w:vAlign w:val="top"/>
          </w:tcPr>
          <w:p>
            <w:pPr>
              <w:ind w:left="23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5" w:right="217" w:hanging="7"/>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发生电磁辐射污染环境突发</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事件且有违法所得的</w:t>
            </w:r>
          </w:p>
        </w:tc>
        <w:tc>
          <w:tcPr>
            <w:tcW w:w="1147" w:type="dxa"/>
            <w:vAlign w:val="top"/>
          </w:tcPr>
          <w:p>
            <w:pPr>
              <w:ind w:left="17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320" w:hRule="atLeast"/>
        </w:trPr>
        <w:tc>
          <w:tcPr>
            <w:tcW w:w="1488"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2" w:lineRule="auto"/>
              <w:rPr>
                <w:rFonts w:ascii="Arial"/>
                <w:sz w:val="21"/>
              </w:rPr>
            </w:pPr>
            <w:r/>
          </w:p>
          <w:p>
            <w:pPr>
              <w:ind w:left="827" w:right="23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7" w:type="dxa"/>
            <w:vAlign w:val="top"/>
          </w:tcPr>
          <w:p>
            <w:pPr>
              <w:ind w:left="46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7" w:type="dxa"/>
            <w:vAlign w:val="top"/>
          </w:tcPr>
          <w:p>
            <w:pPr>
              <w:ind w:left="4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7" w:type="dxa"/>
            <w:vAlign w:val="top"/>
          </w:tcPr>
          <w:p>
            <w:pPr>
              <w:ind w:left="41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7" w:type="dxa"/>
            <w:vAlign w:val="top"/>
          </w:tcPr>
          <w:p>
            <w:pPr>
              <w:ind w:left="4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8" w:type="dxa"/>
            <w:vAlign w:val="top"/>
            <w:vMerge w:val="restart"/>
            <w:tcBorders>
              <w:bottom w:val="nil"/>
            </w:tcBorders>
          </w:tcPr>
          <w:p>
            <w:pPr>
              <w:spacing w:line="444"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4" w:lineRule="auto"/>
              <w:rPr>
                <w:rFonts w:ascii="Arial"/>
                <w:sz w:val="21"/>
              </w:rPr>
            </w:pPr>
            <w:r/>
          </w:p>
          <w:p>
            <w:pPr>
              <w:ind w:left="22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是否完成改正</w:t>
            </w:r>
          </w:p>
        </w:tc>
        <w:tc>
          <w:tcPr>
            <w:tcW w:w="792" w:type="dxa"/>
            <w:vAlign w:val="top"/>
            <w:vMerge w:val="restart"/>
            <w:tcBorders>
              <w:bottom w:val="nil"/>
            </w:tcBorders>
          </w:tcPr>
          <w:p>
            <w:pPr>
              <w:spacing w:line="444" w:lineRule="auto"/>
              <w:rPr>
                <w:rFonts w:ascii="Arial"/>
                <w:sz w:val="21"/>
              </w:rPr>
            </w:pPr>
            <w:r/>
          </w:p>
          <w:p>
            <w:pPr>
              <w:ind w:left="22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7" w:type="dxa"/>
            <w:vAlign w:val="top"/>
          </w:tcPr>
          <w:p>
            <w:pPr>
              <w:ind w:left="4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5" w:right="217"/>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7" w:type="dxa"/>
            <w:vAlign w:val="top"/>
          </w:tcPr>
          <w:p>
            <w:pPr>
              <w:ind w:left="29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7" w:type="dxa"/>
            <w:vAlign w:val="top"/>
          </w:tcPr>
          <w:p>
            <w:pPr>
              <w:ind w:left="22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488" w:type="dxa"/>
            <w:vAlign w:val="top"/>
            <w:vMerge w:val="restart"/>
            <w:tcBorders>
              <w:bottom w:val="nil"/>
            </w:tcBorders>
          </w:tcPr>
          <w:p>
            <w:pPr>
              <w:ind w:left="267" w:right="26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7" w:right="23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8"/>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7" w:type="dxa"/>
            <w:vAlign w:val="top"/>
          </w:tcPr>
          <w:p>
            <w:pPr>
              <w:ind w:left="23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7" w:type="dxa"/>
            <w:vAlign w:val="top"/>
          </w:tcPr>
          <w:p>
            <w:pPr>
              <w:ind w:left="47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51" w:hRule="atLeast"/>
        </w:trPr>
        <w:tc>
          <w:tcPr>
            <w:tcW w:w="1488" w:type="dxa"/>
            <w:vAlign w:val="top"/>
            <w:vMerge w:val="restart"/>
            <w:tcBorders>
              <w:bottom w:val="nil"/>
            </w:tcBorders>
          </w:tcPr>
          <w:p>
            <w:pPr>
              <w:ind w:left="149"/>
              <w:spacing w:before="6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17"/>
              <w:spacing w:before="6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8"/>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98" w:lineRule="auto"/>
              <w:rPr>
                <w:rFonts w:ascii="Arial"/>
                <w:sz w:val="21"/>
              </w:rPr>
            </w:pPr>
            <w:r/>
          </w:p>
          <w:p>
            <w:pPr>
              <w:ind w:left="23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1"/>
              <w:spacing w:before="5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7" w:type="dxa"/>
            <w:vAlign w:val="top"/>
          </w:tcPr>
          <w:p>
            <w:pPr>
              <w:ind w:left="243"/>
              <w:spacing w:before="5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639"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8" w:right="217"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47" w:type="dxa"/>
            <w:vAlign w:val="top"/>
          </w:tcPr>
          <w:p>
            <w:pPr>
              <w:ind w:left="473"/>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01"/>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7"/>
        <w:gridCol w:w="1889"/>
        <w:gridCol w:w="783"/>
        <w:gridCol w:w="3201"/>
        <w:gridCol w:w="1137"/>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507" w:type="dxa"/>
            <w:vAlign w:val="top"/>
          </w:tcPr>
          <w:p>
            <w:pPr>
              <w:ind w:left="486"/>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10" w:type="dxa"/>
            <w:vAlign w:val="top"/>
            <w:gridSpan w:val="4"/>
          </w:tcPr>
          <w:p>
            <w:pPr>
              <w:ind w:left="3348"/>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204</w:t>
            </w:r>
          </w:p>
        </w:tc>
      </w:tr>
      <w:tr>
        <w:trPr>
          <w:trHeight w:val="1609" w:hRule="atLeast"/>
        </w:trPr>
        <w:tc>
          <w:tcPr>
            <w:tcW w:w="1507" w:type="dxa"/>
            <w:vAlign w:val="top"/>
          </w:tcPr>
          <w:p>
            <w:pPr>
              <w:spacing w:line="285" w:lineRule="auto"/>
              <w:rPr>
                <w:rFonts w:ascii="Arial"/>
                <w:sz w:val="21"/>
              </w:rPr>
            </w:pPr>
            <w:r/>
          </w:p>
          <w:p>
            <w:pPr>
              <w:spacing w:line="285"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10" w:type="dxa"/>
            <w:vAlign w:val="top"/>
            <w:gridSpan w:val="4"/>
          </w:tcPr>
          <w:p>
            <w:pPr>
              <w:ind w:left="35" w:hanging="1"/>
              <w:spacing w:before="5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（一）无辐射安全许可证从事放射性同位素和射线装置生产、销售、</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3"/>
              </w:rPr>
              <w:t>使用活动的；</w:t>
            </w:r>
          </w:p>
          <w:p>
            <w:pPr>
              <w:ind w:left="53" w:right="15" w:hanging="19"/>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（二）未按照辐射安全许可证的规定从事放射性同位</w:t>
            </w:r>
            <w:r>
              <w:rPr>
                <w:rFonts w:ascii="FangSong_GB2312" w:hAnsi="FangSong_GB2312" w:eastAsia="FangSong_GB2312" w:cs="FangSong_GB2312"/>
                <w:sz w:val="24"/>
                <w:szCs w:val="24"/>
                <w:spacing w:val="-1"/>
              </w:rPr>
              <w:t>素和射线装置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生产、销售、使用活动的；</w:t>
            </w:r>
          </w:p>
          <w:p>
            <w:pPr>
              <w:ind w:left="34"/>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（三）未经批准，擅自进口或者转让放射性同位素的。</w:t>
            </w:r>
          </w:p>
        </w:tc>
      </w:tr>
      <w:tr>
        <w:trPr>
          <w:trHeight w:val="7907" w:hRule="atLeast"/>
        </w:trPr>
        <w:tc>
          <w:tcPr>
            <w:tcW w:w="1507"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10" w:type="dxa"/>
            <w:vAlign w:val="top"/>
            <w:gridSpan w:val="4"/>
          </w:tcPr>
          <w:p>
            <w:pPr>
              <w:ind w:left="54"/>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《河北省辐射污染防治条例》</w:t>
            </w:r>
          </w:p>
          <w:p>
            <w:pPr>
              <w:ind w:left="35" w:right="15" w:firstLine="16"/>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生产、销售、使用放射</w:t>
            </w:r>
            <w:r>
              <w:rPr>
                <w:rFonts w:ascii="FangSong_GB2312" w:hAnsi="FangSong_GB2312" w:eastAsia="FangSong_GB2312" w:cs="FangSong_GB2312"/>
                <w:sz w:val="24"/>
                <w:szCs w:val="24"/>
                <w:spacing w:val="-2"/>
              </w:rPr>
              <w:t>性同位素和射线装置的单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位，应当依法申请领取辐射安全许可证。使用放射</w:t>
            </w:r>
            <w:r>
              <w:rPr>
                <w:rFonts w:ascii="FangSong_GB2312" w:hAnsi="FangSong_GB2312" w:eastAsia="FangSong_GB2312" w:cs="FangSong_GB2312"/>
                <w:sz w:val="24"/>
                <w:szCs w:val="24"/>
                <w:spacing w:val="-1"/>
              </w:rPr>
              <w:t>性同位素和射线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装置进行放射诊疗的医疗卫生机构，还应当获得放</w:t>
            </w:r>
            <w:r>
              <w:rPr>
                <w:rFonts w:ascii="FangSong_GB2312" w:hAnsi="FangSong_GB2312" w:eastAsia="FangSong_GB2312" w:cs="FangSong_GB2312"/>
                <w:sz w:val="24"/>
                <w:szCs w:val="24"/>
                <w:spacing w:val="-1"/>
              </w:rPr>
              <w:t>射源诊疗技术和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医用辐射机构许可。</w:t>
            </w:r>
          </w:p>
          <w:p>
            <w:pPr>
              <w:spacing w:line="272" w:lineRule="auto"/>
              <w:rPr>
                <w:rFonts w:ascii="Arial"/>
                <w:sz w:val="21"/>
              </w:rPr>
            </w:pPr>
            <w:r/>
          </w:p>
          <w:p>
            <w:pPr>
              <w:ind w:left="4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《河北省辐射污染防治条例》</w:t>
            </w:r>
          </w:p>
          <w:p>
            <w:pPr>
              <w:ind w:left="38" w:right="15" w:firstLine="12"/>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放射性同位素应当在取得辐射安全许可证的单位之</w:t>
            </w:r>
            <w:r>
              <w:rPr>
                <w:rFonts w:ascii="FangSong_GB2312" w:hAnsi="FangSong_GB2312" w:eastAsia="FangSong_GB2312" w:cs="FangSong_GB2312"/>
                <w:sz w:val="24"/>
                <w:szCs w:val="24"/>
                <w:spacing w:val="-2"/>
              </w:rPr>
              <w:t>间转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让。转入放射性同位素的单位应当在转入前报省人民政府生态环境</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行政主管部门或者其授权的生态环境行政主管部门批准。转入单位</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未提供放射性同位素转让批准文件的，转出单位不得转让。</w:t>
            </w:r>
          </w:p>
          <w:p>
            <w:pPr>
              <w:spacing w:line="270" w:lineRule="auto"/>
              <w:rPr>
                <w:rFonts w:ascii="Arial"/>
                <w:sz w:val="21"/>
              </w:rPr>
            </w:pPr>
            <w:r/>
          </w:p>
          <w:p>
            <w:pPr>
              <w:ind w:left="5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b/>
                <w:bCs/>
                <w:spacing w:val="-4"/>
              </w:rPr>
              <w:t>《河北省辐射污染防治条例》</w:t>
            </w:r>
          </w:p>
          <w:p>
            <w:pPr>
              <w:ind w:left="32" w:right="15" w:firstLine="18"/>
              <w:spacing w:before="43"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第三十六条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违反本条例规定，生产、销售、使用放射性</w:t>
            </w:r>
            <w:r>
              <w:rPr>
                <w:rFonts w:ascii="FangSong_GB2312" w:hAnsi="FangSong_GB2312" w:eastAsia="FangSong_GB2312" w:cs="FangSong_GB2312"/>
                <w:sz w:val="24"/>
                <w:szCs w:val="24"/>
                <w:spacing w:val="-2"/>
              </w:rPr>
              <w:t>同位素和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射线装置的单位有下列行为之一的，由县级以上人民政府</w:t>
            </w:r>
            <w:r>
              <w:rPr>
                <w:rFonts w:ascii="FangSong_GB2312" w:hAnsi="FangSong_GB2312" w:eastAsia="FangSong_GB2312" w:cs="FangSong_GB2312"/>
                <w:sz w:val="24"/>
                <w:szCs w:val="24"/>
                <w:spacing w:val="-1"/>
              </w:rPr>
              <w:t>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行政主管部门责令停止违法行为，限期改正；逾期不改正</w:t>
            </w:r>
            <w:r>
              <w:rPr>
                <w:rFonts w:ascii="FangSong_GB2312" w:hAnsi="FangSong_GB2312" w:eastAsia="FangSong_GB2312" w:cs="FangSong_GB2312"/>
                <w:sz w:val="24"/>
                <w:szCs w:val="24"/>
                <w:spacing w:val="-1"/>
              </w:rPr>
              <w:t>的，责令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停产、停业或者由发证机关吊销辐射安全许可证；有违法</w:t>
            </w:r>
            <w:r>
              <w:rPr>
                <w:rFonts w:ascii="FangSong_GB2312" w:hAnsi="FangSong_GB2312" w:eastAsia="FangSong_GB2312" w:cs="FangSong_GB2312"/>
                <w:sz w:val="24"/>
                <w:szCs w:val="24"/>
                <w:spacing w:val="-1"/>
              </w:rPr>
              <w:t>所得的，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没收违法所得；违法所得十万元以上的，并处违法所得一</w:t>
            </w:r>
            <w:r>
              <w:rPr>
                <w:rFonts w:ascii="FangSong_GB2312" w:hAnsi="FangSong_GB2312" w:eastAsia="FangSong_GB2312" w:cs="FangSong_GB2312"/>
                <w:sz w:val="24"/>
                <w:szCs w:val="24"/>
                <w:spacing w:val="-1"/>
              </w:rPr>
              <w:t>倍以上五</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倍以下的罚款；没有违法所得或者违法所得不足十万元的</w:t>
            </w:r>
            <w:r>
              <w:rPr>
                <w:rFonts w:ascii="FangSong_GB2312" w:hAnsi="FangSong_GB2312" w:eastAsia="FangSong_GB2312" w:cs="FangSong_GB2312"/>
                <w:sz w:val="24"/>
                <w:szCs w:val="24"/>
                <w:spacing w:val="-1"/>
              </w:rPr>
              <w:t>，并处一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万元以上十万元以下的罚款：</w:t>
            </w:r>
          </w:p>
          <w:p>
            <w:pPr>
              <w:ind w:left="35" w:hanging="1"/>
              <w:spacing w:before="3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（一）无辐射安全许可证从事放射性同位素和射线装置生产、销售、</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3"/>
              </w:rPr>
              <w:t>使用活动的；</w:t>
            </w:r>
          </w:p>
          <w:p>
            <w:pPr>
              <w:ind w:left="53" w:right="15" w:hanging="19"/>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（二）未按照辐射安全许可证的规定从事放射性同位</w:t>
            </w:r>
            <w:r>
              <w:rPr>
                <w:rFonts w:ascii="FangSong_GB2312" w:hAnsi="FangSong_GB2312" w:eastAsia="FangSong_GB2312" w:cs="FangSong_GB2312"/>
                <w:sz w:val="24"/>
                <w:szCs w:val="24"/>
                <w:spacing w:val="-1"/>
              </w:rPr>
              <w:t>素和射线装置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生产、销售、使用活动的；</w:t>
            </w:r>
          </w:p>
          <w:p>
            <w:pPr>
              <w:ind w:left="34"/>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（三）未经批准，擅自进口或者转让放射性同位素的。</w:t>
            </w:r>
          </w:p>
        </w:tc>
      </w:tr>
      <w:tr>
        <w:trPr>
          <w:trHeight w:val="635" w:hRule="atLeast"/>
        </w:trPr>
        <w:tc>
          <w:tcPr>
            <w:tcW w:w="4179" w:type="dxa"/>
            <w:vAlign w:val="top"/>
            <w:gridSpan w:val="3"/>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38" w:type="dxa"/>
            <w:vAlign w:val="top"/>
            <w:gridSpan w:val="2"/>
          </w:tcPr>
          <w:p>
            <w:pPr>
              <w:ind w:left="1616"/>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507"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486"/>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83" w:type="dxa"/>
            <w:vAlign w:val="top"/>
          </w:tcPr>
          <w:p>
            <w:pPr>
              <w:ind w:left="185" w:right="191"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72"/>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37" w:type="dxa"/>
            <w:vAlign w:val="top"/>
          </w:tcPr>
          <w:p>
            <w:pPr>
              <w:ind w:left="244"/>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2" w:hRule="atLeast"/>
        </w:trPr>
        <w:tc>
          <w:tcPr>
            <w:tcW w:w="1507" w:type="dxa"/>
            <w:vAlign w:val="top"/>
          </w:tcPr>
          <w:p>
            <w:pPr>
              <w:ind w:left="149"/>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p>
        </w:tc>
        <w:tc>
          <w:tcPr>
            <w:tcW w:w="1889" w:type="dxa"/>
            <w:vAlign w:val="top"/>
          </w:tcPr>
          <w:p>
            <w:pPr>
              <w:ind w:left="205"/>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83" w:type="dxa"/>
            <w:vAlign w:val="top"/>
          </w:tcPr>
          <w:p>
            <w:pPr>
              <w:ind w:left="203"/>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08"/>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没有违法所得的</w:t>
            </w:r>
          </w:p>
        </w:tc>
        <w:tc>
          <w:tcPr>
            <w:tcW w:w="1137" w:type="dxa"/>
            <w:vAlign w:val="top"/>
          </w:tcPr>
          <w:p>
            <w:pPr>
              <w:ind w:left="221"/>
              <w:spacing w:before="42"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402"/>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24" w:hRule="atLeast"/>
        </w:trPr>
        <w:tc>
          <w:tcPr>
            <w:tcW w:w="1480" w:type="dxa"/>
            <w:vAlign w:val="top"/>
            <w:vMerge w:val="restart"/>
            <w:tcBorders>
              <w:bottom w:val="nil"/>
            </w:tcBorders>
          </w:tcPr>
          <w:p>
            <w:pPr>
              <w:ind w:left="509"/>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201" w:type="dxa"/>
            <w:vAlign w:val="top"/>
          </w:tcPr>
          <w:p>
            <w:pPr>
              <w:ind w:left="11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违法所得不足</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万元的</w:t>
            </w:r>
          </w:p>
        </w:tc>
        <w:tc>
          <w:tcPr>
            <w:tcW w:w="1155" w:type="dxa"/>
            <w:vAlign w:val="top"/>
          </w:tcPr>
          <w:p>
            <w:pPr>
              <w:ind w:left="174"/>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634"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9" w:right="103" w:hanging="10"/>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违法所得</w:t>
            </w:r>
            <w:r>
              <w:rPr>
                <w:rFonts w:ascii="FangSong_GB2312" w:hAnsi="FangSong_GB2312" w:eastAsia="FangSong_GB2312" w:cs="FangSong_GB2312"/>
                <w:sz w:val="24"/>
                <w:szCs w:val="24"/>
                <w:spacing w:val="-60"/>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6"/>
              </w:rPr>
              <w:t>万元以上不足</w:t>
            </w:r>
            <w:r>
              <w:rPr>
                <w:rFonts w:ascii="FangSong_GB2312" w:hAnsi="FangSong_GB2312" w:eastAsia="FangSong_GB2312" w:cs="FangSong_GB2312"/>
                <w:sz w:val="24"/>
                <w:szCs w:val="24"/>
                <w:spacing w:val="-62"/>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万元的</w:t>
            </w:r>
          </w:p>
        </w:tc>
        <w:tc>
          <w:tcPr>
            <w:tcW w:w="1155" w:type="dxa"/>
            <w:vAlign w:val="top"/>
          </w:tcPr>
          <w:p>
            <w:pPr>
              <w:ind w:left="239"/>
              <w:spacing w:before="19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1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9"/>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违法所得</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6"/>
              </w:rPr>
              <w:t>50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6"/>
              </w:rPr>
              <w:t>万元以上的</w:t>
            </w:r>
          </w:p>
        </w:tc>
        <w:tc>
          <w:tcPr>
            <w:tcW w:w="1155" w:type="dxa"/>
            <w:vAlign w:val="top"/>
          </w:tcPr>
          <w:p>
            <w:pPr>
              <w:ind w:left="17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19" w:hRule="atLeast"/>
        </w:trPr>
        <w:tc>
          <w:tcPr>
            <w:tcW w:w="1480" w:type="dxa"/>
            <w:vAlign w:val="top"/>
            <w:vMerge w:val="restart"/>
            <w:tcBorders>
              <w:bottom w:val="nil"/>
            </w:tcBorders>
          </w:tcPr>
          <w:p>
            <w:pPr>
              <w:spacing w:line="447"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35" w:right="224"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7"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3"/>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55" w:type="dxa"/>
            <w:vAlign w:val="top"/>
          </w:tcPr>
          <w:p>
            <w:pPr>
              <w:ind w:left="476"/>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55" w:type="dxa"/>
            <w:vAlign w:val="top"/>
          </w:tcPr>
          <w:p>
            <w:pPr>
              <w:ind w:left="4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0"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55" w:type="dxa"/>
            <w:vAlign w:val="top"/>
          </w:tcPr>
          <w:p>
            <w:pPr>
              <w:ind w:left="4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55" w:type="dxa"/>
            <w:vAlign w:val="top"/>
          </w:tcPr>
          <w:p>
            <w:pPr>
              <w:ind w:left="41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0" w:type="dxa"/>
            <w:vAlign w:val="top"/>
            <w:vMerge w:val="restart"/>
            <w:tcBorders>
              <w:bottom w:val="nil"/>
            </w:tcBorders>
          </w:tcPr>
          <w:p>
            <w:pPr>
              <w:ind w:left="274"/>
              <w:spacing w:before="203"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配合情况</w:t>
            </w:r>
          </w:p>
        </w:tc>
        <w:tc>
          <w:tcPr>
            <w:tcW w:w="1889" w:type="dxa"/>
            <w:vAlign w:val="top"/>
            <w:vMerge w:val="restart"/>
            <w:tcBorders>
              <w:bottom w:val="nil"/>
            </w:tcBorders>
          </w:tcPr>
          <w:p>
            <w:pPr>
              <w:ind w:left="705" w:right="224"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1"/>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55" w:type="dxa"/>
            <w:vAlign w:val="top"/>
          </w:tcPr>
          <w:p>
            <w:pPr>
              <w:ind w:left="23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20"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55" w:type="dxa"/>
            <w:vAlign w:val="top"/>
          </w:tcPr>
          <w:p>
            <w:pPr>
              <w:ind w:left="48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46" w:hRule="atLeast"/>
        </w:trPr>
        <w:tc>
          <w:tcPr>
            <w:tcW w:w="1480" w:type="dxa"/>
            <w:vAlign w:val="top"/>
            <w:vMerge w:val="restart"/>
            <w:tcBorders>
              <w:bottom w:val="nil"/>
            </w:tcBorders>
          </w:tcPr>
          <w:p>
            <w:pPr>
              <w:ind w:left="149"/>
              <w:spacing w:before="60"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5"/>
              <w:spacing w:before="6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6"/>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6"/>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95"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9"/>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55" w:type="dxa"/>
            <w:vAlign w:val="top"/>
          </w:tcPr>
          <w:p>
            <w:pPr>
              <w:ind w:left="251"/>
              <w:spacing w:before="55"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80"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09"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55" w:type="dxa"/>
            <w:vAlign w:val="top"/>
          </w:tcPr>
          <w:p>
            <w:pPr>
              <w:ind w:left="48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03"/>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56"/>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4" w:hRule="atLeast"/>
        </w:trPr>
        <w:tc>
          <w:tcPr>
            <w:tcW w:w="1489" w:type="dxa"/>
            <w:vAlign w:val="top"/>
          </w:tcPr>
          <w:p>
            <w:pPr>
              <w:ind w:left="486"/>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66"/>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205</w:t>
            </w:r>
          </w:p>
        </w:tc>
      </w:tr>
      <w:tr>
        <w:trPr>
          <w:trHeight w:val="665" w:hRule="atLeast"/>
        </w:trPr>
        <w:tc>
          <w:tcPr>
            <w:tcW w:w="1489"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56" w:right="15"/>
              <w:spacing w:before="53"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未按照规定对进</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2"/>
              </w:rPr>
              <w:t>口、回收废旧金属进行监测或者在监测</w:t>
            </w:r>
            <w:r>
              <w:rPr>
                <w:rFonts w:ascii="FangSong_GB2312" w:hAnsi="FangSong_GB2312" w:eastAsia="FangSong_GB2312" w:cs="FangSong_GB2312"/>
                <w:sz w:val="24"/>
                <w:szCs w:val="24"/>
                <w:spacing w:val="-3"/>
              </w:rPr>
              <w:t>中发现问题</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未按照规定报告的</w:t>
            </w:r>
          </w:p>
        </w:tc>
      </w:tr>
      <w:tr>
        <w:trPr>
          <w:trHeight w:val="3498" w:hRule="atLeast"/>
        </w:trPr>
        <w:tc>
          <w:tcPr>
            <w:tcW w:w="1489"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《河北省辐射污染防治条例》</w:t>
            </w:r>
          </w:p>
          <w:p>
            <w:pPr>
              <w:ind w:left="59" w:right="15" w:firstLine="9"/>
              <w:spacing w:before="37"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进</w:t>
            </w:r>
            <w:r>
              <w:rPr>
                <w:rFonts w:ascii="FangSong_GB2312" w:hAnsi="FangSong_GB2312" w:eastAsia="FangSong_GB2312" w:cs="FangSong_GB2312"/>
                <w:sz w:val="24"/>
                <w:szCs w:val="24"/>
                <w:spacing w:val="-64"/>
              </w:rPr>
              <w:t xml:space="preserve"> </w:t>
            </w:r>
            <w:r>
              <w:rPr>
                <w:rFonts w:ascii="FangSong_GB2312" w:hAnsi="FangSong_GB2312" w:eastAsia="FangSong_GB2312" w:cs="FangSong_GB2312"/>
                <w:sz w:val="24"/>
                <w:szCs w:val="24"/>
                <w:spacing w:val="-3"/>
              </w:rPr>
              <w:t>口、回收废旧金属的冶炼企业，应当对废旧金属的放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射性进行监测，如实记录监测结果。发现监测结果异常的，应当采</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取措施并及时向当地设区的市人民政府生态环境行政主管部门报</w:t>
            </w:r>
          </w:p>
          <w:p>
            <w:pPr>
              <w:ind w:left="64"/>
              <w:spacing w:before="39"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告。</w:t>
            </w:r>
          </w:p>
          <w:p>
            <w:pPr>
              <w:spacing w:line="268"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《河北省辐射污染防治条例》</w:t>
            </w:r>
          </w:p>
          <w:p>
            <w:pPr>
              <w:ind w:left="56" w:right="15" w:firstLine="12"/>
              <w:spacing w:before="3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第三十九条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违反本条例规定，未按照规定对进</w:t>
            </w:r>
            <w:r>
              <w:rPr>
                <w:rFonts w:ascii="FangSong_GB2312" w:hAnsi="FangSong_GB2312" w:eastAsia="FangSong_GB2312" w:cs="FangSong_GB2312"/>
                <w:sz w:val="24"/>
                <w:szCs w:val="24"/>
                <w:spacing w:val="-66"/>
              </w:rPr>
              <w:t xml:space="preserve"> </w:t>
            </w:r>
            <w:r>
              <w:rPr>
                <w:rFonts w:ascii="FangSong_GB2312" w:hAnsi="FangSong_GB2312" w:eastAsia="FangSong_GB2312" w:cs="FangSong_GB2312"/>
                <w:sz w:val="24"/>
                <w:szCs w:val="24"/>
                <w:spacing w:val="-3"/>
              </w:rPr>
              <w:t>口、回收废旧金属</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进行监测或者在监测中发现问题未按照规定报告的，由县级以上人</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民政府生态环境行政主管部门责令停止违法行为，限期改正，处一</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万元以上三万元以下罚款。</w:t>
            </w:r>
          </w:p>
        </w:tc>
      </w:tr>
      <w:tr>
        <w:trPr>
          <w:trHeight w:val="635" w:hRule="atLeast"/>
        </w:trPr>
        <w:tc>
          <w:tcPr>
            <w:tcW w:w="4170" w:type="dxa"/>
            <w:vAlign w:val="top"/>
            <w:gridSpan w:val="3"/>
          </w:tcPr>
          <w:p>
            <w:pPr>
              <w:ind w:left="1528"/>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89" w:type="dxa"/>
            <w:vAlign w:val="top"/>
            <w:vMerge w:val="restart"/>
            <w:tcBorders>
              <w:bottom w:val="nil"/>
            </w:tcBorders>
          </w:tcPr>
          <w:p>
            <w:pPr>
              <w:spacing w:line="438" w:lineRule="auto"/>
              <w:rPr>
                <w:rFonts w:ascii="Arial"/>
                <w:sz w:val="21"/>
              </w:rPr>
            </w:pPr>
            <w:r/>
          </w:p>
          <w:p>
            <w:pPr>
              <w:ind w:left="509" w:right="144"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0" w:right="218" w:firstLine="37"/>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已按照规定对进</w:t>
            </w:r>
            <w:r>
              <w:rPr>
                <w:rFonts w:ascii="FangSong_GB2312" w:hAnsi="FangSong_GB2312" w:eastAsia="FangSong_GB2312" w:cs="FangSong_GB2312"/>
                <w:sz w:val="24"/>
                <w:szCs w:val="24"/>
                <w:spacing w:val="-63"/>
              </w:rPr>
              <w:t xml:space="preserve"> </w:t>
            </w:r>
            <w:r>
              <w:rPr>
                <w:rFonts w:ascii="FangSong_GB2312" w:hAnsi="FangSong_GB2312" w:eastAsia="FangSong_GB2312" w:cs="FangSong_GB2312"/>
                <w:sz w:val="24"/>
                <w:szCs w:val="24"/>
                <w:spacing w:val="-9"/>
              </w:rPr>
              <w:t>口、回收废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旧金属进行监测，但未按规</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4"/>
              </w:rPr>
              <w:t>定报告的</w:t>
            </w:r>
          </w:p>
        </w:tc>
        <w:tc>
          <w:tcPr>
            <w:tcW w:w="1146" w:type="dxa"/>
            <w:vAlign w:val="top"/>
          </w:tcPr>
          <w:p>
            <w:pPr>
              <w:spacing w:line="27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36" w:right="218" w:hanging="29"/>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未按照规定对进</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6"/>
              </w:rPr>
              <w:t>口、回收废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旧金属进行监测的</w:t>
            </w:r>
          </w:p>
        </w:tc>
        <w:tc>
          <w:tcPr>
            <w:tcW w:w="1146" w:type="dxa"/>
            <w:vAlign w:val="top"/>
          </w:tcPr>
          <w:p>
            <w:pPr>
              <w:ind w:left="165"/>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89"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ind w:left="267" w:right="266"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6" w:right="233"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7"/>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6"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6" w:type="dxa"/>
            <w:vAlign w:val="top"/>
          </w:tcPr>
          <w:p>
            <w:pPr>
              <w:ind w:left="47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64" w:hRule="atLeast"/>
        </w:trPr>
        <w:tc>
          <w:tcPr>
            <w:tcW w:w="1489" w:type="dxa"/>
            <w:vAlign w:val="top"/>
            <w:vMerge w:val="restart"/>
            <w:tcBorders>
              <w:bottom w:val="nil"/>
            </w:tcBorders>
          </w:tcPr>
          <w:p>
            <w:pPr>
              <w:ind w:left="149"/>
              <w:spacing w:before="69"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16"/>
              <w:spacing w:before="69"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7"/>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06"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0"/>
              <w:spacing w:before="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65" w:line="22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639"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right="218"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46" w:type="dxa"/>
            <w:vAlign w:val="top"/>
          </w:tcPr>
          <w:p>
            <w:pPr>
              <w:ind w:left="47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04"/>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8"/>
        <w:gridCol w:w="1889"/>
        <w:gridCol w:w="792"/>
        <w:gridCol w:w="3201"/>
        <w:gridCol w:w="1147"/>
      </w:tblGrid>
      <w:tr>
        <w:trPr>
          <w:trHeight w:val="738" w:hRule="atLeast"/>
        </w:trPr>
        <w:tc>
          <w:tcPr>
            <w:tcW w:w="8517" w:type="dxa"/>
            <w:vAlign w:val="top"/>
            <w:gridSpan w:val="5"/>
          </w:tcPr>
          <w:p>
            <w:pPr>
              <w:ind w:left="357"/>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河北省生态环境行政处罚裁量规则（辐射类）</w:t>
            </w:r>
          </w:p>
        </w:tc>
      </w:tr>
      <w:tr>
        <w:trPr>
          <w:trHeight w:val="665" w:hRule="atLeast"/>
        </w:trPr>
        <w:tc>
          <w:tcPr>
            <w:tcW w:w="1488"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9" w:type="dxa"/>
            <w:vAlign w:val="top"/>
            <w:gridSpan w:val="4"/>
          </w:tcPr>
          <w:p>
            <w:pPr>
              <w:ind w:left="3367"/>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206</w:t>
            </w:r>
          </w:p>
        </w:tc>
      </w:tr>
      <w:tr>
        <w:trPr>
          <w:trHeight w:val="665" w:hRule="atLeast"/>
        </w:trPr>
        <w:tc>
          <w:tcPr>
            <w:tcW w:w="1488"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9" w:type="dxa"/>
            <w:vAlign w:val="top"/>
            <w:gridSpan w:val="4"/>
          </w:tcPr>
          <w:p>
            <w:pPr>
              <w:ind w:left="57"/>
              <w:spacing w:before="210" w:line="21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未按照规定处理废弃放射源的，经责令限期改正但逾期不改正的</w:t>
            </w:r>
          </w:p>
        </w:tc>
      </w:tr>
      <w:tr>
        <w:trPr>
          <w:trHeight w:val="3184" w:hRule="atLeast"/>
        </w:trPr>
        <w:tc>
          <w:tcPr>
            <w:tcW w:w="1488"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9" w:type="dxa"/>
            <w:vAlign w:val="top"/>
            <w:gridSpan w:val="4"/>
          </w:tcPr>
          <w:p>
            <w:pPr>
              <w:ind w:left="73"/>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《河北省辐射污染防治条例》</w:t>
            </w:r>
          </w:p>
          <w:p>
            <w:pPr>
              <w:ind w:left="55" w:right="248" w:firstLine="15"/>
              <w:spacing w:before="3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第二十一条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禁止将废旧放射源和其他放</w:t>
            </w:r>
            <w:r>
              <w:rPr>
                <w:rFonts w:ascii="FangSong_GB2312" w:hAnsi="FangSong_GB2312" w:eastAsia="FangSong_GB2312" w:cs="FangSong_GB2312"/>
                <w:sz w:val="24"/>
                <w:szCs w:val="24"/>
                <w:spacing w:val="-2"/>
              </w:rPr>
              <w:t>射性废物送交无</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相应许可证的单位贮存、处置或者擅自处置。</w:t>
            </w:r>
          </w:p>
          <w:p>
            <w:pPr>
              <w:spacing w:line="270" w:lineRule="auto"/>
              <w:rPr>
                <w:rFonts w:ascii="Arial"/>
                <w:sz w:val="21"/>
              </w:rPr>
            </w:pPr>
            <w:r/>
          </w:p>
          <w:p>
            <w:pPr>
              <w:ind w:left="67"/>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《河北省辐射污染防治条例》</w:t>
            </w:r>
          </w:p>
          <w:p>
            <w:pPr>
              <w:ind w:left="62" w:right="15" w:firstLine="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违反本条例规定，有下列行为之一的，由县级以上</w:t>
            </w:r>
            <w:r>
              <w:rPr>
                <w:rFonts w:ascii="FangSong_GB2312" w:hAnsi="FangSong_GB2312" w:eastAsia="FangSong_GB2312" w:cs="FangSong_GB2312"/>
                <w:sz w:val="24"/>
                <w:szCs w:val="24"/>
                <w:spacing w:val="-2"/>
              </w:rPr>
              <w:t>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政府生态环境行政主管部门责令限期改正；逾期不改正的，按照下</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列规定处以罚款：</w:t>
            </w:r>
          </w:p>
          <w:p>
            <w:pPr>
              <w:ind w:left="70" w:right="15" w:hanging="17"/>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（一）未按照规定处理废弃放射源的，处五万元以上</w:t>
            </w:r>
            <w:r>
              <w:rPr>
                <w:rFonts w:ascii="FangSong_GB2312" w:hAnsi="FangSong_GB2312" w:eastAsia="FangSong_GB2312" w:cs="FangSong_GB2312"/>
                <w:sz w:val="24"/>
                <w:szCs w:val="24"/>
                <w:spacing w:val="-1"/>
              </w:rPr>
              <w:t>十万元以下的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罚款；</w:t>
            </w:r>
          </w:p>
        </w:tc>
      </w:tr>
      <w:tr>
        <w:trPr>
          <w:trHeight w:val="635" w:hRule="atLeast"/>
        </w:trPr>
        <w:tc>
          <w:tcPr>
            <w:tcW w:w="4169" w:type="dxa"/>
            <w:vAlign w:val="top"/>
            <w:gridSpan w:val="3"/>
          </w:tcPr>
          <w:p>
            <w:pPr>
              <w:ind w:left="152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8" w:type="dxa"/>
            <w:vAlign w:val="top"/>
            <w:gridSpan w:val="2"/>
          </w:tcPr>
          <w:p>
            <w:pPr>
              <w:ind w:left="1626"/>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8" w:type="dxa"/>
            <w:vAlign w:val="top"/>
          </w:tcPr>
          <w:p>
            <w:pPr>
              <w:ind w:left="514"/>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5"/>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4" w:right="181"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2"/>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7" w:type="dxa"/>
            <w:vAlign w:val="top"/>
          </w:tcPr>
          <w:p>
            <w:pPr>
              <w:ind w:left="254"/>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8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509" w:right="143"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1" w:right="217" w:firstLine="2"/>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量小活度低，不按照规定处</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理废弃放射源，逾期不改正</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rPr>
              <w:t>的</w:t>
            </w:r>
          </w:p>
        </w:tc>
        <w:tc>
          <w:tcPr>
            <w:tcW w:w="1147" w:type="dxa"/>
            <w:vAlign w:val="top"/>
          </w:tcPr>
          <w:p>
            <w:pPr>
              <w:spacing w:line="276"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49"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1" w:right="217" w:firstLine="2"/>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量大活度低，不按照规定处</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理废弃放射源，逾期不改正</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rPr>
              <w:t>的</w:t>
            </w:r>
          </w:p>
        </w:tc>
        <w:tc>
          <w:tcPr>
            <w:tcW w:w="1147" w:type="dxa"/>
            <w:vAlign w:val="top"/>
          </w:tcPr>
          <w:p>
            <w:pPr>
              <w:spacing w:line="275" w:lineRule="auto"/>
              <w:rPr>
                <w:rFonts w:ascii="Arial"/>
                <w:sz w:val="21"/>
              </w:rPr>
            </w:pPr>
            <w:r/>
          </w:p>
          <w:p>
            <w:pPr>
              <w:ind w:left="17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949"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17" w:hanging="1"/>
              <w:spacing w:before="42"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量小活度较高，不按照规定</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处理废弃放射源，逾期不改</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9"/>
              </w:rPr>
              <w:t>正的</w:t>
            </w:r>
          </w:p>
        </w:tc>
        <w:tc>
          <w:tcPr>
            <w:tcW w:w="1147" w:type="dxa"/>
            <w:vAlign w:val="top"/>
          </w:tcPr>
          <w:p>
            <w:pPr>
              <w:spacing w:line="276" w:lineRule="auto"/>
              <w:rPr>
                <w:rFonts w:ascii="Arial"/>
                <w:sz w:val="21"/>
              </w:rPr>
            </w:pPr>
            <w:r/>
          </w:p>
          <w:p>
            <w:pPr>
              <w:ind w:left="16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949"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4" w:right="217" w:hanging="1"/>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量大活度较高，不按照规定</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处理废弃放射源，逾期不改</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9"/>
              </w:rPr>
              <w:t>正的</w:t>
            </w:r>
          </w:p>
        </w:tc>
        <w:tc>
          <w:tcPr>
            <w:tcW w:w="1147" w:type="dxa"/>
            <w:vAlign w:val="top"/>
          </w:tcPr>
          <w:p>
            <w:pPr>
              <w:spacing w:line="278" w:lineRule="auto"/>
              <w:rPr>
                <w:rFonts w:ascii="Arial"/>
                <w:sz w:val="21"/>
              </w:rPr>
            </w:pPr>
            <w:r/>
          </w:p>
          <w:p>
            <w:pPr>
              <w:ind w:left="17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88"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27" w:right="23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1" w:lineRule="auto"/>
              <w:rPr>
                <w:rFonts w:ascii="Arial"/>
                <w:sz w:val="21"/>
              </w:rPr>
            </w:pPr>
            <w:r/>
          </w:p>
          <w:p>
            <w:pPr>
              <w:ind w:left="22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7" w:type="dxa"/>
            <w:vAlign w:val="top"/>
          </w:tcPr>
          <w:p>
            <w:pPr>
              <w:ind w:left="46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7" w:type="dxa"/>
            <w:vAlign w:val="top"/>
          </w:tcPr>
          <w:p>
            <w:pPr>
              <w:ind w:left="4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8"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7" w:type="dxa"/>
            <w:vAlign w:val="top"/>
          </w:tcPr>
          <w:p>
            <w:pPr>
              <w:ind w:left="41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7" w:type="dxa"/>
            <w:vAlign w:val="top"/>
          </w:tcPr>
          <w:p>
            <w:pPr>
              <w:ind w:left="40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8" w:type="dxa"/>
            <w:vAlign w:val="top"/>
            <w:vMerge w:val="restart"/>
            <w:tcBorders>
              <w:bottom w:val="nil"/>
            </w:tcBorders>
          </w:tcPr>
          <w:p>
            <w:pPr>
              <w:ind w:left="267" w:right="265"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7" w:right="23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8"/>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2"/>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7" w:type="dxa"/>
            <w:vAlign w:val="top"/>
          </w:tcPr>
          <w:p>
            <w:pPr>
              <w:ind w:left="231"/>
              <w:spacing w:before="46" w:line="20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7" w:type="dxa"/>
            <w:vAlign w:val="top"/>
          </w:tcPr>
          <w:p>
            <w:pPr>
              <w:ind w:left="47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82" w:hRule="atLeast"/>
        </w:trPr>
        <w:tc>
          <w:tcPr>
            <w:tcW w:w="1488" w:type="dxa"/>
            <w:vAlign w:val="top"/>
            <w:vMerge w:val="restart"/>
            <w:tcBorders>
              <w:bottom w:val="nil"/>
            </w:tcBorders>
          </w:tcPr>
          <w:p>
            <w:pPr>
              <w:ind w:left="175" w:right="116" w:hanging="10"/>
              <w:spacing w:before="115"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3"/>
                <w:w w:val="91"/>
              </w:rPr>
              <w:t>对社会影响或</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b/>
                <w:bCs/>
                <w:spacing w:val="-25"/>
                <w:w w:val="91"/>
              </w:rPr>
              <w:t>生态破坏程度</w:t>
            </w:r>
          </w:p>
        </w:tc>
        <w:tc>
          <w:tcPr>
            <w:tcW w:w="1889" w:type="dxa"/>
            <w:vAlign w:val="top"/>
            <w:vMerge w:val="restart"/>
            <w:tcBorders>
              <w:bottom w:val="nil"/>
            </w:tcBorders>
          </w:tcPr>
          <w:p>
            <w:pPr>
              <w:ind w:left="441" w:right="112" w:hanging="303"/>
              <w:spacing w:before="11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4"/>
                <w:w w:val="95"/>
              </w:rPr>
              <w:t>是否造成社会影响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6"/>
              </w:rPr>
              <w:t>或生态破坏</w:t>
            </w:r>
          </w:p>
        </w:tc>
        <w:tc>
          <w:tcPr>
            <w:tcW w:w="792" w:type="dxa"/>
            <w:vAlign w:val="top"/>
            <w:vMerge w:val="restart"/>
            <w:tcBorders>
              <w:bottom w:val="nil"/>
            </w:tcBorders>
          </w:tcPr>
          <w:p>
            <w:pPr>
              <w:ind w:left="232"/>
              <w:spacing w:before="27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1"/>
              <w:spacing w:before="7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7" w:type="dxa"/>
            <w:vAlign w:val="top"/>
          </w:tcPr>
          <w:p>
            <w:pPr>
              <w:ind w:left="243"/>
              <w:spacing w:before="74"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1%-30%</w:t>
            </w:r>
          </w:p>
        </w:tc>
      </w:tr>
      <w:tr>
        <w:trPr>
          <w:trHeight w:val="394" w:hRule="atLeast"/>
        </w:trPr>
        <w:tc>
          <w:tcPr>
            <w:tcW w:w="1488"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08"/>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147" w:type="dxa"/>
            <w:vAlign w:val="top"/>
          </w:tcPr>
          <w:p>
            <w:pPr>
              <w:ind w:left="473"/>
              <w:spacing w:before="7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05"/>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right="34"/>
              <w:spacing w:before="126" w:line="233" w:lineRule="auto"/>
              <w:jc w:val="right"/>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rPr>
              <w:t>河北省生态环境行政处罚裁量规则（辐射类）</w:t>
            </w:r>
          </w:p>
        </w:tc>
      </w:tr>
      <w:tr>
        <w:trPr>
          <w:trHeight w:val="664"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66"/>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207</w:t>
            </w:r>
          </w:p>
        </w:tc>
      </w:tr>
      <w:tr>
        <w:trPr>
          <w:trHeight w:val="979" w:hRule="atLeast"/>
        </w:trPr>
        <w:tc>
          <w:tcPr>
            <w:tcW w:w="1489" w:type="dxa"/>
            <w:vAlign w:val="top"/>
          </w:tcPr>
          <w:p>
            <w:pPr>
              <w:spacing w:line="259" w:lineRule="auto"/>
              <w:rPr>
                <w:rFonts w:ascii="Arial"/>
                <w:sz w:val="21"/>
              </w:rPr>
            </w:pPr>
            <w:r/>
          </w:p>
          <w:p>
            <w:pPr>
              <w:ind w:left="211"/>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61" w:right="15" w:hanging="5"/>
              <w:spacing w:before="5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产生其他放射性废物的单位未按照国家规定将其产生的放射性废物</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送交有相应资质的放射性废物集中贮存单位贮存的，经责令限期改</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2"/>
              </w:rPr>
              <w:t>正但逾期不改正的</w:t>
            </w:r>
          </w:p>
        </w:tc>
      </w:tr>
      <w:tr>
        <w:trPr>
          <w:trHeight w:val="3813" w:hRule="atLeast"/>
        </w:trPr>
        <w:tc>
          <w:tcPr>
            <w:tcW w:w="1489" w:type="dxa"/>
            <w:vAlign w:val="top"/>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《河北省辐射污染防治条例》</w:t>
            </w:r>
          </w:p>
          <w:p>
            <w:pPr>
              <w:ind w:left="67" w:right="15" w:firstLine="1"/>
              <w:spacing w:before="38"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第二十二条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2"/>
              </w:rPr>
              <w:t>第二款</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产生其他放射性废物的单位，应当按照国家有</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关放射性废物管理的规定，将其产生的放射性废物送交有相应资质</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2"/>
              </w:rPr>
              <w:t>的放射性废物集中贮存单位贮存。</w:t>
            </w:r>
          </w:p>
          <w:p>
            <w:pPr>
              <w:spacing w:line="273" w:lineRule="auto"/>
              <w:rPr>
                <w:rFonts w:ascii="Arial"/>
                <w:sz w:val="21"/>
              </w:rPr>
            </w:pPr>
            <w:r/>
          </w:p>
          <w:p>
            <w:pPr>
              <w:ind w:left="66"/>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《河北省辐射污染防治条例》</w:t>
            </w:r>
          </w:p>
          <w:p>
            <w:pPr>
              <w:ind w:left="61" w:right="15" w:firstLine="7"/>
              <w:spacing w:before="37"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违反本条例规定，有下列行为之一的，由县级以上</w:t>
            </w:r>
            <w:r>
              <w:rPr>
                <w:rFonts w:ascii="FangSong_GB2312" w:hAnsi="FangSong_GB2312" w:eastAsia="FangSong_GB2312" w:cs="FangSong_GB2312"/>
                <w:sz w:val="24"/>
                <w:szCs w:val="24"/>
                <w:spacing w:val="-2"/>
              </w:rPr>
              <w:t>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政府生态环境行政主管部门责令限期改正；逾期不改正的，按照下</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列规定处以罚款：</w:t>
            </w:r>
          </w:p>
          <w:p>
            <w:pPr>
              <w:ind w:left="61" w:right="15" w:hanging="9"/>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（二）产生其他放射性废物的单位未按照国家规定将</w:t>
            </w:r>
            <w:r>
              <w:rPr>
                <w:rFonts w:ascii="FangSong_GB2312" w:hAnsi="FangSong_GB2312" w:eastAsia="FangSong_GB2312" w:cs="FangSong_GB2312"/>
                <w:sz w:val="24"/>
                <w:szCs w:val="24"/>
                <w:spacing w:val="-1"/>
              </w:rPr>
              <w:t>其产生的放射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性废物送交有相应资质的放射性废物集中贮存单位贮存的，处二千</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元以上一万元以下罚款。</w:t>
            </w:r>
          </w:p>
        </w:tc>
      </w:tr>
      <w:tr>
        <w:trPr>
          <w:trHeight w:val="635" w:hRule="atLeast"/>
        </w:trPr>
        <w:tc>
          <w:tcPr>
            <w:tcW w:w="4170" w:type="dxa"/>
            <w:vAlign w:val="top"/>
            <w:gridSpan w:val="3"/>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9" w:type="dxa"/>
            <w:vAlign w:val="top"/>
            <w:vMerge w:val="restart"/>
            <w:tcBorders>
              <w:bottom w:val="nil"/>
            </w:tcBorders>
          </w:tcPr>
          <w:p>
            <w:pPr>
              <w:spacing w:line="289" w:lineRule="auto"/>
              <w:rPr>
                <w:rFonts w:ascii="Arial"/>
                <w:sz w:val="21"/>
              </w:rPr>
            </w:pPr>
            <w:r/>
          </w:p>
          <w:p>
            <w:pPr>
              <w:ind w:left="509" w:right="144" w:hanging="360"/>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444" w:lineRule="auto"/>
              <w:rPr>
                <w:rFonts w:ascii="Arial"/>
                <w:sz w:val="21"/>
              </w:rPr>
            </w:pPr>
            <w:r/>
          </w:p>
          <w:p>
            <w:pPr>
              <w:ind w:left="2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444" w:lineRule="auto"/>
              <w:rPr>
                <w:rFonts w:ascii="Arial"/>
                <w:sz w:val="21"/>
              </w:rPr>
            </w:pPr>
            <w:r/>
          </w:p>
          <w:p>
            <w:pPr>
              <w:ind w:left="23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涉及数量</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8"/>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8"/>
              </w:rPr>
              <w:t>吨以内的</w:t>
            </w:r>
          </w:p>
        </w:tc>
        <w:tc>
          <w:tcPr>
            <w:tcW w:w="1146"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27" w:right="218" w:hanging="5"/>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涉及数量</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1"/>
              </w:rPr>
              <w:t>吨以上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11"/>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11"/>
              </w:rPr>
              <w:t>吨以下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146" w:type="dxa"/>
            <w:vAlign w:val="top"/>
          </w:tcPr>
          <w:p>
            <w:pPr>
              <w:ind w:left="17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涉及数量</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9"/>
              </w:rPr>
              <w:t>3</w:t>
            </w:r>
            <w:r>
              <w:rPr>
                <w:rFonts w:ascii="FangSong_GB2312" w:hAnsi="FangSong_GB2312" w:eastAsia="FangSong_GB2312" w:cs="FangSong_GB2312"/>
                <w:sz w:val="24"/>
                <w:szCs w:val="24"/>
                <w:spacing w:val="-37"/>
              </w:rPr>
              <w:t xml:space="preserve"> </w:t>
            </w:r>
            <w:r>
              <w:rPr>
                <w:rFonts w:ascii="FangSong_GB2312" w:hAnsi="FangSong_GB2312" w:eastAsia="FangSong_GB2312" w:cs="FangSong_GB2312"/>
                <w:sz w:val="24"/>
                <w:szCs w:val="24"/>
                <w:spacing w:val="-9"/>
              </w:rPr>
              <w:t>吨以上的</w:t>
            </w:r>
          </w:p>
        </w:tc>
        <w:tc>
          <w:tcPr>
            <w:tcW w:w="1146" w:type="dxa"/>
            <w:vAlign w:val="top"/>
          </w:tcPr>
          <w:p>
            <w:pPr>
              <w:ind w:left="16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489" w:type="dxa"/>
            <w:vAlign w:val="top"/>
            <w:vMerge w:val="restart"/>
            <w:tcBorders>
              <w:bottom w:val="nil"/>
            </w:tcBorders>
          </w:tcPr>
          <w:p>
            <w:pPr>
              <w:spacing w:line="450"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4" w:lineRule="auto"/>
              <w:rPr>
                <w:rFonts w:ascii="Arial"/>
                <w:sz w:val="21"/>
              </w:rPr>
            </w:pPr>
            <w:r/>
          </w:p>
          <w:p>
            <w:pPr>
              <w:ind w:left="826" w:right="23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50"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ind w:left="267" w:right="266"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696" w:right="233"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27"/>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1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46" w:type="dxa"/>
            <w:vAlign w:val="top"/>
          </w:tcPr>
          <w:p>
            <w:pPr>
              <w:ind w:left="2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46" w:type="dxa"/>
            <w:vAlign w:val="top"/>
          </w:tcPr>
          <w:p>
            <w:pPr>
              <w:ind w:left="47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489" w:type="dxa"/>
            <w:vAlign w:val="top"/>
            <w:vMerge w:val="restart"/>
            <w:tcBorders>
              <w:bottom w:val="nil"/>
            </w:tcBorders>
          </w:tcPr>
          <w:p>
            <w:pPr>
              <w:ind w:left="149"/>
              <w:spacing w:before="4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40"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16"/>
              <w:spacing w:before="4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7"/>
              <w:spacing w:before="3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84"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1%-40%</w:t>
            </w:r>
          </w:p>
        </w:tc>
      </w:tr>
      <w:tr>
        <w:trPr>
          <w:trHeight w:val="639"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7" w:right="218"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46" w:type="dxa"/>
            <w:vAlign w:val="top"/>
          </w:tcPr>
          <w:p>
            <w:pPr>
              <w:ind w:left="47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06"/>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357"/>
              <w:spacing w:before="129" w:line="232" w:lineRule="auto"/>
              <w:rPr>
                <w:rFonts w:ascii="FZXiaoBiaoSong-B05S" w:hAnsi="FZXiaoBiaoSong-B05S" w:eastAsia="FZXiaoBiaoSong-B05S" w:cs="FZXiaoBiaoSong-B05S"/>
                <w:sz w:val="40"/>
                <w:szCs w:val="40"/>
              </w:rPr>
            </w:pPr>
            <w:bookmarkStart w:name="bookmark23" w:id="26"/>
            <w:bookmarkEnd w:id="26"/>
            <w:r>
              <w:rPr>
                <w:rFonts w:ascii="FZXiaoBiaoSong-B05S" w:hAnsi="FZXiaoBiaoSong-B05S" w:eastAsia="FZXiaoBiaoSong-B05S" w:cs="FZXiaoBiaoSong-B05S"/>
                <w:sz w:val="40"/>
                <w:szCs w:val="40"/>
                <w:spacing w:val="1"/>
              </w:rPr>
              <w:t>河北省生态环境行政处罚裁量规则（其他类）</w:t>
            </w:r>
          </w:p>
        </w:tc>
      </w:tr>
      <w:tr>
        <w:trPr>
          <w:trHeight w:val="664" w:hRule="atLeast"/>
        </w:trPr>
        <w:tc>
          <w:tcPr>
            <w:tcW w:w="1489" w:type="dxa"/>
            <w:vAlign w:val="top"/>
          </w:tcPr>
          <w:p>
            <w:pPr>
              <w:ind w:left="486"/>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66"/>
              <w:spacing w:before="242"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208</w:t>
            </w:r>
          </w:p>
        </w:tc>
      </w:tr>
      <w:tr>
        <w:trPr>
          <w:trHeight w:val="664" w:hRule="atLeast"/>
        </w:trPr>
        <w:tc>
          <w:tcPr>
            <w:tcW w:w="1489" w:type="dxa"/>
            <w:vAlign w:val="top"/>
          </w:tcPr>
          <w:p>
            <w:pPr>
              <w:ind w:left="211"/>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64" w:right="15" w:firstLine="4"/>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实行排污登记管理的企业事业单位和其他生产经营者未按照本条例</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规定办理排污登记排放污染物的</w:t>
            </w:r>
          </w:p>
        </w:tc>
      </w:tr>
      <w:tr>
        <w:trPr>
          <w:trHeight w:val="5388" w:hRule="atLeast"/>
        </w:trPr>
        <w:tc>
          <w:tcPr>
            <w:tcW w:w="1489"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《河北省生态环境保护条例》</w:t>
            </w:r>
          </w:p>
          <w:p>
            <w:pPr>
              <w:ind w:left="55" w:firstLine="13"/>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第三十八条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本省实施以排污许可制为核心的固定污染源监管制</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8"/>
              </w:rPr>
              <w:t>度。依法对企业事业单位和其他生产经营者实行排污许可重点管理、</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3"/>
              </w:rPr>
              <w:t>简化管理和登记管理。</w:t>
            </w:r>
          </w:p>
          <w:p>
            <w:pPr>
              <w:ind w:left="59" w:right="15" w:hanging="6"/>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依法实行排污许可重点管理和简化管理的企业事业</w:t>
            </w:r>
            <w:r>
              <w:rPr>
                <w:rFonts w:ascii="FangSong_GB2312" w:hAnsi="FangSong_GB2312" w:eastAsia="FangSong_GB2312" w:cs="FangSong_GB2312"/>
                <w:sz w:val="24"/>
                <w:szCs w:val="24"/>
                <w:spacing w:val="-1"/>
              </w:rPr>
              <w:t>单位和其他生产</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经营者应当如实填报排污许可证申请材料，按照排污许可证规定的</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污染物种类、浓度、排放去向和许可排放量等要求排放污染物；未</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取得排污许可证的，不得排放污染物。</w:t>
            </w:r>
          </w:p>
          <w:p>
            <w:pPr>
              <w:ind w:left="59" w:right="15" w:firstLine="9"/>
              <w:spacing w:before="36"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实行排污登记管理的企业事业单位和其他生产经营者应当依法进行</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排污登记，未登记前不得排放污染物。</w:t>
            </w:r>
          </w:p>
          <w:p>
            <w:pPr>
              <w:ind w:left="62" w:right="15" w:firstLine="6"/>
              <w:spacing w:before="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实行排污许可管理的企业事业单位和其他生产经营者范围，依照国</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家有关规定执行。</w:t>
            </w:r>
          </w:p>
          <w:p>
            <w:pPr>
              <w:spacing w:line="269" w:lineRule="auto"/>
              <w:rPr>
                <w:rFonts w:ascii="Arial"/>
                <w:sz w:val="21"/>
              </w:rPr>
            </w:pPr>
            <w:r/>
          </w:p>
          <w:p>
            <w:pPr>
              <w:ind w:left="6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《河北省生态环境保护条例》</w:t>
            </w:r>
          </w:p>
          <w:p>
            <w:pPr>
              <w:ind w:left="69"/>
              <w:spacing w:before="3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实行排污登记管理的企业事</w:t>
            </w:r>
            <w:r>
              <w:rPr>
                <w:rFonts w:ascii="FangSong_GB2312" w:hAnsi="FangSong_GB2312" w:eastAsia="FangSong_GB2312" w:cs="FangSong_GB2312"/>
                <w:sz w:val="24"/>
                <w:szCs w:val="24"/>
                <w:spacing w:val="-2"/>
              </w:rPr>
              <w:t>业单位和其他生</w:t>
            </w:r>
          </w:p>
          <w:p>
            <w:pPr>
              <w:ind w:left="51" w:right="15" w:firstLine="5"/>
              <w:spacing w:before="3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产经营者未按照本条例规定办理排污登记排放污染物的，由生态环</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rPr>
              <w:t>境主管部门责令限期改正，处五千元以上五</w:t>
            </w:r>
            <w:r>
              <w:rPr>
                <w:rFonts w:ascii="FangSong_GB2312" w:hAnsi="FangSong_GB2312" w:eastAsia="FangSong_GB2312" w:cs="FangSong_GB2312"/>
                <w:sz w:val="24"/>
                <w:szCs w:val="24"/>
                <w:spacing w:val="-1"/>
              </w:rPr>
              <w:t>万元以下的罚款</w:t>
            </w:r>
            <w:r>
              <w:rPr>
                <w:rFonts w:ascii="FangSong_GB2312" w:hAnsi="FangSong_GB2312" w:eastAsia="FangSong_GB2312" w:cs="FangSong_GB2312"/>
                <w:sz w:val="24"/>
                <w:szCs w:val="24"/>
                <w:b/>
                <w:bCs/>
                <w:spacing w:val="-1"/>
              </w:rPr>
              <w:t>。</w:t>
            </w:r>
          </w:p>
        </w:tc>
      </w:tr>
      <w:tr>
        <w:trPr>
          <w:trHeight w:val="635" w:hRule="atLeast"/>
        </w:trPr>
        <w:tc>
          <w:tcPr>
            <w:tcW w:w="4170" w:type="dxa"/>
            <w:vAlign w:val="top"/>
            <w:gridSpan w:val="3"/>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9" w:type="dxa"/>
            <w:vAlign w:val="top"/>
            <w:vMerge w:val="restart"/>
            <w:tcBorders>
              <w:bottom w:val="nil"/>
            </w:tcBorders>
          </w:tcPr>
          <w:p>
            <w:pPr>
              <w:spacing w:line="287" w:lineRule="auto"/>
              <w:rPr>
                <w:rFonts w:ascii="Arial"/>
                <w:sz w:val="21"/>
              </w:rPr>
            </w:pPr>
            <w:r/>
          </w:p>
          <w:p>
            <w:pPr>
              <w:ind w:left="509" w:right="144" w:hanging="360"/>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spacing w:line="288" w:lineRule="auto"/>
              <w:rPr>
                <w:rFonts w:ascii="Arial"/>
                <w:sz w:val="21"/>
              </w:rPr>
            </w:pPr>
            <w:r/>
          </w:p>
          <w:p>
            <w:pPr>
              <w:ind w:left="722" w:right="233" w:hanging="499"/>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违法行为持续</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6"/>
              </w:rPr>
              <w:t>时间</w:t>
            </w:r>
          </w:p>
        </w:tc>
        <w:tc>
          <w:tcPr>
            <w:tcW w:w="792" w:type="dxa"/>
            <w:vAlign w:val="top"/>
            <w:vMerge w:val="restart"/>
            <w:tcBorders>
              <w:bottom w:val="nil"/>
            </w:tcBorders>
          </w:tcPr>
          <w:p>
            <w:pPr>
              <w:spacing w:line="445" w:lineRule="auto"/>
              <w:rPr>
                <w:rFonts w:ascii="Arial"/>
                <w:sz w:val="21"/>
              </w:rPr>
            </w:pPr>
            <w:r/>
          </w:p>
          <w:p>
            <w:pPr>
              <w:ind w:left="22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01"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146"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09" w:right="27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违法行为持续</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7"/>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7"/>
              </w:rPr>
              <w:t>个月以上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个月以下的</w:t>
            </w:r>
          </w:p>
        </w:tc>
        <w:tc>
          <w:tcPr>
            <w:tcW w:w="1146" w:type="dxa"/>
            <w:vAlign w:val="top"/>
          </w:tcPr>
          <w:p>
            <w:pPr>
              <w:ind w:left="17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146" w:type="dxa"/>
            <w:vAlign w:val="top"/>
          </w:tcPr>
          <w:p>
            <w:pPr>
              <w:ind w:left="17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0" w:hRule="atLeast"/>
        </w:trPr>
        <w:tc>
          <w:tcPr>
            <w:tcW w:w="1489" w:type="dxa"/>
            <w:vAlign w:val="top"/>
            <w:vMerge w:val="restart"/>
            <w:tcBorders>
              <w:bottom w:val="nil"/>
            </w:tcBorders>
          </w:tcPr>
          <w:p>
            <w:pPr>
              <w:spacing w:line="448"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spacing w:line="444"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45" w:lineRule="auto"/>
              <w:rPr>
                <w:rFonts w:ascii="Arial"/>
                <w:sz w:val="21"/>
              </w:rPr>
            </w:pPr>
            <w:r/>
          </w:p>
          <w:p>
            <w:pPr>
              <w:ind w:left="221"/>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44"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6" w:type="dxa"/>
            <w:vAlign w:val="top"/>
          </w:tcPr>
          <w:p>
            <w:pPr>
              <w:ind w:left="47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1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6" w:type="dxa"/>
            <w:vAlign w:val="top"/>
          </w:tcPr>
          <w:p>
            <w:pPr>
              <w:ind w:left="290"/>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6" w:type="dxa"/>
            <w:vAlign w:val="top"/>
          </w:tcPr>
          <w:p>
            <w:pPr>
              <w:ind w:left="2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9" w:hRule="atLeast"/>
        </w:trPr>
        <w:tc>
          <w:tcPr>
            <w:tcW w:w="1489" w:type="dxa"/>
            <w:vAlign w:val="top"/>
          </w:tcPr>
          <w:p>
            <w:pPr>
              <w:ind w:left="149"/>
              <w:spacing w:before="47"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5"/>
                <w:w w:val="97"/>
              </w:rPr>
              <w:t>对社会影响或</w:t>
            </w:r>
          </w:p>
        </w:tc>
        <w:tc>
          <w:tcPr>
            <w:tcW w:w="1889" w:type="dxa"/>
            <w:vAlign w:val="top"/>
          </w:tcPr>
          <w:p>
            <w:pPr>
              <w:ind w:left="137"/>
              <w:spacing w:before="47"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5"/>
                <w:w w:val="97"/>
              </w:rPr>
              <w:t>是否造成社会影响</w:t>
            </w:r>
          </w:p>
        </w:tc>
        <w:tc>
          <w:tcPr>
            <w:tcW w:w="792" w:type="dxa"/>
            <w:vAlign w:val="top"/>
          </w:tcPr>
          <w:p>
            <w:pPr>
              <w:ind w:left="222"/>
              <w:spacing w:before="47"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0"/>
              <w:spacing w:before="47"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46" w:type="dxa"/>
            <w:vAlign w:val="top"/>
          </w:tcPr>
          <w:p>
            <w:pPr>
              <w:ind w:left="242"/>
              <w:spacing w:before="47"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407"/>
          <w:pgSz w:w="11905" w:h="16839"/>
          <w:pgMar w:top="1431" w:right="1691" w:bottom="1156" w:left="1691" w:header="0" w:footer="994" w:gutter="0"/>
        </w:sectPr>
        <w:rPr/>
      </w:pPr>
    </w:p>
    <w:p>
      <w:pPr>
        <w:spacing w:before="92"/>
        <w:rPr/>
      </w:pPr>
      <w:r/>
    </w:p>
    <w:p>
      <w:pPr>
        <w:spacing w:before="91"/>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0"/>
        <w:gridCol w:w="1889"/>
        <w:gridCol w:w="792"/>
        <w:gridCol w:w="3201"/>
        <w:gridCol w:w="1155"/>
      </w:tblGrid>
      <w:tr>
        <w:trPr>
          <w:trHeight w:val="393" w:hRule="atLeast"/>
        </w:trPr>
        <w:tc>
          <w:tcPr>
            <w:tcW w:w="1480" w:type="dxa"/>
            <w:vAlign w:val="top"/>
          </w:tcPr>
          <w:p>
            <w:pPr>
              <w:ind w:left="159"/>
              <w:spacing w:before="44"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7"/>
                <w:w w:val="97"/>
              </w:rPr>
              <w:t>生态破坏程度</w:t>
            </w:r>
          </w:p>
        </w:tc>
        <w:tc>
          <w:tcPr>
            <w:tcW w:w="1889" w:type="dxa"/>
            <w:vAlign w:val="top"/>
          </w:tcPr>
          <w:p>
            <w:pPr>
              <w:ind w:left="449"/>
              <w:spacing w:before="44"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6"/>
              </w:rPr>
              <w:t>或生态破坏</w:t>
            </w:r>
          </w:p>
        </w:tc>
        <w:tc>
          <w:tcPr>
            <w:tcW w:w="792" w:type="dxa"/>
            <w:vAlign w:val="top"/>
          </w:tcPr>
          <w:p>
            <w:pPr>
              <w:rPr>
                <w:rFonts w:ascii="Arial"/>
                <w:sz w:val="21"/>
              </w:rPr>
            </w:pPr>
            <w:r/>
          </w:p>
        </w:tc>
        <w:tc>
          <w:tcPr>
            <w:tcW w:w="3201" w:type="dxa"/>
            <w:vAlign w:val="top"/>
          </w:tcPr>
          <w:p>
            <w:pPr>
              <w:ind w:left="116"/>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155" w:type="dxa"/>
            <w:vAlign w:val="top"/>
          </w:tcPr>
          <w:p>
            <w:pPr>
              <w:ind w:left="481"/>
              <w:spacing w:before="78"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08"/>
          <w:pgSz w:w="11905" w:h="16839"/>
          <w:pgMar w:top="1431" w:right="1691" w:bottom="1156" w:left="1691"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1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9"/>
        <w:gridCol w:w="1889"/>
        <w:gridCol w:w="792"/>
        <w:gridCol w:w="3201"/>
        <w:gridCol w:w="1146"/>
      </w:tblGrid>
      <w:tr>
        <w:trPr>
          <w:trHeight w:val="738" w:hRule="atLeast"/>
        </w:trPr>
        <w:tc>
          <w:tcPr>
            <w:tcW w:w="8517" w:type="dxa"/>
            <w:vAlign w:val="top"/>
            <w:gridSpan w:val="5"/>
          </w:tcPr>
          <w:p>
            <w:pPr>
              <w:ind w:left="215"/>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4" w:hRule="atLeast"/>
        </w:trPr>
        <w:tc>
          <w:tcPr>
            <w:tcW w:w="1489" w:type="dxa"/>
            <w:vAlign w:val="top"/>
          </w:tcPr>
          <w:p>
            <w:pPr>
              <w:ind w:left="486"/>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8" w:type="dxa"/>
            <w:vAlign w:val="top"/>
            <w:gridSpan w:val="4"/>
          </w:tcPr>
          <w:p>
            <w:pPr>
              <w:ind w:left="3366"/>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209</w:t>
            </w:r>
          </w:p>
        </w:tc>
      </w:tr>
      <w:tr>
        <w:trPr>
          <w:trHeight w:val="664" w:hRule="atLeast"/>
        </w:trPr>
        <w:tc>
          <w:tcPr>
            <w:tcW w:w="1489" w:type="dxa"/>
            <w:vAlign w:val="top"/>
          </w:tcPr>
          <w:p>
            <w:pPr>
              <w:ind w:left="211"/>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8" w:type="dxa"/>
            <w:vAlign w:val="top"/>
            <w:gridSpan w:val="4"/>
          </w:tcPr>
          <w:p>
            <w:pPr>
              <w:ind w:left="61"/>
              <w:spacing w:before="21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不正常运行自动监测设备的</w:t>
            </w:r>
          </w:p>
        </w:tc>
      </w:tr>
      <w:tr>
        <w:trPr>
          <w:trHeight w:val="3813" w:hRule="atLeast"/>
        </w:trPr>
        <w:tc>
          <w:tcPr>
            <w:tcW w:w="1489" w:type="dxa"/>
            <w:vAlign w:val="top"/>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19"/>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8" w:type="dxa"/>
            <w:vAlign w:val="top"/>
            <w:gridSpan w:val="4"/>
          </w:tcPr>
          <w:p>
            <w:pPr>
              <w:ind w:left="72"/>
              <w:spacing w:before="5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《河北省生态环境保护条例》</w:t>
            </w:r>
          </w:p>
          <w:p>
            <w:pPr>
              <w:ind w:left="57" w:right="15" w:firstLine="11"/>
              <w:spacing w:before="34"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设区的市人民政府生态环境主</w:t>
            </w:r>
            <w:r>
              <w:rPr>
                <w:rFonts w:ascii="FangSong_GB2312" w:hAnsi="FangSong_GB2312" w:eastAsia="FangSong_GB2312" w:cs="FangSong_GB2312"/>
                <w:sz w:val="24"/>
                <w:szCs w:val="24"/>
                <w:spacing w:val="-2"/>
              </w:rPr>
              <w:t>管部门应当商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有关部门依法确定重点排污单位名录并向社会公布。重点排污单位</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应当按照国家和本省有关规定以及相关监测规范安装使用污染物排</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放自动监测设备，与生态环境主管部门的监控设备联网，保障自动</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监测设备正常运行，并向社会公开自动监测数据。</w:t>
            </w:r>
          </w:p>
          <w:p>
            <w:pPr>
              <w:spacing w:line="271" w:lineRule="auto"/>
              <w:rPr>
                <w:rFonts w:ascii="Arial"/>
                <w:sz w:val="21"/>
              </w:rPr>
            </w:pPr>
            <w:r/>
          </w:p>
          <w:p>
            <w:pPr>
              <w:ind w:left="6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《河北省生态环境保护条例》</w:t>
            </w:r>
          </w:p>
          <w:p>
            <w:pPr>
              <w:ind w:left="62" w:firstLine="6"/>
              <w:spacing w:before="38"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第七十二条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违反本条例规定，重点排污单位有下列行为之一的，</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8"/>
              </w:rPr>
              <w:t>由生态环境主管部门责令改正，处二万元以上二十万元以下的罚款；</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拒不改正的，责令停产整治：</w:t>
            </w:r>
          </w:p>
          <w:p>
            <w:pPr>
              <w:ind w:left="52"/>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（二）不正常运行自动监测设备的；</w:t>
            </w:r>
          </w:p>
        </w:tc>
      </w:tr>
      <w:tr>
        <w:trPr>
          <w:trHeight w:val="635" w:hRule="atLeast"/>
        </w:trPr>
        <w:tc>
          <w:tcPr>
            <w:tcW w:w="4170" w:type="dxa"/>
            <w:vAlign w:val="top"/>
            <w:gridSpan w:val="3"/>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7" w:type="dxa"/>
            <w:vAlign w:val="top"/>
            <w:gridSpan w:val="2"/>
          </w:tcPr>
          <w:p>
            <w:pPr>
              <w:ind w:left="1625"/>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89" w:type="dxa"/>
            <w:vAlign w:val="top"/>
          </w:tcPr>
          <w:p>
            <w:pPr>
              <w:ind w:left="514"/>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04"/>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03" w:right="182"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1" w:type="dxa"/>
            <w:vAlign w:val="top"/>
          </w:tcPr>
          <w:p>
            <w:pPr>
              <w:ind w:left="1381"/>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46" w:type="dxa"/>
            <w:vAlign w:val="top"/>
          </w:tcPr>
          <w:p>
            <w:pPr>
              <w:ind w:left="25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489" w:type="dxa"/>
            <w:vAlign w:val="top"/>
            <w:vMerge w:val="restart"/>
            <w:tcBorders>
              <w:bottom w:val="nil"/>
            </w:tcBorders>
          </w:tcPr>
          <w:p>
            <w:pPr>
              <w:ind w:left="509" w:right="144" w:hanging="36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对环境影响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23"/>
              <w:spacing w:before="20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ind w:left="231"/>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3201"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持续时间</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7"/>
              </w:rPr>
              <w:t>天以内的</w:t>
            </w:r>
          </w:p>
        </w:tc>
        <w:tc>
          <w:tcPr>
            <w:tcW w:w="1146" w:type="dxa"/>
            <w:vAlign w:val="top"/>
          </w:tcPr>
          <w:p>
            <w:pPr>
              <w:ind w:left="23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持续时间</w:t>
            </w:r>
            <w:r>
              <w:rPr>
                <w:rFonts w:ascii="FangSong_GB2312" w:hAnsi="FangSong_GB2312" w:eastAsia="FangSong_GB2312" w:cs="FangSong_GB2312"/>
                <w:sz w:val="24"/>
                <w:szCs w:val="24"/>
                <w:spacing w:val="-27"/>
              </w:rPr>
              <w:t xml:space="preserve"> </w:t>
            </w:r>
            <w:r>
              <w:rPr>
                <w:rFonts w:ascii="FangSong_GB2312" w:hAnsi="FangSong_GB2312" w:eastAsia="FangSong_GB2312" w:cs="FangSong_GB2312"/>
                <w:sz w:val="24"/>
                <w:szCs w:val="24"/>
                <w:spacing w:val="-7"/>
              </w:rPr>
              <w:t>3</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7"/>
              </w:rPr>
              <w:t>天以上的</w:t>
            </w:r>
          </w:p>
        </w:tc>
        <w:tc>
          <w:tcPr>
            <w:tcW w:w="1146" w:type="dxa"/>
            <w:vAlign w:val="top"/>
          </w:tcPr>
          <w:p>
            <w:pPr>
              <w:ind w:left="17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320" w:hRule="atLeast"/>
        </w:trPr>
        <w:tc>
          <w:tcPr>
            <w:tcW w:w="1489" w:type="dxa"/>
            <w:vAlign w:val="top"/>
            <w:vMerge w:val="restart"/>
            <w:tcBorders>
              <w:bottom w:val="nil"/>
            </w:tcBorders>
          </w:tcPr>
          <w:p>
            <w:pPr>
              <w:spacing w:line="449" w:lineRule="auto"/>
              <w:rPr>
                <w:rFonts w:ascii="Arial"/>
                <w:sz w:val="21"/>
              </w:rPr>
            </w:pPr>
            <w:r/>
          </w:p>
          <w:p>
            <w:pPr>
              <w:ind w:left="267"/>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6" w:lineRule="auto"/>
              <w:rPr>
                <w:rFonts w:ascii="Arial"/>
                <w:sz w:val="21"/>
              </w:rPr>
            </w:pPr>
            <w:r/>
          </w:p>
          <w:p>
            <w:pPr>
              <w:ind w:left="826" w:right="233"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2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1" w:type="dxa"/>
            <w:vAlign w:val="top"/>
          </w:tcPr>
          <w:p>
            <w:pPr>
              <w:ind w:left="11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46" w:type="dxa"/>
            <w:vAlign w:val="top"/>
          </w:tcPr>
          <w:p>
            <w:pPr>
              <w:ind w:left="4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46" w:type="dxa"/>
            <w:vAlign w:val="top"/>
          </w:tcPr>
          <w:p>
            <w:pPr>
              <w:ind w:left="41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46" w:type="dxa"/>
            <w:vAlign w:val="top"/>
          </w:tcPr>
          <w:p>
            <w:pPr>
              <w:ind w:left="4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46" w:type="dxa"/>
            <w:vAlign w:val="top"/>
          </w:tcPr>
          <w:p>
            <w:pPr>
              <w:ind w:left="40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89" w:type="dxa"/>
            <w:vAlign w:val="top"/>
            <w:vMerge w:val="restart"/>
            <w:tcBorders>
              <w:bottom w:val="nil"/>
            </w:tcBorders>
          </w:tcPr>
          <w:p>
            <w:pPr>
              <w:spacing w:line="469" w:lineRule="auto"/>
              <w:rPr>
                <w:rFonts w:ascii="Arial"/>
                <w:sz w:val="21"/>
              </w:rPr>
            </w:pPr>
            <w:r/>
          </w:p>
          <w:p>
            <w:pPr>
              <w:ind w:left="26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889" w:type="dxa"/>
            <w:vAlign w:val="top"/>
            <w:vMerge w:val="restart"/>
            <w:tcBorders>
              <w:bottom w:val="nil"/>
            </w:tcBorders>
          </w:tcPr>
          <w:p>
            <w:pPr>
              <w:spacing w:line="469" w:lineRule="auto"/>
              <w:rPr>
                <w:rFonts w:ascii="Arial"/>
                <w:sz w:val="21"/>
              </w:rPr>
            </w:pPr>
            <w:r/>
          </w:p>
          <w:p>
            <w:pPr>
              <w:ind w:left="221"/>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92" w:type="dxa"/>
            <w:vAlign w:val="top"/>
            <w:vMerge w:val="restart"/>
            <w:tcBorders>
              <w:bottom w:val="nil"/>
            </w:tcBorders>
          </w:tcPr>
          <w:p>
            <w:pPr>
              <w:spacing w:line="469" w:lineRule="auto"/>
              <w:rPr>
                <w:rFonts w:ascii="Arial"/>
                <w:sz w:val="21"/>
              </w:rPr>
            </w:pPr>
            <w:r/>
          </w:p>
          <w:p>
            <w:pPr>
              <w:ind w:left="22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1" w:type="dxa"/>
            <w:vAlign w:val="top"/>
          </w:tcPr>
          <w:p>
            <w:pPr>
              <w:ind w:left="10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46" w:type="dxa"/>
            <w:vAlign w:val="top"/>
          </w:tcPr>
          <w:p>
            <w:pPr>
              <w:ind w:left="47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89"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201" w:type="dxa"/>
            <w:vAlign w:val="top"/>
          </w:tcPr>
          <w:p>
            <w:pPr>
              <w:ind w:left="114" w:right="218"/>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46" w:type="dxa"/>
            <w:vAlign w:val="top"/>
          </w:tcPr>
          <w:p>
            <w:pPr>
              <w:ind w:left="290"/>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72"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18"/>
              <w:spacing w:before="6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46" w:type="dxa"/>
            <w:vAlign w:val="top"/>
          </w:tcPr>
          <w:p>
            <w:pPr>
              <w:ind w:left="227"/>
              <w:spacing w:before="70"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0" w:hRule="atLeast"/>
        </w:trPr>
        <w:tc>
          <w:tcPr>
            <w:tcW w:w="1489" w:type="dxa"/>
            <w:vAlign w:val="top"/>
            <w:vMerge w:val="restart"/>
            <w:tcBorders>
              <w:bottom w:val="nil"/>
            </w:tcBorders>
          </w:tcPr>
          <w:p>
            <w:pPr>
              <w:ind w:left="149"/>
              <w:spacing w:before="4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对社会影响</w:t>
            </w:r>
          </w:p>
          <w:p>
            <w:pPr>
              <w:ind w:left="144"/>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或生态破坏</w:t>
            </w:r>
          </w:p>
          <w:p>
            <w:pPr>
              <w:ind w:left="509"/>
              <w:spacing w:before="31"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程度</w:t>
            </w:r>
          </w:p>
        </w:tc>
        <w:tc>
          <w:tcPr>
            <w:tcW w:w="1889" w:type="dxa"/>
            <w:vAlign w:val="top"/>
            <w:vMerge w:val="restart"/>
            <w:tcBorders>
              <w:bottom w:val="nil"/>
            </w:tcBorders>
          </w:tcPr>
          <w:p>
            <w:pPr>
              <w:ind w:left="216"/>
              <w:spacing w:before="4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2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27"/>
              <w:spacing w:before="36"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278"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1" w:type="dxa"/>
            <w:vAlign w:val="top"/>
          </w:tcPr>
          <w:p>
            <w:pPr>
              <w:ind w:left="110"/>
              <w:spacing w:before="8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造成污染事故的</w:t>
            </w:r>
          </w:p>
        </w:tc>
        <w:tc>
          <w:tcPr>
            <w:tcW w:w="1146" w:type="dxa"/>
            <w:vAlign w:val="top"/>
          </w:tcPr>
          <w:p>
            <w:pPr>
              <w:ind w:left="117"/>
              <w:spacing w:before="8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539" w:hRule="atLeast"/>
        </w:trPr>
        <w:tc>
          <w:tcPr>
            <w:tcW w:w="1489"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201" w:type="dxa"/>
            <w:vAlign w:val="top"/>
          </w:tcPr>
          <w:p>
            <w:pPr>
              <w:ind w:left="107"/>
              <w:spacing w:before="14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未造成污染事故的</w:t>
            </w:r>
          </w:p>
        </w:tc>
        <w:tc>
          <w:tcPr>
            <w:tcW w:w="1146" w:type="dxa"/>
            <w:vAlign w:val="top"/>
          </w:tcPr>
          <w:p>
            <w:pPr>
              <w:ind w:left="122"/>
              <w:spacing w:before="14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409"/>
          <w:pgSz w:w="11905" w:h="16839"/>
          <w:pgMar w:top="1431" w:right="1691" w:bottom="1156" w:left="1691"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00"/>
        <w:gridCol w:w="1685"/>
        <w:gridCol w:w="770"/>
        <w:gridCol w:w="3480"/>
        <w:gridCol w:w="1089"/>
      </w:tblGrid>
      <w:tr>
        <w:trPr>
          <w:trHeight w:val="738" w:hRule="atLeast"/>
        </w:trPr>
        <w:tc>
          <w:tcPr>
            <w:tcW w:w="8424" w:type="dxa"/>
            <w:vAlign w:val="top"/>
            <w:gridSpan w:val="5"/>
          </w:tcPr>
          <w:p>
            <w:pPr>
              <w:ind w:left="311"/>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4" w:hRule="atLeast"/>
        </w:trPr>
        <w:tc>
          <w:tcPr>
            <w:tcW w:w="1400" w:type="dxa"/>
            <w:vAlign w:val="top"/>
          </w:tcPr>
          <w:p>
            <w:pPr>
              <w:ind w:left="440"/>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4" w:type="dxa"/>
            <w:vAlign w:val="top"/>
            <w:gridSpan w:val="4"/>
          </w:tcPr>
          <w:p>
            <w:pPr>
              <w:ind w:left="3361"/>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210</w:t>
            </w:r>
          </w:p>
        </w:tc>
      </w:tr>
      <w:tr>
        <w:trPr>
          <w:trHeight w:val="665" w:hRule="atLeast"/>
        </w:trPr>
        <w:tc>
          <w:tcPr>
            <w:tcW w:w="1400" w:type="dxa"/>
            <w:vAlign w:val="top"/>
          </w:tcPr>
          <w:p>
            <w:pPr>
              <w:ind w:left="165"/>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4" w:type="dxa"/>
            <w:vAlign w:val="top"/>
            <w:gridSpan w:val="4"/>
          </w:tcPr>
          <w:p>
            <w:pPr>
              <w:ind w:left="67"/>
              <w:spacing w:before="21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生态环境监测机构篡改、伪造监测数据或者出具虚假监测报告的</w:t>
            </w:r>
          </w:p>
        </w:tc>
      </w:tr>
      <w:tr>
        <w:trPr>
          <w:trHeight w:val="4443" w:hRule="atLeast"/>
        </w:trPr>
        <w:tc>
          <w:tcPr>
            <w:tcW w:w="1400"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17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4" w:type="dxa"/>
            <w:vAlign w:val="top"/>
            <w:gridSpan w:val="4"/>
          </w:tcPr>
          <w:p>
            <w:pPr>
              <w:ind w:left="67"/>
              <w:spacing w:before="5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《河北省生态环境保护条例》</w:t>
            </w:r>
          </w:p>
          <w:p>
            <w:pPr>
              <w:ind w:left="46" w:right="16" w:firstLine="17"/>
              <w:spacing w:before="41"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第四款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生态环境监测机构应当依法取得检验</w:t>
            </w:r>
            <w:r>
              <w:rPr>
                <w:rFonts w:ascii="FangSong_GB2312" w:hAnsi="FangSong_GB2312" w:eastAsia="FangSong_GB2312" w:cs="FangSong_GB2312"/>
                <w:sz w:val="24"/>
                <w:szCs w:val="24"/>
                <w:spacing w:val="-2"/>
              </w:rPr>
              <w:t>检测机构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资质认定证书，使用符合国家标准的监测设备，加强监</w:t>
            </w:r>
            <w:r>
              <w:rPr>
                <w:rFonts w:ascii="FangSong_GB2312" w:hAnsi="FangSong_GB2312" w:eastAsia="FangSong_GB2312" w:cs="FangSong_GB2312"/>
                <w:sz w:val="24"/>
                <w:szCs w:val="24"/>
                <w:spacing w:val="-1"/>
              </w:rPr>
              <w:t>测人员生态</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环境保护法律法规和专业知识培训，遵守监测规范，建</w:t>
            </w:r>
            <w:r>
              <w:rPr>
                <w:rFonts w:ascii="FangSong_GB2312" w:hAnsi="FangSong_GB2312" w:eastAsia="FangSong_GB2312" w:cs="FangSong_GB2312"/>
                <w:sz w:val="24"/>
                <w:szCs w:val="24"/>
                <w:spacing w:val="-1"/>
              </w:rPr>
              <w:t>立质量管理</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体系，按照规定保存监测原始记录和监测报告，接受生</w:t>
            </w:r>
            <w:r>
              <w:rPr>
                <w:rFonts w:ascii="FangSong_GB2312" w:hAnsi="FangSong_GB2312" w:eastAsia="FangSong_GB2312" w:cs="FangSong_GB2312"/>
                <w:sz w:val="24"/>
                <w:szCs w:val="24"/>
                <w:spacing w:val="-1"/>
              </w:rPr>
              <w:t>态环境等部</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门的监督管理。生态环境监测机构及其负责人对其出具</w:t>
            </w:r>
            <w:r>
              <w:rPr>
                <w:rFonts w:ascii="FangSong_GB2312" w:hAnsi="FangSong_GB2312" w:eastAsia="FangSong_GB2312" w:cs="FangSong_GB2312"/>
                <w:sz w:val="24"/>
                <w:szCs w:val="24"/>
                <w:spacing w:val="-1"/>
              </w:rPr>
              <w:t>的监测数据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的真实性和准确性负责，不得违规操作或者篡改、伪造</w:t>
            </w:r>
            <w:r>
              <w:rPr>
                <w:rFonts w:ascii="FangSong_GB2312" w:hAnsi="FangSong_GB2312" w:eastAsia="FangSong_GB2312" w:cs="FangSong_GB2312"/>
                <w:sz w:val="24"/>
                <w:szCs w:val="24"/>
                <w:spacing w:val="-1"/>
              </w:rPr>
              <w:t>监测数据，</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不得出具虚假监测报告。</w:t>
            </w:r>
          </w:p>
          <w:p>
            <w:pPr>
              <w:spacing w:line="272" w:lineRule="auto"/>
              <w:rPr>
                <w:rFonts w:ascii="Arial"/>
                <w:sz w:val="21"/>
              </w:rPr>
            </w:pPr>
            <w:r/>
          </w:p>
          <w:p>
            <w:pPr>
              <w:ind w:left="61"/>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《河北省生态环境保护条例》</w:t>
            </w:r>
          </w:p>
          <w:p>
            <w:pPr>
              <w:ind w:left="51" w:right="14" w:firstLine="12"/>
              <w:spacing w:before="40"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违反本条例规定，生态环境监测机构篡改、伪</w:t>
            </w:r>
            <w:r>
              <w:rPr>
                <w:rFonts w:ascii="FangSong_GB2312" w:hAnsi="FangSong_GB2312" w:eastAsia="FangSong_GB2312" w:cs="FangSong_GB2312"/>
                <w:sz w:val="24"/>
                <w:szCs w:val="24"/>
                <w:spacing w:val="-2"/>
              </w:rPr>
              <w:t>造监测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数据或者出具虚假监测报告的，由生态环境主管部门责令改正，处</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十万元以上五十万元以下的罚款；情节严重的，移送相关资质认定</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1"/>
              </w:rPr>
              <w:t>部门依法撤销其资质认定证书。</w:t>
            </w:r>
          </w:p>
        </w:tc>
      </w:tr>
      <w:tr>
        <w:trPr>
          <w:trHeight w:val="635" w:hRule="atLeast"/>
        </w:trPr>
        <w:tc>
          <w:tcPr>
            <w:tcW w:w="3855" w:type="dxa"/>
            <w:vAlign w:val="top"/>
            <w:gridSpan w:val="3"/>
          </w:tcPr>
          <w:p>
            <w:pPr>
              <w:ind w:left="136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69" w:type="dxa"/>
            <w:vAlign w:val="top"/>
            <w:gridSpan w:val="2"/>
          </w:tcPr>
          <w:p>
            <w:pPr>
              <w:ind w:left="1736"/>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00" w:type="dxa"/>
            <w:vAlign w:val="top"/>
          </w:tcPr>
          <w:p>
            <w:pPr>
              <w:ind w:left="465"/>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398"/>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0" w:type="dxa"/>
            <w:vAlign w:val="top"/>
          </w:tcPr>
          <w:p>
            <w:pPr>
              <w:ind w:left="188" w:right="175"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18"/>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89" w:type="dxa"/>
            <w:vAlign w:val="top"/>
          </w:tcPr>
          <w:p>
            <w:pPr>
              <w:ind w:left="221"/>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00" w:type="dxa"/>
            <w:vAlign w:val="top"/>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345" w:right="223"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685" w:type="dxa"/>
            <w:vAlign w:val="top"/>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11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0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80%</w:t>
            </w:r>
          </w:p>
        </w:tc>
        <w:tc>
          <w:tcPr>
            <w:tcW w:w="3480" w:type="dxa"/>
            <w:vAlign w:val="top"/>
          </w:tcPr>
          <w:p>
            <w:pPr>
              <w:ind w:left="110" w:right="115" w:firstLine="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二年内篡改、伪造监测数据或出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1"/>
              </w:rPr>
              <w:t>具虚假报告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11"/>
              </w:rPr>
              <w:t>1</w:t>
            </w:r>
            <w:r>
              <w:rPr>
                <w:rFonts w:ascii="FangSong_GB2312" w:hAnsi="FangSong_GB2312" w:eastAsia="FangSong_GB2312" w:cs="FangSong_GB2312"/>
                <w:sz w:val="24"/>
                <w:szCs w:val="24"/>
                <w:spacing w:val="-43"/>
              </w:rPr>
              <w:t xml:space="preserve"> </w:t>
            </w:r>
            <w:r>
              <w:rPr>
                <w:rFonts w:ascii="FangSong_GB2312" w:hAnsi="FangSong_GB2312" w:eastAsia="FangSong_GB2312" w:cs="FangSong_GB2312"/>
                <w:sz w:val="24"/>
                <w:szCs w:val="24"/>
                <w:spacing w:val="-11"/>
              </w:rPr>
              <w:t>次的，为情节一般</w:t>
            </w:r>
          </w:p>
        </w:tc>
        <w:tc>
          <w:tcPr>
            <w:tcW w:w="1089" w:type="dxa"/>
            <w:vAlign w:val="top"/>
          </w:tcPr>
          <w:p>
            <w:pPr>
              <w:ind w:left="199"/>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1%-60%</w:t>
            </w:r>
          </w:p>
        </w:tc>
      </w:tr>
      <w:tr>
        <w:trPr>
          <w:trHeight w:val="1264" w:hRule="atLeast"/>
        </w:trPr>
        <w:tc>
          <w:tcPr>
            <w:tcW w:w="1400"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3480" w:type="dxa"/>
            <w:vAlign w:val="top"/>
          </w:tcPr>
          <w:p>
            <w:pPr>
              <w:ind w:left="99" w:right="115" w:firstLine="16"/>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二年内篡改、伪造监测数据或出</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0"/>
              </w:rPr>
              <w:t>具虚假报告</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10"/>
              </w:rPr>
              <w:t>2</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10"/>
              </w:rPr>
              <w:t>次及以上的，或者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52"/>
              </w:rPr>
              <w:t xml:space="preserve"> </w:t>
            </w:r>
            <w:r>
              <w:rPr>
                <w:rFonts w:ascii="FangSong_GB2312" w:hAnsi="FangSong_GB2312" w:eastAsia="FangSong_GB2312" w:cs="FangSong_GB2312"/>
                <w:sz w:val="24"/>
                <w:szCs w:val="24"/>
                <w:spacing w:val="-4"/>
              </w:rPr>
              <w:t>次检查发现出具虚假报告</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4"/>
              </w:rPr>
              <w:t>5</w:t>
            </w:r>
            <w:r>
              <w:rPr>
                <w:rFonts w:ascii="FangSong_GB2312" w:hAnsi="FangSong_GB2312" w:eastAsia="FangSong_GB2312" w:cs="FangSong_GB2312"/>
                <w:sz w:val="24"/>
                <w:szCs w:val="24"/>
                <w:spacing w:val="-66"/>
              </w:rPr>
              <w:t xml:space="preserve"> </w:t>
            </w:r>
            <w:r>
              <w:rPr>
                <w:rFonts w:ascii="FangSong_GB2312" w:hAnsi="FangSong_GB2312" w:eastAsia="FangSong_GB2312" w:cs="FangSong_GB2312"/>
                <w:sz w:val="24"/>
                <w:szCs w:val="24"/>
                <w:spacing w:val="-4"/>
              </w:rPr>
              <w:t>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及以上的，为情节严重</w:t>
            </w:r>
          </w:p>
        </w:tc>
        <w:tc>
          <w:tcPr>
            <w:tcW w:w="1089" w:type="dxa"/>
            <w:vAlign w:val="top"/>
          </w:tcPr>
          <w:p>
            <w:pPr>
              <w:spacing w:line="434" w:lineRule="auto"/>
              <w:rPr>
                <w:rFonts w:ascii="Arial"/>
                <w:sz w:val="21"/>
              </w:rPr>
            </w:pPr>
            <w:r/>
          </w:p>
          <w:p>
            <w:pPr>
              <w:ind w:left="13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61%-80%</w:t>
            </w:r>
          </w:p>
        </w:tc>
      </w:tr>
      <w:tr>
        <w:trPr>
          <w:trHeight w:val="320" w:hRule="atLeast"/>
        </w:trPr>
        <w:tc>
          <w:tcPr>
            <w:tcW w:w="1400" w:type="dxa"/>
            <w:vAlign w:val="top"/>
            <w:vMerge w:val="restart"/>
            <w:tcBorders>
              <w:bottom w:val="nil"/>
            </w:tcBorders>
          </w:tcPr>
          <w:p>
            <w:pPr>
              <w:ind w:left="221" w:right="223"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590" w:right="135"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0" w:type="dxa"/>
            <w:vAlign w:val="top"/>
            <w:vMerge w:val="restart"/>
            <w:tcBorders>
              <w:bottom w:val="nil"/>
            </w:tcBorders>
          </w:tcPr>
          <w:p>
            <w:pPr>
              <w:ind w:left="213"/>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0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89" w:type="dxa"/>
            <w:vAlign w:val="top"/>
          </w:tcPr>
          <w:p>
            <w:pPr>
              <w:ind w:left="19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00"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3480"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89" w:type="dxa"/>
            <w:vAlign w:val="top"/>
          </w:tcPr>
          <w:p>
            <w:pPr>
              <w:ind w:left="44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2" w:hRule="atLeast"/>
        </w:trPr>
        <w:tc>
          <w:tcPr>
            <w:tcW w:w="1400" w:type="dxa"/>
            <w:vAlign w:val="top"/>
            <w:vMerge w:val="restart"/>
            <w:tcBorders>
              <w:bottom w:val="nil"/>
            </w:tcBorders>
          </w:tcPr>
          <w:p>
            <w:pPr>
              <w:ind w:left="213" w:right="223" w:firstLine="9"/>
              <w:spacing w:before="90"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685" w:type="dxa"/>
            <w:vAlign w:val="top"/>
            <w:vMerge w:val="restart"/>
            <w:tcBorders>
              <w:bottom w:val="nil"/>
            </w:tcBorders>
          </w:tcPr>
          <w:p>
            <w:pPr>
              <w:ind w:left="110"/>
              <w:spacing w:before="9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21"/>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21"/>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0" w:type="dxa"/>
            <w:vAlign w:val="top"/>
            <w:vMerge w:val="restart"/>
            <w:tcBorders>
              <w:bottom w:val="nil"/>
            </w:tcBorders>
          </w:tcPr>
          <w:p>
            <w:pPr>
              <w:spacing w:line="325" w:lineRule="auto"/>
              <w:rPr>
                <w:rFonts w:ascii="Arial"/>
                <w:sz w:val="21"/>
              </w:rPr>
            </w:pPr>
            <w:r/>
          </w:p>
          <w:p>
            <w:pPr>
              <w:ind w:left="2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05"/>
              <w:spacing w:before="10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89" w:type="dxa"/>
            <w:vAlign w:val="top"/>
          </w:tcPr>
          <w:p>
            <w:pPr>
              <w:ind w:left="240"/>
              <w:spacing w:before="1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04" w:hRule="atLeast"/>
        </w:trPr>
        <w:tc>
          <w:tcPr>
            <w:tcW w:w="1400"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3480" w:type="dxa"/>
            <w:vAlign w:val="top"/>
          </w:tcPr>
          <w:p>
            <w:pPr>
              <w:ind w:left="102"/>
              <w:spacing w:before="18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89" w:type="dxa"/>
            <w:vAlign w:val="top"/>
          </w:tcPr>
          <w:p>
            <w:pPr>
              <w:ind w:left="440"/>
              <w:spacing w:before="18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10"/>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4"/>
        <w:gridCol w:w="1685"/>
        <w:gridCol w:w="771"/>
        <w:gridCol w:w="3480"/>
        <w:gridCol w:w="1094"/>
      </w:tblGrid>
      <w:tr>
        <w:trPr>
          <w:trHeight w:val="738" w:hRule="atLeast"/>
        </w:trPr>
        <w:tc>
          <w:tcPr>
            <w:tcW w:w="8424" w:type="dxa"/>
            <w:vAlign w:val="top"/>
            <w:gridSpan w:val="5"/>
          </w:tcPr>
          <w:p>
            <w:pPr>
              <w:ind w:left="311"/>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4" w:hRule="atLeast"/>
        </w:trPr>
        <w:tc>
          <w:tcPr>
            <w:tcW w:w="1394" w:type="dxa"/>
            <w:vAlign w:val="top"/>
          </w:tcPr>
          <w:p>
            <w:pPr>
              <w:ind w:left="440"/>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30" w:type="dxa"/>
            <w:vAlign w:val="top"/>
            <w:gridSpan w:val="4"/>
          </w:tcPr>
          <w:p>
            <w:pPr>
              <w:ind w:left="3367"/>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211</w:t>
            </w:r>
          </w:p>
        </w:tc>
      </w:tr>
      <w:tr>
        <w:trPr>
          <w:trHeight w:val="664" w:hRule="atLeast"/>
        </w:trPr>
        <w:tc>
          <w:tcPr>
            <w:tcW w:w="1394" w:type="dxa"/>
            <w:vAlign w:val="top"/>
          </w:tcPr>
          <w:p>
            <w:pPr>
              <w:ind w:left="165"/>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30" w:type="dxa"/>
            <w:vAlign w:val="top"/>
            <w:gridSpan w:val="4"/>
          </w:tcPr>
          <w:p>
            <w:pPr>
              <w:ind w:left="55" w:right="16" w:firstLine="5"/>
              <w:spacing w:before="56"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排放污染物的企业事业单位和其他生产经营者未按照规定建立、保</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存环境管理台账或者台账记录内容不完整、弄虚作假的</w:t>
            </w:r>
          </w:p>
        </w:tc>
      </w:tr>
      <w:tr>
        <w:trPr>
          <w:trHeight w:val="3498" w:hRule="atLeast"/>
        </w:trPr>
        <w:tc>
          <w:tcPr>
            <w:tcW w:w="139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7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30" w:type="dxa"/>
            <w:vAlign w:val="top"/>
            <w:gridSpan w:val="4"/>
          </w:tcPr>
          <w:p>
            <w:pPr>
              <w:ind w:left="73"/>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《河北省生态环境保护条例》</w:t>
            </w:r>
          </w:p>
          <w:p>
            <w:pPr>
              <w:ind w:left="70"/>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排放污染物的企业事业单位</w:t>
            </w:r>
            <w:r>
              <w:rPr>
                <w:rFonts w:ascii="FangSong_GB2312" w:hAnsi="FangSong_GB2312" w:eastAsia="FangSong_GB2312" w:cs="FangSong_GB2312"/>
                <w:sz w:val="24"/>
                <w:szCs w:val="24"/>
                <w:spacing w:val="-2"/>
              </w:rPr>
              <w:t>和其他生产经营</w:t>
            </w:r>
          </w:p>
          <w:p>
            <w:pPr>
              <w:ind w:left="57" w:right="16" w:firstLine="1"/>
              <w:spacing w:before="4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者应当按照国家和本省有关规定建立环境管理台账，记录防治污染</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设施运行管理、监测记录以及其他环境管理等信息，并对台账的真</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spacing w:val="-2"/>
              </w:rPr>
              <w:t>实性和完整性负责。</w:t>
            </w:r>
          </w:p>
          <w:p>
            <w:pPr>
              <w:spacing w:line="273" w:lineRule="auto"/>
              <w:rPr>
                <w:rFonts w:ascii="Arial"/>
                <w:sz w:val="21"/>
              </w:rPr>
            </w:pPr>
            <w:r/>
          </w:p>
          <w:p>
            <w:pPr>
              <w:ind w:left="6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《河北省生态环境保护条例》</w:t>
            </w:r>
          </w:p>
          <w:p>
            <w:pPr>
              <w:ind w:left="62" w:right="14" w:firstLine="7"/>
              <w:spacing w:before="39"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违反本条例规定，排放污染物的企业事业单位</w:t>
            </w:r>
            <w:r>
              <w:rPr>
                <w:rFonts w:ascii="FangSong_GB2312" w:hAnsi="FangSong_GB2312" w:eastAsia="FangSong_GB2312" w:cs="FangSong_GB2312"/>
                <w:sz w:val="24"/>
                <w:szCs w:val="24"/>
                <w:spacing w:val="-2"/>
              </w:rPr>
              <w:t>和其他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生产经营者未按照规定建立、保存环境管理台账或者台账记录内容</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不完整、弄虚作假的，由生态环境主管部门责令改正，处二万元以</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上二十万元以下的罚款；拒不改正的，责令停产整治。</w:t>
            </w:r>
          </w:p>
        </w:tc>
      </w:tr>
      <w:tr>
        <w:trPr>
          <w:trHeight w:val="635" w:hRule="atLeast"/>
        </w:trPr>
        <w:tc>
          <w:tcPr>
            <w:tcW w:w="3850" w:type="dxa"/>
            <w:vAlign w:val="top"/>
            <w:gridSpan w:val="3"/>
          </w:tcPr>
          <w:p>
            <w:pPr>
              <w:ind w:left="1369"/>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74" w:type="dxa"/>
            <w:vAlign w:val="top"/>
            <w:gridSpan w:val="2"/>
          </w:tcPr>
          <w:p>
            <w:pPr>
              <w:ind w:left="1741"/>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94" w:type="dxa"/>
            <w:vAlign w:val="top"/>
          </w:tcPr>
          <w:p>
            <w:pPr>
              <w:ind w:left="465"/>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04"/>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194" w:right="17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3"/>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94" w:type="dxa"/>
            <w:vAlign w:val="top"/>
          </w:tcPr>
          <w:p>
            <w:pPr>
              <w:ind w:left="226"/>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67" w:hRule="atLeast"/>
        </w:trPr>
        <w:tc>
          <w:tcPr>
            <w:tcW w:w="1394" w:type="dxa"/>
            <w:vAlign w:val="top"/>
            <w:vMerge w:val="restart"/>
            <w:tcBorders>
              <w:bottom w:val="nil"/>
            </w:tcBorders>
          </w:tcPr>
          <w:p>
            <w:pPr>
              <w:ind w:left="345" w:right="217" w:hanging="122"/>
              <w:spacing w:before="24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685" w:type="dxa"/>
            <w:vAlign w:val="top"/>
            <w:vMerge w:val="restart"/>
            <w:tcBorders>
              <w:bottom w:val="nil"/>
            </w:tcBorders>
          </w:tcPr>
          <w:p>
            <w:pPr>
              <w:spacing w:line="322" w:lineRule="auto"/>
              <w:rPr>
                <w:rFonts w:ascii="Arial"/>
                <w:sz w:val="21"/>
              </w:rPr>
            </w:pPr>
            <w:r/>
          </w:p>
          <w:p>
            <w:pPr>
              <w:ind w:left="1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322" w:lineRule="auto"/>
              <w:rPr>
                <w:rFonts w:ascii="Arial"/>
                <w:sz w:val="21"/>
              </w:rPr>
            </w:pPr>
            <w:r/>
          </w:p>
          <w:p>
            <w:pPr>
              <w:ind w:left="21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35"/>
              <w:spacing w:before="6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台账记录不完整的</w:t>
            </w:r>
          </w:p>
        </w:tc>
        <w:tc>
          <w:tcPr>
            <w:tcW w:w="1094" w:type="dxa"/>
            <w:vAlign w:val="top"/>
          </w:tcPr>
          <w:p>
            <w:pPr>
              <w:ind w:left="204"/>
              <w:spacing w:before="65"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331"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35"/>
              <w:spacing w:before="49"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台账记录弄虚作假的</w:t>
            </w:r>
          </w:p>
        </w:tc>
        <w:tc>
          <w:tcPr>
            <w:tcW w:w="1094" w:type="dxa"/>
            <w:vAlign w:val="top"/>
          </w:tcPr>
          <w:p>
            <w:pPr>
              <w:ind w:left="138"/>
              <w:spacing w:before="49"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31"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07"/>
              <w:spacing w:before="49"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未保存台账的、未建立台账的</w:t>
            </w:r>
          </w:p>
        </w:tc>
        <w:tc>
          <w:tcPr>
            <w:tcW w:w="1094" w:type="dxa"/>
            <w:vAlign w:val="top"/>
          </w:tcPr>
          <w:p>
            <w:pPr>
              <w:ind w:left="138"/>
              <w:spacing w:before="49" w:line="20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394" w:type="dxa"/>
            <w:vAlign w:val="top"/>
            <w:vMerge w:val="restart"/>
            <w:tcBorders>
              <w:bottom w:val="nil"/>
            </w:tcBorders>
          </w:tcPr>
          <w:p>
            <w:pPr>
              <w:spacing w:line="448"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295" w:lineRule="auto"/>
              <w:rPr>
                <w:rFonts w:ascii="Arial"/>
                <w:sz w:val="21"/>
              </w:rPr>
            </w:pPr>
            <w:r/>
          </w:p>
          <w:p>
            <w:pPr>
              <w:ind w:left="726" w:right="129"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1" w:type="dxa"/>
            <w:vAlign w:val="top"/>
            <w:vMerge w:val="restart"/>
            <w:tcBorders>
              <w:bottom w:val="nil"/>
            </w:tcBorders>
          </w:tcPr>
          <w:p>
            <w:pPr>
              <w:spacing w:line="448" w:lineRule="auto"/>
              <w:rPr>
                <w:rFonts w:ascii="Arial"/>
                <w:sz w:val="21"/>
              </w:rPr>
            </w:pPr>
            <w:r/>
          </w:p>
          <w:p>
            <w:pPr>
              <w:ind w:left="2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94" w:type="dxa"/>
            <w:vAlign w:val="top"/>
          </w:tcPr>
          <w:p>
            <w:pPr>
              <w:ind w:left="44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94" w:type="dxa"/>
            <w:vAlign w:val="top"/>
          </w:tcPr>
          <w:p>
            <w:pPr>
              <w:ind w:left="38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9"/>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94" w:type="dxa"/>
            <w:vAlign w:val="top"/>
          </w:tcPr>
          <w:p>
            <w:pPr>
              <w:ind w:left="38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94" w:type="dxa"/>
            <w:vAlign w:val="top"/>
          </w:tcPr>
          <w:p>
            <w:pPr>
              <w:ind w:left="37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94" w:type="dxa"/>
            <w:vAlign w:val="top"/>
            <w:vMerge w:val="restart"/>
            <w:tcBorders>
              <w:bottom w:val="nil"/>
            </w:tcBorders>
          </w:tcPr>
          <w:p>
            <w:pPr>
              <w:spacing w:line="444"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16"/>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94" w:type="dxa"/>
            <w:vAlign w:val="top"/>
          </w:tcPr>
          <w:p>
            <w:pPr>
              <w:ind w:left="44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3" w:right="256"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94" w:type="dxa"/>
            <w:vAlign w:val="top"/>
          </w:tcPr>
          <w:p>
            <w:pPr>
              <w:ind w:left="2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94" w:type="dxa"/>
            <w:vAlign w:val="top"/>
          </w:tcPr>
          <w:p>
            <w:pPr>
              <w:ind w:left="20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94" w:type="dxa"/>
            <w:vAlign w:val="top"/>
            <w:vMerge w:val="restart"/>
            <w:tcBorders>
              <w:bottom w:val="nil"/>
            </w:tcBorders>
          </w:tcPr>
          <w:p>
            <w:pPr>
              <w:ind w:left="221" w:right="217"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596" w:right="129"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19"/>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94" w:type="dxa"/>
            <w:vAlign w:val="top"/>
          </w:tcPr>
          <w:p>
            <w:pPr>
              <w:ind w:left="20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94" w:type="dxa"/>
            <w:vAlign w:val="top"/>
          </w:tcPr>
          <w:p>
            <w:pPr>
              <w:ind w:left="44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2" w:hRule="atLeast"/>
        </w:trPr>
        <w:tc>
          <w:tcPr>
            <w:tcW w:w="1394" w:type="dxa"/>
            <w:vAlign w:val="top"/>
            <w:vMerge w:val="restart"/>
            <w:tcBorders>
              <w:bottom w:val="nil"/>
            </w:tcBorders>
          </w:tcPr>
          <w:p>
            <w:pPr>
              <w:ind w:left="213" w:right="217" w:firstLine="9"/>
              <w:spacing w:before="93"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685" w:type="dxa"/>
            <w:vAlign w:val="top"/>
            <w:vMerge w:val="restart"/>
            <w:tcBorders>
              <w:bottom w:val="nil"/>
            </w:tcBorders>
          </w:tcPr>
          <w:p>
            <w:pPr>
              <w:ind w:left="116"/>
              <w:spacing w:before="9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27"/>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27"/>
              <w:spacing w:before="37"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327" w:lineRule="auto"/>
              <w:rPr>
                <w:rFonts w:ascii="Arial"/>
                <w:sz w:val="21"/>
              </w:rPr>
            </w:pPr>
            <w:r/>
          </w:p>
          <w:p>
            <w:pPr>
              <w:ind w:left="2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0"/>
              <w:spacing w:before="10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94" w:type="dxa"/>
            <w:vAlign w:val="top"/>
          </w:tcPr>
          <w:p>
            <w:pPr>
              <w:ind w:left="204"/>
              <w:spacing w:before="1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04"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07"/>
              <w:spacing w:before="18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94" w:type="dxa"/>
            <w:vAlign w:val="top"/>
          </w:tcPr>
          <w:p>
            <w:pPr>
              <w:ind w:left="445"/>
              <w:spacing w:before="1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11"/>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8"/>
        <w:gridCol w:w="1685"/>
        <w:gridCol w:w="770"/>
        <w:gridCol w:w="3480"/>
        <w:gridCol w:w="1091"/>
      </w:tblGrid>
      <w:tr>
        <w:trPr>
          <w:trHeight w:val="738" w:hRule="atLeast"/>
        </w:trPr>
        <w:tc>
          <w:tcPr>
            <w:tcW w:w="8424" w:type="dxa"/>
            <w:vAlign w:val="top"/>
            <w:gridSpan w:val="5"/>
          </w:tcPr>
          <w:p>
            <w:pPr>
              <w:ind w:left="311"/>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5" w:hRule="atLeast"/>
        </w:trPr>
        <w:tc>
          <w:tcPr>
            <w:tcW w:w="1398" w:type="dxa"/>
            <w:vAlign w:val="top"/>
          </w:tcPr>
          <w:p>
            <w:pPr>
              <w:ind w:left="440"/>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26" w:type="dxa"/>
            <w:vAlign w:val="top"/>
            <w:gridSpan w:val="4"/>
          </w:tcPr>
          <w:p>
            <w:pPr>
              <w:ind w:left="3363"/>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212</w:t>
            </w:r>
          </w:p>
        </w:tc>
      </w:tr>
      <w:tr>
        <w:trPr>
          <w:trHeight w:val="665" w:hRule="atLeast"/>
        </w:trPr>
        <w:tc>
          <w:tcPr>
            <w:tcW w:w="1398" w:type="dxa"/>
            <w:vAlign w:val="top"/>
          </w:tcPr>
          <w:p>
            <w:pPr>
              <w:ind w:left="165"/>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26" w:type="dxa"/>
            <w:vAlign w:val="top"/>
            <w:gridSpan w:val="4"/>
          </w:tcPr>
          <w:p>
            <w:pPr>
              <w:ind w:left="63" w:right="16" w:firstLine="1"/>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突发环境事件发生后，企业事业单位未及时启动突发环境事件应急</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预案，采取有关必要措施的</w:t>
            </w:r>
          </w:p>
        </w:tc>
      </w:tr>
      <w:tr>
        <w:trPr>
          <w:trHeight w:val="5388" w:hRule="atLeast"/>
        </w:trPr>
        <w:tc>
          <w:tcPr>
            <w:tcW w:w="1398"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7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26" w:type="dxa"/>
            <w:vAlign w:val="top"/>
            <w:gridSpan w:val="4"/>
          </w:tcPr>
          <w:p>
            <w:pPr>
              <w:ind w:left="69"/>
              <w:spacing w:before="54"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《河北省生态环境保护条例》</w:t>
            </w:r>
          </w:p>
          <w:p>
            <w:pPr>
              <w:ind w:left="66"/>
              <w:spacing w:before="3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企业事业单位应当依法制定</w:t>
            </w:r>
            <w:r>
              <w:rPr>
                <w:rFonts w:ascii="FangSong_GB2312" w:hAnsi="FangSong_GB2312" w:eastAsia="FangSong_GB2312" w:cs="FangSong_GB2312"/>
                <w:sz w:val="24"/>
                <w:szCs w:val="24"/>
                <w:spacing w:val="-2"/>
              </w:rPr>
              <w:t>突发环境事件应</w:t>
            </w:r>
          </w:p>
          <w:p>
            <w:pPr>
              <w:ind w:left="48" w:right="16" w:firstLine="26"/>
              <w:spacing w:before="39"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急预案，并报生态环境主管部门和有关部门备案。在发生或</w:t>
            </w:r>
            <w:r>
              <w:rPr>
                <w:rFonts w:ascii="FangSong_GB2312" w:hAnsi="FangSong_GB2312" w:eastAsia="FangSong_GB2312" w:cs="FangSong_GB2312"/>
                <w:sz w:val="24"/>
                <w:szCs w:val="24"/>
                <w:spacing w:val="-2"/>
              </w:rPr>
              <w:t>者可能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发生突发环境事件时，应当立即启动应急预案，采取切</w:t>
            </w:r>
            <w:r>
              <w:rPr>
                <w:rFonts w:ascii="FangSong_GB2312" w:hAnsi="FangSong_GB2312" w:eastAsia="FangSong_GB2312" w:cs="FangSong_GB2312"/>
                <w:sz w:val="24"/>
                <w:szCs w:val="24"/>
                <w:spacing w:val="-1"/>
              </w:rPr>
              <w:t>断或者控制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污染源以及其他防止危害扩大的必要措施，及时通报可</w:t>
            </w:r>
            <w:r>
              <w:rPr>
                <w:rFonts w:ascii="FangSong_GB2312" w:hAnsi="FangSong_GB2312" w:eastAsia="FangSong_GB2312" w:cs="FangSong_GB2312"/>
                <w:sz w:val="24"/>
                <w:szCs w:val="24"/>
                <w:spacing w:val="-1"/>
              </w:rPr>
              <w:t>能受到危害</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的单位和居民，并向生态环境主管部门和有关部门报告</w:t>
            </w:r>
            <w:r>
              <w:rPr>
                <w:rFonts w:ascii="FangSong_GB2312" w:hAnsi="FangSong_GB2312" w:eastAsia="FangSong_GB2312" w:cs="FangSong_GB2312"/>
                <w:sz w:val="24"/>
                <w:szCs w:val="24"/>
                <w:spacing w:val="-1"/>
              </w:rPr>
              <w:t>；生态环境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主管部门接到报告后，应当向当地人民政府和上级人民</w:t>
            </w:r>
            <w:r>
              <w:rPr>
                <w:rFonts w:ascii="FangSong_GB2312" w:hAnsi="FangSong_GB2312" w:eastAsia="FangSong_GB2312" w:cs="FangSong_GB2312"/>
                <w:sz w:val="24"/>
                <w:szCs w:val="24"/>
                <w:spacing w:val="-1"/>
              </w:rPr>
              <w:t>政府生态环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境主管部门报告，并通报可能受到影响的邻近地区的同</w:t>
            </w:r>
            <w:r>
              <w:rPr>
                <w:rFonts w:ascii="FangSong_GB2312" w:hAnsi="FangSong_GB2312" w:eastAsia="FangSong_GB2312" w:cs="FangSong_GB2312"/>
                <w:sz w:val="24"/>
                <w:szCs w:val="24"/>
                <w:spacing w:val="-1"/>
              </w:rPr>
              <w:t>级人民政府</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生态环境主管部门。</w:t>
            </w:r>
          </w:p>
          <w:p>
            <w:pPr>
              <w:spacing w:line="274" w:lineRule="auto"/>
              <w:rPr>
                <w:rFonts w:ascii="Arial"/>
                <w:sz w:val="21"/>
              </w:rPr>
            </w:pPr>
            <w:r/>
          </w:p>
          <w:p>
            <w:pPr>
              <w:ind w:left="6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《河北省生态环境保护条例》</w:t>
            </w:r>
          </w:p>
          <w:p>
            <w:pPr>
              <w:ind w:left="50" w:right="14" w:firstLine="16"/>
              <w:spacing w:before="34"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第七十五条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违反本条例规定，突发环境事件发生后，企业</w:t>
            </w:r>
            <w:r>
              <w:rPr>
                <w:rFonts w:ascii="FangSong_GB2312" w:hAnsi="FangSong_GB2312" w:eastAsia="FangSong_GB2312" w:cs="FangSong_GB2312"/>
                <w:sz w:val="24"/>
                <w:szCs w:val="24"/>
                <w:spacing w:val="-2"/>
              </w:rPr>
              <w:t>事业单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位未及时启动突发环境事件应急预案，采取有关必</w:t>
            </w:r>
            <w:r>
              <w:rPr>
                <w:rFonts w:ascii="FangSong_GB2312" w:hAnsi="FangSong_GB2312" w:eastAsia="FangSong_GB2312" w:cs="FangSong_GB2312"/>
                <w:sz w:val="24"/>
                <w:szCs w:val="24"/>
                <w:spacing w:val="-1"/>
              </w:rPr>
              <w:t>要措施的，由生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态环境主管部门责令改正；情节严重的,处二万元以上十</w:t>
            </w:r>
            <w:r>
              <w:rPr>
                <w:rFonts w:ascii="FangSong_GB2312" w:hAnsi="FangSong_GB2312" w:eastAsia="FangSong_GB2312" w:cs="FangSong_GB2312"/>
                <w:sz w:val="24"/>
                <w:szCs w:val="24"/>
                <w:spacing w:val="-5"/>
              </w:rPr>
              <w:t>万元以下的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罚款；造成严重环境污染、生态破坏或者重大不良</w:t>
            </w:r>
            <w:r>
              <w:rPr>
                <w:rFonts w:ascii="FangSong_GB2312" w:hAnsi="FangSong_GB2312" w:eastAsia="FangSong_GB2312" w:cs="FangSong_GB2312"/>
                <w:sz w:val="24"/>
                <w:szCs w:val="24"/>
                <w:spacing w:val="-1"/>
              </w:rPr>
              <w:t>社会影响的，除</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承担生态环境损害赔偿责任外，依法追究直接负责</w:t>
            </w:r>
            <w:r>
              <w:rPr>
                <w:rFonts w:ascii="FangSong_GB2312" w:hAnsi="FangSong_GB2312" w:eastAsia="FangSong_GB2312" w:cs="FangSong_GB2312"/>
                <w:sz w:val="24"/>
                <w:szCs w:val="24"/>
                <w:spacing w:val="-1"/>
              </w:rPr>
              <w:t>的主管人员和其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他直接责任人员的责任。</w:t>
            </w:r>
          </w:p>
        </w:tc>
      </w:tr>
      <w:tr>
        <w:trPr>
          <w:trHeight w:val="635" w:hRule="atLeast"/>
        </w:trPr>
        <w:tc>
          <w:tcPr>
            <w:tcW w:w="3853" w:type="dxa"/>
            <w:vAlign w:val="top"/>
            <w:gridSpan w:val="3"/>
          </w:tcPr>
          <w:p>
            <w:pPr>
              <w:ind w:left="1369"/>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71" w:type="dxa"/>
            <w:vAlign w:val="top"/>
            <w:gridSpan w:val="2"/>
          </w:tcPr>
          <w:p>
            <w:pPr>
              <w:ind w:left="1738"/>
              <w:spacing w:before="178"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98" w:type="dxa"/>
            <w:vAlign w:val="top"/>
          </w:tcPr>
          <w:p>
            <w:pPr>
              <w:ind w:left="465"/>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00"/>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0" w:type="dxa"/>
            <w:vAlign w:val="top"/>
          </w:tcPr>
          <w:p>
            <w:pPr>
              <w:ind w:left="190" w:right="173"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0"/>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91" w:type="dxa"/>
            <w:vAlign w:val="top"/>
          </w:tcPr>
          <w:p>
            <w:pPr>
              <w:ind w:left="223"/>
              <w:spacing w:before="208"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398"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345" w:right="221"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685"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19"/>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0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04" w:right="113" w:firstLine="11"/>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突发环境事件发生后，启动突发</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环境应急预案不及时但采取有</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关必要措施的</w:t>
            </w:r>
          </w:p>
        </w:tc>
        <w:tc>
          <w:tcPr>
            <w:tcW w:w="1091" w:type="dxa"/>
            <w:vAlign w:val="top"/>
          </w:tcPr>
          <w:p>
            <w:pPr>
              <w:spacing w:line="276" w:lineRule="auto"/>
              <w:rPr>
                <w:rFonts w:ascii="Arial"/>
                <w:sz w:val="21"/>
              </w:rPr>
            </w:pPr>
            <w:r/>
          </w:p>
          <w:p>
            <w:pPr>
              <w:ind w:left="20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949" w:hRule="atLeast"/>
        </w:trPr>
        <w:tc>
          <w:tcPr>
            <w:tcW w:w="1398"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3480" w:type="dxa"/>
            <w:vAlign w:val="top"/>
          </w:tcPr>
          <w:p>
            <w:pPr>
              <w:ind w:left="104" w:right="113" w:firstLine="11"/>
              <w:spacing w:before="41"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突发环境事件发生后，未启动突</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发环境事件应急预案且未采取</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2"/>
              </w:rPr>
              <w:t>有关必要措施的</w:t>
            </w:r>
          </w:p>
        </w:tc>
        <w:tc>
          <w:tcPr>
            <w:tcW w:w="1091" w:type="dxa"/>
            <w:vAlign w:val="top"/>
          </w:tcPr>
          <w:p>
            <w:pPr>
              <w:spacing w:line="277" w:lineRule="auto"/>
              <w:rPr>
                <w:rFonts w:ascii="Arial"/>
                <w:sz w:val="21"/>
              </w:rPr>
            </w:pPr>
            <w:r/>
          </w:p>
          <w:p>
            <w:pPr>
              <w:ind w:left="13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398" w:type="dxa"/>
            <w:vAlign w:val="top"/>
            <w:vMerge w:val="restart"/>
            <w:tcBorders>
              <w:bottom w:val="nil"/>
            </w:tcBorders>
          </w:tcPr>
          <w:p>
            <w:pPr>
              <w:spacing w:line="450"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294" w:lineRule="auto"/>
              <w:rPr>
                <w:rFonts w:ascii="Arial"/>
                <w:sz w:val="21"/>
              </w:rPr>
            </w:pPr>
            <w:r/>
          </w:p>
          <w:p>
            <w:pPr>
              <w:ind w:left="722" w:right="133"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0" w:type="dxa"/>
            <w:vAlign w:val="top"/>
            <w:vMerge w:val="restart"/>
            <w:tcBorders>
              <w:bottom w:val="nil"/>
            </w:tcBorders>
          </w:tcPr>
          <w:p>
            <w:pPr>
              <w:spacing w:line="450" w:lineRule="auto"/>
              <w:rPr>
                <w:rFonts w:ascii="Arial"/>
                <w:sz w:val="21"/>
              </w:rPr>
            </w:pPr>
            <w:r/>
          </w:p>
          <w:p>
            <w:pPr>
              <w:ind w:left="20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91" w:type="dxa"/>
            <w:vAlign w:val="top"/>
          </w:tcPr>
          <w:p>
            <w:pPr>
              <w:ind w:left="43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98"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3480" w:type="dxa"/>
            <w:vAlign w:val="top"/>
          </w:tcPr>
          <w:p>
            <w:pPr>
              <w:ind w:left="11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91" w:type="dxa"/>
            <w:vAlign w:val="top"/>
          </w:tcPr>
          <w:p>
            <w:pPr>
              <w:ind w:left="38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98"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3480" w:type="dxa"/>
            <w:vAlign w:val="top"/>
          </w:tcPr>
          <w:p>
            <w:pPr>
              <w:ind w:left="11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91" w:type="dxa"/>
            <w:vAlign w:val="top"/>
          </w:tcPr>
          <w:p>
            <w:pPr>
              <w:ind w:left="38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98"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3480"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91" w:type="dxa"/>
            <w:vAlign w:val="top"/>
          </w:tcPr>
          <w:p>
            <w:pPr>
              <w:ind w:left="37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98" w:type="dxa"/>
            <w:vAlign w:val="top"/>
            <w:vMerge w:val="restart"/>
            <w:tcBorders>
              <w:bottom w:val="nil"/>
            </w:tcBorders>
          </w:tcPr>
          <w:p>
            <w:pPr>
              <w:spacing w:line="283"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284" w:lineRule="auto"/>
              <w:rPr>
                <w:rFonts w:ascii="Arial"/>
                <w:sz w:val="21"/>
              </w:rPr>
            </w:pPr>
            <w:r/>
          </w:p>
          <w:p>
            <w:pPr>
              <w:ind w:left="112"/>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0" w:type="dxa"/>
            <w:vAlign w:val="top"/>
            <w:vMerge w:val="restart"/>
            <w:tcBorders>
              <w:bottom w:val="nil"/>
            </w:tcBorders>
          </w:tcPr>
          <w:p>
            <w:pPr>
              <w:spacing w:line="284" w:lineRule="auto"/>
              <w:rPr>
                <w:rFonts w:ascii="Arial"/>
                <w:sz w:val="21"/>
              </w:rPr>
            </w:pPr>
            <w:r/>
          </w:p>
          <w:p>
            <w:pPr>
              <w:ind w:left="21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0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91" w:type="dxa"/>
            <w:vAlign w:val="top"/>
          </w:tcPr>
          <w:p>
            <w:pPr>
              <w:ind w:left="44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7" w:hRule="atLeast"/>
        </w:trPr>
        <w:tc>
          <w:tcPr>
            <w:tcW w:w="1398"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3480" w:type="dxa"/>
            <w:vAlign w:val="top"/>
          </w:tcPr>
          <w:p>
            <w:pPr>
              <w:ind w:left="119" w:right="259" w:hanging="8"/>
              <w:spacing w:before="44"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91" w:type="dxa"/>
            <w:vAlign w:val="top"/>
          </w:tcPr>
          <w:p>
            <w:pPr>
              <w:ind w:left="26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bl>
    <w:p>
      <w:pPr>
        <w:pStyle w:val="BodyText"/>
        <w:rPr/>
      </w:pPr>
      <w:r/>
    </w:p>
    <w:p>
      <w:pPr>
        <w:sectPr>
          <w:footerReference w:type="default" r:id="rId412"/>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685"/>
        <w:gridCol w:w="771"/>
        <w:gridCol w:w="3480"/>
        <w:gridCol w:w="1101"/>
      </w:tblGrid>
      <w:tr>
        <w:trPr>
          <w:trHeight w:val="324" w:hRule="atLeast"/>
        </w:trPr>
        <w:tc>
          <w:tcPr>
            <w:tcW w:w="1387" w:type="dxa"/>
            <w:vAlign w:val="top"/>
          </w:tcPr>
          <w:p>
            <w:pPr>
              <w:rPr>
                <w:rFonts w:ascii="Arial"/>
                <w:sz w:val="21"/>
              </w:rPr>
            </w:pPr>
            <w:r/>
          </w:p>
        </w:tc>
        <w:tc>
          <w:tcPr>
            <w:tcW w:w="1685" w:type="dxa"/>
            <w:vAlign w:val="top"/>
          </w:tcPr>
          <w:p>
            <w:pPr>
              <w:rPr>
                <w:rFonts w:ascii="Arial"/>
                <w:sz w:val="21"/>
              </w:rPr>
            </w:pPr>
            <w:r/>
          </w:p>
        </w:tc>
        <w:tc>
          <w:tcPr>
            <w:tcW w:w="771" w:type="dxa"/>
            <w:vAlign w:val="top"/>
          </w:tcPr>
          <w:p>
            <w:pPr>
              <w:rPr>
                <w:rFonts w:ascii="Arial"/>
                <w:sz w:val="21"/>
              </w:rPr>
            </w:pPr>
            <w:r/>
          </w:p>
        </w:tc>
        <w:tc>
          <w:tcPr>
            <w:tcW w:w="3480" w:type="dxa"/>
            <w:vAlign w:val="top"/>
          </w:tcPr>
          <w:p>
            <w:pPr>
              <w:ind w:left="125"/>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01" w:type="dxa"/>
            <w:vAlign w:val="top"/>
          </w:tcPr>
          <w:p>
            <w:pPr>
              <w:ind w:left="20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19" w:hRule="atLeast"/>
        </w:trPr>
        <w:tc>
          <w:tcPr>
            <w:tcW w:w="1387" w:type="dxa"/>
            <w:vAlign w:val="top"/>
            <w:vMerge w:val="restart"/>
            <w:tcBorders>
              <w:bottom w:val="nil"/>
            </w:tcBorders>
          </w:tcPr>
          <w:p>
            <w:pPr>
              <w:ind w:left="221" w:right="210" w:firstLine="7"/>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2" w:hanging="480"/>
              <w:spacing w:before="45"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26"/>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01" w:type="dxa"/>
            <w:vAlign w:val="top"/>
          </w:tcPr>
          <w:p>
            <w:pPr>
              <w:ind w:left="21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387"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4"/>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01" w:type="dxa"/>
            <w:vAlign w:val="top"/>
          </w:tcPr>
          <w:p>
            <w:pPr>
              <w:ind w:left="452"/>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1" w:hRule="atLeast"/>
        </w:trPr>
        <w:tc>
          <w:tcPr>
            <w:tcW w:w="1387" w:type="dxa"/>
            <w:vAlign w:val="top"/>
            <w:vMerge w:val="restart"/>
            <w:tcBorders>
              <w:bottom w:val="nil"/>
            </w:tcBorders>
          </w:tcPr>
          <w:p>
            <w:pPr>
              <w:ind w:left="213" w:right="210" w:firstLine="9"/>
              <w:spacing w:before="90"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685" w:type="dxa"/>
            <w:vAlign w:val="top"/>
            <w:vMerge w:val="restart"/>
            <w:tcBorders>
              <w:bottom w:val="nil"/>
            </w:tcBorders>
          </w:tcPr>
          <w:p>
            <w:pPr>
              <w:ind w:left="123"/>
              <w:spacing w:before="90"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34"/>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34"/>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324" w:lineRule="auto"/>
              <w:rPr>
                <w:rFonts w:ascii="Arial"/>
                <w:sz w:val="21"/>
              </w:rPr>
            </w:pPr>
            <w:r/>
          </w:p>
          <w:p>
            <w:pPr>
              <w:ind w:left="22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7"/>
              <w:spacing w:before="1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01" w:type="dxa"/>
            <w:vAlign w:val="top"/>
          </w:tcPr>
          <w:p>
            <w:pPr>
              <w:ind w:left="211"/>
              <w:spacing w:before="1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03" w:hRule="atLeast"/>
        </w:trPr>
        <w:tc>
          <w:tcPr>
            <w:tcW w:w="1387"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4"/>
              <w:spacing w:before="18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101" w:type="dxa"/>
            <w:vAlign w:val="top"/>
          </w:tcPr>
          <w:p>
            <w:pPr>
              <w:ind w:left="452"/>
              <w:spacing w:before="18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13"/>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4"/>
        <w:gridCol w:w="1685"/>
        <w:gridCol w:w="771"/>
        <w:gridCol w:w="3480"/>
        <w:gridCol w:w="1094"/>
      </w:tblGrid>
      <w:tr>
        <w:trPr>
          <w:trHeight w:val="738" w:hRule="atLeast"/>
        </w:trPr>
        <w:tc>
          <w:tcPr>
            <w:tcW w:w="8424" w:type="dxa"/>
            <w:vAlign w:val="top"/>
            <w:gridSpan w:val="5"/>
          </w:tcPr>
          <w:p>
            <w:pPr>
              <w:ind w:left="311"/>
              <w:spacing w:before="126" w:line="233"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4" w:hRule="atLeast"/>
        </w:trPr>
        <w:tc>
          <w:tcPr>
            <w:tcW w:w="1394" w:type="dxa"/>
            <w:vAlign w:val="top"/>
          </w:tcPr>
          <w:p>
            <w:pPr>
              <w:ind w:left="440"/>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30" w:type="dxa"/>
            <w:vAlign w:val="top"/>
            <w:gridSpan w:val="4"/>
          </w:tcPr>
          <w:p>
            <w:pPr>
              <w:ind w:left="3367"/>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213</w:t>
            </w:r>
          </w:p>
        </w:tc>
      </w:tr>
      <w:tr>
        <w:trPr>
          <w:trHeight w:val="664" w:hRule="atLeast"/>
        </w:trPr>
        <w:tc>
          <w:tcPr>
            <w:tcW w:w="1394" w:type="dxa"/>
            <w:vAlign w:val="top"/>
          </w:tcPr>
          <w:p>
            <w:pPr>
              <w:ind w:left="165"/>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30" w:type="dxa"/>
            <w:vAlign w:val="top"/>
            <w:gridSpan w:val="4"/>
          </w:tcPr>
          <w:p>
            <w:pPr>
              <w:ind w:left="68"/>
              <w:spacing w:before="21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重点排污单位未按照要求公开环境信息的</w:t>
            </w:r>
          </w:p>
        </w:tc>
      </w:tr>
      <w:tr>
        <w:trPr>
          <w:trHeight w:val="3498" w:hRule="atLeast"/>
        </w:trPr>
        <w:tc>
          <w:tcPr>
            <w:tcW w:w="139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73"/>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30" w:type="dxa"/>
            <w:vAlign w:val="top"/>
            <w:gridSpan w:val="4"/>
          </w:tcPr>
          <w:p>
            <w:pPr>
              <w:ind w:left="73"/>
              <w:spacing w:before="5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《河北省生态环境保护条例》</w:t>
            </w:r>
          </w:p>
          <w:p>
            <w:pPr>
              <w:ind w:left="60" w:right="16" w:firstLine="9"/>
              <w:spacing w:before="37"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第六十条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重点排污单位应当按照规定如实向社</w:t>
            </w:r>
            <w:r>
              <w:rPr>
                <w:rFonts w:ascii="FangSong_GB2312" w:hAnsi="FangSong_GB2312" w:eastAsia="FangSong_GB2312" w:cs="FangSong_GB2312"/>
                <w:sz w:val="24"/>
                <w:szCs w:val="24"/>
                <w:spacing w:val="-2"/>
              </w:rPr>
              <w:t>会公开其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主要污染物的名称、排放方式、执行标准、排放浓度和总量、超标</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排放情况，以及防治污染设施的建设和运行情况、突发环境事件应</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1"/>
              </w:rPr>
              <w:t>急预案等环境信息，接受社会监督，并对公开信息的真实性、准确</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spacing w:val="-2"/>
              </w:rPr>
              <w:t>性和完整性负责。</w:t>
            </w:r>
          </w:p>
          <w:p>
            <w:pPr>
              <w:spacing w:line="271" w:lineRule="auto"/>
              <w:rPr>
                <w:rFonts w:ascii="Arial"/>
                <w:sz w:val="21"/>
              </w:rPr>
            </w:pPr>
            <w:r/>
          </w:p>
          <w:p>
            <w:pPr>
              <w:ind w:left="6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《河北省生态环境保护条例》</w:t>
            </w:r>
          </w:p>
          <w:p>
            <w:pPr>
              <w:ind w:left="50" w:right="14" w:firstLine="19"/>
              <w:spacing w:before="3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违反本条例规定，重点排污单位未按照要求公</w:t>
            </w:r>
            <w:r>
              <w:rPr>
                <w:rFonts w:ascii="FangSong_GB2312" w:hAnsi="FangSong_GB2312" w:eastAsia="FangSong_GB2312" w:cs="FangSong_GB2312"/>
                <w:sz w:val="24"/>
                <w:szCs w:val="24"/>
                <w:spacing w:val="-2"/>
              </w:rPr>
              <w:t>开环境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信息的，由生态环境主管部门责令公开，处十万元以下的罚</w:t>
            </w:r>
            <w:r>
              <w:rPr>
                <w:rFonts w:ascii="FangSong_GB2312" w:hAnsi="FangSong_GB2312" w:eastAsia="FangSong_GB2312" w:cs="FangSong_GB2312"/>
                <w:sz w:val="24"/>
                <w:szCs w:val="24"/>
                <w:spacing w:val="-1"/>
              </w:rPr>
              <w:t>款，并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予以公告。</w:t>
            </w:r>
          </w:p>
        </w:tc>
      </w:tr>
      <w:tr>
        <w:trPr>
          <w:trHeight w:val="635" w:hRule="atLeast"/>
        </w:trPr>
        <w:tc>
          <w:tcPr>
            <w:tcW w:w="3850" w:type="dxa"/>
            <w:vAlign w:val="top"/>
            <w:gridSpan w:val="3"/>
          </w:tcPr>
          <w:p>
            <w:pPr>
              <w:ind w:left="136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574" w:type="dxa"/>
            <w:vAlign w:val="top"/>
            <w:gridSpan w:val="2"/>
          </w:tcPr>
          <w:p>
            <w:pPr>
              <w:ind w:left="1741"/>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94" w:type="dxa"/>
            <w:vAlign w:val="top"/>
          </w:tcPr>
          <w:p>
            <w:pPr>
              <w:ind w:left="465"/>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04"/>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71" w:type="dxa"/>
            <w:vAlign w:val="top"/>
          </w:tcPr>
          <w:p>
            <w:pPr>
              <w:ind w:left="194" w:right="170"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480" w:type="dxa"/>
            <w:vAlign w:val="top"/>
          </w:tcPr>
          <w:p>
            <w:pPr>
              <w:ind w:left="1523"/>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94" w:type="dxa"/>
            <w:vAlign w:val="top"/>
          </w:tcPr>
          <w:p>
            <w:pPr>
              <w:ind w:left="226"/>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417" w:hRule="atLeast"/>
        </w:trPr>
        <w:tc>
          <w:tcPr>
            <w:tcW w:w="1394" w:type="dxa"/>
            <w:vAlign w:val="top"/>
            <w:vMerge w:val="restart"/>
            <w:tcBorders>
              <w:bottom w:val="nil"/>
            </w:tcBorders>
          </w:tcPr>
          <w:p>
            <w:pPr>
              <w:spacing w:line="244" w:lineRule="auto"/>
              <w:rPr>
                <w:rFonts w:ascii="Arial"/>
                <w:sz w:val="21"/>
              </w:rPr>
            </w:pPr>
            <w:r/>
          </w:p>
          <w:p>
            <w:pPr>
              <w:ind w:left="345" w:right="217"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685" w:type="dxa"/>
            <w:vAlign w:val="top"/>
            <w:vMerge w:val="restart"/>
            <w:tcBorders>
              <w:bottom w:val="nil"/>
            </w:tcBorders>
          </w:tcPr>
          <w:p>
            <w:pPr>
              <w:spacing w:line="402" w:lineRule="auto"/>
              <w:rPr>
                <w:rFonts w:ascii="Arial"/>
                <w:sz w:val="21"/>
              </w:rPr>
            </w:pPr>
            <w:r/>
          </w:p>
          <w:p>
            <w:pPr>
              <w:ind w:left="12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71" w:type="dxa"/>
            <w:vAlign w:val="top"/>
            <w:vMerge w:val="restart"/>
            <w:tcBorders>
              <w:bottom w:val="nil"/>
            </w:tcBorders>
          </w:tcPr>
          <w:p>
            <w:pPr>
              <w:spacing w:line="402" w:lineRule="auto"/>
              <w:rPr>
                <w:rFonts w:ascii="Arial"/>
                <w:sz w:val="21"/>
              </w:rPr>
            </w:pPr>
            <w:r/>
          </w:p>
          <w:p>
            <w:pPr>
              <w:ind w:left="21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480" w:type="dxa"/>
            <w:vAlign w:val="top"/>
          </w:tcPr>
          <w:p>
            <w:pPr>
              <w:ind w:left="107"/>
              <w:spacing w:before="91"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未完全公开环境信息的</w:t>
            </w:r>
          </w:p>
        </w:tc>
        <w:tc>
          <w:tcPr>
            <w:tcW w:w="1094" w:type="dxa"/>
            <w:vAlign w:val="top"/>
          </w:tcPr>
          <w:p>
            <w:pPr>
              <w:ind w:left="204"/>
              <w:spacing w:before="9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1%-15%</w:t>
            </w:r>
          </w:p>
        </w:tc>
      </w:tr>
      <w:tr>
        <w:trPr>
          <w:trHeight w:val="386"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07"/>
              <w:spacing w:before="7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未公开环境信息的</w:t>
            </w:r>
          </w:p>
        </w:tc>
        <w:tc>
          <w:tcPr>
            <w:tcW w:w="1094" w:type="dxa"/>
            <w:vAlign w:val="top"/>
          </w:tcPr>
          <w:p>
            <w:pPr>
              <w:ind w:left="144"/>
              <w:spacing w:before="75"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16%-30%</w:t>
            </w:r>
          </w:p>
        </w:tc>
      </w:tr>
      <w:tr>
        <w:trPr>
          <w:trHeight w:val="386"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07"/>
              <w:spacing w:before="75"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未如实公开环境信息的</w:t>
            </w:r>
          </w:p>
        </w:tc>
        <w:tc>
          <w:tcPr>
            <w:tcW w:w="1094" w:type="dxa"/>
            <w:vAlign w:val="top"/>
          </w:tcPr>
          <w:p>
            <w:pPr>
              <w:ind w:left="147"/>
              <w:spacing w:before="75"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394" w:type="dxa"/>
            <w:vAlign w:val="top"/>
            <w:vMerge w:val="restart"/>
            <w:tcBorders>
              <w:bottom w:val="nil"/>
            </w:tcBorders>
          </w:tcPr>
          <w:p>
            <w:pPr>
              <w:spacing w:line="448"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295" w:lineRule="auto"/>
              <w:rPr>
                <w:rFonts w:ascii="Arial"/>
                <w:sz w:val="21"/>
              </w:rPr>
            </w:pPr>
            <w:r/>
          </w:p>
          <w:p>
            <w:pPr>
              <w:ind w:left="726" w:right="129"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71" w:type="dxa"/>
            <w:vAlign w:val="top"/>
            <w:vMerge w:val="restart"/>
            <w:tcBorders>
              <w:bottom w:val="nil"/>
            </w:tcBorders>
          </w:tcPr>
          <w:p>
            <w:pPr>
              <w:spacing w:line="448" w:lineRule="auto"/>
              <w:rPr>
                <w:rFonts w:ascii="Arial"/>
                <w:sz w:val="21"/>
              </w:rPr>
            </w:pPr>
            <w:r/>
          </w:p>
          <w:p>
            <w:pPr>
              <w:ind w:left="2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94" w:type="dxa"/>
            <w:vAlign w:val="top"/>
          </w:tcPr>
          <w:p>
            <w:pPr>
              <w:ind w:left="44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94" w:type="dxa"/>
            <w:vAlign w:val="top"/>
          </w:tcPr>
          <w:p>
            <w:pPr>
              <w:ind w:left="38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19"/>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94" w:type="dxa"/>
            <w:vAlign w:val="top"/>
          </w:tcPr>
          <w:p>
            <w:pPr>
              <w:ind w:left="38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94" w:type="dxa"/>
            <w:vAlign w:val="top"/>
          </w:tcPr>
          <w:p>
            <w:pPr>
              <w:ind w:left="378"/>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94" w:type="dxa"/>
            <w:vAlign w:val="top"/>
            <w:vMerge w:val="restart"/>
            <w:tcBorders>
              <w:bottom w:val="nil"/>
            </w:tcBorders>
          </w:tcPr>
          <w:p>
            <w:pPr>
              <w:spacing w:line="444"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5" w:lineRule="auto"/>
              <w:rPr>
                <w:rFonts w:ascii="Arial"/>
                <w:sz w:val="21"/>
              </w:rPr>
            </w:pPr>
            <w:r/>
          </w:p>
          <w:p>
            <w:pPr>
              <w:ind w:left="116"/>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771" w:type="dxa"/>
            <w:vAlign w:val="top"/>
            <w:vMerge w:val="restart"/>
            <w:tcBorders>
              <w:bottom w:val="nil"/>
            </w:tcBorders>
          </w:tcPr>
          <w:p>
            <w:pPr>
              <w:spacing w:line="444"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0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94" w:type="dxa"/>
            <w:vAlign w:val="top"/>
          </w:tcPr>
          <w:p>
            <w:pPr>
              <w:ind w:left="44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94"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771" w:type="dxa"/>
            <w:vAlign w:val="top"/>
            <w:vMerge w:val="continue"/>
            <w:tcBorders>
              <w:top w:val="nil"/>
              <w:bottom w:val="nil"/>
            </w:tcBorders>
          </w:tcPr>
          <w:p>
            <w:pPr>
              <w:rPr>
                <w:rFonts w:ascii="Arial"/>
                <w:sz w:val="21"/>
              </w:rPr>
            </w:pPr>
            <w:r/>
          </w:p>
        </w:tc>
        <w:tc>
          <w:tcPr>
            <w:tcW w:w="3480" w:type="dxa"/>
            <w:vAlign w:val="top"/>
          </w:tcPr>
          <w:p>
            <w:pPr>
              <w:ind w:left="123" w:right="256" w:hanging="8"/>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w:t>
            </w:r>
            <w:r>
              <w:rPr>
                <w:rFonts w:ascii="FangSong_GB2312" w:hAnsi="FangSong_GB2312" w:eastAsia="FangSong_GB2312" w:cs="FangSong_GB2312"/>
                <w:sz w:val="24"/>
                <w:szCs w:val="24"/>
                <w:spacing w:val="8"/>
              </w:rPr>
              <w:t xml:space="preserve"> </w:t>
            </w:r>
            <w:r>
              <w:rPr>
                <w:rFonts w:ascii="FangSong_GB2312" w:hAnsi="FangSong_GB2312" w:eastAsia="FangSong_GB2312" w:cs="FangSong_GB2312"/>
                <w:sz w:val="24"/>
                <w:szCs w:val="24"/>
                <w:spacing w:val="-13"/>
              </w:rPr>
              <w:t>除的</w:t>
            </w:r>
          </w:p>
        </w:tc>
        <w:tc>
          <w:tcPr>
            <w:tcW w:w="1094" w:type="dxa"/>
            <w:vAlign w:val="top"/>
          </w:tcPr>
          <w:p>
            <w:pPr>
              <w:ind w:left="264"/>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94" w:type="dxa"/>
            <w:vAlign w:val="top"/>
          </w:tcPr>
          <w:p>
            <w:pPr>
              <w:ind w:left="20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94" w:type="dxa"/>
            <w:vAlign w:val="top"/>
            <w:vMerge w:val="restart"/>
            <w:tcBorders>
              <w:bottom w:val="nil"/>
            </w:tcBorders>
          </w:tcPr>
          <w:p>
            <w:pPr>
              <w:ind w:left="221" w:right="217"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596" w:right="129"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71" w:type="dxa"/>
            <w:vAlign w:val="top"/>
            <w:vMerge w:val="restart"/>
            <w:tcBorders>
              <w:bottom w:val="nil"/>
            </w:tcBorders>
          </w:tcPr>
          <w:p>
            <w:pPr>
              <w:ind w:left="219"/>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480" w:type="dxa"/>
            <w:vAlign w:val="top"/>
          </w:tcPr>
          <w:p>
            <w:pPr>
              <w:ind w:left="11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94" w:type="dxa"/>
            <w:vAlign w:val="top"/>
          </w:tcPr>
          <w:p>
            <w:pPr>
              <w:ind w:left="20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94" w:type="dxa"/>
            <w:vAlign w:val="top"/>
          </w:tcPr>
          <w:p>
            <w:pPr>
              <w:ind w:left="44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84" w:hRule="atLeast"/>
        </w:trPr>
        <w:tc>
          <w:tcPr>
            <w:tcW w:w="1394" w:type="dxa"/>
            <w:vAlign w:val="top"/>
            <w:vMerge w:val="restart"/>
            <w:tcBorders>
              <w:bottom w:val="nil"/>
            </w:tcBorders>
          </w:tcPr>
          <w:p>
            <w:pPr>
              <w:ind w:left="213" w:right="217" w:firstLine="9"/>
              <w:spacing w:before="41"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685" w:type="dxa"/>
            <w:vAlign w:val="top"/>
            <w:vMerge w:val="restart"/>
            <w:tcBorders>
              <w:bottom w:val="nil"/>
            </w:tcBorders>
          </w:tcPr>
          <w:p>
            <w:pPr>
              <w:ind w:left="116"/>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127"/>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727"/>
              <w:spacing w:before="37"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71" w:type="dxa"/>
            <w:vAlign w:val="top"/>
            <w:vMerge w:val="restart"/>
            <w:tcBorders>
              <w:bottom w:val="nil"/>
            </w:tcBorders>
          </w:tcPr>
          <w:p>
            <w:pPr>
              <w:spacing w:line="279" w:lineRule="auto"/>
              <w:rPr>
                <w:rFonts w:ascii="Arial"/>
                <w:sz w:val="21"/>
              </w:rPr>
            </w:pPr>
            <w:r/>
          </w:p>
          <w:p>
            <w:pPr>
              <w:ind w:left="21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480" w:type="dxa"/>
            <w:vAlign w:val="top"/>
          </w:tcPr>
          <w:p>
            <w:pPr>
              <w:ind w:left="110"/>
              <w:spacing w:before="7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94" w:type="dxa"/>
            <w:vAlign w:val="top"/>
          </w:tcPr>
          <w:p>
            <w:pPr>
              <w:ind w:left="204"/>
              <w:spacing w:before="7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63" w:hRule="atLeast"/>
        </w:trPr>
        <w:tc>
          <w:tcPr>
            <w:tcW w:w="1394"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c>
          <w:tcPr>
            <w:tcW w:w="3480" w:type="dxa"/>
            <w:vAlign w:val="top"/>
          </w:tcPr>
          <w:p>
            <w:pPr>
              <w:ind w:left="107"/>
              <w:spacing w:before="16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94" w:type="dxa"/>
            <w:vAlign w:val="top"/>
          </w:tcPr>
          <w:p>
            <w:pPr>
              <w:ind w:left="445"/>
              <w:spacing w:before="16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14"/>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685"/>
        <w:gridCol w:w="1046"/>
        <w:gridCol w:w="3205"/>
        <w:gridCol w:w="1101"/>
      </w:tblGrid>
      <w:tr>
        <w:trPr>
          <w:trHeight w:val="738" w:hRule="atLeast"/>
        </w:trPr>
        <w:tc>
          <w:tcPr>
            <w:tcW w:w="8424" w:type="dxa"/>
            <w:vAlign w:val="top"/>
            <w:gridSpan w:val="5"/>
          </w:tcPr>
          <w:p>
            <w:pPr>
              <w:ind w:left="311"/>
              <w:spacing w:before="129" w:line="232"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4" w:hRule="atLeast"/>
        </w:trPr>
        <w:tc>
          <w:tcPr>
            <w:tcW w:w="1387" w:type="dxa"/>
            <w:vAlign w:val="top"/>
          </w:tcPr>
          <w:p>
            <w:pPr>
              <w:ind w:left="419"/>
              <w:spacing w:before="193"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37" w:type="dxa"/>
            <w:vAlign w:val="top"/>
            <w:gridSpan w:val="4"/>
          </w:tcPr>
          <w:p>
            <w:pPr>
              <w:ind w:left="3352"/>
              <w:spacing w:before="241"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214</w:t>
            </w:r>
          </w:p>
        </w:tc>
      </w:tr>
      <w:tr>
        <w:trPr>
          <w:trHeight w:val="664" w:hRule="atLeast"/>
        </w:trPr>
        <w:tc>
          <w:tcPr>
            <w:tcW w:w="1387" w:type="dxa"/>
            <w:vAlign w:val="top"/>
          </w:tcPr>
          <w:p>
            <w:pPr>
              <w:ind w:left="144"/>
              <w:spacing w:before="194"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37" w:type="dxa"/>
            <w:vAlign w:val="top"/>
            <w:gridSpan w:val="4"/>
          </w:tcPr>
          <w:p>
            <w:pPr>
              <w:ind w:left="29"/>
              <w:spacing w:before="21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大气污染物排放重点企业不执行重污染天气应急减排措施的</w:t>
            </w:r>
          </w:p>
        </w:tc>
      </w:tr>
      <w:tr>
        <w:trPr>
          <w:trHeight w:val="3184" w:hRule="atLeast"/>
        </w:trPr>
        <w:tc>
          <w:tcPr>
            <w:tcW w:w="1387"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151"/>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37" w:type="dxa"/>
            <w:vAlign w:val="top"/>
            <w:gridSpan w:val="4"/>
          </w:tcPr>
          <w:p>
            <w:pPr>
              <w:ind w:left="34"/>
              <w:spacing w:before="5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b/>
                <w:bCs/>
                <w:spacing w:val="-4"/>
              </w:rPr>
              <w:t>《河北省生态环境保护条例》</w:t>
            </w:r>
          </w:p>
          <w:p>
            <w:pPr>
              <w:ind w:left="16" w:right="54" w:firstLine="15"/>
              <w:spacing w:before="3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第三款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大气污染物排放重点企业根据重</w:t>
            </w:r>
            <w:r>
              <w:rPr>
                <w:rFonts w:ascii="FangSong_GB2312" w:hAnsi="FangSong_GB2312" w:eastAsia="FangSong_GB2312" w:cs="FangSong_GB2312"/>
                <w:sz w:val="24"/>
                <w:szCs w:val="24"/>
                <w:spacing w:val="-2"/>
              </w:rPr>
              <w:t>污染天气应急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预案编制重污染天气应急响应操作方案，执行重</w:t>
            </w:r>
            <w:r>
              <w:rPr>
                <w:rFonts w:ascii="FangSong_GB2312" w:hAnsi="FangSong_GB2312" w:eastAsia="FangSong_GB2312" w:cs="FangSong_GB2312"/>
                <w:sz w:val="24"/>
                <w:szCs w:val="24"/>
                <w:spacing w:val="-1"/>
              </w:rPr>
              <w:t>污染天气应急减排</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措施。大气污染物排放重点企业清单由生态环境</w:t>
            </w:r>
            <w:r>
              <w:rPr>
                <w:rFonts w:ascii="FangSong_GB2312" w:hAnsi="FangSong_GB2312" w:eastAsia="FangSong_GB2312" w:cs="FangSong_GB2312"/>
                <w:sz w:val="24"/>
                <w:szCs w:val="24"/>
                <w:spacing w:val="-1"/>
              </w:rPr>
              <w:t>主管部门向社会公</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布。</w:t>
            </w:r>
          </w:p>
          <w:p>
            <w:pPr>
              <w:spacing w:line="270" w:lineRule="auto"/>
              <w:rPr>
                <w:rFonts w:ascii="Arial"/>
                <w:sz w:val="21"/>
              </w:rPr>
            </w:pPr>
            <w:r/>
          </w:p>
          <w:p>
            <w:pPr>
              <w:ind w:left="28"/>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《河北省生态环境保护条例》</w:t>
            </w:r>
          </w:p>
          <w:p>
            <w:pPr>
              <w:ind w:left="26" w:right="57" w:firstLine="4"/>
              <w:spacing w:before="36"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第七十八条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违反本条例规定，大气污染物排放重点企业不执行重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污染天气应急减排措施的，由生态环境主管部门责令改正；拒不改</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正的，处十万元以上五十万元以下的罚款。</w:t>
            </w:r>
          </w:p>
        </w:tc>
      </w:tr>
      <w:tr>
        <w:trPr>
          <w:trHeight w:val="634" w:hRule="atLeast"/>
        </w:trPr>
        <w:tc>
          <w:tcPr>
            <w:tcW w:w="4118" w:type="dxa"/>
            <w:vAlign w:val="top"/>
            <w:gridSpan w:val="3"/>
          </w:tcPr>
          <w:p>
            <w:pPr>
              <w:ind w:left="1506"/>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06" w:type="dxa"/>
            <w:vAlign w:val="top"/>
            <w:gridSpan w:val="2"/>
          </w:tcPr>
          <w:p>
            <w:pPr>
              <w:ind w:left="1610"/>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tcPr>
          <w:p>
            <w:pPr>
              <w:ind w:left="465"/>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685" w:type="dxa"/>
            <w:vAlign w:val="top"/>
          </w:tcPr>
          <w:p>
            <w:pPr>
              <w:ind w:left="411"/>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1046" w:type="dxa"/>
            <w:vAlign w:val="top"/>
          </w:tcPr>
          <w:p>
            <w:pPr>
              <w:ind w:left="338" w:right="301"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05" w:type="dxa"/>
            <w:vAlign w:val="top"/>
          </w:tcPr>
          <w:p>
            <w:pPr>
              <w:ind w:left="1391"/>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01" w:type="dxa"/>
            <w:vAlign w:val="top"/>
          </w:tcPr>
          <w:p>
            <w:pPr>
              <w:ind w:left="233"/>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387"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left="345" w:right="210"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685"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30"/>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104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35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05" w:type="dxa"/>
            <w:vAlign w:val="top"/>
          </w:tcPr>
          <w:p>
            <w:pPr>
              <w:ind w:left="137" w:right="213" w:hanging="2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未按规定执行减排措施</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时以内的</w:t>
            </w:r>
          </w:p>
        </w:tc>
        <w:tc>
          <w:tcPr>
            <w:tcW w:w="1101" w:type="dxa"/>
            <w:vAlign w:val="top"/>
          </w:tcPr>
          <w:p>
            <w:pPr>
              <w:ind w:left="21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387"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3205" w:type="dxa"/>
            <w:vAlign w:val="top"/>
          </w:tcPr>
          <w:p>
            <w:pPr>
              <w:ind w:left="137" w:right="213" w:hanging="2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未按规定执行减排措施</w:t>
            </w:r>
            <w:r>
              <w:rPr>
                <w:rFonts w:ascii="FangSong_GB2312" w:hAnsi="FangSong_GB2312" w:eastAsia="FangSong_GB2312" w:cs="FangSong_GB2312"/>
                <w:sz w:val="24"/>
                <w:szCs w:val="24"/>
                <w:spacing w:val="-34"/>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时以上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7"/>
              </w:rPr>
              <w:t>12</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7"/>
              </w:rPr>
              <w:t>小时以内的</w:t>
            </w:r>
          </w:p>
        </w:tc>
        <w:tc>
          <w:tcPr>
            <w:tcW w:w="1101" w:type="dxa"/>
            <w:vAlign w:val="top"/>
          </w:tcPr>
          <w:p>
            <w:pPr>
              <w:ind w:left="15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635" w:hRule="atLeast"/>
        </w:trPr>
        <w:tc>
          <w:tcPr>
            <w:tcW w:w="1387"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3205" w:type="dxa"/>
            <w:vAlign w:val="top"/>
          </w:tcPr>
          <w:p>
            <w:pPr>
              <w:ind w:left="137" w:right="103" w:hanging="22"/>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未按规定执行减排措施</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12</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4"/>
              </w:rPr>
              <w:t>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7"/>
              </w:rPr>
              <w:t>时以上</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7"/>
              </w:rPr>
              <w:t>24</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spacing w:val="-7"/>
              </w:rPr>
              <w:t>小时以内的</w:t>
            </w:r>
          </w:p>
        </w:tc>
        <w:tc>
          <w:tcPr>
            <w:tcW w:w="1101" w:type="dxa"/>
            <w:vAlign w:val="top"/>
          </w:tcPr>
          <w:p>
            <w:pPr>
              <w:ind w:left="14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5" w:hRule="atLeast"/>
        </w:trPr>
        <w:tc>
          <w:tcPr>
            <w:tcW w:w="1387"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1046" w:type="dxa"/>
            <w:vAlign w:val="top"/>
            <w:vMerge w:val="continue"/>
            <w:tcBorders>
              <w:top w:val="nil"/>
            </w:tcBorders>
          </w:tcPr>
          <w:p>
            <w:pPr>
              <w:rPr>
                <w:rFonts w:ascii="Arial"/>
                <w:sz w:val="21"/>
              </w:rPr>
            </w:pPr>
            <w:r/>
          </w:p>
        </w:tc>
        <w:tc>
          <w:tcPr>
            <w:tcW w:w="3205" w:type="dxa"/>
            <w:vAlign w:val="top"/>
          </w:tcPr>
          <w:p>
            <w:pPr>
              <w:ind w:left="137" w:right="103" w:hanging="22"/>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未按规定执行减排措施</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spacing w:val="-4"/>
              </w:rPr>
              <w:t>24</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4"/>
              </w:rPr>
              <w:t>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8"/>
              </w:rPr>
              <w:t>时以上的</w:t>
            </w:r>
          </w:p>
        </w:tc>
        <w:tc>
          <w:tcPr>
            <w:tcW w:w="1101" w:type="dxa"/>
            <w:vAlign w:val="top"/>
          </w:tcPr>
          <w:p>
            <w:pPr>
              <w:ind w:left="154"/>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387" w:type="dxa"/>
            <w:vAlign w:val="top"/>
            <w:vMerge w:val="restart"/>
            <w:tcBorders>
              <w:bottom w:val="nil"/>
            </w:tcBorders>
          </w:tcPr>
          <w:p>
            <w:pPr>
              <w:spacing w:line="449"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685" w:type="dxa"/>
            <w:vAlign w:val="top"/>
            <w:vMerge w:val="restart"/>
            <w:tcBorders>
              <w:bottom w:val="nil"/>
            </w:tcBorders>
          </w:tcPr>
          <w:p>
            <w:pPr>
              <w:spacing w:line="293" w:lineRule="auto"/>
              <w:rPr>
                <w:rFonts w:ascii="Arial"/>
                <w:sz w:val="21"/>
              </w:rPr>
            </w:pPr>
            <w:r/>
          </w:p>
          <w:p>
            <w:pPr>
              <w:ind w:left="733" w:right="1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1046" w:type="dxa"/>
            <w:vAlign w:val="top"/>
            <w:vMerge w:val="restart"/>
            <w:tcBorders>
              <w:bottom w:val="nil"/>
            </w:tcBorders>
          </w:tcPr>
          <w:p>
            <w:pPr>
              <w:spacing w:line="450" w:lineRule="auto"/>
              <w:rPr>
                <w:rFonts w:ascii="Arial"/>
                <w:sz w:val="21"/>
              </w:rPr>
            </w:pPr>
            <w:r/>
          </w:p>
          <w:p>
            <w:pPr>
              <w:ind w:left="35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5"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01" w:type="dxa"/>
            <w:vAlign w:val="top"/>
          </w:tcPr>
          <w:p>
            <w:pPr>
              <w:ind w:left="44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3205"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01" w:type="dxa"/>
            <w:vAlign w:val="top"/>
          </w:tcPr>
          <w:p>
            <w:pPr>
              <w:ind w:left="39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3205" w:type="dxa"/>
            <w:vAlign w:val="top"/>
          </w:tcPr>
          <w:p>
            <w:pPr>
              <w:ind w:left="12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01" w:type="dxa"/>
            <w:vAlign w:val="top"/>
          </w:tcPr>
          <w:p>
            <w:pPr>
              <w:ind w:left="39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1046" w:type="dxa"/>
            <w:vAlign w:val="top"/>
            <w:vMerge w:val="continue"/>
            <w:tcBorders>
              <w:top w:val="nil"/>
            </w:tcBorders>
          </w:tcPr>
          <w:p>
            <w:pPr>
              <w:rPr>
                <w:rFonts w:ascii="Arial"/>
                <w:sz w:val="21"/>
              </w:rPr>
            </w:pPr>
            <w:r/>
          </w:p>
        </w:tc>
        <w:tc>
          <w:tcPr>
            <w:tcW w:w="3205"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01" w:type="dxa"/>
            <w:vAlign w:val="top"/>
          </w:tcPr>
          <w:p>
            <w:pPr>
              <w:ind w:left="38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vMerge w:val="restart"/>
            <w:tcBorders>
              <w:bottom w:val="nil"/>
            </w:tcBorders>
          </w:tcPr>
          <w:p>
            <w:pPr>
              <w:spacing w:line="443" w:lineRule="auto"/>
              <w:rPr>
                <w:rFonts w:ascii="Arial"/>
                <w:sz w:val="21"/>
              </w:rPr>
            </w:pPr>
            <w:r/>
          </w:p>
          <w:p>
            <w:pPr>
              <w:ind w:left="222"/>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685" w:type="dxa"/>
            <w:vAlign w:val="top"/>
            <w:vMerge w:val="restart"/>
            <w:tcBorders>
              <w:bottom w:val="nil"/>
            </w:tcBorders>
          </w:tcPr>
          <w:p>
            <w:pPr>
              <w:spacing w:line="444" w:lineRule="auto"/>
              <w:rPr>
                <w:rFonts w:ascii="Arial"/>
                <w:sz w:val="21"/>
              </w:rPr>
            </w:pPr>
            <w:r/>
          </w:p>
          <w:p>
            <w:pPr>
              <w:ind w:left="123"/>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1046" w:type="dxa"/>
            <w:vAlign w:val="top"/>
            <w:vMerge w:val="restart"/>
            <w:tcBorders>
              <w:bottom w:val="nil"/>
            </w:tcBorders>
          </w:tcPr>
          <w:p>
            <w:pPr>
              <w:spacing w:line="443" w:lineRule="auto"/>
              <w:rPr>
                <w:rFonts w:ascii="Arial"/>
                <w:sz w:val="21"/>
              </w:rPr>
            </w:pPr>
            <w:r/>
          </w:p>
          <w:p>
            <w:pPr>
              <w:ind w:left="3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5" w:type="dxa"/>
            <w:vAlign w:val="top"/>
          </w:tcPr>
          <w:p>
            <w:pPr>
              <w:ind w:left="11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01" w:type="dxa"/>
            <w:vAlign w:val="top"/>
          </w:tcPr>
          <w:p>
            <w:pPr>
              <w:ind w:left="45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387" w:type="dxa"/>
            <w:vAlign w:val="top"/>
            <w:vMerge w:val="continue"/>
            <w:tcBorders>
              <w:top w:val="nil"/>
              <w:bottom w:val="nil"/>
            </w:tcBorders>
          </w:tcPr>
          <w:p>
            <w:pPr>
              <w:rPr>
                <w:rFonts w:ascii="Arial"/>
                <w:sz w:val="21"/>
              </w:rPr>
            </w:pPr>
            <w:r/>
          </w:p>
        </w:tc>
        <w:tc>
          <w:tcPr>
            <w:tcW w:w="1685"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3205" w:type="dxa"/>
            <w:vAlign w:val="top"/>
          </w:tcPr>
          <w:p>
            <w:pPr>
              <w:ind w:left="122" w:right="213"/>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01" w:type="dxa"/>
            <w:vAlign w:val="top"/>
          </w:tcPr>
          <w:p>
            <w:pPr>
              <w:ind w:left="27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87"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1046" w:type="dxa"/>
            <w:vAlign w:val="top"/>
            <w:vMerge w:val="continue"/>
            <w:tcBorders>
              <w:top w:val="nil"/>
            </w:tcBorders>
          </w:tcPr>
          <w:p>
            <w:pPr>
              <w:rPr>
                <w:rFonts w:ascii="Arial"/>
                <w:sz w:val="21"/>
              </w:rPr>
            </w:pPr>
            <w:r/>
          </w:p>
        </w:tc>
        <w:tc>
          <w:tcPr>
            <w:tcW w:w="3205" w:type="dxa"/>
            <w:vAlign w:val="top"/>
          </w:tcPr>
          <w:p>
            <w:pPr>
              <w:ind w:left="126"/>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01" w:type="dxa"/>
            <w:vAlign w:val="top"/>
          </w:tcPr>
          <w:p>
            <w:pPr>
              <w:ind w:left="20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20" w:hRule="atLeast"/>
        </w:trPr>
        <w:tc>
          <w:tcPr>
            <w:tcW w:w="1387" w:type="dxa"/>
            <w:vAlign w:val="top"/>
            <w:vMerge w:val="restart"/>
            <w:tcBorders>
              <w:bottom w:val="nil"/>
            </w:tcBorders>
          </w:tcPr>
          <w:p>
            <w:pPr>
              <w:ind w:left="221" w:right="210"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685" w:type="dxa"/>
            <w:vAlign w:val="top"/>
            <w:vMerge w:val="restart"/>
            <w:tcBorders>
              <w:bottom w:val="nil"/>
            </w:tcBorders>
          </w:tcPr>
          <w:p>
            <w:pPr>
              <w:ind w:left="603" w:right="1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1046" w:type="dxa"/>
            <w:vAlign w:val="top"/>
            <w:vMerge w:val="restart"/>
            <w:tcBorders>
              <w:bottom w:val="nil"/>
            </w:tcBorders>
          </w:tcPr>
          <w:p>
            <w:pPr>
              <w:ind w:left="363"/>
              <w:spacing w:before="206"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05"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01" w:type="dxa"/>
            <w:vAlign w:val="top"/>
          </w:tcPr>
          <w:p>
            <w:pPr>
              <w:ind w:left="21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vMerge w:val="continue"/>
            <w:tcBorders>
              <w:top w:val="nil"/>
            </w:tcBorders>
          </w:tcPr>
          <w:p>
            <w:pPr>
              <w:rPr>
                <w:rFonts w:ascii="Arial"/>
                <w:sz w:val="21"/>
              </w:rPr>
            </w:pPr>
            <w:r/>
          </w:p>
        </w:tc>
        <w:tc>
          <w:tcPr>
            <w:tcW w:w="1685" w:type="dxa"/>
            <w:vAlign w:val="top"/>
            <w:vMerge w:val="continue"/>
            <w:tcBorders>
              <w:top w:val="nil"/>
            </w:tcBorders>
          </w:tcPr>
          <w:p>
            <w:pPr>
              <w:rPr>
                <w:rFonts w:ascii="Arial"/>
                <w:sz w:val="21"/>
              </w:rPr>
            </w:pPr>
            <w:r/>
          </w:p>
        </w:tc>
        <w:tc>
          <w:tcPr>
            <w:tcW w:w="1046" w:type="dxa"/>
            <w:vAlign w:val="top"/>
            <w:vMerge w:val="continue"/>
            <w:tcBorders>
              <w:top w:val="nil"/>
            </w:tcBorders>
          </w:tcPr>
          <w:p>
            <w:pPr>
              <w:rPr>
                <w:rFonts w:ascii="Arial"/>
                <w:sz w:val="21"/>
              </w:rPr>
            </w:pPr>
            <w:r/>
          </w:p>
        </w:tc>
        <w:tc>
          <w:tcPr>
            <w:tcW w:w="3205" w:type="dxa"/>
            <w:vAlign w:val="top"/>
          </w:tcPr>
          <w:p>
            <w:pPr>
              <w:ind w:left="12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01" w:type="dxa"/>
            <w:vAlign w:val="top"/>
          </w:tcPr>
          <w:p>
            <w:pPr>
              <w:ind w:left="45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44" w:hRule="atLeast"/>
        </w:trPr>
        <w:tc>
          <w:tcPr>
            <w:tcW w:w="1387" w:type="dxa"/>
            <w:vAlign w:val="top"/>
          </w:tcPr>
          <w:p>
            <w:pPr>
              <w:ind w:left="223"/>
              <w:spacing w:before="103"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p>
        </w:tc>
        <w:tc>
          <w:tcPr>
            <w:tcW w:w="1685" w:type="dxa"/>
            <w:vAlign w:val="top"/>
          </w:tcPr>
          <w:p>
            <w:pPr>
              <w:ind w:left="123"/>
              <w:spacing w:before="103"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tc>
        <w:tc>
          <w:tcPr>
            <w:tcW w:w="1046" w:type="dxa"/>
            <w:vAlign w:val="top"/>
          </w:tcPr>
          <w:p>
            <w:pPr>
              <w:ind w:left="357"/>
              <w:spacing w:before="1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05" w:type="dxa"/>
            <w:vAlign w:val="top"/>
          </w:tcPr>
          <w:p>
            <w:pPr>
              <w:ind w:left="118"/>
              <w:spacing w:before="10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01" w:type="dxa"/>
            <w:vAlign w:val="top"/>
          </w:tcPr>
          <w:p>
            <w:pPr>
              <w:ind w:left="211"/>
              <w:spacing w:before="10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bl>
    <w:p>
      <w:pPr>
        <w:pStyle w:val="BodyText"/>
        <w:rPr/>
      </w:pPr>
      <w:r/>
    </w:p>
    <w:p>
      <w:pPr>
        <w:sectPr>
          <w:footerReference w:type="default" r:id="rId415"/>
          <w:pgSz w:w="11905" w:h="16839"/>
          <w:pgMar w:top="1431" w:right="1738" w:bottom="1156" w:left="1737" w:header="0" w:footer="994" w:gutter="0"/>
        </w:sectPr>
        <w:rPr/>
      </w:pPr>
    </w:p>
    <w:p>
      <w:pPr>
        <w:spacing w:before="92"/>
        <w:rPr/>
      </w:pPr>
      <w:r/>
    </w:p>
    <w:p>
      <w:pPr>
        <w:spacing w:before="91"/>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685"/>
        <w:gridCol w:w="1046"/>
        <w:gridCol w:w="3205"/>
        <w:gridCol w:w="1101"/>
      </w:tblGrid>
      <w:tr>
        <w:trPr>
          <w:trHeight w:val="639" w:hRule="atLeast"/>
        </w:trPr>
        <w:tc>
          <w:tcPr>
            <w:tcW w:w="1387" w:type="dxa"/>
            <w:vAlign w:val="top"/>
          </w:tcPr>
          <w:p>
            <w:pPr>
              <w:ind w:left="213" w:right="210" w:firstLine="11"/>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685" w:type="dxa"/>
            <w:vAlign w:val="top"/>
          </w:tcPr>
          <w:p>
            <w:pPr>
              <w:ind w:left="734" w:right="122" w:hanging="60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坏</w:t>
            </w:r>
          </w:p>
        </w:tc>
        <w:tc>
          <w:tcPr>
            <w:tcW w:w="1046" w:type="dxa"/>
            <w:vAlign w:val="top"/>
          </w:tcPr>
          <w:p>
            <w:pPr>
              <w:rPr>
                <w:rFonts w:ascii="Arial"/>
                <w:sz w:val="21"/>
              </w:rPr>
            </w:pPr>
            <w:r/>
          </w:p>
        </w:tc>
        <w:tc>
          <w:tcPr>
            <w:tcW w:w="3205" w:type="dxa"/>
            <w:vAlign w:val="top"/>
          </w:tcPr>
          <w:p>
            <w:pPr>
              <w:ind w:left="135" w:right="103"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未造成社会影响与生态破坏</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rPr>
              <w:t>的</w:t>
            </w:r>
          </w:p>
        </w:tc>
        <w:tc>
          <w:tcPr>
            <w:tcW w:w="1101" w:type="dxa"/>
            <w:vAlign w:val="top"/>
          </w:tcPr>
          <w:p>
            <w:pPr>
              <w:ind w:left="45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16"/>
          <w:pgSz w:w="11905" w:h="16839"/>
          <w:pgMar w:top="1431" w:right="1738" w:bottom="1156" w:left="1737" w:header="0" w:footer="994" w:gutter="0"/>
        </w:sectPr>
        <w:rPr/>
      </w:pPr>
    </w:p>
    <w:p>
      <w:pPr>
        <w:spacing w:before="4"/>
        <w:rPr/>
      </w:pPr>
      <w:r/>
    </w:p>
    <w:p>
      <w:pPr>
        <w:spacing w:before="4"/>
        <w:rPr/>
      </w:pPr>
      <w:r/>
    </w:p>
    <w:p>
      <w:pPr>
        <w:spacing w:before="4"/>
        <w:rPr/>
      </w:pPr>
      <w:r/>
    </w:p>
    <w:p>
      <w:pPr>
        <w:spacing w:before="3"/>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996"/>
        <w:gridCol w:w="685"/>
        <w:gridCol w:w="3287"/>
        <w:gridCol w:w="1116"/>
      </w:tblGrid>
      <w:tr>
        <w:trPr>
          <w:trHeight w:val="700" w:hRule="atLeast"/>
        </w:trPr>
        <w:tc>
          <w:tcPr>
            <w:tcW w:w="8564" w:type="dxa"/>
            <w:vAlign w:val="top"/>
            <w:gridSpan w:val="6"/>
          </w:tcPr>
          <w:p>
            <w:pPr>
              <w:ind w:left="309"/>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35" w:hRule="atLeast"/>
        </w:trPr>
        <w:tc>
          <w:tcPr>
            <w:tcW w:w="1480" w:type="dxa"/>
            <w:vAlign w:val="top"/>
            <w:gridSpan w:val="2"/>
          </w:tcPr>
          <w:p>
            <w:pPr>
              <w:ind w:left="465"/>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84" w:type="dxa"/>
            <w:vAlign w:val="top"/>
            <w:gridSpan w:val="4"/>
          </w:tcPr>
          <w:p>
            <w:pPr>
              <w:ind w:left="3375"/>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215</w:t>
            </w:r>
          </w:p>
        </w:tc>
      </w:tr>
      <w:tr>
        <w:trPr>
          <w:trHeight w:val="635" w:hRule="atLeast"/>
        </w:trPr>
        <w:tc>
          <w:tcPr>
            <w:tcW w:w="1480" w:type="dxa"/>
            <w:vAlign w:val="top"/>
            <w:gridSpan w:val="2"/>
          </w:tcPr>
          <w:p>
            <w:pPr>
              <w:ind w:left="190"/>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84" w:type="dxa"/>
            <w:vAlign w:val="top"/>
            <w:gridSpan w:val="4"/>
          </w:tcPr>
          <w:p>
            <w:pPr>
              <w:ind w:left="116"/>
              <w:spacing w:before="19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在禁止养殖区域内建设畜禽养殖场、养殖小区的</w:t>
            </w:r>
          </w:p>
        </w:tc>
      </w:tr>
      <w:tr>
        <w:trPr>
          <w:trHeight w:val="3837" w:hRule="atLeast"/>
        </w:trPr>
        <w:tc>
          <w:tcPr>
            <w:tcW w:w="1480" w:type="dxa"/>
            <w:vAlign w:val="top"/>
            <w:gridSpan w:val="2"/>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197"/>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84" w:type="dxa"/>
            <w:vAlign w:val="top"/>
            <w:gridSpan w:val="4"/>
          </w:tcPr>
          <w:p>
            <w:pPr>
              <w:ind w:left="129"/>
              <w:spacing w:before="6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《畜禽规模养殖污染防治条例》</w:t>
            </w:r>
          </w:p>
          <w:p>
            <w:pPr>
              <w:ind w:left="126"/>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禁止在下列区域内建设畜禽养殖场、</w:t>
            </w:r>
            <w:r>
              <w:rPr>
                <w:rFonts w:ascii="FangSong_GB2312" w:hAnsi="FangSong_GB2312" w:eastAsia="FangSong_GB2312" w:cs="FangSong_GB2312"/>
                <w:sz w:val="24"/>
                <w:szCs w:val="24"/>
                <w:spacing w:val="-2"/>
              </w:rPr>
              <w:t>养殖小区：</w:t>
            </w:r>
          </w:p>
          <w:p>
            <w:pPr>
              <w:ind w:left="109"/>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（一）饮用水水源保护区，风景名胜区；</w:t>
            </w:r>
          </w:p>
          <w:p>
            <w:pPr>
              <w:ind w:left="109"/>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（二）</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4"/>
              </w:rPr>
              <w:t>自然保护区的核心区和缓冲区；</w:t>
            </w:r>
          </w:p>
          <w:p>
            <w:pPr>
              <w:ind w:left="109"/>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（三）城镇居民区、文化教育科学研究区等</w:t>
            </w:r>
            <w:r>
              <w:rPr>
                <w:rFonts w:ascii="FangSong_GB2312" w:hAnsi="FangSong_GB2312" w:eastAsia="FangSong_GB2312" w:cs="FangSong_GB2312"/>
                <w:sz w:val="24"/>
                <w:szCs w:val="24"/>
                <w:spacing w:val="-1"/>
              </w:rPr>
              <w:t>人口集中区域；</w:t>
            </w:r>
          </w:p>
          <w:p>
            <w:pPr>
              <w:ind w:left="109"/>
              <w:spacing w:before="3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（四）法律、法规规定的其他禁止养殖区域。</w:t>
            </w:r>
          </w:p>
          <w:p>
            <w:pPr>
              <w:spacing w:line="271" w:lineRule="auto"/>
              <w:rPr>
                <w:rFonts w:ascii="Arial"/>
                <w:sz w:val="21"/>
              </w:rPr>
            </w:pPr>
            <w:r/>
          </w:p>
          <w:p>
            <w:pPr>
              <w:ind w:left="123"/>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《畜禽规模养殖污染防治条例》</w:t>
            </w:r>
          </w:p>
          <w:p>
            <w:pPr>
              <w:ind w:left="115" w:right="108" w:firstLine="10"/>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第三十七条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第一款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违反本条例规定，在禁止养殖区域内建设畜禽</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4"/>
              </w:rPr>
              <w:t>养殖场、养殖小区的，由县级以上地方人民政府环境保护主管部门</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2"/>
              </w:rPr>
              <w:t>责令停止违法行为；拒不停止违法行为的，处</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3</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万元以上</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2"/>
              </w:rPr>
              <w:t>10</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2"/>
              </w:rPr>
              <w:t>万</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元以下的罚款，并报县级以上人民政府责令拆除或者关闭。</w:t>
            </w:r>
          </w:p>
        </w:tc>
      </w:tr>
      <w:tr>
        <w:trPr>
          <w:trHeight w:val="635" w:hRule="atLeast"/>
        </w:trPr>
        <w:tc>
          <w:tcPr>
            <w:tcW w:w="4161" w:type="dxa"/>
            <w:vAlign w:val="top"/>
            <w:gridSpan w:val="4"/>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3" w:type="dxa"/>
            <w:vAlign w:val="top"/>
            <w:gridSpan w:val="2"/>
          </w:tcPr>
          <w:p>
            <w:pPr>
              <w:ind w:left="165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20" w:type="dxa"/>
            <w:vAlign w:val="top"/>
          </w:tcPr>
          <w:p>
            <w:pPr>
              <w:ind w:left="482"/>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56" w:type="dxa"/>
            <w:vAlign w:val="top"/>
            <w:gridSpan w:val="2"/>
          </w:tcPr>
          <w:p>
            <w:pPr>
              <w:ind w:left="597"/>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60" w:right="118"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7" w:type="dxa"/>
            <w:vAlign w:val="top"/>
          </w:tcPr>
          <w:p>
            <w:pPr>
              <w:ind w:left="1430"/>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6" w:type="dxa"/>
            <w:vAlign w:val="top"/>
          </w:tcPr>
          <w:p>
            <w:pPr>
              <w:ind w:left="241"/>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0" w:hRule="atLeast"/>
        </w:trPr>
        <w:tc>
          <w:tcPr>
            <w:tcW w:w="1420"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62" w:right="226"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56" w:type="dxa"/>
            <w:vAlign w:val="top"/>
            <w:gridSpan w:val="2"/>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1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8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287" w:type="dxa"/>
            <w:vAlign w:val="top"/>
          </w:tcPr>
          <w:p>
            <w:pPr>
              <w:ind w:left="118" w:right="103"/>
              <w:spacing w:before="4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在禁止养殖区域内建设畜禽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养殖场、养殖小区，尚未投入</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6"/>
              </w:rPr>
              <w:t>生产</w:t>
            </w:r>
          </w:p>
        </w:tc>
        <w:tc>
          <w:tcPr>
            <w:tcW w:w="1116" w:type="dxa"/>
            <w:vAlign w:val="top"/>
          </w:tcPr>
          <w:p>
            <w:pPr>
              <w:spacing w:line="275"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579"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1" w:right="103" w:firstLine="7"/>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在禁止养殖区域内建设畜禽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养殖场、养殖小区，年出栏生</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1"/>
              </w:rPr>
              <w:t>猪</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11"/>
              </w:rPr>
              <w:t>100</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11"/>
              </w:rPr>
              <w:t>头以上，不足</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11"/>
              </w:rPr>
              <w:t>500</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11"/>
              </w:rPr>
              <w:t>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（其他畜禽种类折合猪的养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殖规模）</w:t>
            </w:r>
          </w:p>
        </w:tc>
        <w:tc>
          <w:tcPr>
            <w:tcW w:w="1116" w:type="dxa"/>
            <w:vAlign w:val="top"/>
          </w:tcPr>
          <w:p>
            <w:pPr>
              <w:spacing w:line="295" w:lineRule="auto"/>
              <w:rPr>
                <w:rFonts w:ascii="Arial"/>
                <w:sz w:val="21"/>
              </w:rPr>
            </w:pPr>
            <w:r/>
          </w:p>
          <w:p>
            <w:pPr>
              <w:spacing w:line="295" w:lineRule="auto"/>
              <w:rPr>
                <w:rFonts w:ascii="Arial"/>
                <w:sz w:val="21"/>
              </w:rPr>
            </w:pPr>
            <w:r/>
          </w:p>
          <w:p>
            <w:pPr>
              <w:ind w:left="16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579"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5" w:right="103" w:firstLine="3"/>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在禁止养殖区域内建设畜禽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养殖场、养殖小区，年出栏生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6"/>
              </w:rPr>
              <w:t>猪</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6"/>
              </w:rPr>
              <w:t>500</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头以上，不足</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1000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头（其他畜禽种类折合猪的养</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3"/>
              </w:rPr>
              <w:t>殖规模）</w:t>
            </w:r>
          </w:p>
        </w:tc>
        <w:tc>
          <w:tcPr>
            <w:tcW w:w="1116" w:type="dxa"/>
            <w:vAlign w:val="top"/>
          </w:tcPr>
          <w:p>
            <w:pPr>
              <w:spacing w:line="295" w:lineRule="auto"/>
              <w:rPr>
                <w:rFonts w:ascii="Arial"/>
                <w:sz w:val="21"/>
              </w:rPr>
            </w:pPr>
            <w:r/>
          </w:p>
          <w:p>
            <w:pPr>
              <w:spacing w:line="295" w:lineRule="auto"/>
              <w:rPr>
                <w:rFonts w:ascii="Arial"/>
                <w:sz w:val="21"/>
              </w:rPr>
            </w:pPr>
            <w:r/>
          </w:p>
          <w:p>
            <w:pPr>
              <w:ind w:left="1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1264"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15" w:right="103" w:firstLine="3"/>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在禁止养殖区域内建设畜禽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养殖场、养殖小区，年出栏生</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8"/>
              </w:rPr>
              <w:t>猪</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8"/>
              </w:rPr>
              <w:t>1000</w:t>
            </w:r>
            <w:r>
              <w:rPr>
                <w:rFonts w:ascii="FangSong_GB2312" w:hAnsi="FangSong_GB2312" w:eastAsia="FangSong_GB2312" w:cs="FangSong_GB2312"/>
                <w:sz w:val="24"/>
                <w:szCs w:val="24"/>
                <w:spacing w:val="23"/>
              </w:rPr>
              <w:t xml:space="preserve"> </w:t>
            </w:r>
            <w:r>
              <w:rPr>
                <w:rFonts w:ascii="FangSong_GB2312" w:hAnsi="FangSong_GB2312" w:eastAsia="FangSong_GB2312" w:cs="FangSong_GB2312"/>
                <w:sz w:val="24"/>
                <w:szCs w:val="24"/>
                <w:spacing w:val="-8"/>
              </w:rPr>
              <w:t>头以上（其他畜禽种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类折合猪的养殖规模）</w:t>
            </w:r>
          </w:p>
        </w:tc>
        <w:tc>
          <w:tcPr>
            <w:tcW w:w="1116" w:type="dxa"/>
            <w:vAlign w:val="top"/>
          </w:tcPr>
          <w:p>
            <w:pPr>
              <w:spacing w:line="435" w:lineRule="auto"/>
              <w:rPr>
                <w:rFonts w:ascii="Arial"/>
                <w:sz w:val="21"/>
              </w:rPr>
            </w:pPr>
            <w:r/>
          </w:p>
          <w:p>
            <w:pPr>
              <w:ind w:left="16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p>
        </w:tc>
      </w:tr>
      <w:tr>
        <w:trPr>
          <w:trHeight w:val="323" w:hRule="atLeast"/>
        </w:trPr>
        <w:tc>
          <w:tcPr>
            <w:tcW w:w="1420" w:type="dxa"/>
            <w:vAlign w:val="top"/>
          </w:tcPr>
          <w:p>
            <w:pPr>
              <w:ind w:left="238"/>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56" w:type="dxa"/>
            <w:vAlign w:val="top"/>
            <w:gridSpan w:val="2"/>
          </w:tcPr>
          <w:p>
            <w:pPr>
              <w:ind w:left="208"/>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tcPr>
          <w:p>
            <w:pPr>
              <w:ind w:left="179"/>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23"/>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6" w:type="dxa"/>
            <w:vAlign w:val="top"/>
          </w:tcPr>
          <w:p>
            <w:pPr>
              <w:ind w:left="458"/>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bl>
    <w:p>
      <w:pPr>
        <w:pStyle w:val="BodyText"/>
        <w:rPr/>
      </w:pPr>
      <w:r/>
    </w:p>
    <w:p>
      <w:pPr>
        <w:sectPr>
          <w:footerReference w:type="default" r:id="rId417"/>
          <w:pgSz w:w="11905" w:h="16839"/>
          <w:pgMar w:top="1431" w:right="1668" w:bottom="1156" w:left="1667"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2056"/>
        <w:gridCol w:w="685"/>
        <w:gridCol w:w="3287"/>
        <w:gridCol w:w="1116"/>
      </w:tblGrid>
      <w:tr>
        <w:trPr>
          <w:trHeight w:val="324" w:hRule="atLeast"/>
        </w:trPr>
        <w:tc>
          <w:tcPr>
            <w:tcW w:w="1420" w:type="dxa"/>
            <w:vAlign w:val="top"/>
            <w:vMerge w:val="restart"/>
            <w:tcBorders>
              <w:bottom w:val="nil"/>
            </w:tcBorders>
          </w:tcPr>
          <w:p>
            <w:pPr>
              <w:rPr>
                <w:rFonts w:ascii="Arial"/>
                <w:sz w:val="21"/>
              </w:rPr>
            </w:pPr>
            <w:r/>
          </w:p>
        </w:tc>
        <w:tc>
          <w:tcPr>
            <w:tcW w:w="205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87" w:type="dxa"/>
            <w:vAlign w:val="top"/>
          </w:tcPr>
          <w:p>
            <w:pPr>
              <w:ind w:left="12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6" w:type="dxa"/>
            <w:vAlign w:val="top"/>
          </w:tcPr>
          <w:p>
            <w:pPr>
              <w:ind w:left="401"/>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6" w:type="dxa"/>
            <w:vAlign w:val="top"/>
          </w:tcPr>
          <w:p>
            <w:pPr>
              <w:ind w:left="401"/>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19"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3"/>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6" w:type="dxa"/>
            <w:vAlign w:val="top"/>
          </w:tcPr>
          <w:p>
            <w:pPr>
              <w:ind w:left="39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32" w:hRule="atLeast"/>
        </w:trPr>
        <w:tc>
          <w:tcPr>
            <w:tcW w:w="1420" w:type="dxa"/>
            <w:vAlign w:val="top"/>
            <w:vMerge w:val="restart"/>
            <w:tcBorders>
              <w:bottom w:val="nil"/>
            </w:tcBorders>
          </w:tcPr>
          <w:p>
            <w:pPr>
              <w:ind w:left="238" w:right="226"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56" w:type="dxa"/>
            <w:vAlign w:val="top"/>
            <w:vMerge w:val="restart"/>
            <w:tcBorders>
              <w:bottom w:val="nil"/>
            </w:tcBorders>
          </w:tcPr>
          <w:p>
            <w:pPr>
              <w:ind w:left="789" w:right="307" w:hanging="480"/>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5"/>
              <w:spacing w:before="21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20"/>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6" w:type="dxa"/>
            <w:vAlign w:val="top"/>
          </w:tcPr>
          <w:p>
            <w:pPr>
              <w:ind w:left="221"/>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6" w:type="dxa"/>
            <w:vAlign w:val="top"/>
          </w:tcPr>
          <w:p>
            <w:pPr>
              <w:ind w:left="46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20" w:type="dxa"/>
            <w:vAlign w:val="top"/>
            <w:vMerge w:val="restart"/>
            <w:tcBorders>
              <w:bottom w:val="nil"/>
            </w:tcBorders>
          </w:tcPr>
          <w:p>
            <w:pPr>
              <w:ind w:left="230" w:right="226" w:firstLine="9"/>
              <w:spacing w:before="82"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56" w:type="dxa"/>
            <w:vAlign w:val="top"/>
            <w:vMerge w:val="restart"/>
            <w:tcBorders>
              <w:bottom w:val="nil"/>
            </w:tcBorders>
          </w:tcPr>
          <w:p>
            <w:pPr>
              <w:ind w:left="320" w:right="187" w:hanging="131"/>
              <w:spacing w:before="241"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7"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1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6" w:type="dxa"/>
            <w:vAlign w:val="top"/>
          </w:tcPr>
          <w:p>
            <w:pPr>
              <w:ind w:left="221"/>
              <w:spacing w:before="79"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6" w:right="29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6" w:type="dxa"/>
            <w:vAlign w:val="top"/>
          </w:tcPr>
          <w:p>
            <w:pPr>
              <w:ind w:left="4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18"/>
          <w:pgSz w:w="11905" w:h="16839"/>
          <w:pgMar w:top="1431" w:right="1668" w:bottom="1156" w:left="1667" w:header="0" w:footer="994" w:gutter="0"/>
        </w:sectPr>
        <w:rPr/>
      </w:pPr>
    </w:p>
    <w:p>
      <w:pPr>
        <w:spacing w:before="4"/>
        <w:rPr/>
      </w:pPr>
      <w:r/>
    </w:p>
    <w:p>
      <w:pPr>
        <w:spacing w:before="4"/>
        <w:rPr/>
      </w:pPr>
      <w:r/>
    </w:p>
    <w:p>
      <w:pPr>
        <w:spacing w:before="4"/>
        <w:rPr/>
      </w:pPr>
      <w:r/>
    </w:p>
    <w:p>
      <w:pPr>
        <w:spacing w:before="3"/>
        <w:rPr/>
      </w:pPr>
      <w:r/>
    </w:p>
    <w:tbl>
      <w:tblPr>
        <w:tblStyle w:val="TableNormal"/>
        <w:tblW w:w="8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4"/>
        <w:gridCol w:w="60"/>
        <w:gridCol w:w="1996"/>
        <w:gridCol w:w="685"/>
        <w:gridCol w:w="3287"/>
        <w:gridCol w:w="1116"/>
      </w:tblGrid>
      <w:tr>
        <w:trPr>
          <w:trHeight w:val="700" w:hRule="atLeast"/>
        </w:trPr>
        <w:tc>
          <w:tcPr>
            <w:tcW w:w="8538" w:type="dxa"/>
            <w:vAlign w:val="top"/>
            <w:gridSpan w:val="6"/>
          </w:tcPr>
          <w:p>
            <w:pPr>
              <w:ind w:left="267"/>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35" w:hRule="atLeast"/>
        </w:trPr>
        <w:tc>
          <w:tcPr>
            <w:tcW w:w="1454" w:type="dxa"/>
            <w:vAlign w:val="top"/>
            <w:gridSpan w:val="2"/>
          </w:tcPr>
          <w:p>
            <w:pPr>
              <w:ind w:left="452"/>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84" w:type="dxa"/>
            <w:vAlign w:val="top"/>
            <w:gridSpan w:val="4"/>
          </w:tcPr>
          <w:p>
            <w:pPr>
              <w:ind w:left="3376"/>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216</w:t>
            </w:r>
          </w:p>
        </w:tc>
      </w:tr>
      <w:tr>
        <w:trPr>
          <w:trHeight w:val="635" w:hRule="atLeast"/>
        </w:trPr>
        <w:tc>
          <w:tcPr>
            <w:tcW w:w="1454" w:type="dxa"/>
            <w:vAlign w:val="top"/>
            <w:gridSpan w:val="2"/>
          </w:tcPr>
          <w:p>
            <w:pPr>
              <w:ind w:left="177"/>
              <w:spacing w:before="176"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84" w:type="dxa"/>
            <w:vAlign w:val="top"/>
            <w:gridSpan w:val="4"/>
          </w:tcPr>
          <w:p>
            <w:pPr>
              <w:ind w:left="115"/>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在饮用水水源保护区建设畜禽养殖场、养殖小区的</w:t>
            </w:r>
          </w:p>
        </w:tc>
      </w:tr>
      <w:tr>
        <w:trPr>
          <w:trHeight w:val="3823" w:hRule="atLeast"/>
        </w:trPr>
        <w:tc>
          <w:tcPr>
            <w:tcW w:w="1454" w:type="dxa"/>
            <w:vAlign w:val="top"/>
            <w:gridSpan w:val="2"/>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184"/>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84" w:type="dxa"/>
            <w:vAlign w:val="top"/>
            <w:gridSpan w:val="4"/>
          </w:tcPr>
          <w:p>
            <w:pPr>
              <w:ind w:left="127"/>
              <w:spacing w:before="6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《畜禽规模养殖污染防治条例》</w:t>
            </w:r>
          </w:p>
          <w:p>
            <w:pPr>
              <w:ind w:left="124"/>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禁止在下列区域内建设畜禽养殖场、</w:t>
            </w:r>
            <w:r>
              <w:rPr>
                <w:rFonts w:ascii="FangSong_GB2312" w:hAnsi="FangSong_GB2312" w:eastAsia="FangSong_GB2312" w:cs="FangSong_GB2312"/>
                <w:sz w:val="24"/>
                <w:szCs w:val="24"/>
                <w:spacing w:val="-2"/>
              </w:rPr>
              <w:t>养殖小区：</w:t>
            </w:r>
          </w:p>
          <w:p>
            <w:pPr>
              <w:ind w:left="108"/>
              <w:spacing w:before="3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（一）饮用水水源保护区，风景名胜区；</w:t>
            </w:r>
          </w:p>
          <w:p>
            <w:pPr>
              <w:ind w:left="10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（二）</w:t>
            </w:r>
            <w:r>
              <w:rPr>
                <w:rFonts w:ascii="FangSong_GB2312" w:hAnsi="FangSong_GB2312" w:eastAsia="FangSong_GB2312" w:cs="FangSong_GB2312"/>
                <w:sz w:val="24"/>
                <w:szCs w:val="24"/>
                <w:spacing w:val="-59"/>
              </w:rPr>
              <w:t xml:space="preserve"> </w:t>
            </w:r>
            <w:r>
              <w:rPr>
                <w:rFonts w:ascii="FangSong_GB2312" w:hAnsi="FangSong_GB2312" w:eastAsia="FangSong_GB2312" w:cs="FangSong_GB2312"/>
                <w:sz w:val="24"/>
                <w:szCs w:val="24"/>
                <w:spacing w:val="-4"/>
              </w:rPr>
              <w:t>自然保护区的核心区和缓冲区；</w:t>
            </w:r>
          </w:p>
          <w:p>
            <w:pPr>
              <w:ind w:left="108"/>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（三）城镇居民区、文化教育科学研究区等</w:t>
            </w:r>
            <w:r>
              <w:rPr>
                <w:rFonts w:ascii="FangSong_GB2312" w:hAnsi="FangSong_GB2312" w:eastAsia="FangSong_GB2312" w:cs="FangSong_GB2312"/>
                <w:sz w:val="24"/>
                <w:szCs w:val="24"/>
                <w:spacing w:val="-1"/>
              </w:rPr>
              <w:t>人口集中区域；</w:t>
            </w:r>
          </w:p>
          <w:p>
            <w:pPr>
              <w:ind w:left="108"/>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（四）法律、法规规定的其他禁止养殖区域。</w:t>
            </w:r>
          </w:p>
          <w:p>
            <w:pPr>
              <w:spacing w:line="271" w:lineRule="auto"/>
              <w:rPr>
                <w:rFonts w:ascii="Arial"/>
                <w:sz w:val="21"/>
              </w:rPr>
            </w:pPr>
            <w:r/>
          </w:p>
          <w:p>
            <w:pPr>
              <w:ind w:left="121"/>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《畜禽规模养殖污染防治条例》</w:t>
            </w:r>
          </w:p>
          <w:p>
            <w:pPr>
              <w:ind w:left="117" w:right="107" w:firstLine="7"/>
              <w:spacing w:before="38"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第三十七条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第二款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在饮用水水源保护区建设畜禽养殖场、养殖小</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4"/>
              </w:rPr>
              <w:t>区的，由县级以上地方人民政府环境保护主管部门责令停止违法行</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5"/>
              </w:rPr>
              <w:t>为，处</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10</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5"/>
              </w:rPr>
              <w:t>50</w:t>
            </w:r>
            <w:r>
              <w:rPr>
                <w:rFonts w:ascii="FangSong_GB2312" w:hAnsi="FangSong_GB2312" w:eastAsia="FangSong_GB2312" w:cs="FangSong_GB2312"/>
                <w:sz w:val="24"/>
                <w:szCs w:val="24"/>
                <w:spacing w:val="22"/>
              </w:rPr>
              <w:t xml:space="preserve"> </w:t>
            </w:r>
            <w:r>
              <w:rPr>
                <w:rFonts w:ascii="FangSong_GB2312" w:hAnsi="FangSong_GB2312" w:eastAsia="FangSong_GB2312" w:cs="FangSong_GB2312"/>
                <w:sz w:val="24"/>
                <w:szCs w:val="24"/>
                <w:spacing w:val="-5"/>
              </w:rPr>
              <w:t>万元以下的罚款，并报经有批准权的人民</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政府批准，责令拆除或者关闭。</w:t>
            </w:r>
          </w:p>
        </w:tc>
      </w:tr>
      <w:tr>
        <w:trPr>
          <w:trHeight w:val="635" w:hRule="atLeast"/>
        </w:trPr>
        <w:tc>
          <w:tcPr>
            <w:tcW w:w="4135" w:type="dxa"/>
            <w:vAlign w:val="top"/>
            <w:gridSpan w:val="4"/>
          </w:tcPr>
          <w:p>
            <w:pPr>
              <w:ind w:left="1515"/>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3" w:type="dxa"/>
            <w:vAlign w:val="top"/>
            <w:gridSpan w:val="2"/>
          </w:tcPr>
          <w:p>
            <w:pPr>
              <w:ind w:left="1659"/>
              <w:spacing w:before="179"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94" w:type="dxa"/>
            <w:vAlign w:val="top"/>
          </w:tcPr>
          <w:p>
            <w:pPr>
              <w:ind w:left="469"/>
              <w:spacing w:before="19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56" w:type="dxa"/>
            <w:vAlign w:val="top"/>
            <w:gridSpan w:val="2"/>
          </w:tcPr>
          <w:p>
            <w:pPr>
              <w:ind w:left="598"/>
              <w:spacing w:before="207"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59" w:right="119" w:hanging="32"/>
              <w:spacing w:before="50" w:line="241"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7" w:type="dxa"/>
            <w:vAlign w:val="top"/>
          </w:tcPr>
          <w:p>
            <w:pPr>
              <w:ind w:left="1431"/>
              <w:spacing w:before="206"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6" w:type="dxa"/>
            <w:vAlign w:val="top"/>
          </w:tcPr>
          <w:p>
            <w:pPr>
              <w:ind w:left="242"/>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50" w:hRule="atLeast"/>
        </w:trPr>
        <w:tc>
          <w:tcPr>
            <w:tcW w:w="1394"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49" w:right="213"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56" w:type="dxa"/>
            <w:vAlign w:val="top"/>
            <w:gridSpan w:val="2"/>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17"/>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7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87" w:type="dxa"/>
            <w:vAlign w:val="top"/>
          </w:tcPr>
          <w:p>
            <w:pPr>
              <w:ind w:left="116" w:right="102"/>
              <w:spacing w:before="39"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在饮用水水源保护区建设畜</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禽养殖场、养殖小区，尚未投</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入生产</w:t>
            </w:r>
          </w:p>
        </w:tc>
        <w:tc>
          <w:tcPr>
            <w:tcW w:w="1116" w:type="dxa"/>
            <w:vAlign w:val="top"/>
          </w:tcPr>
          <w:p>
            <w:pPr>
              <w:spacing w:line="277" w:lineRule="auto"/>
              <w:rPr>
                <w:rFonts w:ascii="Arial"/>
                <w:sz w:val="21"/>
              </w:rPr>
            </w:pPr>
            <w:r/>
          </w:p>
          <w:p>
            <w:pPr>
              <w:ind w:left="21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579" w:hRule="atLeast"/>
        </w:trPr>
        <w:tc>
          <w:tcPr>
            <w:tcW w:w="1394"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0" w:right="102" w:firstLine="7"/>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在禁止养殖区域内建设畜禽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4"/>
              </w:rPr>
              <w:t>养殖场、养殖小区，年出栏生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1"/>
              </w:rPr>
              <w:t>猪</w:t>
            </w:r>
            <w:r>
              <w:rPr>
                <w:rFonts w:ascii="FangSong_GB2312" w:hAnsi="FangSong_GB2312" w:eastAsia="FangSong_GB2312" w:cs="FangSong_GB2312"/>
                <w:sz w:val="24"/>
                <w:szCs w:val="24"/>
                <w:spacing w:val="33"/>
              </w:rPr>
              <w:t xml:space="preserve"> </w:t>
            </w:r>
            <w:r>
              <w:rPr>
                <w:rFonts w:ascii="FangSong_GB2312" w:hAnsi="FangSong_GB2312" w:eastAsia="FangSong_GB2312" w:cs="FangSong_GB2312"/>
                <w:sz w:val="24"/>
                <w:szCs w:val="24"/>
                <w:spacing w:val="-11"/>
              </w:rPr>
              <w:t>100</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11"/>
              </w:rPr>
              <w:t>头以上，不足</w:t>
            </w:r>
            <w:r>
              <w:rPr>
                <w:rFonts w:ascii="FangSong_GB2312" w:hAnsi="FangSong_GB2312" w:eastAsia="FangSong_GB2312" w:cs="FangSong_GB2312"/>
                <w:sz w:val="24"/>
                <w:szCs w:val="24"/>
                <w:spacing w:val="21"/>
              </w:rPr>
              <w:t xml:space="preserve"> </w:t>
            </w:r>
            <w:r>
              <w:rPr>
                <w:rFonts w:ascii="FangSong_GB2312" w:hAnsi="FangSong_GB2312" w:eastAsia="FangSong_GB2312" w:cs="FangSong_GB2312"/>
                <w:sz w:val="24"/>
                <w:szCs w:val="24"/>
                <w:spacing w:val="-11"/>
              </w:rPr>
              <w:t>500</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11"/>
              </w:rPr>
              <w:t>头</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（其他畜禽种类折合猪的养</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殖规模）</w:t>
            </w:r>
          </w:p>
        </w:tc>
        <w:tc>
          <w:tcPr>
            <w:tcW w:w="1116" w:type="dxa"/>
            <w:vAlign w:val="top"/>
          </w:tcPr>
          <w:p>
            <w:pPr>
              <w:spacing w:line="295" w:lineRule="auto"/>
              <w:rPr>
                <w:rFonts w:ascii="Arial"/>
                <w:sz w:val="21"/>
              </w:rPr>
            </w:pPr>
            <w:r/>
          </w:p>
          <w:p>
            <w:pPr>
              <w:spacing w:line="295" w:lineRule="auto"/>
              <w:rPr>
                <w:rFonts w:ascii="Arial"/>
                <w:sz w:val="21"/>
              </w:rPr>
            </w:pPr>
            <w:r/>
          </w:p>
          <w:p>
            <w:pPr>
              <w:ind w:left="15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579" w:hRule="atLeast"/>
        </w:trPr>
        <w:tc>
          <w:tcPr>
            <w:tcW w:w="1394"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3" w:right="102" w:firstLine="3"/>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在禁止养殖区域内建设畜禽</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养殖场、养殖小区，年出栏生</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6"/>
              </w:rPr>
              <w:t>猪</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6"/>
              </w:rPr>
              <w:t>500</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头以上，不足</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6"/>
              </w:rPr>
              <w:t>1000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头（其他畜禽种类折合猪的养</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3"/>
              </w:rPr>
              <w:t>殖规模）</w:t>
            </w:r>
          </w:p>
        </w:tc>
        <w:tc>
          <w:tcPr>
            <w:tcW w:w="1116" w:type="dxa"/>
            <w:vAlign w:val="top"/>
          </w:tcPr>
          <w:p>
            <w:pPr>
              <w:spacing w:line="295" w:lineRule="auto"/>
              <w:rPr>
                <w:rFonts w:ascii="Arial"/>
                <w:sz w:val="21"/>
              </w:rPr>
            </w:pPr>
            <w:r/>
          </w:p>
          <w:p>
            <w:pPr>
              <w:spacing w:line="295" w:lineRule="auto"/>
              <w:rPr>
                <w:rFonts w:ascii="Arial"/>
                <w:sz w:val="21"/>
              </w:rPr>
            </w:pPr>
            <w:r/>
          </w:p>
          <w:p>
            <w:pPr>
              <w:ind w:left="15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1264" w:hRule="atLeast"/>
        </w:trPr>
        <w:tc>
          <w:tcPr>
            <w:tcW w:w="1394"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16" w:right="102"/>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在饮用水水源保护区建设畜</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禽养殖场、养殖小区，年出栏</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8"/>
              </w:rPr>
              <w:t>生猪</w:t>
            </w:r>
            <w:r>
              <w:rPr>
                <w:rFonts w:ascii="FangSong_GB2312" w:hAnsi="FangSong_GB2312" w:eastAsia="FangSong_GB2312" w:cs="FangSong_GB2312"/>
                <w:sz w:val="24"/>
                <w:szCs w:val="24"/>
                <w:spacing w:val="30"/>
              </w:rPr>
              <w:t xml:space="preserve"> </w:t>
            </w:r>
            <w:r>
              <w:rPr>
                <w:rFonts w:ascii="FangSong_GB2312" w:hAnsi="FangSong_GB2312" w:eastAsia="FangSong_GB2312" w:cs="FangSong_GB2312"/>
                <w:sz w:val="24"/>
                <w:szCs w:val="24"/>
                <w:spacing w:val="-8"/>
              </w:rPr>
              <w:t>1000</w:t>
            </w:r>
            <w:r>
              <w:rPr>
                <w:rFonts w:ascii="FangSong_GB2312" w:hAnsi="FangSong_GB2312" w:eastAsia="FangSong_GB2312" w:cs="FangSong_GB2312"/>
                <w:sz w:val="24"/>
                <w:szCs w:val="24"/>
                <w:spacing w:val="24"/>
              </w:rPr>
              <w:t xml:space="preserve"> </w:t>
            </w:r>
            <w:r>
              <w:rPr>
                <w:rFonts w:ascii="FangSong_GB2312" w:hAnsi="FangSong_GB2312" w:eastAsia="FangSong_GB2312" w:cs="FangSong_GB2312"/>
                <w:sz w:val="24"/>
                <w:szCs w:val="24"/>
                <w:spacing w:val="-8"/>
              </w:rPr>
              <w:t>头以上（其他畜禽</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种类折合猪的养殖规模）</w:t>
            </w:r>
          </w:p>
        </w:tc>
        <w:tc>
          <w:tcPr>
            <w:tcW w:w="1116" w:type="dxa"/>
            <w:vAlign w:val="top"/>
          </w:tcPr>
          <w:p>
            <w:pPr>
              <w:spacing w:line="435" w:lineRule="auto"/>
              <w:rPr>
                <w:rFonts w:ascii="Arial"/>
                <w:sz w:val="21"/>
              </w:rPr>
            </w:pPr>
            <w:r/>
          </w:p>
          <w:p>
            <w:pPr>
              <w:ind w:left="16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3" w:hRule="atLeast"/>
        </w:trPr>
        <w:tc>
          <w:tcPr>
            <w:tcW w:w="1394" w:type="dxa"/>
            <w:vAlign w:val="top"/>
          </w:tcPr>
          <w:p>
            <w:pPr>
              <w:ind w:left="225"/>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56" w:type="dxa"/>
            <w:vAlign w:val="top"/>
            <w:gridSpan w:val="2"/>
          </w:tcPr>
          <w:p>
            <w:pPr>
              <w:ind w:left="209"/>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tcPr>
          <w:p>
            <w:pPr>
              <w:ind w:left="177"/>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22"/>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6" w:type="dxa"/>
            <w:vAlign w:val="top"/>
          </w:tcPr>
          <w:p>
            <w:pPr>
              <w:ind w:left="456"/>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bl>
    <w:p>
      <w:pPr>
        <w:pStyle w:val="BodyText"/>
        <w:rPr/>
      </w:pPr>
      <w:r/>
    </w:p>
    <w:p>
      <w:pPr>
        <w:sectPr>
          <w:footerReference w:type="default" r:id="rId419"/>
          <w:pgSz w:w="11905" w:h="16839"/>
          <w:pgMar w:top="1431" w:right="1681" w:bottom="1156" w:left="1680" w:header="0" w:footer="994" w:gutter="0"/>
        </w:sectPr>
        <w:rPr/>
      </w:pPr>
    </w:p>
    <w:p>
      <w:pPr>
        <w:spacing w:before="92"/>
        <w:rPr/>
      </w:pPr>
      <w:r/>
    </w:p>
    <w:p>
      <w:pPr>
        <w:spacing w:before="91"/>
        <w:rPr/>
      </w:pPr>
      <w:r/>
    </w:p>
    <w:tbl>
      <w:tblPr>
        <w:tblStyle w:val="TableNormal"/>
        <w:tblW w:w="85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4"/>
        <w:gridCol w:w="2056"/>
        <w:gridCol w:w="685"/>
        <w:gridCol w:w="3287"/>
        <w:gridCol w:w="1116"/>
      </w:tblGrid>
      <w:tr>
        <w:trPr>
          <w:trHeight w:val="324" w:hRule="atLeast"/>
        </w:trPr>
        <w:tc>
          <w:tcPr>
            <w:tcW w:w="1394" w:type="dxa"/>
            <w:vAlign w:val="top"/>
            <w:vMerge w:val="restart"/>
            <w:tcBorders>
              <w:bottom w:val="nil"/>
            </w:tcBorders>
          </w:tcPr>
          <w:p>
            <w:pPr>
              <w:rPr>
                <w:rFonts w:ascii="Arial"/>
                <w:sz w:val="21"/>
              </w:rPr>
            </w:pPr>
            <w:r/>
          </w:p>
        </w:tc>
        <w:tc>
          <w:tcPr>
            <w:tcW w:w="205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87" w:type="dxa"/>
            <w:vAlign w:val="top"/>
          </w:tcPr>
          <w:p>
            <w:pPr>
              <w:ind w:left="12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6" w:type="dxa"/>
            <w:vAlign w:val="top"/>
          </w:tcPr>
          <w:p>
            <w:pPr>
              <w:ind w:left="399"/>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19" w:hRule="atLeast"/>
        </w:trPr>
        <w:tc>
          <w:tcPr>
            <w:tcW w:w="1394"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6"/>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6" w:type="dxa"/>
            <w:vAlign w:val="top"/>
          </w:tcPr>
          <w:p>
            <w:pPr>
              <w:ind w:left="39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94"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6" w:type="dxa"/>
            <w:vAlign w:val="top"/>
          </w:tcPr>
          <w:p>
            <w:pPr>
              <w:ind w:left="39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94" w:type="dxa"/>
            <w:vAlign w:val="top"/>
            <w:vMerge w:val="restart"/>
            <w:tcBorders>
              <w:bottom w:val="nil"/>
            </w:tcBorders>
          </w:tcPr>
          <w:p>
            <w:pPr>
              <w:spacing w:line="442" w:lineRule="auto"/>
              <w:rPr>
                <w:rFonts w:ascii="Arial"/>
                <w:sz w:val="21"/>
              </w:rPr>
            </w:pPr>
            <w:r/>
          </w:p>
          <w:p>
            <w:pPr>
              <w:ind w:left="226"/>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56" w:type="dxa"/>
            <w:vAlign w:val="top"/>
            <w:vMerge w:val="restart"/>
            <w:tcBorders>
              <w:bottom w:val="nil"/>
            </w:tcBorders>
          </w:tcPr>
          <w:p>
            <w:pPr>
              <w:spacing w:line="443" w:lineRule="auto"/>
              <w:rPr>
                <w:rFonts w:ascii="Arial"/>
                <w:sz w:val="21"/>
              </w:rPr>
            </w:pPr>
            <w:r/>
          </w:p>
          <w:p>
            <w:pPr>
              <w:ind w:left="310"/>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1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6" w:type="dxa"/>
            <w:vAlign w:val="top"/>
          </w:tcPr>
          <w:p>
            <w:pPr>
              <w:ind w:left="46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394"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2" w:right="296"/>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6" w:type="dxa"/>
            <w:vAlign w:val="top"/>
          </w:tcPr>
          <w:p>
            <w:pPr>
              <w:ind w:left="279"/>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394"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6" w:type="dxa"/>
            <w:vAlign w:val="top"/>
          </w:tcPr>
          <w:p>
            <w:pPr>
              <w:ind w:left="21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394" w:type="dxa"/>
            <w:vAlign w:val="top"/>
            <w:vMerge w:val="restart"/>
            <w:tcBorders>
              <w:bottom w:val="nil"/>
            </w:tcBorders>
          </w:tcPr>
          <w:p>
            <w:pPr>
              <w:ind w:left="225" w:right="213" w:firstLine="7"/>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56" w:type="dxa"/>
            <w:vAlign w:val="top"/>
            <w:vMerge w:val="restart"/>
            <w:tcBorders>
              <w:bottom w:val="nil"/>
            </w:tcBorders>
          </w:tcPr>
          <w:p>
            <w:pPr>
              <w:ind w:left="790" w:right="306" w:hanging="480"/>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3"/>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6" w:type="dxa"/>
            <w:vAlign w:val="top"/>
          </w:tcPr>
          <w:p>
            <w:pPr>
              <w:ind w:left="219"/>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94"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6" w:type="dxa"/>
            <w:vAlign w:val="top"/>
          </w:tcPr>
          <w:p>
            <w:pPr>
              <w:ind w:left="46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394" w:type="dxa"/>
            <w:vAlign w:val="top"/>
            <w:vMerge w:val="restart"/>
            <w:tcBorders>
              <w:bottom w:val="nil"/>
            </w:tcBorders>
          </w:tcPr>
          <w:p>
            <w:pPr>
              <w:ind w:left="217" w:right="213" w:firstLine="9"/>
              <w:spacing w:before="8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56" w:type="dxa"/>
            <w:vAlign w:val="top"/>
            <w:vMerge w:val="restart"/>
            <w:tcBorders>
              <w:bottom w:val="nil"/>
            </w:tcBorders>
          </w:tcPr>
          <w:p>
            <w:pPr>
              <w:ind w:left="321" w:right="186" w:hanging="131"/>
              <w:spacing w:before="23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8" w:lineRule="auto"/>
              <w:rPr>
                <w:rFonts w:ascii="Arial"/>
                <w:sz w:val="21"/>
              </w:rPr>
            </w:pPr>
            <w:r/>
          </w:p>
          <w:p>
            <w:pPr>
              <w:ind w:left="177"/>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17"/>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6" w:type="dxa"/>
            <w:vAlign w:val="top"/>
          </w:tcPr>
          <w:p>
            <w:pPr>
              <w:ind w:left="219"/>
              <w:spacing w:before="8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394"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4" w:right="296"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6" w:type="dxa"/>
            <w:vAlign w:val="top"/>
          </w:tcPr>
          <w:p>
            <w:pPr>
              <w:ind w:left="46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20"/>
          <w:pgSz w:w="11905" w:h="16839"/>
          <w:pgMar w:top="1431" w:right="1681" w:bottom="1156" w:left="1680" w:header="0" w:footer="994" w:gutter="0"/>
        </w:sectPr>
        <w:rPr/>
      </w:pPr>
    </w:p>
    <w:p>
      <w:pPr>
        <w:spacing w:before="4"/>
        <w:rPr/>
      </w:pPr>
      <w:r/>
    </w:p>
    <w:p>
      <w:pPr>
        <w:spacing w:before="4"/>
        <w:rPr/>
      </w:pPr>
      <w:r/>
    </w:p>
    <w:p>
      <w:pPr>
        <w:spacing w:before="4"/>
        <w:rPr/>
      </w:pPr>
      <w:r/>
    </w:p>
    <w:p>
      <w:pPr>
        <w:spacing w:before="3"/>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996"/>
        <w:gridCol w:w="685"/>
        <w:gridCol w:w="3287"/>
        <w:gridCol w:w="1116"/>
      </w:tblGrid>
      <w:tr>
        <w:trPr>
          <w:trHeight w:val="700" w:hRule="atLeast"/>
        </w:trPr>
        <w:tc>
          <w:tcPr>
            <w:tcW w:w="8564" w:type="dxa"/>
            <w:vAlign w:val="top"/>
            <w:gridSpan w:val="6"/>
          </w:tcPr>
          <w:p>
            <w:pPr>
              <w:ind w:left="381"/>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34" w:hRule="atLeast"/>
        </w:trPr>
        <w:tc>
          <w:tcPr>
            <w:tcW w:w="1480" w:type="dxa"/>
            <w:vAlign w:val="top"/>
            <w:gridSpan w:val="2"/>
          </w:tcPr>
          <w:p>
            <w:pPr>
              <w:ind w:left="465"/>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84" w:type="dxa"/>
            <w:vAlign w:val="top"/>
            <w:gridSpan w:val="4"/>
          </w:tcPr>
          <w:p>
            <w:pPr>
              <w:ind w:left="3375"/>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217</w:t>
            </w:r>
          </w:p>
        </w:tc>
      </w:tr>
      <w:tr>
        <w:trPr>
          <w:trHeight w:val="634" w:hRule="atLeast"/>
        </w:trPr>
        <w:tc>
          <w:tcPr>
            <w:tcW w:w="1480" w:type="dxa"/>
            <w:vAlign w:val="top"/>
            <w:gridSpan w:val="2"/>
          </w:tcPr>
          <w:p>
            <w:pPr>
              <w:ind w:left="190"/>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84" w:type="dxa"/>
            <w:vAlign w:val="top"/>
            <w:gridSpan w:val="4"/>
          </w:tcPr>
          <w:p>
            <w:pPr>
              <w:ind w:left="127"/>
              <w:spacing w:before="197"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畜禽养殖场、养殖小区依法应当进行环境影响评价而未进行的</w:t>
            </w:r>
          </w:p>
        </w:tc>
      </w:tr>
      <w:tr>
        <w:trPr>
          <w:trHeight w:val="4098" w:hRule="atLeast"/>
        </w:trPr>
        <w:tc>
          <w:tcPr>
            <w:tcW w:w="1480" w:type="dxa"/>
            <w:vAlign w:val="top"/>
            <w:gridSpan w:val="2"/>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97"/>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84" w:type="dxa"/>
            <w:vAlign w:val="top"/>
            <w:gridSpan w:val="4"/>
          </w:tcPr>
          <w:p>
            <w:pPr>
              <w:ind w:left="129"/>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《畜禽规模养殖污染防治条例》</w:t>
            </w:r>
          </w:p>
          <w:p>
            <w:pPr>
              <w:ind w:left="112" w:right="47" w:firstLine="13"/>
              <w:spacing w:before="33" w:line="23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第十二条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第一款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新建、改建、扩建畜禽养殖场、养殖小区，应当</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0"/>
              </w:rPr>
              <w:t>符合畜牧业发展规划、畜禽养殖污染防治规划，满足动物防疫条件，</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1"/>
              </w:rPr>
              <w:t>并进行环境影响评价。对环境可能造成重大影响的大型畜禽养殖</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场、养殖小区，应当编制环境影响报告书；其他畜禽养殖场、养殖</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小区应当填报环境影响登记表。大型畜禽养殖场、养殖小区的管理</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1"/>
              </w:rPr>
              <w:t>目录，由国务院环境保护主管部门商国务院农牧主管部门确定。</w:t>
            </w:r>
          </w:p>
          <w:p>
            <w:pPr>
              <w:spacing w:line="271" w:lineRule="auto"/>
              <w:rPr>
                <w:rFonts w:ascii="Arial"/>
                <w:sz w:val="21"/>
              </w:rPr>
            </w:pPr>
            <w:r/>
          </w:p>
          <w:p>
            <w:pPr>
              <w:ind w:left="12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《畜禽规模养殖污染防治条例》</w:t>
            </w:r>
          </w:p>
          <w:p>
            <w:pPr>
              <w:ind w:left="113" w:right="108" w:firstLine="12"/>
              <w:spacing w:before="37"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第三十八条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违反本条例规定，畜禽养殖场、</w:t>
            </w:r>
            <w:r>
              <w:rPr>
                <w:rFonts w:ascii="FangSong_GB2312" w:hAnsi="FangSong_GB2312" w:eastAsia="FangSong_GB2312" w:cs="FangSong_GB2312"/>
                <w:sz w:val="24"/>
                <w:szCs w:val="24"/>
                <w:spacing w:val="-5"/>
              </w:rPr>
              <w:t>养殖小区依法应当进</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行环境影响评价而未进行的，由有权审批该项目环境影响评价文件</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的环境保护主管部门责令停止建设，限期补办手续；逾期不补办手</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5"/>
              </w:rPr>
              <w:t>续的，处</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spacing w:val="-5"/>
              </w:rPr>
              <w:t>5</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万元以上</w:t>
            </w:r>
            <w:r>
              <w:rPr>
                <w:rFonts w:ascii="FangSong_GB2312" w:hAnsi="FangSong_GB2312" w:eastAsia="FangSong_GB2312" w:cs="FangSong_GB2312"/>
                <w:sz w:val="24"/>
                <w:szCs w:val="24"/>
                <w:spacing w:val="-41"/>
              </w:rPr>
              <w:t xml:space="preserve"> </w:t>
            </w:r>
            <w:r>
              <w:rPr>
                <w:rFonts w:ascii="FangSong_GB2312" w:hAnsi="FangSong_GB2312" w:eastAsia="FangSong_GB2312" w:cs="FangSong_GB2312"/>
                <w:sz w:val="24"/>
                <w:szCs w:val="24"/>
                <w:spacing w:val="-5"/>
              </w:rPr>
              <w:t>20</w:t>
            </w:r>
            <w:r>
              <w:rPr>
                <w:rFonts w:ascii="FangSong_GB2312" w:hAnsi="FangSong_GB2312" w:eastAsia="FangSong_GB2312" w:cs="FangSong_GB2312"/>
                <w:sz w:val="24"/>
                <w:szCs w:val="24"/>
                <w:spacing w:val="-38"/>
              </w:rPr>
              <w:t xml:space="preserve"> </w:t>
            </w:r>
            <w:r>
              <w:rPr>
                <w:rFonts w:ascii="FangSong_GB2312" w:hAnsi="FangSong_GB2312" w:eastAsia="FangSong_GB2312" w:cs="FangSong_GB2312"/>
                <w:sz w:val="24"/>
                <w:szCs w:val="24"/>
                <w:spacing w:val="-5"/>
              </w:rPr>
              <w:t>万元以下的罚款。</w:t>
            </w:r>
          </w:p>
        </w:tc>
      </w:tr>
      <w:tr>
        <w:trPr>
          <w:trHeight w:val="635" w:hRule="atLeast"/>
        </w:trPr>
        <w:tc>
          <w:tcPr>
            <w:tcW w:w="4161" w:type="dxa"/>
            <w:vAlign w:val="top"/>
            <w:gridSpan w:val="4"/>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3" w:type="dxa"/>
            <w:vAlign w:val="top"/>
            <w:gridSpan w:val="2"/>
          </w:tcPr>
          <w:p>
            <w:pPr>
              <w:ind w:left="165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20" w:type="dxa"/>
            <w:vAlign w:val="top"/>
          </w:tcPr>
          <w:p>
            <w:pPr>
              <w:ind w:left="482"/>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56" w:type="dxa"/>
            <w:vAlign w:val="top"/>
            <w:gridSpan w:val="2"/>
          </w:tcPr>
          <w:p>
            <w:pPr>
              <w:ind w:left="597"/>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60" w:right="118"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7" w:type="dxa"/>
            <w:vAlign w:val="top"/>
          </w:tcPr>
          <w:p>
            <w:pPr>
              <w:ind w:left="1430"/>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6" w:type="dxa"/>
            <w:vAlign w:val="top"/>
          </w:tcPr>
          <w:p>
            <w:pPr>
              <w:ind w:left="241"/>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20" w:type="dxa"/>
            <w:vAlign w:val="top"/>
            <w:vMerge w:val="restart"/>
            <w:tcBorders>
              <w:bottom w:val="nil"/>
            </w:tcBorders>
          </w:tcPr>
          <w:p>
            <w:pPr>
              <w:spacing w:line="282" w:lineRule="auto"/>
              <w:rPr>
                <w:rFonts w:ascii="Arial"/>
                <w:sz w:val="21"/>
              </w:rPr>
            </w:pPr>
            <w:r/>
          </w:p>
          <w:p>
            <w:pPr>
              <w:ind w:left="362" w:right="226"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56" w:type="dxa"/>
            <w:vAlign w:val="top"/>
            <w:gridSpan w:val="2"/>
            <w:vMerge w:val="restart"/>
            <w:tcBorders>
              <w:bottom w:val="nil"/>
            </w:tcBorders>
          </w:tcPr>
          <w:p>
            <w:pPr>
              <w:spacing w:line="440" w:lineRule="auto"/>
              <w:rPr>
                <w:rFonts w:ascii="Arial"/>
                <w:sz w:val="21"/>
              </w:rPr>
            </w:pPr>
            <w:r/>
          </w:p>
          <w:p>
            <w:pPr>
              <w:ind w:left="31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440"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87" w:type="dxa"/>
            <w:vAlign w:val="top"/>
          </w:tcPr>
          <w:p>
            <w:pPr>
              <w:ind w:left="116" w:right="295" w:firstLine="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应当填报环境影响登记表的</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其他畜禽养殖场、养殖小区</w:t>
            </w:r>
          </w:p>
        </w:tc>
        <w:tc>
          <w:tcPr>
            <w:tcW w:w="1116" w:type="dxa"/>
            <w:vAlign w:val="top"/>
          </w:tcPr>
          <w:p>
            <w:pPr>
              <w:ind w:left="221"/>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5"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5" w:right="295" w:hanging="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应当编制环境影响报告书的</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2"/>
              </w:rPr>
              <w:t>大型畜禽养殖场、养殖小区</w:t>
            </w:r>
          </w:p>
        </w:tc>
        <w:tc>
          <w:tcPr>
            <w:tcW w:w="1116" w:type="dxa"/>
            <w:vAlign w:val="top"/>
          </w:tcPr>
          <w:p>
            <w:pPr>
              <w:ind w:left="155"/>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20" w:type="dxa"/>
            <w:vAlign w:val="top"/>
            <w:vMerge w:val="restart"/>
            <w:tcBorders>
              <w:bottom w:val="nil"/>
            </w:tcBorders>
          </w:tcPr>
          <w:p>
            <w:pPr>
              <w:spacing w:line="449"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56" w:type="dxa"/>
            <w:vAlign w:val="top"/>
            <w:gridSpan w:val="2"/>
            <w:vMerge w:val="restart"/>
            <w:tcBorders>
              <w:bottom w:val="nil"/>
            </w:tcBorders>
          </w:tcPr>
          <w:p>
            <w:pPr>
              <w:spacing w:line="449" w:lineRule="auto"/>
              <w:rPr>
                <w:rFonts w:ascii="Arial"/>
                <w:sz w:val="21"/>
              </w:rPr>
            </w:pPr>
            <w:r/>
          </w:p>
          <w:p>
            <w:pPr>
              <w:ind w:left="20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9"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2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6" w:type="dxa"/>
            <w:vAlign w:val="top"/>
          </w:tcPr>
          <w:p>
            <w:pPr>
              <w:ind w:left="45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6" w:type="dxa"/>
            <w:vAlign w:val="top"/>
          </w:tcPr>
          <w:p>
            <w:pPr>
              <w:ind w:left="401"/>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6" w:type="dxa"/>
            <w:vAlign w:val="top"/>
          </w:tcPr>
          <w:p>
            <w:pPr>
              <w:ind w:left="40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3"/>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6" w:type="dxa"/>
            <w:vAlign w:val="top"/>
          </w:tcPr>
          <w:p>
            <w:pPr>
              <w:ind w:left="395"/>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20" w:type="dxa"/>
            <w:vAlign w:val="top"/>
            <w:vMerge w:val="restart"/>
            <w:tcBorders>
              <w:bottom w:val="nil"/>
            </w:tcBorders>
          </w:tcPr>
          <w:p>
            <w:pPr>
              <w:spacing w:line="445" w:lineRule="auto"/>
              <w:rPr>
                <w:rFonts w:ascii="Arial"/>
                <w:sz w:val="21"/>
              </w:rPr>
            </w:pPr>
            <w:r/>
          </w:p>
          <w:p>
            <w:pPr>
              <w:ind w:left="23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56" w:type="dxa"/>
            <w:vAlign w:val="top"/>
            <w:gridSpan w:val="2"/>
            <w:vMerge w:val="restart"/>
            <w:tcBorders>
              <w:bottom w:val="nil"/>
            </w:tcBorders>
          </w:tcPr>
          <w:p>
            <w:pPr>
              <w:spacing w:line="445" w:lineRule="auto"/>
              <w:rPr>
                <w:rFonts w:ascii="Arial"/>
                <w:sz w:val="21"/>
              </w:rPr>
            </w:pPr>
            <w:r/>
          </w:p>
          <w:p>
            <w:pPr>
              <w:ind w:left="30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5" w:lineRule="auto"/>
              <w:rPr>
                <w:rFonts w:ascii="Arial"/>
                <w:sz w:val="21"/>
              </w:rPr>
            </w:pPr>
            <w:r/>
          </w:p>
          <w:p>
            <w:pPr>
              <w:ind w:left="18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1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6" w:type="dxa"/>
            <w:vAlign w:val="top"/>
          </w:tcPr>
          <w:p>
            <w:pPr>
              <w:ind w:left="46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5"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3" w:right="295"/>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6" w:type="dxa"/>
            <w:vAlign w:val="top"/>
          </w:tcPr>
          <w:p>
            <w:pPr>
              <w:ind w:left="281"/>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6" w:type="dxa"/>
            <w:vAlign w:val="top"/>
          </w:tcPr>
          <w:p>
            <w:pPr>
              <w:ind w:left="21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3" w:hRule="atLeast"/>
        </w:trPr>
        <w:tc>
          <w:tcPr>
            <w:tcW w:w="1420" w:type="dxa"/>
            <w:vAlign w:val="top"/>
            <w:vMerge w:val="restart"/>
            <w:tcBorders>
              <w:bottom w:val="nil"/>
            </w:tcBorders>
          </w:tcPr>
          <w:p>
            <w:pPr>
              <w:ind w:left="238" w:right="226" w:firstLine="7"/>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56" w:type="dxa"/>
            <w:vAlign w:val="top"/>
            <w:gridSpan w:val="2"/>
            <w:vMerge w:val="restart"/>
            <w:tcBorders>
              <w:bottom w:val="nil"/>
            </w:tcBorders>
          </w:tcPr>
          <w:p>
            <w:pPr>
              <w:ind w:left="789" w:right="307" w:hanging="480"/>
              <w:spacing w:before="5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5"/>
              <w:spacing w:before="21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20"/>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6" w:type="dxa"/>
            <w:vAlign w:val="top"/>
          </w:tcPr>
          <w:p>
            <w:pPr>
              <w:ind w:left="221"/>
              <w:spacing w:before="49" w:line="21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6" w:type="dxa"/>
            <w:vAlign w:val="top"/>
          </w:tcPr>
          <w:p>
            <w:pPr>
              <w:ind w:left="46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3" w:hRule="atLeast"/>
        </w:trPr>
        <w:tc>
          <w:tcPr>
            <w:tcW w:w="1420" w:type="dxa"/>
            <w:vAlign w:val="top"/>
            <w:vMerge w:val="restart"/>
            <w:tcBorders>
              <w:bottom w:val="nil"/>
            </w:tcBorders>
          </w:tcPr>
          <w:p>
            <w:pPr>
              <w:ind w:left="230" w:right="226" w:firstLine="9"/>
              <w:spacing w:before="43"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56" w:type="dxa"/>
            <w:vAlign w:val="top"/>
            <w:gridSpan w:val="2"/>
            <w:vMerge w:val="restart"/>
            <w:tcBorders>
              <w:bottom w:val="nil"/>
            </w:tcBorders>
          </w:tcPr>
          <w:p>
            <w:pPr>
              <w:ind w:left="320" w:right="187" w:hanging="131"/>
              <w:spacing w:before="19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278"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1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6" w:type="dxa"/>
            <w:vAlign w:val="top"/>
          </w:tcPr>
          <w:p>
            <w:pPr>
              <w:ind w:left="221"/>
              <w:spacing w:before="80"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56"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16"/>
              <w:spacing w:before="15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1"/>
                <w:w w:val="98"/>
              </w:rPr>
              <w:t>未造成社会影响与生态破坏的</w:t>
            </w:r>
          </w:p>
        </w:tc>
        <w:tc>
          <w:tcPr>
            <w:tcW w:w="1116" w:type="dxa"/>
            <w:vAlign w:val="top"/>
          </w:tcPr>
          <w:p>
            <w:pPr>
              <w:ind w:left="462"/>
              <w:spacing w:before="15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21"/>
          <w:pgSz w:w="11905" w:h="16839"/>
          <w:pgMar w:top="1431" w:right="1668" w:bottom="1156" w:left="1667"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996"/>
        <w:gridCol w:w="685"/>
        <w:gridCol w:w="3287"/>
        <w:gridCol w:w="1116"/>
      </w:tblGrid>
      <w:tr>
        <w:trPr>
          <w:trHeight w:val="700" w:hRule="atLeast"/>
        </w:trPr>
        <w:tc>
          <w:tcPr>
            <w:tcW w:w="8564" w:type="dxa"/>
            <w:vAlign w:val="top"/>
            <w:gridSpan w:val="6"/>
          </w:tcPr>
          <w:p>
            <w:pPr>
              <w:ind w:left="280"/>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35" w:hRule="atLeast"/>
        </w:trPr>
        <w:tc>
          <w:tcPr>
            <w:tcW w:w="1480" w:type="dxa"/>
            <w:vAlign w:val="top"/>
            <w:gridSpan w:val="2"/>
          </w:tcPr>
          <w:p>
            <w:pPr>
              <w:ind w:left="465"/>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84" w:type="dxa"/>
            <w:vAlign w:val="top"/>
            <w:gridSpan w:val="4"/>
          </w:tcPr>
          <w:p>
            <w:pPr>
              <w:ind w:left="3375"/>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218</w:t>
            </w:r>
          </w:p>
        </w:tc>
      </w:tr>
      <w:tr>
        <w:trPr>
          <w:trHeight w:val="1264" w:hRule="atLeast"/>
        </w:trPr>
        <w:tc>
          <w:tcPr>
            <w:tcW w:w="1480" w:type="dxa"/>
            <w:vAlign w:val="top"/>
            <w:gridSpan w:val="2"/>
          </w:tcPr>
          <w:p>
            <w:pPr>
              <w:spacing w:line="399" w:lineRule="auto"/>
              <w:rPr>
                <w:rFonts w:ascii="Arial"/>
                <w:sz w:val="21"/>
              </w:rPr>
            </w:pPr>
            <w:r/>
          </w:p>
          <w:p>
            <w:pPr>
              <w:ind w:left="190"/>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84" w:type="dxa"/>
            <w:vAlign w:val="top"/>
            <w:gridSpan w:val="4"/>
          </w:tcPr>
          <w:p>
            <w:pPr>
              <w:ind w:left="112" w:right="105" w:firstLine="1"/>
              <w:spacing w:before="42"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未建设污染防治配套设施或者自行建设的配套设施不合格，也未委</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5"/>
              </w:rPr>
              <w:t>托他人对畜禽养殖废弃物进行综合利用和无害化处理，畜禽养殖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场、养殖小区即投入生产、使用，或者建设的污染防治配套设施未</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正常运行的</w:t>
            </w:r>
          </w:p>
        </w:tc>
      </w:tr>
      <w:tr>
        <w:trPr>
          <w:trHeight w:val="6617" w:hRule="atLeast"/>
        </w:trPr>
        <w:tc>
          <w:tcPr>
            <w:tcW w:w="1480" w:type="dxa"/>
            <w:vAlign w:val="top"/>
            <w:gridSpan w:val="2"/>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97"/>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84" w:type="dxa"/>
            <w:vAlign w:val="top"/>
            <w:gridSpan w:val="4"/>
          </w:tcPr>
          <w:p>
            <w:pPr>
              <w:ind w:left="129"/>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《畜禽规模养殖污染防治条例》</w:t>
            </w:r>
          </w:p>
          <w:p>
            <w:pPr>
              <w:ind w:left="116" w:right="108" w:firstLine="9"/>
              <w:spacing w:before="40"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第十三条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畜禽养殖场、养殖小区应当根据养殖规模和污染防</w:t>
            </w:r>
            <w:r>
              <w:rPr>
                <w:rFonts w:ascii="FangSong_GB2312" w:hAnsi="FangSong_GB2312" w:eastAsia="FangSong_GB2312" w:cs="FangSong_GB2312"/>
                <w:sz w:val="24"/>
                <w:szCs w:val="24"/>
                <w:spacing w:val="-2"/>
              </w:rPr>
              <w:t>治需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要，建设相应的畜禽粪便、污水与雨水分流设施，畜禽粪便、污水</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的贮存设施，粪污厌氧消化和堆沤、有机肥加工、制取沼气、沼渣</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沼液分离和输送、污水处理、畜禽尸体处理等综合利用和无害化处</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4"/>
              </w:rPr>
              <w:t>理设施。已经委托他人对畜禽养殖废弃物代为综合利用和无害化处</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1"/>
              </w:rPr>
              <w:t>理的，可以不自行建设综合利用和无害化处理设施。</w:t>
            </w:r>
          </w:p>
          <w:p>
            <w:pPr>
              <w:ind w:left="112" w:right="108" w:firstLine="1"/>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未建设污染防治配套设施、自行建设的配套设施不合格，或者未委</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托他人对畜禽养殖废弃物进行综合利用和无害化处理的，畜禽养殖</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4"/>
              </w:rPr>
              <w:t>场、养殖小区不得投入生产或者使用。畜禽养殖场、养殖小区自行</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1"/>
              </w:rPr>
              <w:t>建设污染防治配套设施的，应当确保其正常运行。</w:t>
            </w:r>
          </w:p>
          <w:p>
            <w:pPr>
              <w:ind w:left="121" w:right="108" w:firstLine="5"/>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畜禽养殖场、养殖小区自行建设污染防治配套设施的，应当确</w:t>
            </w:r>
            <w:r>
              <w:rPr>
                <w:rFonts w:ascii="FangSong_GB2312" w:hAnsi="FangSong_GB2312" w:eastAsia="FangSong_GB2312" w:cs="FangSong_GB2312"/>
                <w:sz w:val="24"/>
                <w:szCs w:val="24"/>
                <w:spacing w:val="-5"/>
              </w:rPr>
              <w:t>保其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正常运行。</w:t>
            </w:r>
          </w:p>
          <w:p>
            <w:pPr>
              <w:spacing w:line="270" w:lineRule="auto"/>
              <w:rPr>
                <w:rFonts w:ascii="Arial"/>
                <w:sz w:val="21"/>
              </w:rPr>
            </w:pPr>
            <w:r/>
          </w:p>
          <w:p>
            <w:pPr>
              <w:ind w:left="12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《畜禽规模养殖污染防治条例》</w:t>
            </w:r>
          </w:p>
          <w:p>
            <w:pPr>
              <w:ind w:left="108" w:right="108" w:firstLine="17"/>
              <w:spacing w:before="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第三十九条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违反本条例规定，未建设污染防治配套设施</w:t>
            </w:r>
            <w:r>
              <w:rPr>
                <w:rFonts w:ascii="FangSong_GB2312" w:hAnsi="FangSong_GB2312" w:eastAsia="FangSong_GB2312" w:cs="FangSong_GB2312"/>
                <w:sz w:val="24"/>
                <w:szCs w:val="24"/>
                <w:spacing w:val="-2"/>
              </w:rPr>
              <w:t>或者自行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建设的配套设施不合格，也未委托他人对畜禽养殖废弃物进行综合</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4"/>
              </w:rPr>
              <w:t>利用和无害化处理，畜禽养殖场、养殖小区即投入生产、使用，或</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4"/>
              </w:rPr>
              <w:t>者建设的污染防治配套设施未正常运行的，由县级以上人民政府环</w:t>
            </w:r>
            <w:r>
              <w:rPr>
                <w:rFonts w:ascii="FangSong_GB2312" w:hAnsi="FangSong_GB2312" w:eastAsia="FangSong_GB2312" w:cs="FangSong_GB2312"/>
                <w:sz w:val="24"/>
                <w:szCs w:val="24"/>
                <w:spacing w:val="17"/>
              </w:rPr>
              <w:t xml:space="preserve"> </w:t>
            </w:r>
            <w:r>
              <w:rPr>
                <w:rFonts w:ascii="FangSong_GB2312" w:hAnsi="FangSong_GB2312" w:eastAsia="FangSong_GB2312" w:cs="FangSong_GB2312"/>
                <w:sz w:val="24"/>
                <w:szCs w:val="24"/>
                <w:spacing w:val="-3"/>
              </w:rPr>
              <w:t>境保护主管部门责令停止生产或者使用，可以处</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10</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万元以下的罚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款。</w:t>
            </w:r>
          </w:p>
        </w:tc>
      </w:tr>
      <w:tr>
        <w:trPr>
          <w:trHeight w:val="635" w:hRule="atLeast"/>
        </w:trPr>
        <w:tc>
          <w:tcPr>
            <w:tcW w:w="4161" w:type="dxa"/>
            <w:vAlign w:val="top"/>
            <w:gridSpan w:val="4"/>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3" w:type="dxa"/>
            <w:vAlign w:val="top"/>
            <w:gridSpan w:val="2"/>
          </w:tcPr>
          <w:p>
            <w:pPr>
              <w:ind w:left="165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20" w:type="dxa"/>
            <w:vAlign w:val="top"/>
          </w:tcPr>
          <w:p>
            <w:pPr>
              <w:ind w:left="482"/>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56" w:type="dxa"/>
            <w:vAlign w:val="top"/>
            <w:gridSpan w:val="2"/>
          </w:tcPr>
          <w:p>
            <w:pPr>
              <w:ind w:left="597"/>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60" w:right="118"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7" w:type="dxa"/>
            <w:vAlign w:val="top"/>
          </w:tcPr>
          <w:p>
            <w:pPr>
              <w:ind w:left="1430"/>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6" w:type="dxa"/>
            <w:vAlign w:val="top"/>
          </w:tcPr>
          <w:p>
            <w:pPr>
              <w:ind w:left="241"/>
              <w:spacing w:before="211"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420"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362" w:right="226"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56"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1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87" w:type="dxa"/>
            <w:vAlign w:val="top"/>
          </w:tcPr>
          <w:p>
            <w:pPr>
              <w:ind w:left="123" w:right="295" w:hanging="9"/>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建设的污染防治配套设施未</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4"/>
              </w:rPr>
              <w:t>正常运行的</w:t>
            </w:r>
          </w:p>
        </w:tc>
        <w:tc>
          <w:tcPr>
            <w:tcW w:w="1116" w:type="dxa"/>
            <w:vAlign w:val="top"/>
          </w:tcPr>
          <w:p>
            <w:pPr>
              <w:ind w:left="221"/>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267"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0" w:right="114" w:firstLine="38"/>
              <w:spacing w:before="40"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自行建设的配套设施不合格，</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2"/>
              </w:rPr>
              <w:t>也未委托他人对畜禽养殖废</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2"/>
              </w:rPr>
              <w:t>弃物进行综合利用和无害化</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5"/>
              </w:rPr>
              <w:t>处理的</w:t>
            </w:r>
          </w:p>
        </w:tc>
        <w:tc>
          <w:tcPr>
            <w:tcW w:w="1116" w:type="dxa"/>
            <w:vAlign w:val="top"/>
          </w:tcPr>
          <w:p>
            <w:pPr>
              <w:spacing w:line="434" w:lineRule="auto"/>
              <w:rPr>
                <w:rFonts w:ascii="Arial"/>
                <w:sz w:val="21"/>
              </w:rPr>
            </w:pPr>
            <w:r/>
          </w:p>
          <w:p>
            <w:pPr>
              <w:ind w:left="16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bl>
    <w:p>
      <w:pPr>
        <w:pStyle w:val="BodyText"/>
        <w:rPr/>
      </w:pPr>
      <w:r/>
    </w:p>
    <w:p>
      <w:pPr>
        <w:sectPr>
          <w:footerReference w:type="default" r:id="rId422"/>
          <w:pgSz w:w="11905" w:h="16839"/>
          <w:pgMar w:top="1431" w:right="1668" w:bottom="1156" w:left="1667"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2056"/>
        <w:gridCol w:w="685"/>
        <w:gridCol w:w="3287"/>
        <w:gridCol w:w="1116"/>
      </w:tblGrid>
      <w:tr>
        <w:trPr>
          <w:trHeight w:val="1268" w:hRule="atLeast"/>
        </w:trPr>
        <w:tc>
          <w:tcPr>
            <w:tcW w:w="1420" w:type="dxa"/>
            <w:vAlign w:val="top"/>
          </w:tcPr>
          <w:p>
            <w:pPr>
              <w:rPr>
                <w:rFonts w:ascii="Arial"/>
                <w:sz w:val="21"/>
              </w:rPr>
            </w:pPr>
            <w:r/>
          </w:p>
        </w:tc>
        <w:tc>
          <w:tcPr>
            <w:tcW w:w="2056" w:type="dxa"/>
            <w:vAlign w:val="top"/>
          </w:tcPr>
          <w:p>
            <w:pPr>
              <w:rPr>
                <w:rFonts w:ascii="Arial"/>
                <w:sz w:val="21"/>
              </w:rPr>
            </w:pPr>
            <w:r/>
          </w:p>
        </w:tc>
        <w:tc>
          <w:tcPr>
            <w:tcW w:w="685" w:type="dxa"/>
            <w:vAlign w:val="top"/>
          </w:tcPr>
          <w:p>
            <w:pPr>
              <w:rPr>
                <w:rFonts w:ascii="Arial"/>
                <w:sz w:val="21"/>
              </w:rPr>
            </w:pPr>
            <w:r/>
          </w:p>
        </w:tc>
        <w:tc>
          <w:tcPr>
            <w:tcW w:w="3287" w:type="dxa"/>
            <w:vAlign w:val="top"/>
          </w:tcPr>
          <w:p>
            <w:pPr>
              <w:ind w:left="116" w:right="103"/>
              <w:spacing w:before="46"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未建设污染防治配套设施，也</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未委托他人对畜禽养殖废弃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物进行综合利用和无害化处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理的</w:t>
            </w:r>
          </w:p>
        </w:tc>
        <w:tc>
          <w:tcPr>
            <w:tcW w:w="1116" w:type="dxa"/>
            <w:vAlign w:val="top"/>
          </w:tcPr>
          <w:p>
            <w:pPr>
              <w:spacing w:line="434" w:lineRule="auto"/>
              <w:rPr>
                <w:rFonts w:ascii="Arial"/>
                <w:sz w:val="21"/>
              </w:rPr>
            </w:pPr>
            <w:r/>
          </w:p>
          <w:p>
            <w:pPr>
              <w:ind w:left="1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21%-40%</w:t>
            </w:r>
          </w:p>
        </w:tc>
      </w:tr>
      <w:tr>
        <w:trPr>
          <w:trHeight w:val="320" w:hRule="atLeast"/>
        </w:trPr>
        <w:tc>
          <w:tcPr>
            <w:tcW w:w="1420" w:type="dxa"/>
            <w:vAlign w:val="top"/>
            <w:vMerge w:val="restart"/>
            <w:tcBorders>
              <w:bottom w:val="nil"/>
            </w:tcBorders>
          </w:tcPr>
          <w:p>
            <w:pPr>
              <w:spacing w:line="447"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56" w:type="dxa"/>
            <w:vAlign w:val="top"/>
            <w:vMerge w:val="restart"/>
            <w:tcBorders>
              <w:bottom w:val="nil"/>
            </w:tcBorders>
          </w:tcPr>
          <w:p>
            <w:pPr>
              <w:spacing w:line="447" w:lineRule="auto"/>
              <w:rPr>
                <w:rFonts w:ascii="Arial"/>
                <w:sz w:val="21"/>
              </w:rPr>
            </w:pPr>
            <w:r/>
          </w:p>
          <w:p>
            <w:pPr>
              <w:ind w:left="20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7"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2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6" w:type="dxa"/>
            <w:vAlign w:val="top"/>
          </w:tcPr>
          <w:p>
            <w:pPr>
              <w:ind w:left="45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6" w:type="dxa"/>
            <w:vAlign w:val="top"/>
          </w:tcPr>
          <w:p>
            <w:pPr>
              <w:ind w:left="40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6" w:type="dxa"/>
            <w:vAlign w:val="top"/>
          </w:tcPr>
          <w:p>
            <w:pPr>
              <w:ind w:left="40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6" w:type="dxa"/>
            <w:vAlign w:val="top"/>
          </w:tcPr>
          <w:p>
            <w:pPr>
              <w:ind w:left="39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20" w:type="dxa"/>
            <w:vAlign w:val="top"/>
            <w:vMerge w:val="restart"/>
            <w:tcBorders>
              <w:bottom w:val="nil"/>
            </w:tcBorders>
          </w:tcPr>
          <w:p>
            <w:pPr>
              <w:spacing w:line="441" w:lineRule="auto"/>
              <w:rPr>
                <w:rFonts w:ascii="Arial"/>
                <w:sz w:val="21"/>
              </w:rPr>
            </w:pPr>
            <w:r/>
          </w:p>
          <w:p>
            <w:pPr>
              <w:ind w:left="23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56" w:type="dxa"/>
            <w:vAlign w:val="top"/>
            <w:vMerge w:val="restart"/>
            <w:tcBorders>
              <w:bottom w:val="nil"/>
            </w:tcBorders>
          </w:tcPr>
          <w:p>
            <w:pPr>
              <w:spacing w:line="441" w:lineRule="auto"/>
              <w:rPr>
                <w:rFonts w:ascii="Arial"/>
                <w:sz w:val="21"/>
              </w:rPr>
            </w:pPr>
            <w:r/>
          </w:p>
          <w:p>
            <w:pPr>
              <w:ind w:left="30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1" w:lineRule="auto"/>
              <w:rPr>
                <w:rFonts w:ascii="Arial"/>
                <w:sz w:val="21"/>
              </w:rPr>
            </w:pPr>
            <w:r/>
          </w:p>
          <w:p>
            <w:pPr>
              <w:ind w:left="18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1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6" w:type="dxa"/>
            <w:vAlign w:val="top"/>
          </w:tcPr>
          <w:p>
            <w:pPr>
              <w:ind w:left="462"/>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3" w:right="295"/>
              <w:spacing w:before="41"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6" w:type="dxa"/>
            <w:vAlign w:val="top"/>
          </w:tcPr>
          <w:p>
            <w:pPr>
              <w:ind w:left="281"/>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6" w:type="dxa"/>
            <w:vAlign w:val="top"/>
          </w:tcPr>
          <w:p>
            <w:pPr>
              <w:ind w:left="21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20" w:type="dxa"/>
            <w:vAlign w:val="top"/>
            <w:vMerge w:val="restart"/>
            <w:tcBorders>
              <w:bottom w:val="nil"/>
            </w:tcBorders>
          </w:tcPr>
          <w:p>
            <w:pPr>
              <w:ind w:left="238" w:right="226"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56" w:type="dxa"/>
            <w:vAlign w:val="top"/>
            <w:vMerge w:val="restart"/>
            <w:tcBorders>
              <w:bottom w:val="nil"/>
            </w:tcBorders>
          </w:tcPr>
          <w:p>
            <w:pPr>
              <w:ind w:left="789" w:right="307" w:hanging="480"/>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5"/>
              <w:spacing w:before="20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20"/>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6" w:type="dxa"/>
            <w:vAlign w:val="top"/>
          </w:tcPr>
          <w:p>
            <w:pPr>
              <w:ind w:left="221"/>
              <w:spacing w:before="46" w:line="21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6" w:type="dxa"/>
            <w:vAlign w:val="top"/>
          </w:tcPr>
          <w:p>
            <w:pPr>
              <w:ind w:left="46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20" w:type="dxa"/>
            <w:vAlign w:val="top"/>
            <w:vMerge w:val="restart"/>
            <w:tcBorders>
              <w:bottom w:val="nil"/>
            </w:tcBorders>
          </w:tcPr>
          <w:p>
            <w:pPr>
              <w:ind w:left="230" w:right="226" w:firstLine="9"/>
              <w:spacing w:before="82"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56" w:type="dxa"/>
            <w:vAlign w:val="top"/>
            <w:vMerge w:val="restart"/>
            <w:tcBorders>
              <w:bottom w:val="nil"/>
            </w:tcBorders>
          </w:tcPr>
          <w:p>
            <w:pPr>
              <w:ind w:left="320" w:right="187" w:hanging="131"/>
              <w:spacing w:before="240"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7"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19"/>
              <w:spacing w:before="7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6" w:type="dxa"/>
            <w:vAlign w:val="top"/>
          </w:tcPr>
          <w:p>
            <w:pPr>
              <w:ind w:left="221"/>
              <w:spacing w:before="77"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6" w:right="29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6" w:type="dxa"/>
            <w:vAlign w:val="top"/>
          </w:tcPr>
          <w:p>
            <w:pPr>
              <w:ind w:left="462"/>
              <w:spacing w:before="199"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23"/>
          <w:pgSz w:w="11905" w:h="16839"/>
          <w:pgMar w:top="1431" w:right="1668" w:bottom="1156" w:left="1667" w:header="0" w:footer="994" w:gutter="0"/>
        </w:sectPr>
        <w:rPr/>
      </w:pPr>
    </w:p>
    <w:p>
      <w:pPr>
        <w:spacing w:before="4"/>
        <w:rPr/>
      </w:pPr>
      <w:r/>
    </w:p>
    <w:p>
      <w:pPr>
        <w:spacing w:before="4"/>
        <w:rPr/>
      </w:pPr>
      <w:r/>
    </w:p>
    <w:p>
      <w:pPr>
        <w:spacing w:before="4"/>
        <w:rPr/>
      </w:pPr>
      <w:r/>
    </w:p>
    <w:p>
      <w:pPr>
        <w:spacing w:before="3"/>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996"/>
        <w:gridCol w:w="685"/>
        <w:gridCol w:w="3287"/>
        <w:gridCol w:w="1116"/>
      </w:tblGrid>
      <w:tr>
        <w:trPr>
          <w:trHeight w:val="700" w:hRule="atLeast"/>
        </w:trPr>
        <w:tc>
          <w:tcPr>
            <w:tcW w:w="8564" w:type="dxa"/>
            <w:vAlign w:val="top"/>
            <w:gridSpan w:val="6"/>
          </w:tcPr>
          <w:p>
            <w:pPr>
              <w:ind w:left="280"/>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35" w:hRule="atLeast"/>
        </w:trPr>
        <w:tc>
          <w:tcPr>
            <w:tcW w:w="1480" w:type="dxa"/>
            <w:vAlign w:val="top"/>
            <w:gridSpan w:val="2"/>
          </w:tcPr>
          <w:p>
            <w:pPr>
              <w:ind w:left="465"/>
              <w:spacing w:before="17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84" w:type="dxa"/>
            <w:vAlign w:val="top"/>
            <w:gridSpan w:val="4"/>
          </w:tcPr>
          <w:p>
            <w:pPr>
              <w:ind w:left="3375"/>
              <w:spacing w:before="226"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219</w:t>
            </w:r>
          </w:p>
        </w:tc>
      </w:tr>
      <w:tr>
        <w:trPr>
          <w:trHeight w:val="950" w:hRule="atLeast"/>
        </w:trPr>
        <w:tc>
          <w:tcPr>
            <w:tcW w:w="1480" w:type="dxa"/>
            <w:vAlign w:val="top"/>
            <w:gridSpan w:val="2"/>
          </w:tcPr>
          <w:p>
            <w:pPr>
              <w:spacing w:line="242" w:lineRule="auto"/>
              <w:rPr>
                <w:rFonts w:ascii="Arial"/>
                <w:sz w:val="21"/>
              </w:rPr>
            </w:pPr>
            <w:r/>
          </w:p>
          <w:p>
            <w:pPr>
              <w:ind w:left="190"/>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84" w:type="dxa"/>
            <w:vAlign w:val="top"/>
            <w:gridSpan w:val="4"/>
          </w:tcPr>
          <w:p>
            <w:pPr>
              <w:ind w:left="112" w:right="108" w:firstLine="4"/>
              <w:spacing w:before="39" w:line="23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排放畜禽养殖废弃物不符合国家或者地方规定的污染物排放标准</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4"/>
              </w:rPr>
              <w:t>或者总量控制指标，或者未经无害化处理直接向环境排放畜禽养殖</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废弃物的</w:t>
            </w:r>
          </w:p>
        </w:tc>
      </w:tr>
      <w:tr>
        <w:trPr>
          <w:trHeight w:val="4098" w:hRule="atLeast"/>
        </w:trPr>
        <w:tc>
          <w:tcPr>
            <w:tcW w:w="1480" w:type="dxa"/>
            <w:vAlign w:val="top"/>
            <w:gridSpan w:val="2"/>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97"/>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84" w:type="dxa"/>
            <w:vAlign w:val="top"/>
            <w:gridSpan w:val="4"/>
          </w:tcPr>
          <w:p>
            <w:pPr>
              <w:ind w:left="129"/>
              <w:spacing w:before="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《畜禽规模养殖污染防治条例》</w:t>
            </w:r>
          </w:p>
          <w:p>
            <w:pPr>
              <w:ind w:left="119" w:right="108" w:firstLine="6"/>
              <w:spacing w:before="39" w:line="232"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第二十条</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3"/>
              </w:rPr>
              <w:t>向环境排放经过处理的畜禽养殖废弃物，应当符合国家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和地方规定的污染物排放标准和总量控制指标。畜禽养殖废弃物未</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2"/>
              </w:rPr>
              <w:t>经处理，不得直接向环境排放。</w:t>
            </w:r>
          </w:p>
          <w:p>
            <w:pPr>
              <w:spacing w:line="274" w:lineRule="auto"/>
              <w:rPr>
                <w:rFonts w:ascii="Arial"/>
                <w:sz w:val="21"/>
              </w:rPr>
            </w:pPr>
            <w:r/>
          </w:p>
          <w:p>
            <w:pPr>
              <w:ind w:left="123"/>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《畜禽规模养殖污染防治条例》</w:t>
            </w:r>
          </w:p>
          <w:p>
            <w:pPr>
              <w:ind w:left="111" w:right="108" w:firstLine="15"/>
              <w:spacing w:before="38" w:line="23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第四十一条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排放畜禽养殖废弃物不符合国家或者地方规</w:t>
            </w:r>
            <w:r>
              <w:rPr>
                <w:rFonts w:ascii="FangSong_GB2312" w:hAnsi="FangSong_GB2312" w:eastAsia="FangSong_GB2312" w:cs="FangSong_GB2312"/>
                <w:sz w:val="24"/>
                <w:szCs w:val="24"/>
                <w:spacing w:val="-2"/>
              </w:rPr>
              <w:t>定的污染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物排放标准或者总量控制指标，或者未经无害化处理直接向环境排</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4"/>
              </w:rPr>
              <w:t>放畜禽养殖废弃物的，由县级以上地方人民政府环境保护主管部门</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rPr>
              <w:t>责令限期治理，可以处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5</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万元以下的罚款。县</w:t>
            </w:r>
            <w:r>
              <w:rPr>
                <w:rFonts w:ascii="FangSong_GB2312" w:hAnsi="FangSong_GB2312" w:eastAsia="FangSong_GB2312" w:cs="FangSong_GB2312"/>
                <w:sz w:val="24"/>
                <w:szCs w:val="24"/>
                <w:spacing w:val="-1"/>
              </w:rPr>
              <w:t>级以上地方人民政</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府环境保护主管部门作出限期治理决定后，应当会同同级人民政府</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4"/>
              </w:rPr>
              <w:t>农牧等有关部门对整改措施的落实情况及时进行核查，并向社会公</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2"/>
              </w:rPr>
              <w:t>布核查结果。</w:t>
            </w:r>
          </w:p>
        </w:tc>
      </w:tr>
      <w:tr>
        <w:trPr>
          <w:trHeight w:val="635" w:hRule="atLeast"/>
        </w:trPr>
        <w:tc>
          <w:tcPr>
            <w:tcW w:w="4161" w:type="dxa"/>
            <w:vAlign w:val="top"/>
            <w:gridSpan w:val="4"/>
          </w:tcPr>
          <w:p>
            <w:pPr>
              <w:ind w:left="152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3" w:type="dxa"/>
            <w:vAlign w:val="top"/>
            <w:gridSpan w:val="2"/>
          </w:tcPr>
          <w:p>
            <w:pPr>
              <w:ind w:left="1658"/>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20" w:type="dxa"/>
            <w:vAlign w:val="top"/>
          </w:tcPr>
          <w:p>
            <w:pPr>
              <w:ind w:left="482"/>
              <w:spacing w:before="19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56" w:type="dxa"/>
            <w:vAlign w:val="top"/>
            <w:gridSpan w:val="2"/>
          </w:tcPr>
          <w:p>
            <w:pPr>
              <w:ind w:left="597"/>
              <w:spacing w:before="208"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60" w:right="118"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7" w:type="dxa"/>
            <w:vAlign w:val="top"/>
          </w:tcPr>
          <w:p>
            <w:pPr>
              <w:ind w:left="1430"/>
              <w:spacing w:before="207"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6" w:type="dxa"/>
            <w:vAlign w:val="top"/>
          </w:tcPr>
          <w:p>
            <w:pPr>
              <w:ind w:left="241"/>
              <w:spacing w:before="207"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1579" w:hRule="atLeast"/>
        </w:trPr>
        <w:tc>
          <w:tcPr>
            <w:tcW w:w="142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362" w:right="226"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56" w:type="dxa"/>
            <w:vAlign w:val="top"/>
            <w:gridSpan w:val="2"/>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1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87" w:type="dxa"/>
            <w:vAlign w:val="top"/>
          </w:tcPr>
          <w:p>
            <w:pPr>
              <w:ind w:left="117" w:right="103" w:hanging="1"/>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未经无害化处理直接向环境</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5"/>
              </w:rPr>
              <w:t>排放畜禽养殖废弃物，但排放</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1"/>
              </w:rPr>
              <w:t>畜禽养殖废弃物未超国家或</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者地方污染物排放标准或者</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总量控制指标的</w:t>
            </w:r>
          </w:p>
        </w:tc>
        <w:tc>
          <w:tcPr>
            <w:tcW w:w="1116" w:type="dxa"/>
            <w:vAlign w:val="top"/>
          </w:tcPr>
          <w:p>
            <w:pPr>
              <w:spacing w:line="295" w:lineRule="auto"/>
              <w:rPr>
                <w:rFonts w:ascii="Arial"/>
                <w:sz w:val="21"/>
              </w:rPr>
            </w:pPr>
            <w:r/>
          </w:p>
          <w:p>
            <w:pPr>
              <w:spacing w:line="295"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1264"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3" w:right="175" w:firstLine="5"/>
              <w:spacing w:before="42"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排放畜禽养殖废弃物超国家</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或者地方污染物排放标准不</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1"/>
              </w:rPr>
              <w:t>足</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5</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倍或者总量控制指标不</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9"/>
              </w:rPr>
              <w:t>足</w:t>
            </w:r>
            <w:r>
              <w:rPr>
                <w:rFonts w:ascii="FangSong_GB2312" w:hAnsi="FangSong_GB2312" w:eastAsia="FangSong_GB2312" w:cs="FangSong_GB2312"/>
                <w:sz w:val="24"/>
                <w:szCs w:val="24"/>
                <w:spacing w:val="19"/>
              </w:rPr>
              <w:t xml:space="preserve"> </w:t>
            </w:r>
            <w:r>
              <w:rPr>
                <w:rFonts w:ascii="FangSong_GB2312" w:hAnsi="FangSong_GB2312" w:eastAsia="FangSong_GB2312" w:cs="FangSong_GB2312"/>
                <w:sz w:val="24"/>
                <w:szCs w:val="24"/>
                <w:spacing w:val="-9"/>
              </w:rPr>
              <w:t>2</w:t>
            </w:r>
            <w:r>
              <w:rPr>
                <w:rFonts w:ascii="FangSong_GB2312" w:hAnsi="FangSong_GB2312" w:eastAsia="FangSong_GB2312" w:cs="FangSong_GB2312"/>
                <w:sz w:val="24"/>
                <w:szCs w:val="24"/>
                <w:spacing w:val="-53"/>
              </w:rPr>
              <w:t xml:space="preserve"> </w:t>
            </w:r>
            <w:r>
              <w:rPr>
                <w:rFonts w:ascii="FangSong_GB2312" w:hAnsi="FangSong_GB2312" w:eastAsia="FangSong_GB2312" w:cs="FangSong_GB2312"/>
                <w:sz w:val="24"/>
                <w:szCs w:val="24"/>
                <w:spacing w:val="-9"/>
              </w:rPr>
              <w:t>倍</w:t>
            </w:r>
          </w:p>
        </w:tc>
        <w:tc>
          <w:tcPr>
            <w:tcW w:w="1116" w:type="dxa"/>
            <w:vAlign w:val="top"/>
          </w:tcPr>
          <w:p>
            <w:pPr>
              <w:spacing w:line="433" w:lineRule="auto"/>
              <w:rPr>
                <w:rFonts w:ascii="Arial"/>
                <w:sz w:val="21"/>
              </w:rPr>
            </w:pPr>
            <w:r/>
          </w:p>
          <w:p>
            <w:pPr>
              <w:ind w:left="16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1579"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3" w:right="295" w:firstLine="5"/>
              <w:spacing w:before="41" w:line="23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排放畜禽养殖废弃物超国家</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或者地方污染物排放标准</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5</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3"/>
              </w:rPr>
              <w:t>倍以上不足</w:t>
            </w:r>
            <w:r>
              <w:rPr>
                <w:rFonts w:ascii="FangSong_GB2312" w:hAnsi="FangSong_GB2312" w:eastAsia="FangSong_GB2312" w:cs="FangSong_GB2312"/>
                <w:sz w:val="24"/>
                <w:szCs w:val="24"/>
                <w:spacing w:val="31"/>
              </w:rPr>
              <w:t xml:space="preserve"> </w:t>
            </w:r>
            <w:r>
              <w:rPr>
                <w:rFonts w:ascii="FangSong_GB2312" w:hAnsi="FangSong_GB2312" w:eastAsia="FangSong_GB2312" w:cs="FangSong_GB2312"/>
                <w:sz w:val="24"/>
                <w:szCs w:val="24"/>
                <w:spacing w:val="-3"/>
              </w:rPr>
              <w:t>10</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倍或者总量</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控制指标</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spacing w:val="-4"/>
              </w:rPr>
              <w:t>2</w:t>
            </w:r>
            <w:r>
              <w:rPr>
                <w:rFonts w:ascii="FangSong_GB2312" w:hAnsi="FangSong_GB2312" w:eastAsia="FangSong_GB2312" w:cs="FangSong_GB2312"/>
                <w:sz w:val="24"/>
                <w:szCs w:val="24"/>
                <w:spacing w:val="12"/>
              </w:rPr>
              <w:t xml:space="preserve"> </w:t>
            </w:r>
            <w:r>
              <w:rPr>
                <w:rFonts w:ascii="FangSong_GB2312" w:hAnsi="FangSong_GB2312" w:eastAsia="FangSong_GB2312" w:cs="FangSong_GB2312"/>
                <w:sz w:val="24"/>
                <w:szCs w:val="24"/>
                <w:spacing w:val="-4"/>
              </w:rPr>
              <w:t>倍以上不足</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4"/>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倍</w:t>
            </w:r>
          </w:p>
        </w:tc>
        <w:tc>
          <w:tcPr>
            <w:tcW w:w="1116" w:type="dxa"/>
            <w:vAlign w:val="top"/>
          </w:tcPr>
          <w:p>
            <w:pPr>
              <w:spacing w:line="295" w:lineRule="auto"/>
              <w:rPr>
                <w:rFonts w:ascii="Arial"/>
                <w:sz w:val="21"/>
              </w:rPr>
            </w:pPr>
            <w:r/>
          </w:p>
          <w:p>
            <w:pPr>
              <w:spacing w:line="296" w:lineRule="auto"/>
              <w:rPr>
                <w:rFonts w:ascii="Arial"/>
                <w:sz w:val="21"/>
              </w:rPr>
            </w:pPr>
            <w:r/>
          </w:p>
          <w:p>
            <w:pPr>
              <w:ind w:left="15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638"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16" w:right="175" w:firstLine="2"/>
              <w:spacing w:before="42"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排放畜禽养殖废弃物超国家</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1"/>
              </w:rPr>
              <w:t>或者地方污染物排放标准</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10</w:t>
            </w:r>
          </w:p>
        </w:tc>
        <w:tc>
          <w:tcPr>
            <w:tcW w:w="1116" w:type="dxa"/>
            <w:vAlign w:val="top"/>
          </w:tcPr>
          <w:p>
            <w:pPr>
              <w:ind w:left="164"/>
              <w:spacing w:before="20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bl>
    <w:p>
      <w:pPr>
        <w:pStyle w:val="BodyText"/>
        <w:rPr/>
      </w:pPr>
      <w:r/>
    </w:p>
    <w:p>
      <w:pPr>
        <w:sectPr>
          <w:footerReference w:type="default" r:id="rId424"/>
          <w:pgSz w:w="11905" w:h="16839"/>
          <w:pgMar w:top="1431" w:right="1668" w:bottom="1156" w:left="1667"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2056"/>
        <w:gridCol w:w="685"/>
        <w:gridCol w:w="3287"/>
        <w:gridCol w:w="1116"/>
      </w:tblGrid>
      <w:tr>
        <w:trPr>
          <w:trHeight w:val="639" w:hRule="atLeast"/>
        </w:trPr>
        <w:tc>
          <w:tcPr>
            <w:tcW w:w="1420" w:type="dxa"/>
            <w:vAlign w:val="top"/>
          </w:tcPr>
          <w:p>
            <w:pPr>
              <w:rPr>
                <w:rFonts w:ascii="Arial"/>
                <w:sz w:val="21"/>
              </w:rPr>
            </w:pPr>
            <w:r/>
          </w:p>
        </w:tc>
        <w:tc>
          <w:tcPr>
            <w:tcW w:w="2056" w:type="dxa"/>
            <w:vAlign w:val="top"/>
          </w:tcPr>
          <w:p>
            <w:pPr>
              <w:rPr>
                <w:rFonts w:ascii="Arial"/>
                <w:sz w:val="21"/>
              </w:rPr>
            </w:pPr>
            <w:r/>
          </w:p>
        </w:tc>
        <w:tc>
          <w:tcPr>
            <w:tcW w:w="685" w:type="dxa"/>
            <w:vAlign w:val="top"/>
          </w:tcPr>
          <w:p>
            <w:pPr>
              <w:rPr>
                <w:rFonts w:ascii="Arial"/>
                <w:sz w:val="21"/>
              </w:rPr>
            </w:pPr>
            <w:r/>
          </w:p>
        </w:tc>
        <w:tc>
          <w:tcPr>
            <w:tcW w:w="3287" w:type="dxa"/>
            <w:vAlign w:val="top"/>
          </w:tcPr>
          <w:p>
            <w:pPr>
              <w:ind w:left="113" w:right="29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倍以上或者总量控制指标</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3"/>
              </w:rPr>
              <w:t>3</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倍以上</w:t>
            </w:r>
          </w:p>
        </w:tc>
        <w:tc>
          <w:tcPr>
            <w:tcW w:w="1116" w:type="dxa"/>
            <w:vAlign w:val="top"/>
          </w:tcPr>
          <w:p>
            <w:pPr>
              <w:rPr>
                <w:rFonts w:ascii="Arial"/>
                <w:sz w:val="21"/>
              </w:rPr>
            </w:pPr>
            <w:r/>
          </w:p>
        </w:tc>
      </w:tr>
      <w:tr>
        <w:trPr>
          <w:trHeight w:val="319" w:hRule="atLeast"/>
        </w:trPr>
        <w:tc>
          <w:tcPr>
            <w:tcW w:w="1420" w:type="dxa"/>
            <w:vAlign w:val="top"/>
            <w:vMerge w:val="restart"/>
            <w:tcBorders>
              <w:bottom w:val="nil"/>
            </w:tcBorders>
          </w:tcPr>
          <w:p>
            <w:pPr>
              <w:spacing w:line="445"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56" w:type="dxa"/>
            <w:vAlign w:val="top"/>
            <w:vMerge w:val="restart"/>
            <w:tcBorders>
              <w:bottom w:val="nil"/>
            </w:tcBorders>
          </w:tcPr>
          <w:p>
            <w:pPr>
              <w:spacing w:line="445" w:lineRule="auto"/>
              <w:rPr>
                <w:rFonts w:ascii="Arial"/>
                <w:sz w:val="21"/>
              </w:rPr>
            </w:pPr>
            <w:r/>
          </w:p>
          <w:p>
            <w:pPr>
              <w:ind w:left="20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5"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23"/>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6" w:type="dxa"/>
            <w:vAlign w:val="top"/>
          </w:tcPr>
          <w:p>
            <w:pPr>
              <w:ind w:left="458"/>
              <w:spacing w:before="38"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6" w:type="dxa"/>
            <w:vAlign w:val="top"/>
          </w:tcPr>
          <w:p>
            <w:pPr>
              <w:ind w:left="40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6" w:type="dxa"/>
            <w:vAlign w:val="top"/>
          </w:tcPr>
          <w:p>
            <w:pPr>
              <w:ind w:left="40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6" w:type="dxa"/>
            <w:vAlign w:val="top"/>
          </w:tcPr>
          <w:p>
            <w:pPr>
              <w:ind w:left="39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20" w:type="dxa"/>
            <w:vAlign w:val="top"/>
            <w:vMerge w:val="restart"/>
            <w:tcBorders>
              <w:bottom w:val="nil"/>
            </w:tcBorders>
          </w:tcPr>
          <w:p>
            <w:pPr>
              <w:spacing w:line="442" w:lineRule="auto"/>
              <w:rPr>
                <w:rFonts w:ascii="Arial"/>
                <w:sz w:val="21"/>
              </w:rPr>
            </w:pPr>
            <w:r/>
          </w:p>
          <w:p>
            <w:pPr>
              <w:ind w:left="23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56" w:type="dxa"/>
            <w:vAlign w:val="top"/>
            <w:vMerge w:val="restart"/>
            <w:tcBorders>
              <w:bottom w:val="nil"/>
            </w:tcBorders>
          </w:tcPr>
          <w:p>
            <w:pPr>
              <w:spacing w:line="442" w:lineRule="auto"/>
              <w:rPr>
                <w:rFonts w:ascii="Arial"/>
                <w:sz w:val="21"/>
              </w:rPr>
            </w:pPr>
            <w:r/>
          </w:p>
          <w:p>
            <w:pPr>
              <w:ind w:left="30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1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6" w:type="dxa"/>
            <w:vAlign w:val="top"/>
          </w:tcPr>
          <w:p>
            <w:pPr>
              <w:ind w:left="46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3" w:right="295"/>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6" w:type="dxa"/>
            <w:vAlign w:val="top"/>
          </w:tcPr>
          <w:p>
            <w:pPr>
              <w:ind w:left="281"/>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6" w:type="dxa"/>
            <w:vAlign w:val="top"/>
          </w:tcPr>
          <w:p>
            <w:pPr>
              <w:ind w:left="2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20" w:type="dxa"/>
            <w:vAlign w:val="top"/>
            <w:vMerge w:val="restart"/>
            <w:tcBorders>
              <w:bottom w:val="nil"/>
            </w:tcBorders>
          </w:tcPr>
          <w:p>
            <w:pPr>
              <w:ind w:left="238" w:right="226" w:firstLine="7"/>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56" w:type="dxa"/>
            <w:vAlign w:val="top"/>
            <w:vMerge w:val="restart"/>
            <w:tcBorders>
              <w:bottom w:val="nil"/>
            </w:tcBorders>
          </w:tcPr>
          <w:p>
            <w:pPr>
              <w:ind w:left="789" w:right="307" w:hanging="480"/>
              <w:spacing w:before="51"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5"/>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20"/>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6" w:type="dxa"/>
            <w:vAlign w:val="top"/>
          </w:tcPr>
          <w:p>
            <w:pPr>
              <w:ind w:left="221"/>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6" w:type="dxa"/>
            <w:vAlign w:val="top"/>
          </w:tcPr>
          <w:p>
            <w:pPr>
              <w:ind w:left="46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20" w:type="dxa"/>
            <w:vAlign w:val="top"/>
            <w:vMerge w:val="restart"/>
            <w:tcBorders>
              <w:bottom w:val="nil"/>
            </w:tcBorders>
          </w:tcPr>
          <w:p>
            <w:pPr>
              <w:ind w:left="230" w:right="226" w:firstLine="9"/>
              <w:spacing w:before="84"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56" w:type="dxa"/>
            <w:vAlign w:val="top"/>
            <w:vMerge w:val="restart"/>
            <w:tcBorders>
              <w:bottom w:val="nil"/>
            </w:tcBorders>
          </w:tcPr>
          <w:p>
            <w:pPr>
              <w:ind w:left="320" w:right="187" w:hanging="131"/>
              <w:spacing w:before="242"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8"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1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6" w:type="dxa"/>
            <w:vAlign w:val="top"/>
          </w:tcPr>
          <w:p>
            <w:pPr>
              <w:ind w:left="221"/>
              <w:spacing w:before="79"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6" w:right="295" w:hanging="20"/>
              <w:spacing w:before="41"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6" w:type="dxa"/>
            <w:vAlign w:val="top"/>
          </w:tcPr>
          <w:p>
            <w:pPr>
              <w:ind w:left="462"/>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25"/>
          <w:pgSz w:w="11905" w:h="16839"/>
          <w:pgMar w:top="1431" w:right="1668" w:bottom="1156" w:left="1667" w:header="0" w:footer="994" w:gutter="0"/>
        </w:sectPr>
        <w:rPr/>
      </w:pPr>
    </w:p>
    <w:p>
      <w:pPr>
        <w:spacing w:before="18"/>
        <w:rPr/>
      </w:pPr>
      <w:r/>
    </w:p>
    <w:p>
      <w:pPr>
        <w:spacing w:before="18"/>
        <w:rPr/>
      </w:pPr>
      <w:r/>
    </w:p>
    <w:p>
      <w:pPr>
        <w:spacing w:before="18"/>
        <w:rPr/>
      </w:pPr>
      <w:r/>
    </w:p>
    <w:p>
      <w:pPr>
        <w:spacing w:before="18"/>
        <w:rPr/>
      </w:pPr>
      <w:r/>
    </w:p>
    <w:p>
      <w:pPr>
        <w:spacing w:before="17"/>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60"/>
        <w:gridCol w:w="1996"/>
        <w:gridCol w:w="685"/>
        <w:gridCol w:w="3287"/>
        <w:gridCol w:w="1116"/>
      </w:tblGrid>
      <w:tr>
        <w:trPr>
          <w:trHeight w:val="700" w:hRule="atLeast"/>
        </w:trPr>
        <w:tc>
          <w:tcPr>
            <w:tcW w:w="8564" w:type="dxa"/>
            <w:vAlign w:val="top"/>
            <w:gridSpan w:val="6"/>
          </w:tcPr>
          <w:p>
            <w:pPr>
              <w:ind w:left="280"/>
              <w:spacing w:before="109" w:line="225"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35" w:hRule="atLeast"/>
        </w:trPr>
        <w:tc>
          <w:tcPr>
            <w:tcW w:w="1480" w:type="dxa"/>
            <w:vAlign w:val="top"/>
            <w:gridSpan w:val="2"/>
          </w:tcPr>
          <w:p>
            <w:pPr>
              <w:ind w:left="465"/>
              <w:spacing w:before="177"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084" w:type="dxa"/>
            <w:vAlign w:val="top"/>
            <w:gridSpan w:val="4"/>
          </w:tcPr>
          <w:p>
            <w:pPr>
              <w:ind w:left="3375"/>
              <w:spacing w:before="228"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220</w:t>
            </w:r>
          </w:p>
        </w:tc>
      </w:tr>
      <w:tr>
        <w:trPr>
          <w:trHeight w:val="949" w:hRule="atLeast"/>
        </w:trPr>
        <w:tc>
          <w:tcPr>
            <w:tcW w:w="1480" w:type="dxa"/>
            <w:vAlign w:val="top"/>
            <w:gridSpan w:val="2"/>
          </w:tcPr>
          <w:p>
            <w:pPr>
              <w:spacing w:line="241" w:lineRule="auto"/>
              <w:rPr>
                <w:rFonts w:ascii="Arial"/>
                <w:sz w:val="21"/>
              </w:rPr>
            </w:pPr>
            <w:r/>
          </w:p>
          <w:p>
            <w:pPr>
              <w:ind w:left="190"/>
              <w:spacing w:before="91"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084" w:type="dxa"/>
            <w:vAlign w:val="top"/>
            <w:gridSpan w:val="4"/>
          </w:tcPr>
          <w:p>
            <w:pPr>
              <w:ind w:left="112" w:right="108" w:firstLine="6"/>
              <w:spacing w:before="42"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不实施强制性清洁生产审核或者在清洁生产审核中弄虚作假的，或</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rPr>
              <w:t>者实施强制性清洁生产审核的企业不报告或</w:t>
            </w:r>
            <w:r>
              <w:rPr>
                <w:rFonts w:ascii="FangSong_GB2312" w:hAnsi="FangSong_GB2312" w:eastAsia="FangSong_GB2312" w:cs="FangSong_GB2312"/>
                <w:sz w:val="24"/>
                <w:szCs w:val="24"/>
                <w:spacing w:val="-1"/>
              </w:rPr>
              <w:t>者不如实报告审核结</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果的</w:t>
            </w:r>
          </w:p>
        </w:tc>
      </w:tr>
      <w:tr>
        <w:trPr>
          <w:trHeight w:val="6617" w:hRule="atLeast"/>
        </w:trPr>
        <w:tc>
          <w:tcPr>
            <w:tcW w:w="1480" w:type="dxa"/>
            <w:vAlign w:val="top"/>
            <w:gridSpan w:val="2"/>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97"/>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084" w:type="dxa"/>
            <w:vAlign w:val="top"/>
            <w:gridSpan w:val="4"/>
          </w:tcPr>
          <w:p>
            <w:pPr>
              <w:ind w:left="129"/>
              <w:spacing w:before="4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1.</w:t>
            </w:r>
            <w:r>
              <w:rPr>
                <w:rFonts w:ascii="FangSong_GB2312" w:hAnsi="FangSong_GB2312" w:eastAsia="FangSong_GB2312" w:cs="FangSong_GB2312"/>
                <w:sz w:val="24"/>
                <w:szCs w:val="24"/>
                <w:b/>
                <w:bCs/>
                <w:spacing w:val="-3"/>
              </w:rPr>
              <w:t>《中华人民共和国清洁生产促进法》</w:t>
            </w:r>
          </w:p>
          <w:p>
            <w:pPr>
              <w:ind w:left="128" w:right="108" w:hanging="2"/>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第二十七条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第二款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有下列情形之一的企业，应当实施强制性清洁</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5"/>
              </w:rPr>
              <w:t>生产审核：</w:t>
            </w:r>
          </w:p>
          <w:p>
            <w:pPr>
              <w:ind w:left="109" w:right="108"/>
              <w:spacing w:before="35" w:line="23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（一）</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污染物排放超过国家或者地方规定的排放</w:t>
            </w:r>
            <w:r>
              <w:rPr>
                <w:rFonts w:ascii="FangSong_GB2312" w:hAnsi="FangSong_GB2312" w:eastAsia="FangSong_GB2312" w:cs="FangSong_GB2312"/>
                <w:sz w:val="24"/>
                <w:szCs w:val="24"/>
                <w:spacing w:val="-1"/>
              </w:rPr>
              <w:t>标准，或者虽未</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超过国家或者地方规定的排放标准，但超过重点污染物排放总量控</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制指标的；</w:t>
            </w:r>
          </w:p>
          <w:p>
            <w:pPr>
              <w:ind w:left="109"/>
              <w:spacing w:before="3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（二）</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超过单位产品能源消耗限额标准</w:t>
            </w:r>
            <w:r>
              <w:rPr>
                <w:rFonts w:ascii="FangSong_GB2312" w:hAnsi="FangSong_GB2312" w:eastAsia="FangSong_GB2312" w:cs="FangSong_GB2312"/>
                <w:sz w:val="24"/>
                <w:szCs w:val="24"/>
                <w:spacing w:val="-1"/>
              </w:rPr>
              <w:t>构成高耗能的；</w:t>
            </w:r>
          </w:p>
          <w:p>
            <w:pPr>
              <w:ind w:left="119" w:right="134" w:hanging="10"/>
              <w:spacing w:before="36"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使用有毒、有害原料进行生产或者在生产</w:t>
            </w:r>
            <w:r>
              <w:rPr>
                <w:rFonts w:ascii="FangSong_GB2312" w:hAnsi="FangSong_GB2312" w:eastAsia="FangSong_GB2312" w:cs="FangSong_GB2312"/>
                <w:sz w:val="24"/>
                <w:szCs w:val="24"/>
                <w:spacing w:val="-1"/>
              </w:rPr>
              <w:t>中排放有毒、有</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害物质的。</w:t>
            </w:r>
          </w:p>
          <w:p>
            <w:pPr>
              <w:ind w:left="112" w:right="108" w:firstLine="14"/>
              <w:spacing w:before="38" w:line="235"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第四款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实施强制性清洁生产审核的企业，应当将审核结果向所在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4"/>
              </w:rPr>
              <w:t>地县级以上地方人民政府负责清洁生产综合协调的部门、环境保护</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4"/>
              </w:rPr>
              <w:t>部门报告，并在本地区主要媒体上公布，接受公众监督，但涉及商</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2"/>
              </w:rPr>
              <w:t>业秘密的除外。</w:t>
            </w:r>
          </w:p>
          <w:p>
            <w:pPr>
              <w:spacing w:line="269" w:lineRule="auto"/>
              <w:rPr>
                <w:rFonts w:ascii="Arial"/>
                <w:sz w:val="21"/>
              </w:rPr>
            </w:pPr>
            <w:r/>
          </w:p>
          <w:p>
            <w:pPr>
              <w:ind w:left="123"/>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w:t>
            </w:r>
            <w:r>
              <w:rPr>
                <w:rFonts w:ascii="FangSong_GB2312" w:hAnsi="FangSong_GB2312" w:eastAsia="FangSong_GB2312" w:cs="FangSong_GB2312"/>
                <w:sz w:val="24"/>
                <w:szCs w:val="24"/>
                <w:b/>
                <w:bCs/>
                <w:spacing w:val="-3"/>
              </w:rPr>
              <w:t>《中华人民共和国清洁生产促进法》</w:t>
            </w:r>
          </w:p>
          <w:p>
            <w:pPr>
              <w:ind w:left="111" w:right="108" w:firstLine="15"/>
              <w:spacing w:before="3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第三十九条</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b/>
                <w:bCs/>
                <w:spacing w:val="-5"/>
              </w:rPr>
              <w:t>第一款</w:t>
            </w:r>
            <w:r>
              <w:rPr>
                <w:rFonts w:ascii="FangSong_GB2312" w:hAnsi="FangSong_GB2312" w:eastAsia="FangSong_GB2312" w:cs="FangSong_GB2312"/>
                <w:sz w:val="24"/>
                <w:szCs w:val="24"/>
                <w:spacing w:val="-5"/>
              </w:rPr>
              <w:t xml:space="preserve"> </w:t>
            </w:r>
            <w:r>
              <w:rPr>
                <w:rFonts w:ascii="FangSong_GB2312" w:hAnsi="FangSong_GB2312" w:eastAsia="FangSong_GB2312" w:cs="FangSong_GB2312"/>
                <w:sz w:val="24"/>
                <w:szCs w:val="24"/>
                <w:spacing w:val="-5"/>
              </w:rPr>
              <w:t>违反本法第二十七条第二款、第四款规定，不</w:t>
            </w:r>
            <w:r>
              <w:rPr>
                <w:rFonts w:ascii="FangSong_GB2312" w:hAnsi="FangSong_GB2312" w:eastAsia="FangSong_GB2312" w:cs="FangSong_GB2312"/>
                <w:sz w:val="24"/>
                <w:szCs w:val="24"/>
                <w:spacing w:val="13"/>
              </w:rPr>
              <w:t xml:space="preserve"> </w:t>
            </w:r>
            <w:r>
              <w:rPr>
                <w:rFonts w:ascii="FangSong_GB2312" w:hAnsi="FangSong_GB2312" w:eastAsia="FangSong_GB2312" w:cs="FangSong_GB2312"/>
                <w:sz w:val="24"/>
                <w:szCs w:val="24"/>
                <w:spacing w:val="-4"/>
              </w:rPr>
              <w:t>实施强制性清洁生产审核或者在清洁生产审核中弄虚作假的，或者</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rPr>
              <w:t>实施强制性清洁生产审核的企业不报告或者不</w:t>
            </w:r>
            <w:r>
              <w:rPr>
                <w:rFonts w:ascii="FangSong_GB2312" w:hAnsi="FangSong_GB2312" w:eastAsia="FangSong_GB2312" w:cs="FangSong_GB2312"/>
                <w:sz w:val="24"/>
                <w:szCs w:val="24"/>
                <w:spacing w:val="-1"/>
              </w:rPr>
              <w:t>如实报告审核结果</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的，由县级以上地方人民政府负责清洁生产综合协调的部门、环境</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4"/>
              </w:rPr>
              <w:t>保护部门按照职责分工责令限期改正；拒不改正的，处以五万元以</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1"/>
              </w:rPr>
              <w:t>上五十万元以下的罚款。</w:t>
            </w:r>
          </w:p>
        </w:tc>
      </w:tr>
      <w:tr>
        <w:trPr>
          <w:trHeight w:val="635" w:hRule="atLeast"/>
        </w:trPr>
        <w:tc>
          <w:tcPr>
            <w:tcW w:w="4161" w:type="dxa"/>
            <w:vAlign w:val="top"/>
            <w:gridSpan w:val="4"/>
          </w:tcPr>
          <w:p>
            <w:pPr>
              <w:ind w:left="152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403" w:type="dxa"/>
            <w:vAlign w:val="top"/>
            <w:gridSpan w:val="2"/>
          </w:tcPr>
          <w:p>
            <w:pPr>
              <w:ind w:left="1658"/>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420" w:type="dxa"/>
            <w:vAlign w:val="top"/>
          </w:tcPr>
          <w:p>
            <w:pPr>
              <w:ind w:left="482"/>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2056" w:type="dxa"/>
            <w:vAlign w:val="top"/>
            <w:gridSpan w:val="2"/>
          </w:tcPr>
          <w:p>
            <w:pPr>
              <w:ind w:left="597"/>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685" w:type="dxa"/>
            <w:vAlign w:val="top"/>
          </w:tcPr>
          <w:p>
            <w:pPr>
              <w:ind w:left="160" w:right="118"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287" w:type="dxa"/>
            <w:vAlign w:val="top"/>
          </w:tcPr>
          <w:p>
            <w:pPr>
              <w:ind w:left="1430"/>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116" w:type="dxa"/>
            <w:vAlign w:val="top"/>
          </w:tcPr>
          <w:p>
            <w:pPr>
              <w:ind w:left="241"/>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949" w:hRule="atLeast"/>
        </w:trPr>
        <w:tc>
          <w:tcPr>
            <w:tcW w:w="1420"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362" w:right="226"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2056" w:type="dxa"/>
            <w:vAlign w:val="top"/>
            <w:gridSpan w:val="2"/>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ind w:left="316"/>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685" w:type="dxa"/>
            <w:vAlign w:val="top"/>
            <w:vMerge w:val="restart"/>
            <w:tcBorders>
              <w:bottom w:val="nil"/>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ind w:left="178"/>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40%</w:t>
            </w:r>
          </w:p>
        </w:tc>
        <w:tc>
          <w:tcPr>
            <w:tcW w:w="3287" w:type="dxa"/>
            <w:vAlign w:val="top"/>
          </w:tcPr>
          <w:p>
            <w:pPr>
              <w:ind w:left="118" w:right="295" w:firstLine="10"/>
              <w:spacing w:before="41"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实施强制性清洁生产审核的</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企业不向主管部门如实报告</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审核结果的</w:t>
            </w:r>
          </w:p>
        </w:tc>
        <w:tc>
          <w:tcPr>
            <w:tcW w:w="1116" w:type="dxa"/>
            <w:vAlign w:val="top"/>
          </w:tcPr>
          <w:p>
            <w:pPr>
              <w:spacing w:line="279" w:lineRule="auto"/>
              <w:rPr>
                <w:rFonts w:ascii="Arial"/>
                <w:sz w:val="21"/>
              </w:rPr>
            </w:pPr>
            <w:r/>
          </w:p>
          <w:p>
            <w:pPr>
              <w:ind w:left="22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950" w:hRule="atLeast"/>
        </w:trPr>
        <w:tc>
          <w:tcPr>
            <w:tcW w:w="1420" w:type="dxa"/>
            <w:vAlign w:val="top"/>
            <w:vMerge w:val="continue"/>
            <w:tcBorders>
              <w:top w:val="nil"/>
              <w:bottom w:val="nil"/>
            </w:tcBorders>
          </w:tcPr>
          <w:p>
            <w:pPr>
              <w:rPr>
                <w:rFonts w:ascii="Arial"/>
                <w:sz w:val="21"/>
              </w:rPr>
            </w:pPr>
            <w:r/>
          </w:p>
        </w:tc>
        <w:tc>
          <w:tcPr>
            <w:tcW w:w="2056" w:type="dxa"/>
            <w:vAlign w:val="top"/>
            <w:gridSpan w:val="2"/>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18" w:right="295" w:firstLine="10"/>
              <w:spacing w:before="43" w:line="230"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实施强制性清洁生产审核的</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企业不向主管部门报告审核</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结果的</w:t>
            </w:r>
          </w:p>
        </w:tc>
        <w:tc>
          <w:tcPr>
            <w:tcW w:w="1116" w:type="dxa"/>
            <w:vAlign w:val="top"/>
          </w:tcPr>
          <w:p>
            <w:pPr>
              <w:spacing w:line="280" w:lineRule="auto"/>
              <w:rPr>
                <w:rFonts w:ascii="Arial"/>
                <w:sz w:val="21"/>
              </w:rPr>
            </w:pPr>
            <w:r/>
          </w:p>
          <w:p>
            <w:pPr>
              <w:ind w:left="161"/>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3" w:hRule="atLeast"/>
        </w:trPr>
        <w:tc>
          <w:tcPr>
            <w:tcW w:w="1420" w:type="dxa"/>
            <w:vAlign w:val="top"/>
            <w:vMerge w:val="continue"/>
            <w:tcBorders>
              <w:top w:val="nil"/>
            </w:tcBorders>
          </w:tcPr>
          <w:p>
            <w:pPr>
              <w:rPr>
                <w:rFonts w:ascii="Arial"/>
                <w:sz w:val="21"/>
              </w:rPr>
            </w:pPr>
            <w:r/>
          </w:p>
        </w:tc>
        <w:tc>
          <w:tcPr>
            <w:tcW w:w="2056"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1"/>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应当实施强制性清洁生产审</w:t>
            </w:r>
          </w:p>
        </w:tc>
        <w:tc>
          <w:tcPr>
            <w:tcW w:w="1116" w:type="dxa"/>
            <w:vAlign w:val="top"/>
          </w:tcPr>
          <w:p>
            <w:pPr>
              <w:ind w:left="155"/>
              <w:spacing w:before="43"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bl>
    <w:p>
      <w:pPr>
        <w:pStyle w:val="BodyText"/>
        <w:rPr/>
      </w:pPr>
      <w:r/>
    </w:p>
    <w:p>
      <w:pPr>
        <w:sectPr>
          <w:footerReference w:type="default" r:id="rId426"/>
          <w:pgSz w:w="11905" w:h="16839"/>
          <w:pgMar w:top="1431" w:right="1668" w:bottom="1156" w:left="1667" w:header="0" w:footer="994" w:gutter="0"/>
        </w:sectPr>
        <w:rPr/>
      </w:pPr>
    </w:p>
    <w:p>
      <w:pPr>
        <w:spacing w:before="92"/>
        <w:rPr/>
      </w:pPr>
      <w:r/>
    </w:p>
    <w:p>
      <w:pPr>
        <w:spacing w:before="91"/>
        <w:rPr/>
      </w:pPr>
      <w:r/>
    </w:p>
    <w:tbl>
      <w:tblPr>
        <w:tblStyle w:val="TableNormal"/>
        <w:tblW w:w="85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2056"/>
        <w:gridCol w:w="685"/>
        <w:gridCol w:w="3287"/>
        <w:gridCol w:w="1116"/>
      </w:tblGrid>
      <w:tr>
        <w:trPr>
          <w:trHeight w:val="639" w:hRule="atLeast"/>
        </w:trPr>
        <w:tc>
          <w:tcPr>
            <w:tcW w:w="1420" w:type="dxa"/>
            <w:vAlign w:val="top"/>
            <w:vMerge w:val="restart"/>
            <w:tcBorders>
              <w:bottom w:val="nil"/>
            </w:tcBorders>
          </w:tcPr>
          <w:p>
            <w:pPr>
              <w:rPr>
                <w:rFonts w:ascii="Arial"/>
                <w:sz w:val="21"/>
              </w:rPr>
            </w:pPr>
            <w:r/>
          </w:p>
        </w:tc>
        <w:tc>
          <w:tcPr>
            <w:tcW w:w="2056" w:type="dxa"/>
            <w:vAlign w:val="top"/>
            <w:vMerge w:val="restart"/>
            <w:tcBorders>
              <w:bottom w:val="nil"/>
            </w:tcBorders>
          </w:tcPr>
          <w:p>
            <w:pPr>
              <w:rPr>
                <w:rFonts w:ascii="Arial"/>
                <w:sz w:val="21"/>
              </w:rPr>
            </w:pPr>
            <w:r/>
          </w:p>
        </w:tc>
        <w:tc>
          <w:tcPr>
            <w:tcW w:w="685" w:type="dxa"/>
            <w:vAlign w:val="top"/>
            <w:vMerge w:val="restart"/>
            <w:tcBorders>
              <w:bottom w:val="nil"/>
            </w:tcBorders>
          </w:tcPr>
          <w:p>
            <w:pPr>
              <w:rPr>
                <w:rFonts w:ascii="Arial"/>
                <w:sz w:val="21"/>
              </w:rPr>
            </w:pPr>
            <w:r/>
          </w:p>
        </w:tc>
        <w:tc>
          <w:tcPr>
            <w:tcW w:w="3287" w:type="dxa"/>
            <w:vAlign w:val="top"/>
          </w:tcPr>
          <w:p>
            <w:pPr>
              <w:ind w:left="115" w:right="295"/>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核的企业在清洁生产审核中</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弄虚作假的</w:t>
            </w:r>
          </w:p>
        </w:tc>
        <w:tc>
          <w:tcPr>
            <w:tcW w:w="1116" w:type="dxa"/>
            <w:vAlign w:val="top"/>
          </w:tcPr>
          <w:p>
            <w:pPr>
              <w:rPr>
                <w:rFonts w:ascii="Arial"/>
                <w:sz w:val="21"/>
              </w:rPr>
            </w:pPr>
            <w:r/>
          </w:p>
        </w:tc>
      </w:tr>
      <w:tr>
        <w:trPr>
          <w:trHeight w:val="949"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15" w:right="295" w:firstLine="6"/>
              <w:spacing w:before="38"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应当实施强制性清洁生产审</w:t>
            </w:r>
            <w:r>
              <w:rPr>
                <w:rFonts w:ascii="FangSong_GB2312" w:hAnsi="FangSong_GB2312" w:eastAsia="FangSong_GB2312" w:cs="FangSong_GB2312"/>
                <w:sz w:val="24"/>
                <w:szCs w:val="24"/>
                <w:spacing w:val="7"/>
              </w:rPr>
              <w:t xml:space="preserve"> </w:t>
            </w:r>
            <w:r>
              <w:rPr>
                <w:rFonts w:ascii="FangSong_GB2312" w:hAnsi="FangSong_GB2312" w:eastAsia="FangSong_GB2312" w:cs="FangSong_GB2312"/>
                <w:sz w:val="24"/>
                <w:szCs w:val="24"/>
                <w:spacing w:val="-1"/>
              </w:rPr>
              <w:t>核的企业不实施强制性清洁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生产审核的</w:t>
            </w:r>
          </w:p>
        </w:tc>
        <w:tc>
          <w:tcPr>
            <w:tcW w:w="1116" w:type="dxa"/>
            <w:vAlign w:val="top"/>
          </w:tcPr>
          <w:p>
            <w:pPr>
              <w:spacing w:line="273" w:lineRule="auto"/>
              <w:rPr>
                <w:rFonts w:ascii="Arial"/>
                <w:sz w:val="21"/>
              </w:rPr>
            </w:pPr>
            <w:r/>
          </w:p>
          <w:p>
            <w:pPr>
              <w:ind w:left="164"/>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31%-40%</w:t>
            </w:r>
          </w:p>
        </w:tc>
      </w:tr>
      <w:tr>
        <w:trPr>
          <w:trHeight w:val="320" w:hRule="atLeast"/>
        </w:trPr>
        <w:tc>
          <w:tcPr>
            <w:tcW w:w="1420" w:type="dxa"/>
            <w:vAlign w:val="top"/>
            <w:vMerge w:val="restart"/>
            <w:tcBorders>
              <w:bottom w:val="nil"/>
            </w:tcBorders>
          </w:tcPr>
          <w:p>
            <w:pPr>
              <w:spacing w:line="446" w:lineRule="auto"/>
              <w:rPr>
                <w:rFonts w:ascii="Arial"/>
                <w:sz w:val="21"/>
              </w:rPr>
            </w:pPr>
            <w:r/>
          </w:p>
          <w:p>
            <w:pPr>
              <w:ind w:left="23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2056" w:type="dxa"/>
            <w:vAlign w:val="top"/>
            <w:vMerge w:val="restart"/>
            <w:tcBorders>
              <w:bottom w:val="nil"/>
            </w:tcBorders>
          </w:tcPr>
          <w:p>
            <w:pPr>
              <w:spacing w:line="446" w:lineRule="auto"/>
              <w:rPr>
                <w:rFonts w:ascii="Arial"/>
                <w:sz w:val="21"/>
              </w:rPr>
            </w:pPr>
            <w:r/>
          </w:p>
          <w:p>
            <w:pPr>
              <w:ind w:left="208"/>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一年内违法次数</w:t>
            </w:r>
          </w:p>
        </w:tc>
        <w:tc>
          <w:tcPr>
            <w:tcW w:w="685" w:type="dxa"/>
            <w:vAlign w:val="top"/>
            <w:vMerge w:val="restart"/>
            <w:tcBorders>
              <w:bottom w:val="nil"/>
            </w:tcBorders>
          </w:tcPr>
          <w:p>
            <w:pPr>
              <w:spacing w:line="446"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2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116" w:type="dxa"/>
            <w:vAlign w:val="top"/>
          </w:tcPr>
          <w:p>
            <w:pPr>
              <w:ind w:left="45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116" w:type="dxa"/>
            <w:vAlign w:val="top"/>
          </w:tcPr>
          <w:p>
            <w:pPr>
              <w:ind w:left="40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8"/>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116" w:type="dxa"/>
            <w:vAlign w:val="top"/>
          </w:tcPr>
          <w:p>
            <w:pPr>
              <w:ind w:left="40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3"/>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116" w:type="dxa"/>
            <w:vAlign w:val="top"/>
          </w:tcPr>
          <w:p>
            <w:pPr>
              <w:ind w:left="395"/>
              <w:spacing w:before="39"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420" w:type="dxa"/>
            <w:vAlign w:val="top"/>
            <w:vMerge w:val="restart"/>
            <w:tcBorders>
              <w:bottom w:val="nil"/>
            </w:tcBorders>
          </w:tcPr>
          <w:p>
            <w:pPr>
              <w:spacing w:line="442" w:lineRule="auto"/>
              <w:rPr>
                <w:rFonts w:ascii="Arial"/>
                <w:sz w:val="21"/>
              </w:rPr>
            </w:pPr>
            <w:r/>
          </w:p>
          <w:p>
            <w:pPr>
              <w:ind w:left="239"/>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2056" w:type="dxa"/>
            <w:vAlign w:val="top"/>
            <w:vMerge w:val="restart"/>
            <w:tcBorders>
              <w:bottom w:val="nil"/>
            </w:tcBorders>
          </w:tcPr>
          <w:p>
            <w:pPr>
              <w:spacing w:line="443" w:lineRule="auto"/>
              <w:rPr>
                <w:rFonts w:ascii="Arial"/>
                <w:sz w:val="21"/>
              </w:rPr>
            </w:pPr>
            <w:r/>
          </w:p>
          <w:p>
            <w:pPr>
              <w:ind w:left="309"/>
              <w:spacing w:before="78"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是否完成整改</w:t>
            </w:r>
          </w:p>
        </w:tc>
        <w:tc>
          <w:tcPr>
            <w:tcW w:w="685" w:type="dxa"/>
            <w:vAlign w:val="top"/>
            <w:vMerge w:val="restart"/>
            <w:tcBorders>
              <w:bottom w:val="nil"/>
            </w:tcBorders>
          </w:tcPr>
          <w:p>
            <w:pPr>
              <w:spacing w:line="442" w:lineRule="auto"/>
              <w:rPr>
                <w:rFonts w:ascii="Arial"/>
                <w:sz w:val="21"/>
              </w:rPr>
            </w:pPr>
            <w:r/>
          </w:p>
          <w:p>
            <w:pPr>
              <w:ind w:left="185"/>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15"/>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116" w:type="dxa"/>
            <w:vAlign w:val="top"/>
          </w:tcPr>
          <w:p>
            <w:pPr>
              <w:ind w:left="462"/>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634" w:hRule="atLeast"/>
        </w:trPr>
        <w:tc>
          <w:tcPr>
            <w:tcW w:w="1420" w:type="dxa"/>
            <w:vAlign w:val="top"/>
            <w:vMerge w:val="continue"/>
            <w:tcBorders>
              <w:top w:val="nil"/>
              <w:bottom w:val="nil"/>
            </w:tcBorders>
          </w:tcPr>
          <w:p>
            <w:pPr>
              <w:rPr>
                <w:rFonts w:ascii="Arial"/>
                <w:sz w:val="21"/>
              </w:rPr>
            </w:pPr>
            <w:r/>
          </w:p>
        </w:tc>
        <w:tc>
          <w:tcPr>
            <w:tcW w:w="2056" w:type="dxa"/>
            <w:vAlign w:val="top"/>
            <w:vMerge w:val="continue"/>
            <w:tcBorders>
              <w:top w:val="nil"/>
              <w:bottom w:val="nil"/>
            </w:tcBorders>
          </w:tcPr>
          <w:p>
            <w:pPr>
              <w:rPr>
                <w:rFonts w:ascii="Arial"/>
                <w:sz w:val="21"/>
              </w:rPr>
            </w:pPr>
            <w:r/>
          </w:p>
        </w:tc>
        <w:tc>
          <w:tcPr>
            <w:tcW w:w="685" w:type="dxa"/>
            <w:vAlign w:val="top"/>
            <w:vMerge w:val="continue"/>
            <w:tcBorders>
              <w:top w:val="nil"/>
              <w:bottom w:val="nil"/>
            </w:tcBorders>
          </w:tcPr>
          <w:p>
            <w:pPr>
              <w:rPr>
                <w:rFonts w:ascii="Arial"/>
                <w:sz w:val="21"/>
              </w:rPr>
            </w:pPr>
            <w:r/>
          </w:p>
        </w:tc>
        <w:tc>
          <w:tcPr>
            <w:tcW w:w="3287" w:type="dxa"/>
            <w:vAlign w:val="top"/>
          </w:tcPr>
          <w:p>
            <w:pPr>
              <w:ind w:left="123" w:right="295"/>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6"/>
              </w:rPr>
              <w:t>消除的</w:t>
            </w:r>
          </w:p>
        </w:tc>
        <w:tc>
          <w:tcPr>
            <w:tcW w:w="1116" w:type="dxa"/>
            <w:vAlign w:val="top"/>
          </w:tcPr>
          <w:p>
            <w:pPr>
              <w:ind w:left="281"/>
              <w:spacing w:before="19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116" w:type="dxa"/>
            <w:vAlign w:val="top"/>
          </w:tcPr>
          <w:p>
            <w:pPr>
              <w:ind w:left="21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332" w:hRule="atLeast"/>
        </w:trPr>
        <w:tc>
          <w:tcPr>
            <w:tcW w:w="1420" w:type="dxa"/>
            <w:vAlign w:val="top"/>
            <w:vMerge w:val="restart"/>
            <w:tcBorders>
              <w:bottom w:val="nil"/>
            </w:tcBorders>
          </w:tcPr>
          <w:p>
            <w:pPr>
              <w:ind w:left="238" w:right="226" w:firstLine="7"/>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2056" w:type="dxa"/>
            <w:vAlign w:val="top"/>
            <w:vMerge w:val="restart"/>
            <w:tcBorders>
              <w:bottom w:val="nil"/>
            </w:tcBorders>
          </w:tcPr>
          <w:p>
            <w:pPr>
              <w:ind w:left="789" w:right="307" w:hanging="480"/>
              <w:spacing w:before="54"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685" w:type="dxa"/>
            <w:vAlign w:val="top"/>
            <w:vMerge w:val="restart"/>
            <w:tcBorders>
              <w:bottom w:val="nil"/>
            </w:tcBorders>
          </w:tcPr>
          <w:p>
            <w:pPr>
              <w:ind w:left="185"/>
              <w:spacing w:before="21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287" w:type="dxa"/>
            <w:vAlign w:val="top"/>
          </w:tcPr>
          <w:p>
            <w:pPr>
              <w:ind w:left="120"/>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116" w:type="dxa"/>
            <w:vAlign w:val="top"/>
          </w:tcPr>
          <w:p>
            <w:pPr>
              <w:ind w:left="221"/>
              <w:spacing w:before="47" w:line="211"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2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116" w:type="dxa"/>
            <w:vAlign w:val="top"/>
          </w:tcPr>
          <w:p>
            <w:pPr>
              <w:ind w:left="46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2" w:hRule="atLeast"/>
        </w:trPr>
        <w:tc>
          <w:tcPr>
            <w:tcW w:w="1420" w:type="dxa"/>
            <w:vAlign w:val="top"/>
            <w:vMerge w:val="restart"/>
            <w:tcBorders>
              <w:bottom w:val="nil"/>
            </w:tcBorders>
          </w:tcPr>
          <w:p>
            <w:pPr>
              <w:ind w:left="230" w:right="226" w:firstLine="9"/>
              <w:spacing w:before="85" w:line="233"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2056" w:type="dxa"/>
            <w:vAlign w:val="top"/>
            <w:vMerge w:val="restart"/>
            <w:tcBorders>
              <w:bottom w:val="nil"/>
            </w:tcBorders>
          </w:tcPr>
          <w:p>
            <w:pPr>
              <w:ind w:left="320" w:right="187" w:hanging="131"/>
              <w:spacing w:before="239"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是否造成社会影</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响或生态破坏</w:t>
            </w:r>
          </w:p>
        </w:tc>
        <w:tc>
          <w:tcPr>
            <w:tcW w:w="685" w:type="dxa"/>
            <w:vAlign w:val="top"/>
            <w:vMerge w:val="restart"/>
            <w:tcBorders>
              <w:bottom w:val="nil"/>
            </w:tcBorders>
          </w:tcPr>
          <w:p>
            <w:pPr>
              <w:spacing w:line="318" w:lineRule="auto"/>
              <w:rPr>
                <w:rFonts w:ascii="Arial"/>
                <w:sz w:val="21"/>
              </w:rPr>
            </w:pPr>
            <w:r/>
          </w:p>
          <w:p>
            <w:pPr>
              <w:ind w:left="179"/>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287" w:type="dxa"/>
            <w:vAlign w:val="top"/>
          </w:tcPr>
          <w:p>
            <w:pPr>
              <w:ind w:left="11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116" w:type="dxa"/>
            <w:vAlign w:val="top"/>
          </w:tcPr>
          <w:p>
            <w:pPr>
              <w:ind w:left="221"/>
              <w:spacing w:before="80" w:line="232"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420" w:type="dxa"/>
            <w:vAlign w:val="top"/>
            <w:vMerge w:val="continue"/>
            <w:tcBorders>
              <w:top w:val="nil"/>
            </w:tcBorders>
          </w:tcPr>
          <w:p>
            <w:pPr>
              <w:rPr>
                <w:rFonts w:ascii="Arial"/>
                <w:sz w:val="21"/>
              </w:rPr>
            </w:pPr>
            <w:r/>
          </w:p>
        </w:tc>
        <w:tc>
          <w:tcPr>
            <w:tcW w:w="2056" w:type="dxa"/>
            <w:vAlign w:val="top"/>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3287" w:type="dxa"/>
            <w:vAlign w:val="top"/>
          </w:tcPr>
          <w:p>
            <w:pPr>
              <w:ind w:left="136" w:right="295"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116" w:type="dxa"/>
            <w:vAlign w:val="top"/>
          </w:tcPr>
          <w:p>
            <w:pPr>
              <w:ind w:left="462"/>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27"/>
          <w:pgSz w:w="11905" w:h="16839"/>
          <w:pgMar w:top="1431" w:right="1668" w:bottom="1156" w:left="1667" w:header="0" w:footer="994" w:gutter="0"/>
        </w:sectPr>
        <w:rPr/>
      </w:pPr>
    </w:p>
    <w:p>
      <w:pPr>
        <w:spacing w:before="92"/>
        <w:rPr/>
      </w:pPr>
      <w:r/>
    </w:p>
    <w:p>
      <w:pPr>
        <w:spacing w:before="91"/>
        <w:rPr/>
      </w:pPr>
      <w:r/>
    </w:p>
    <w:tbl>
      <w:tblPr>
        <w:tblStyle w:val="TableNormal"/>
        <w:tblW w:w="841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2"/>
        <w:gridCol w:w="1889"/>
        <w:gridCol w:w="792"/>
        <w:gridCol w:w="3333"/>
        <w:gridCol w:w="1009"/>
      </w:tblGrid>
      <w:tr>
        <w:trPr>
          <w:trHeight w:val="720" w:hRule="atLeast"/>
        </w:trPr>
        <w:tc>
          <w:tcPr>
            <w:tcW w:w="8410" w:type="dxa"/>
            <w:vAlign w:val="top"/>
            <w:gridSpan w:val="6"/>
          </w:tcPr>
          <w:p>
            <w:pPr>
              <w:ind w:left="203"/>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5" w:hRule="atLeast"/>
        </w:trPr>
        <w:tc>
          <w:tcPr>
            <w:tcW w:w="1215" w:type="dxa"/>
            <w:vAlign w:val="top"/>
          </w:tcPr>
          <w:p>
            <w:pPr>
              <w:ind w:left="333"/>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95" w:type="dxa"/>
            <w:vAlign w:val="top"/>
            <w:gridSpan w:val="5"/>
          </w:tcPr>
          <w:p>
            <w:pPr>
              <w:ind w:left="3431"/>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221</w:t>
            </w:r>
          </w:p>
        </w:tc>
      </w:tr>
      <w:tr>
        <w:trPr>
          <w:trHeight w:val="715" w:hRule="atLeast"/>
        </w:trPr>
        <w:tc>
          <w:tcPr>
            <w:tcW w:w="1215" w:type="dxa"/>
            <w:vAlign w:val="top"/>
          </w:tcPr>
          <w:p>
            <w:pPr>
              <w:ind w:left="57"/>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95" w:type="dxa"/>
            <w:vAlign w:val="top"/>
            <w:gridSpan w:val="5"/>
          </w:tcPr>
          <w:p>
            <w:pPr>
              <w:ind w:left="24"/>
              <w:spacing w:before="23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在人口集中地区对树木、花草喷洒剧毒、高毒农药</w:t>
            </w:r>
          </w:p>
        </w:tc>
      </w:tr>
      <w:tr>
        <w:trPr>
          <w:trHeight w:val="6332" w:hRule="atLeast"/>
        </w:trPr>
        <w:tc>
          <w:tcPr>
            <w:tcW w:w="1215"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95" w:type="dxa"/>
            <w:vAlign w:val="top"/>
            <w:gridSpan w:val="5"/>
          </w:tcPr>
          <w:p>
            <w:pPr>
              <w:ind w:left="36"/>
              <w:spacing w:before="55"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1.</w:t>
            </w:r>
            <w:r>
              <w:rPr>
                <w:rFonts w:ascii="FangSong_GB2312" w:hAnsi="FangSong_GB2312" w:eastAsia="FangSong_GB2312" w:cs="FangSong_GB2312"/>
                <w:sz w:val="24"/>
                <w:szCs w:val="24"/>
                <w:spacing w:val="-35"/>
              </w:rPr>
              <w:t xml:space="preserve"> </w:t>
            </w:r>
            <w:r>
              <w:rPr>
                <w:rFonts w:ascii="FangSong_GB2312" w:hAnsi="FangSong_GB2312" w:eastAsia="FangSong_GB2312" w:cs="FangSong_GB2312"/>
                <w:sz w:val="24"/>
                <w:szCs w:val="24"/>
                <w:b/>
                <w:bCs/>
                <w:spacing w:val="-4"/>
              </w:rPr>
              <w:t>《中华人民共和国大气污染防治法》</w:t>
            </w:r>
          </w:p>
          <w:p>
            <w:pPr>
              <w:ind w:left="24" w:right="14" w:firstLine="9"/>
              <w:spacing w:before="33"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第七十四条</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b/>
                <w:bCs/>
                <w:spacing w:val="-3"/>
              </w:rPr>
              <w:t>第二款</w:t>
            </w:r>
            <w:r>
              <w:rPr>
                <w:rFonts w:ascii="FangSong_GB2312" w:hAnsi="FangSong_GB2312" w:eastAsia="FangSong_GB2312" w:cs="FangSong_GB2312"/>
                <w:sz w:val="24"/>
                <w:szCs w:val="24"/>
                <w:spacing w:val="-3"/>
              </w:rPr>
              <w:t xml:space="preserve"> </w:t>
            </w:r>
            <w:r>
              <w:rPr>
                <w:rFonts w:ascii="FangSong_GB2312" w:hAnsi="FangSong_GB2312" w:eastAsia="FangSong_GB2312" w:cs="FangSong_GB2312"/>
                <w:sz w:val="24"/>
                <w:szCs w:val="24"/>
                <w:spacing w:val="-3"/>
              </w:rPr>
              <w:t>禁止在人口集中地区对树木、花草喷洒剧毒、高</w:t>
            </w:r>
            <w:r>
              <w:rPr>
                <w:rFonts w:ascii="FangSong_GB2312" w:hAnsi="FangSong_GB2312" w:eastAsia="FangSong_GB2312" w:cs="FangSong_GB2312"/>
                <w:sz w:val="24"/>
                <w:szCs w:val="24"/>
                <w:spacing w:val="14"/>
              </w:rPr>
              <w:t xml:space="preserve"> </w:t>
            </w:r>
            <w:r>
              <w:rPr>
                <w:rFonts w:ascii="FangSong_GB2312" w:hAnsi="FangSong_GB2312" w:eastAsia="FangSong_GB2312" w:cs="FangSong_GB2312"/>
                <w:sz w:val="24"/>
                <w:szCs w:val="24"/>
                <w:spacing w:val="-4"/>
              </w:rPr>
              <w:t>毒农药。</w:t>
            </w:r>
          </w:p>
          <w:p>
            <w:pPr>
              <w:spacing w:line="270" w:lineRule="auto"/>
              <w:rPr>
                <w:rFonts w:ascii="Arial"/>
                <w:sz w:val="21"/>
              </w:rPr>
            </w:pPr>
            <w:r/>
          </w:p>
          <w:p>
            <w:pPr>
              <w:ind w:left="30"/>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2.</w:t>
            </w:r>
            <w:r>
              <w:rPr>
                <w:rFonts w:ascii="FangSong_GB2312" w:hAnsi="FangSong_GB2312" w:eastAsia="FangSong_GB2312" w:cs="FangSong_GB2312"/>
                <w:sz w:val="24"/>
                <w:szCs w:val="24"/>
                <w:spacing w:val="-48"/>
              </w:rPr>
              <w:t xml:space="preserve"> </w:t>
            </w:r>
            <w:r>
              <w:rPr>
                <w:rFonts w:ascii="FangSong_GB2312" w:hAnsi="FangSong_GB2312" w:eastAsia="FangSong_GB2312" w:cs="FangSong_GB2312"/>
                <w:sz w:val="24"/>
                <w:szCs w:val="24"/>
                <w:b/>
                <w:bCs/>
                <w:spacing w:val="-3"/>
              </w:rPr>
              <w:t>《中华人民共和国大气污染防治法》</w:t>
            </w:r>
          </w:p>
          <w:p>
            <w:pPr>
              <w:ind w:left="33"/>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违反本法规定，在</w:t>
            </w:r>
            <w:r>
              <w:rPr>
                <w:rFonts w:ascii="FangSong_GB2312" w:hAnsi="FangSong_GB2312" w:eastAsia="FangSong_GB2312" w:cs="FangSong_GB2312"/>
                <w:sz w:val="24"/>
                <w:szCs w:val="24"/>
                <w:spacing w:val="-2"/>
              </w:rPr>
              <w:t>人口集中地区对树木、</w:t>
            </w:r>
          </w:p>
          <w:p>
            <w:pPr>
              <w:ind w:left="28" w:right="14" w:hanging="5"/>
              <w:spacing w:before="35"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花草喷洒剧毒、高毒农药，或者露天焚烧秸秆、落叶等产生烟尘污染</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的物质的，由县级以上地方人民政府确定的监督管理部门责令改正，</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并可以处五百元以上二千元以下的罚款。</w:t>
            </w:r>
          </w:p>
          <w:p>
            <w:pPr>
              <w:spacing w:line="269" w:lineRule="auto"/>
              <w:rPr>
                <w:rFonts w:ascii="Arial"/>
                <w:sz w:val="21"/>
              </w:rPr>
            </w:pPr>
            <w:r/>
          </w:p>
          <w:p>
            <w:pPr>
              <w:ind w:left="3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3.《河北省大气污染防治条例》</w:t>
            </w:r>
          </w:p>
          <w:p>
            <w:pPr>
              <w:ind w:left="35" w:right="213" w:hanging="2"/>
              <w:spacing w:before="3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第五十四条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第二款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县级以上人民政府农业主管</w:t>
            </w:r>
            <w:r>
              <w:rPr>
                <w:rFonts w:ascii="FangSong_GB2312" w:hAnsi="FangSong_GB2312" w:eastAsia="FangSong_GB2312" w:cs="FangSong_GB2312"/>
                <w:sz w:val="24"/>
                <w:szCs w:val="24"/>
                <w:spacing w:val="-2"/>
              </w:rPr>
              <w:t>部门应当指导农业</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生产经营者科学合理施用农药、化肥等，降低大气污染物排放量。</w:t>
            </w:r>
          </w:p>
          <w:p>
            <w:pPr>
              <w:spacing w:line="270" w:lineRule="auto"/>
              <w:rPr>
                <w:rFonts w:ascii="Arial"/>
                <w:sz w:val="21"/>
              </w:rPr>
            </w:pPr>
            <w:r/>
          </w:p>
          <w:p>
            <w:pPr>
              <w:ind w:left="2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4.《河北省大气污染防治条例》</w:t>
            </w:r>
          </w:p>
          <w:p>
            <w:pPr>
              <w:ind w:left="23" w:right="14" w:firstLine="10"/>
              <w:spacing w:before="39"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违反本条例规定，露天焚烧秸秆、落叶、枯草等</w:t>
            </w:r>
            <w:r>
              <w:rPr>
                <w:rFonts w:ascii="FangSong_GB2312" w:hAnsi="FangSong_GB2312" w:eastAsia="FangSong_GB2312" w:cs="FangSong_GB2312"/>
                <w:sz w:val="24"/>
                <w:szCs w:val="24"/>
                <w:spacing w:val="-2"/>
              </w:rPr>
              <w:t>产生烟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尘污染的物质，在禁止燃放区域或者重污染天气应急响应时燃放烟花</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爆竹，或者在人口集中地区对树木、花草喷洒剧毒、高毒农药的，由</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县级以上人民政府确定的监督管理部门责令改正，并可以处五百元以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上二千元以下罚款。</w:t>
            </w:r>
          </w:p>
        </w:tc>
      </w:tr>
      <w:tr>
        <w:trPr>
          <w:trHeight w:val="635" w:hRule="atLeast"/>
        </w:trPr>
        <w:tc>
          <w:tcPr>
            <w:tcW w:w="4068" w:type="dxa"/>
            <w:vAlign w:val="top"/>
            <w:gridSpan w:val="4"/>
          </w:tcPr>
          <w:p>
            <w:pPr>
              <w:ind w:left="1482"/>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2" w:type="dxa"/>
            <w:vAlign w:val="top"/>
            <w:gridSpan w:val="2"/>
          </w:tcPr>
          <w:p>
            <w:pPr>
              <w:ind w:left="1629"/>
              <w:spacing w:before="181"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gridSpan w:val="2"/>
          </w:tcPr>
          <w:p>
            <w:pPr>
              <w:ind w:left="465"/>
              <w:spacing w:before="19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5"/>
              <w:spacing w:before="209"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33" w:type="dxa"/>
            <w:vAlign w:val="top"/>
          </w:tcPr>
          <w:p>
            <w:pPr>
              <w:ind w:left="1454"/>
              <w:spacing w:before="208"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09" w:type="dxa"/>
            <w:vAlign w:val="top"/>
          </w:tcPr>
          <w:p>
            <w:pPr>
              <w:ind w:left="189"/>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635" w:hRule="atLeast"/>
        </w:trPr>
        <w:tc>
          <w:tcPr>
            <w:tcW w:w="1387" w:type="dxa"/>
            <w:vAlign w:val="top"/>
            <w:gridSpan w:val="2"/>
            <w:vMerge w:val="restart"/>
            <w:tcBorders>
              <w:bottom w:val="nil"/>
            </w:tcBorders>
          </w:tcPr>
          <w:p>
            <w:pPr>
              <w:spacing w:line="300" w:lineRule="auto"/>
              <w:rPr>
                <w:rFonts w:ascii="Arial"/>
                <w:sz w:val="21"/>
              </w:rPr>
            </w:pPr>
            <w:r/>
          </w:p>
          <w:p>
            <w:pPr>
              <w:spacing w:line="300" w:lineRule="auto"/>
              <w:rPr>
                <w:rFonts w:ascii="Arial"/>
                <w:sz w:val="21"/>
              </w:rPr>
            </w:pPr>
            <w:r/>
          </w:p>
          <w:p>
            <w:pPr>
              <w:ind w:left="345" w:right="210"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2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333" w:type="dxa"/>
            <w:vAlign w:val="top"/>
          </w:tcPr>
          <w:p>
            <w:pPr>
              <w:ind w:left="125"/>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喷洒剧毒、高毒农药占地面积</w:t>
            </w:r>
          </w:p>
          <w:p>
            <w:pPr>
              <w:ind w:left="130"/>
              <w:spacing w:before="37"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平方米以下的</w:t>
            </w:r>
          </w:p>
        </w:tc>
        <w:tc>
          <w:tcPr>
            <w:tcW w:w="1009" w:type="dxa"/>
            <w:vAlign w:val="top"/>
          </w:tcPr>
          <w:p>
            <w:pPr>
              <w:ind w:left="167"/>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5"/>
              <w:spacing w:before="4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喷洒剧毒、高毒农药占地面积</w:t>
            </w:r>
          </w:p>
          <w:p>
            <w:pPr>
              <w:ind w:left="130"/>
              <w:spacing w:before="36"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61"/>
              </w:rPr>
              <w:t xml:space="preserve"> </w:t>
            </w:r>
            <w:r>
              <w:rPr>
                <w:rFonts w:ascii="FangSong_GB2312" w:hAnsi="FangSong_GB2312" w:eastAsia="FangSong_GB2312" w:cs="FangSong_GB2312"/>
                <w:sz w:val="24"/>
                <w:szCs w:val="24"/>
                <w:spacing w:val="-6"/>
              </w:rPr>
              <w:t>平方米以上</w:t>
            </w:r>
            <w:r>
              <w:rPr>
                <w:rFonts w:ascii="FangSong_GB2312" w:hAnsi="FangSong_GB2312" w:eastAsia="FangSong_GB2312" w:cs="FangSong_GB2312"/>
                <w:sz w:val="24"/>
                <w:szCs w:val="24"/>
                <w:spacing w:val="-55"/>
              </w:rPr>
              <w:t xml:space="preserve"> </w:t>
            </w: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68"/>
              </w:rPr>
              <w:t xml:space="preserve"> </w:t>
            </w:r>
            <w:r>
              <w:rPr>
                <w:rFonts w:ascii="FangSong_GB2312" w:hAnsi="FangSong_GB2312" w:eastAsia="FangSong_GB2312" w:cs="FangSong_GB2312"/>
                <w:sz w:val="24"/>
                <w:szCs w:val="24"/>
                <w:spacing w:val="-6"/>
              </w:rPr>
              <w:t>平方米以下的</w:t>
            </w:r>
          </w:p>
        </w:tc>
        <w:tc>
          <w:tcPr>
            <w:tcW w:w="1009" w:type="dxa"/>
            <w:vAlign w:val="top"/>
          </w:tcPr>
          <w:p>
            <w:pPr>
              <w:ind w:left="451" w:right="141" w:hanging="284"/>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11%-30</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w:t>
            </w:r>
          </w:p>
        </w:tc>
      </w:tr>
      <w:tr>
        <w:trPr>
          <w:trHeight w:val="635"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5"/>
              <w:spacing w:before="43"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喷洒剧毒、高毒农药占地面积</w:t>
            </w:r>
          </w:p>
          <w:p>
            <w:pPr>
              <w:ind w:left="130"/>
              <w:spacing w:before="36"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平方米以上</w:t>
            </w:r>
          </w:p>
        </w:tc>
        <w:tc>
          <w:tcPr>
            <w:tcW w:w="1009" w:type="dxa"/>
            <w:vAlign w:val="top"/>
          </w:tcPr>
          <w:p>
            <w:pPr>
              <w:ind w:left="451" w:right="141" w:hanging="281"/>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w:t>
            </w:r>
          </w:p>
        </w:tc>
      </w:tr>
      <w:tr>
        <w:trPr>
          <w:trHeight w:val="320" w:hRule="atLeast"/>
        </w:trPr>
        <w:tc>
          <w:tcPr>
            <w:tcW w:w="1387" w:type="dxa"/>
            <w:vAlign w:val="top"/>
            <w:gridSpan w:val="2"/>
            <w:vMerge w:val="restart"/>
            <w:tcBorders>
              <w:bottom w:val="nil"/>
            </w:tcBorders>
          </w:tcPr>
          <w:p>
            <w:pPr>
              <w:spacing w:line="448"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5" w:lineRule="auto"/>
              <w:rPr>
                <w:rFonts w:ascii="Arial"/>
                <w:sz w:val="21"/>
              </w:rPr>
            </w:pPr>
            <w:r/>
          </w:p>
          <w:p>
            <w:pPr>
              <w:ind w:left="836"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8"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22"/>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09" w:type="dxa"/>
            <w:vAlign w:val="top"/>
          </w:tcPr>
          <w:p>
            <w:pPr>
              <w:ind w:left="404"/>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09" w:type="dxa"/>
            <w:vAlign w:val="top"/>
          </w:tcPr>
          <w:p>
            <w:pPr>
              <w:ind w:left="34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09" w:type="dxa"/>
            <w:vAlign w:val="top"/>
          </w:tcPr>
          <w:p>
            <w:pPr>
              <w:ind w:left="34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2"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09" w:type="dxa"/>
            <w:vAlign w:val="top"/>
          </w:tcPr>
          <w:p>
            <w:pPr>
              <w:ind w:left="341"/>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bl>
    <w:p>
      <w:pPr>
        <w:pStyle w:val="BodyText"/>
        <w:rPr/>
      </w:pPr>
      <w:r/>
    </w:p>
    <w:p>
      <w:pPr>
        <w:sectPr>
          <w:footerReference w:type="default" r:id="rId428"/>
          <w:pgSz w:w="11905" w:h="16839"/>
          <w:pgMar w:top="1431" w:right="1745" w:bottom="1156" w:left="1744" w:header="0" w:footer="994" w:gutter="0"/>
        </w:sectPr>
        <w:rPr/>
      </w:pPr>
    </w:p>
    <w:p>
      <w:pPr>
        <w:spacing w:before="92"/>
        <w:rPr/>
      </w:pPr>
      <w:r/>
    </w:p>
    <w:p>
      <w:pPr>
        <w:spacing w:before="91"/>
        <w:rPr/>
      </w:pPr>
      <w:r/>
    </w:p>
    <w:tbl>
      <w:tblPr>
        <w:tblStyle w:val="TableNormal"/>
        <w:tblW w:w="841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333"/>
        <w:gridCol w:w="1009"/>
      </w:tblGrid>
      <w:tr>
        <w:trPr>
          <w:trHeight w:val="324" w:hRule="atLeast"/>
        </w:trPr>
        <w:tc>
          <w:tcPr>
            <w:tcW w:w="1387" w:type="dxa"/>
            <w:vAlign w:val="top"/>
            <w:vMerge w:val="restart"/>
            <w:tcBorders>
              <w:bottom w:val="nil"/>
            </w:tcBorders>
          </w:tcPr>
          <w:p>
            <w:pPr>
              <w:ind w:left="221" w:right="210" w:firstLine="7"/>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6" w:right="222" w:hanging="480"/>
              <w:spacing w:before="50"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20"/>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09" w:type="dxa"/>
            <w:vAlign w:val="top"/>
          </w:tcPr>
          <w:p>
            <w:pPr>
              <w:ind w:left="167"/>
              <w:spacing w:before="44"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1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5"/>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09" w:type="dxa"/>
            <w:vAlign w:val="top"/>
          </w:tcPr>
          <w:p>
            <w:pPr>
              <w:ind w:left="408"/>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8" w:hRule="atLeast"/>
        </w:trPr>
        <w:tc>
          <w:tcPr>
            <w:tcW w:w="1387" w:type="dxa"/>
            <w:vAlign w:val="top"/>
            <w:vMerge w:val="restart"/>
            <w:tcBorders>
              <w:bottom w:val="nil"/>
            </w:tcBorders>
          </w:tcPr>
          <w:p>
            <w:pPr>
              <w:ind w:left="213" w:right="210" w:firstLine="9"/>
              <w:spacing w:before="84"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6"/>
              <w:spacing w:before="85"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1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18"/>
              <w:spacing w:before="8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09" w:type="dxa"/>
            <w:vAlign w:val="top"/>
          </w:tcPr>
          <w:p>
            <w:pPr>
              <w:ind w:left="167"/>
              <w:spacing w:before="8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8"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5" w:right="102"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未造成社会影响或生态破坏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09" w:type="dxa"/>
            <w:vAlign w:val="top"/>
          </w:tcPr>
          <w:p>
            <w:pPr>
              <w:ind w:left="408"/>
              <w:spacing w:before="200"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29"/>
          <w:pgSz w:w="11905" w:h="16839"/>
          <w:pgMar w:top="1431" w:right="1745" w:bottom="1156" w:left="1744" w:header="0" w:footer="994" w:gutter="0"/>
        </w:sectPr>
        <w:rPr/>
      </w:pPr>
    </w:p>
    <w:p>
      <w:pPr>
        <w:spacing w:before="92"/>
        <w:rPr/>
      </w:pPr>
      <w:r/>
    </w:p>
    <w:p>
      <w:pPr>
        <w:spacing w:before="91"/>
        <w:rPr/>
      </w:pPr>
      <w:r/>
    </w:p>
    <w:tbl>
      <w:tblPr>
        <w:tblStyle w:val="TableNormal"/>
        <w:tblW w:w="841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2"/>
        <w:gridCol w:w="1889"/>
        <w:gridCol w:w="792"/>
        <w:gridCol w:w="3333"/>
        <w:gridCol w:w="1009"/>
      </w:tblGrid>
      <w:tr>
        <w:trPr>
          <w:trHeight w:val="720" w:hRule="atLeast"/>
        </w:trPr>
        <w:tc>
          <w:tcPr>
            <w:tcW w:w="8410" w:type="dxa"/>
            <w:vAlign w:val="top"/>
            <w:gridSpan w:val="6"/>
          </w:tcPr>
          <w:p>
            <w:pPr>
              <w:ind w:left="203"/>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5" w:hRule="atLeast"/>
        </w:trPr>
        <w:tc>
          <w:tcPr>
            <w:tcW w:w="1215" w:type="dxa"/>
            <w:vAlign w:val="top"/>
          </w:tcPr>
          <w:p>
            <w:pPr>
              <w:ind w:left="333"/>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95" w:type="dxa"/>
            <w:vAlign w:val="top"/>
            <w:gridSpan w:val="5"/>
          </w:tcPr>
          <w:p>
            <w:pPr>
              <w:ind w:left="3431"/>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222</w:t>
            </w:r>
          </w:p>
        </w:tc>
      </w:tr>
      <w:tr>
        <w:trPr>
          <w:trHeight w:val="716" w:hRule="atLeast"/>
        </w:trPr>
        <w:tc>
          <w:tcPr>
            <w:tcW w:w="1215" w:type="dxa"/>
            <w:vAlign w:val="top"/>
          </w:tcPr>
          <w:p>
            <w:pPr>
              <w:ind w:left="57"/>
              <w:spacing w:before="218"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95" w:type="dxa"/>
            <w:vAlign w:val="top"/>
            <w:gridSpan w:val="5"/>
          </w:tcPr>
          <w:p>
            <w:pPr>
              <w:ind w:left="31"/>
              <w:spacing w:before="23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露天焚烧秸秆、落叶等产生烟尘污染的物质的</w:t>
            </w:r>
          </w:p>
        </w:tc>
      </w:tr>
      <w:tr>
        <w:trPr>
          <w:trHeight w:val="9166" w:hRule="atLeast"/>
        </w:trPr>
        <w:tc>
          <w:tcPr>
            <w:tcW w:w="1215"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95" w:type="dxa"/>
            <w:vAlign w:val="top"/>
            <w:gridSpan w:val="5"/>
          </w:tcPr>
          <w:p>
            <w:pPr>
              <w:ind w:left="39"/>
              <w:spacing w:before="5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3.</w:t>
            </w:r>
            <w:r>
              <w:rPr>
                <w:rFonts w:ascii="FangSong_GB2312" w:hAnsi="FangSong_GB2312" w:eastAsia="FangSong_GB2312" w:cs="FangSong_GB2312"/>
                <w:sz w:val="24"/>
                <w:szCs w:val="24"/>
                <w:spacing w:val="-39"/>
              </w:rPr>
              <w:t xml:space="preserve"> </w:t>
            </w:r>
            <w:r>
              <w:rPr>
                <w:rFonts w:ascii="FangSong_GB2312" w:hAnsi="FangSong_GB2312" w:eastAsia="FangSong_GB2312" w:cs="FangSong_GB2312"/>
                <w:sz w:val="24"/>
                <w:szCs w:val="24"/>
                <w:b/>
                <w:bCs/>
                <w:spacing w:val="-4"/>
              </w:rPr>
              <w:t>《中华人民共和国大气污染防治法》</w:t>
            </w:r>
          </w:p>
          <w:p>
            <w:pPr>
              <w:ind w:left="28" w:right="14" w:firstLine="4"/>
              <w:spacing w:before="35"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第七十七条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省、自治区、直辖市人民政府应</w:t>
            </w:r>
            <w:r>
              <w:rPr>
                <w:rFonts w:ascii="FangSong_GB2312" w:hAnsi="FangSong_GB2312" w:eastAsia="FangSong_GB2312" w:cs="FangSong_GB2312"/>
                <w:sz w:val="24"/>
                <w:szCs w:val="24"/>
                <w:spacing w:val="-3"/>
              </w:rPr>
              <w:t>当划定区域，禁止露天</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1"/>
              </w:rPr>
              <w:t>焚烧秸秆、落叶等产生烟尘污染的物质。</w:t>
            </w:r>
          </w:p>
          <w:p>
            <w:pPr>
              <w:spacing w:line="27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3"/>
              </w:rPr>
              <w:t>4.</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b/>
                <w:bCs/>
                <w:spacing w:val="-3"/>
              </w:rPr>
              <w:t>《中华人民共和国大气污染防治法》</w:t>
            </w:r>
          </w:p>
          <w:p>
            <w:pPr>
              <w:ind w:left="33"/>
              <w:spacing w:before="36"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第一百一十九条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1"/>
              </w:rPr>
              <w:t>第一款</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违反本法规定，在</w:t>
            </w:r>
            <w:r>
              <w:rPr>
                <w:rFonts w:ascii="FangSong_GB2312" w:hAnsi="FangSong_GB2312" w:eastAsia="FangSong_GB2312" w:cs="FangSong_GB2312"/>
                <w:sz w:val="24"/>
                <w:szCs w:val="24"/>
                <w:spacing w:val="-2"/>
              </w:rPr>
              <w:t>人口集中地区对树木、</w:t>
            </w:r>
          </w:p>
          <w:p>
            <w:pPr>
              <w:ind w:left="28" w:right="14" w:hanging="5"/>
              <w:spacing w:before="35" w:line="23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花草喷洒剧毒、高毒农药，或者露天焚烧秸秆、落叶等产生烟尘污染</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的物质的，由县级以上地方人民政府确定的监督管理部门责令改正，</w:t>
            </w:r>
            <w:r>
              <w:rPr>
                <w:rFonts w:ascii="FangSong_GB2312" w:hAnsi="FangSong_GB2312" w:eastAsia="FangSong_GB2312" w:cs="FangSong_GB2312"/>
                <w:sz w:val="24"/>
                <w:szCs w:val="24"/>
                <w:spacing w:val="6"/>
              </w:rPr>
              <w:t xml:space="preserve"> </w:t>
            </w:r>
            <w:r>
              <w:rPr>
                <w:rFonts w:ascii="FangSong_GB2312" w:hAnsi="FangSong_GB2312" w:eastAsia="FangSong_GB2312" w:cs="FangSong_GB2312"/>
                <w:sz w:val="24"/>
                <w:szCs w:val="24"/>
                <w:spacing w:val="-1"/>
              </w:rPr>
              <w:t>并可以处五百元以上二千元以下的罚款。</w:t>
            </w:r>
          </w:p>
          <w:p>
            <w:pPr>
              <w:spacing w:line="269" w:lineRule="auto"/>
              <w:rPr>
                <w:rFonts w:ascii="Arial"/>
                <w:sz w:val="21"/>
              </w:rPr>
            </w:pPr>
            <w:r/>
          </w:p>
          <w:p>
            <w:pPr>
              <w:ind w:left="29"/>
              <w:spacing w:before="79"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4.《河北省大气污染防治条例》</w:t>
            </w:r>
          </w:p>
          <w:p>
            <w:pPr>
              <w:ind w:left="33"/>
              <w:spacing w:before="36"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第五十条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禁止露天焚烧秸秆、落叶、枯草等产生烟尘污染的物质，</w:t>
            </w:r>
          </w:p>
          <w:p>
            <w:pPr>
              <w:ind w:left="26" w:right="14" w:firstLine="27"/>
              <w:spacing w:before="37"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以及电子废弃物、油毡、橡胶、塑料、皮革、沥青、垃圾等产生有毒</w:t>
            </w:r>
            <w:r>
              <w:rPr>
                <w:rFonts w:ascii="FangSong_GB2312" w:hAnsi="FangSong_GB2312" w:eastAsia="FangSong_GB2312" w:cs="FangSong_GB2312"/>
                <w:sz w:val="24"/>
                <w:szCs w:val="24"/>
                <w:spacing w:val="10"/>
              </w:rPr>
              <w:t xml:space="preserve"> </w:t>
            </w:r>
            <w:r>
              <w:rPr>
                <w:rFonts w:ascii="FangSong_GB2312" w:hAnsi="FangSong_GB2312" w:eastAsia="FangSong_GB2312" w:cs="FangSong_GB2312"/>
                <w:sz w:val="24"/>
                <w:szCs w:val="24"/>
                <w:spacing w:val="-1"/>
              </w:rPr>
              <w:t>有害、恶臭或者强烈异味气体的物质。</w:t>
            </w:r>
          </w:p>
          <w:p>
            <w:pPr>
              <w:spacing w:line="273" w:lineRule="auto"/>
              <w:rPr>
                <w:rFonts w:ascii="Arial"/>
                <w:sz w:val="21"/>
              </w:rPr>
            </w:pPr>
            <w:r/>
          </w:p>
          <w:p>
            <w:pPr>
              <w:ind w:left="29"/>
              <w:spacing w:before="7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4"/>
              </w:rPr>
              <w:t>4.《河北省大气污染防治条例》</w:t>
            </w:r>
          </w:p>
          <w:p>
            <w:pPr>
              <w:ind w:left="23" w:right="14" w:firstLine="10"/>
              <w:spacing w:before="37"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
              </w:rPr>
              <w:t>第八十七条</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1"/>
              </w:rPr>
              <w:t>违反本条例规定，露天焚烧秸秆、落叶、枯草等</w:t>
            </w:r>
            <w:r>
              <w:rPr>
                <w:rFonts w:ascii="FangSong_GB2312" w:hAnsi="FangSong_GB2312" w:eastAsia="FangSong_GB2312" w:cs="FangSong_GB2312"/>
                <w:sz w:val="24"/>
                <w:szCs w:val="24"/>
                <w:spacing w:val="-2"/>
              </w:rPr>
              <w:t>产生烟</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尘污染的物质，在禁止燃放区域或者重污染天气应急响应时燃放烟花</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爆竹，或者在人口集中地区对树木、花草喷洒剧毒、高毒农药的，由</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县级以上人民政府确定的监督管理部门责令改正，并可以处五百元以</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2"/>
              </w:rPr>
              <w:t>上二千元以下罚款。</w:t>
            </w:r>
          </w:p>
          <w:p>
            <w:pPr>
              <w:spacing w:line="269" w:lineRule="auto"/>
              <w:rPr>
                <w:rFonts w:ascii="Arial"/>
                <w:sz w:val="21"/>
              </w:rPr>
            </w:pPr>
            <w:r/>
          </w:p>
          <w:p>
            <w:pPr>
              <w:ind w:left="28" w:right="14" w:firstLine="4"/>
              <w:spacing w:before="7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5.《河北省人民代表大会常务委员会关于促进农作物秸秆综合利用和</w:t>
            </w:r>
            <w:r>
              <w:rPr>
                <w:rFonts w:ascii="FangSong_GB2312" w:hAnsi="FangSong_GB2312" w:eastAsia="FangSong_GB2312" w:cs="FangSong_GB2312"/>
                <w:sz w:val="24"/>
                <w:szCs w:val="24"/>
                <w:spacing w:val="18"/>
              </w:rPr>
              <w:t xml:space="preserve"> </w:t>
            </w:r>
            <w:r>
              <w:rPr>
                <w:rFonts w:ascii="FangSong_GB2312" w:hAnsi="FangSong_GB2312" w:eastAsia="FangSong_GB2312" w:cs="FangSong_GB2312"/>
                <w:sz w:val="24"/>
                <w:szCs w:val="24"/>
                <w:b/>
                <w:bCs/>
                <w:spacing w:val="-4"/>
              </w:rPr>
              <w:t>禁止露天焚烧的决定》</w:t>
            </w:r>
          </w:p>
          <w:p>
            <w:pPr>
              <w:ind w:left="20" w:firstLine="13"/>
              <w:spacing w:before="34"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9"/>
              </w:rPr>
              <w:t>第二十四条</w:t>
            </w:r>
            <w:r>
              <w:rPr>
                <w:rFonts w:ascii="FangSong_GB2312" w:hAnsi="FangSong_GB2312" w:eastAsia="FangSong_GB2312" w:cs="FangSong_GB2312"/>
                <w:sz w:val="24"/>
                <w:szCs w:val="24"/>
                <w:spacing w:val="-9"/>
              </w:rPr>
              <w:t xml:space="preserve">  </w:t>
            </w:r>
            <w:r>
              <w:rPr>
                <w:rFonts w:ascii="FangSong_GB2312" w:hAnsi="FangSong_GB2312" w:eastAsia="FangSong_GB2312" w:cs="FangSong_GB2312"/>
                <w:sz w:val="24"/>
                <w:szCs w:val="24"/>
                <w:spacing w:val="-9"/>
              </w:rPr>
              <w:t>违反本决定有关规定，露天焚烧秸秆</w:t>
            </w:r>
            <w:r>
              <w:rPr>
                <w:rFonts w:ascii="FangSong_GB2312" w:hAnsi="FangSong_GB2312" w:eastAsia="FangSong_GB2312" w:cs="FangSong_GB2312"/>
                <w:sz w:val="24"/>
                <w:szCs w:val="24"/>
                <w:spacing w:val="-10"/>
              </w:rPr>
              <w:t>及树叶、荒草等的，</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由所在地县级人民政府环境保护行政主管部门责令停止违法行为</w:t>
            </w:r>
            <w:r>
              <w:rPr>
                <w:rFonts w:ascii="FangSong_GB2312" w:hAnsi="FangSong_GB2312" w:eastAsia="FangSong_GB2312" w:cs="FangSong_GB2312"/>
                <w:sz w:val="24"/>
                <w:szCs w:val="24"/>
                <w:spacing w:val="-4"/>
              </w:rPr>
              <w:t>，并</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处五百元以上二千元以下罚款；情节严重，尚不构成犯罪的，由</w:t>
            </w:r>
            <w:r>
              <w:rPr>
                <w:rFonts w:ascii="FangSong_GB2312" w:hAnsi="FangSong_GB2312" w:eastAsia="FangSong_GB2312" w:cs="FangSong_GB2312"/>
                <w:sz w:val="24"/>
                <w:szCs w:val="24"/>
                <w:spacing w:val="-4"/>
              </w:rPr>
              <w:t>当地</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公安机关依据《中华人民共和国治安管理处罚法》进行处罚；构</w:t>
            </w:r>
            <w:r>
              <w:rPr>
                <w:rFonts w:ascii="FangSong_GB2312" w:hAnsi="FangSong_GB2312" w:eastAsia="FangSong_GB2312" w:cs="FangSong_GB2312"/>
                <w:sz w:val="24"/>
                <w:szCs w:val="24"/>
                <w:spacing w:val="-4"/>
              </w:rPr>
              <w:t>成犯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3"/>
              </w:rPr>
              <w:t>罪的，依法追究刑事责任。</w:t>
            </w:r>
          </w:p>
        </w:tc>
      </w:tr>
      <w:tr>
        <w:trPr>
          <w:trHeight w:val="635" w:hRule="atLeast"/>
        </w:trPr>
        <w:tc>
          <w:tcPr>
            <w:tcW w:w="4068" w:type="dxa"/>
            <w:vAlign w:val="top"/>
            <w:gridSpan w:val="4"/>
          </w:tcPr>
          <w:p>
            <w:pPr>
              <w:ind w:left="148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2" w:type="dxa"/>
            <w:vAlign w:val="top"/>
            <w:gridSpan w:val="2"/>
          </w:tcPr>
          <w:p>
            <w:pPr>
              <w:ind w:left="162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gridSpan w:val="2"/>
          </w:tcPr>
          <w:p>
            <w:pPr>
              <w:ind w:left="465"/>
              <w:spacing w:before="20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5"/>
              <w:spacing w:before="211"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33" w:type="dxa"/>
            <w:vAlign w:val="top"/>
          </w:tcPr>
          <w:p>
            <w:pPr>
              <w:ind w:left="1454"/>
              <w:spacing w:before="210"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09" w:type="dxa"/>
            <w:vAlign w:val="top"/>
          </w:tcPr>
          <w:p>
            <w:pPr>
              <w:ind w:left="189"/>
              <w:spacing w:before="210"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2" w:hRule="atLeast"/>
        </w:trPr>
        <w:tc>
          <w:tcPr>
            <w:tcW w:w="1387" w:type="dxa"/>
            <w:vAlign w:val="top"/>
            <w:gridSpan w:val="2"/>
          </w:tcPr>
          <w:p>
            <w:pPr>
              <w:ind w:left="22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p>
        </w:tc>
        <w:tc>
          <w:tcPr>
            <w:tcW w:w="1889" w:type="dxa"/>
            <w:vAlign w:val="top"/>
          </w:tcPr>
          <w:p>
            <w:pPr>
              <w:ind w:left="23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tcPr>
          <w:p>
            <w:pPr>
              <w:ind w:left="233"/>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333" w:type="dxa"/>
            <w:vAlign w:val="top"/>
          </w:tcPr>
          <w:p>
            <w:pPr>
              <w:ind w:left="122"/>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焚烧物占地面积</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5"/>
              </w:rPr>
              <w:t>平方米以下</w:t>
            </w:r>
          </w:p>
        </w:tc>
        <w:tc>
          <w:tcPr>
            <w:tcW w:w="1009" w:type="dxa"/>
            <w:vAlign w:val="top"/>
          </w:tcPr>
          <w:p>
            <w:pPr>
              <w:ind w:left="167"/>
              <w:spacing w:before="44"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bl>
    <w:p>
      <w:pPr>
        <w:pStyle w:val="BodyText"/>
        <w:rPr/>
      </w:pPr>
      <w:r/>
    </w:p>
    <w:p>
      <w:pPr>
        <w:sectPr>
          <w:footerReference w:type="default" r:id="rId430"/>
          <w:pgSz w:w="11905" w:h="16839"/>
          <w:pgMar w:top="1431" w:right="1745" w:bottom="1156" w:left="1744" w:header="0" w:footer="994" w:gutter="0"/>
        </w:sectPr>
        <w:rPr/>
      </w:pPr>
    </w:p>
    <w:p>
      <w:pPr>
        <w:spacing w:before="92"/>
        <w:rPr/>
      </w:pPr>
      <w:r/>
    </w:p>
    <w:p>
      <w:pPr>
        <w:spacing w:before="91"/>
        <w:rPr/>
      </w:pPr>
      <w:r/>
    </w:p>
    <w:tbl>
      <w:tblPr>
        <w:tblStyle w:val="TableNormal"/>
        <w:tblW w:w="841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889"/>
        <w:gridCol w:w="792"/>
        <w:gridCol w:w="3333"/>
        <w:gridCol w:w="1009"/>
      </w:tblGrid>
      <w:tr>
        <w:trPr>
          <w:trHeight w:val="639" w:hRule="atLeast"/>
        </w:trPr>
        <w:tc>
          <w:tcPr>
            <w:tcW w:w="1387" w:type="dxa"/>
            <w:vAlign w:val="top"/>
            <w:vMerge w:val="restart"/>
            <w:tcBorders>
              <w:bottom w:val="nil"/>
            </w:tcBorders>
          </w:tcPr>
          <w:p>
            <w:pPr>
              <w:ind w:left="345"/>
              <w:spacing w:before="4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rPr>
                <w:rFonts w:ascii="Arial"/>
                <w:sz w:val="21"/>
              </w:rPr>
            </w:pPr>
            <w:r/>
          </w:p>
        </w:tc>
        <w:tc>
          <w:tcPr>
            <w:tcW w:w="792" w:type="dxa"/>
            <w:vAlign w:val="top"/>
            <w:vMerge w:val="restart"/>
            <w:tcBorders>
              <w:bottom w:val="nil"/>
            </w:tcBorders>
          </w:tcPr>
          <w:p>
            <w:pPr>
              <w:rPr>
                <w:rFonts w:ascii="Arial"/>
                <w:sz w:val="21"/>
              </w:rPr>
            </w:pPr>
            <w:r/>
          </w:p>
        </w:tc>
        <w:tc>
          <w:tcPr>
            <w:tcW w:w="3333" w:type="dxa"/>
            <w:vAlign w:val="top"/>
          </w:tcPr>
          <w:p>
            <w:pPr>
              <w:ind w:left="122"/>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焚烧物占地面积</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5"/>
              </w:rPr>
              <w:t>平方米以上</w:t>
            </w:r>
          </w:p>
          <w:p>
            <w:pPr>
              <w:ind w:left="130"/>
              <w:spacing w:before="34" w:line="20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平方米以下</w:t>
            </w:r>
          </w:p>
        </w:tc>
        <w:tc>
          <w:tcPr>
            <w:tcW w:w="1009" w:type="dxa"/>
            <w:vAlign w:val="top"/>
          </w:tcPr>
          <w:p>
            <w:pPr>
              <w:ind w:left="451" w:right="141" w:hanging="284"/>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11%-30</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w:t>
            </w:r>
          </w:p>
        </w:tc>
      </w:tr>
      <w:tr>
        <w:trPr>
          <w:trHeight w:val="634"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1" w:right="222" w:firstLine="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焚烧物占地面积</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5"/>
              </w:rPr>
              <w:t>10</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5"/>
              </w:rPr>
              <w:t>平方米以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上</w:t>
            </w:r>
          </w:p>
        </w:tc>
        <w:tc>
          <w:tcPr>
            <w:tcW w:w="1009" w:type="dxa"/>
            <w:vAlign w:val="top"/>
          </w:tcPr>
          <w:p>
            <w:pPr>
              <w:ind w:left="451" w:right="141" w:hanging="281"/>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w:t>
            </w:r>
          </w:p>
        </w:tc>
      </w:tr>
      <w:tr>
        <w:trPr>
          <w:trHeight w:val="319" w:hRule="atLeast"/>
        </w:trPr>
        <w:tc>
          <w:tcPr>
            <w:tcW w:w="1387" w:type="dxa"/>
            <w:vAlign w:val="top"/>
            <w:vMerge w:val="restart"/>
            <w:tcBorders>
              <w:bottom w:val="nil"/>
            </w:tcBorders>
          </w:tcPr>
          <w:p>
            <w:pPr>
              <w:spacing w:line="447"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1" w:lineRule="auto"/>
              <w:rPr>
                <w:rFonts w:ascii="Arial"/>
                <w:sz w:val="21"/>
              </w:rPr>
            </w:pPr>
            <w:r/>
          </w:p>
          <w:p>
            <w:pPr>
              <w:ind w:left="836" w:right="222" w:hanging="591"/>
              <w:spacing w:before="78"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7"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22"/>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09" w:type="dxa"/>
            <w:vAlign w:val="top"/>
          </w:tcPr>
          <w:p>
            <w:pPr>
              <w:ind w:left="404"/>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19"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1"/>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09" w:type="dxa"/>
            <w:vAlign w:val="top"/>
          </w:tcPr>
          <w:p>
            <w:pPr>
              <w:ind w:left="347"/>
              <w:spacing w:before="41"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09" w:type="dxa"/>
            <w:vAlign w:val="top"/>
          </w:tcPr>
          <w:p>
            <w:pPr>
              <w:ind w:left="34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09" w:type="dxa"/>
            <w:vAlign w:val="top"/>
          </w:tcPr>
          <w:p>
            <w:pPr>
              <w:ind w:left="34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vMerge w:val="restart"/>
            <w:tcBorders>
              <w:bottom w:val="nil"/>
            </w:tcBorders>
          </w:tcPr>
          <w:p>
            <w:pPr>
              <w:ind w:left="221" w:right="210" w:firstLine="7"/>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6" w:right="222" w:hanging="480"/>
              <w:spacing w:before="47" w:line="22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20"/>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09" w:type="dxa"/>
            <w:vAlign w:val="top"/>
          </w:tcPr>
          <w:p>
            <w:pPr>
              <w:ind w:left="1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5"/>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09" w:type="dxa"/>
            <w:vAlign w:val="top"/>
          </w:tcPr>
          <w:p>
            <w:pPr>
              <w:ind w:left="408"/>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99" w:hRule="atLeast"/>
        </w:trPr>
        <w:tc>
          <w:tcPr>
            <w:tcW w:w="1387" w:type="dxa"/>
            <w:vAlign w:val="top"/>
            <w:vMerge w:val="restart"/>
            <w:tcBorders>
              <w:bottom w:val="nil"/>
            </w:tcBorders>
          </w:tcPr>
          <w:p>
            <w:pPr>
              <w:ind w:left="213" w:right="210" w:firstLine="9"/>
              <w:spacing w:before="86"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6"/>
              <w:spacing w:before="8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9"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1"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18"/>
              <w:spacing w:before="8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09" w:type="dxa"/>
            <w:vAlign w:val="top"/>
          </w:tcPr>
          <w:p>
            <w:pPr>
              <w:ind w:left="167"/>
              <w:spacing w:before="82"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387" w:type="dxa"/>
            <w:vAlign w:val="top"/>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5" w:right="102" w:hanging="20"/>
              <w:spacing w:before="44"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未造成社会影响或生态破坏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09" w:type="dxa"/>
            <w:vAlign w:val="top"/>
          </w:tcPr>
          <w:p>
            <w:pPr>
              <w:ind w:left="408"/>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31"/>
          <w:pgSz w:w="11905" w:h="16839"/>
          <w:pgMar w:top="1431" w:right="1745" w:bottom="1156" w:left="1744" w:header="0" w:footer="994" w:gutter="0"/>
        </w:sectPr>
        <w:rPr/>
      </w:pPr>
    </w:p>
    <w:p>
      <w:pPr>
        <w:spacing w:before="92"/>
        <w:rPr/>
      </w:pPr>
      <w:r/>
    </w:p>
    <w:p>
      <w:pPr>
        <w:spacing w:before="91"/>
        <w:rPr/>
      </w:pPr>
      <w:r/>
    </w:p>
    <w:tbl>
      <w:tblPr>
        <w:tblStyle w:val="TableNormal"/>
        <w:tblW w:w="841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72"/>
        <w:gridCol w:w="1889"/>
        <w:gridCol w:w="792"/>
        <w:gridCol w:w="3333"/>
        <w:gridCol w:w="1009"/>
      </w:tblGrid>
      <w:tr>
        <w:trPr>
          <w:trHeight w:val="720" w:hRule="atLeast"/>
        </w:trPr>
        <w:tc>
          <w:tcPr>
            <w:tcW w:w="8410" w:type="dxa"/>
            <w:vAlign w:val="top"/>
            <w:gridSpan w:val="6"/>
          </w:tcPr>
          <w:p>
            <w:pPr>
              <w:ind w:left="203"/>
              <w:spacing w:before="118" w:line="229" w:lineRule="auto"/>
              <w:rPr>
                <w:rFonts w:ascii="FZXiaoBiaoSong-B05S" w:hAnsi="FZXiaoBiaoSong-B05S" w:eastAsia="FZXiaoBiaoSong-B05S" w:cs="FZXiaoBiaoSong-B05S"/>
                <w:sz w:val="40"/>
                <w:szCs w:val="40"/>
              </w:rPr>
            </w:pPr>
            <w:r>
              <w:rPr>
                <w:rFonts w:ascii="FZXiaoBiaoSong-B05S" w:hAnsi="FZXiaoBiaoSong-B05S" w:eastAsia="FZXiaoBiaoSong-B05S" w:cs="FZXiaoBiaoSong-B05S"/>
                <w:sz w:val="40"/>
                <w:szCs w:val="40"/>
                <w:spacing w:val="1"/>
              </w:rPr>
              <w:t>河北省生态环境行政处罚裁量规则（其他类）</w:t>
            </w:r>
          </w:p>
        </w:tc>
      </w:tr>
      <w:tr>
        <w:trPr>
          <w:trHeight w:val="664" w:hRule="atLeast"/>
        </w:trPr>
        <w:tc>
          <w:tcPr>
            <w:tcW w:w="1215" w:type="dxa"/>
            <w:vAlign w:val="top"/>
          </w:tcPr>
          <w:p>
            <w:pPr>
              <w:ind w:left="333"/>
              <w:spacing w:before="192"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7"/>
              </w:rPr>
              <w:t>序号</w:t>
            </w:r>
          </w:p>
        </w:tc>
        <w:tc>
          <w:tcPr>
            <w:tcW w:w="7195" w:type="dxa"/>
            <w:vAlign w:val="top"/>
            <w:gridSpan w:val="5"/>
          </w:tcPr>
          <w:p>
            <w:pPr>
              <w:ind w:left="3431"/>
              <w:spacing w:before="243" w:line="18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223</w:t>
            </w:r>
          </w:p>
        </w:tc>
      </w:tr>
      <w:tr>
        <w:trPr>
          <w:trHeight w:val="715" w:hRule="atLeast"/>
        </w:trPr>
        <w:tc>
          <w:tcPr>
            <w:tcW w:w="1215" w:type="dxa"/>
            <w:vAlign w:val="top"/>
          </w:tcPr>
          <w:p>
            <w:pPr>
              <w:ind w:left="57"/>
              <w:spacing w:before="219" w:line="216"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6"/>
              </w:rPr>
              <w:t>违法行为</w:t>
            </w:r>
          </w:p>
        </w:tc>
        <w:tc>
          <w:tcPr>
            <w:tcW w:w="7195" w:type="dxa"/>
            <w:vAlign w:val="top"/>
            <w:gridSpan w:val="5"/>
          </w:tcPr>
          <w:p>
            <w:pPr>
              <w:ind w:left="16" w:right="14" w:firstLine="6"/>
              <w:spacing w:before="81"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农业经营主体因未妥善采取综合利用措施，对农产品采收后的秸秆及</w:t>
            </w:r>
            <w:r>
              <w:rPr>
                <w:rFonts w:ascii="FangSong_GB2312" w:hAnsi="FangSong_GB2312" w:eastAsia="FangSong_GB2312" w:cs="FangSong_GB2312"/>
                <w:sz w:val="24"/>
                <w:szCs w:val="24"/>
                <w:spacing w:val="11"/>
              </w:rPr>
              <w:t xml:space="preserve"> </w:t>
            </w:r>
            <w:r>
              <w:rPr>
                <w:rFonts w:ascii="FangSong_GB2312" w:hAnsi="FangSong_GB2312" w:eastAsia="FangSong_GB2312" w:cs="FangSong_GB2312"/>
                <w:sz w:val="24"/>
                <w:szCs w:val="24"/>
                <w:spacing w:val="-1"/>
              </w:rPr>
              <w:t>树叶、荒草予以处理，致使露天焚烧的</w:t>
            </w:r>
          </w:p>
        </w:tc>
      </w:tr>
      <w:tr>
        <w:trPr>
          <w:trHeight w:val="2323" w:hRule="atLeast"/>
        </w:trPr>
        <w:tc>
          <w:tcPr>
            <w:tcW w:w="1215" w:type="dxa"/>
            <w:vAlign w:val="top"/>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ind w:left="65"/>
              <w:spacing w:before="91"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处罚依据</w:t>
            </w:r>
          </w:p>
        </w:tc>
        <w:tc>
          <w:tcPr>
            <w:tcW w:w="7195" w:type="dxa"/>
            <w:vAlign w:val="top"/>
            <w:gridSpan w:val="5"/>
          </w:tcPr>
          <w:p>
            <w:pPr>
              <w:ind w:left="28" w:right="14" w:firstLine="7"/>
              <w:spacing w:before="58"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1.《河北省人民代表大会常务委员会关于促进农作物秸秆综合利用和</w:t>
            </w:r>
            <w:r>
              <w:rPr>
                <w:rFonts w:ascii="FangSong_GB2312" w:hAnsi="FangSong_GB2312" w:eastAsia="FangSong_GB2312" w:cs="FangSong_GB2312"/>
                <w:sz w:val="24"/>
                <w:szCs w:val="24"/>
                <w:spacing w:val="15"/>
              </w:rPr>
              <w:t xml:space="preserve"> </w:t>
            </w:r>
            <w:r>
              <w:rPr>
                <w:rFonts w:ascii="FangSong_GB2312" w:hAnsi="FangSong_GB2312" w:eastAsia="FangSong_GB2312" w:cs="FangSong_GB2312"/>
                <w:sz w:val="24"/>
                <w:szCs w:val="24"/>
                <w:b/>
                <w:bCs/>
                <w:spacing w:val="-4"/>
              </w:rPr>
              <w:t>禁止露天焚烧的决定》</w:t>
            </w:r>
          </w:p>
          <w:p>
            <w:pPr>
              <w:ind w:left="18" w:right="14" w:firstLine="15"/>
              <w:spacing w:before="35" w:line="237"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2"/>
              </w:rPr>
              <w:t>第二十五条</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2"/>
              </w:rPr>
              <w:t>违反本决定有关规定，农业经营</w:t>
            </w:r>
            <w:r>
              <w:rPr>
                <w:rFonts w:ascii="FangSong_GB2312" w:hAnsi="FangSong_GB2312" w:eastAsia="FangSong_GB2312" w:cs="FangSong_GB2312"/>
                <w:sz w:val="24"/>
                <w:szCs w:val="24"/>
                <w:spacing w:val="-3"/>
              </w:rPr>
              <w:t>主体因未妥善采取综合</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利用措施，对农产品采收后的秸秆及树叶、荒草予以处理，致使露天</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5"/>
              </w:rPr>
              <w:t>焚烧的，</w:t>
            </w:r>
            <w:r>
              <w:rPr>
                <w:rFonts w:ascii="FangSong_GB2312" w:hAnsi="FangSong_GB2312" w:eastAsia="FangSong_GB2312" w:cs="FangSong_GB2312"/>
                <w:sz w:val="24"/>
                <w:szCs w:val="24"/>
                <w:spacing w:val="-69"/>
              </w:rPr>
              <w:t xml:space="preserve"> </w:t>
            </w:r>
            <w:r>
              <w:rPr>
                <w:rFonts w:ascii="FangSong_GB2312" w:hAnsi="FangSong_GB2312" w:eastAsia="FangSong_GB2312" w:cs="FangSong_GB2312"/>
                <w:sz w:val="24"/>
                <w:szCs w:val="24"/>
                <w:spacing w:val="5"/>
              </w:rPr>
              <w:t>由所在地县级人民政府环境保护行政主管部门给予批评教</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2"/>
              </w:rPr>
              <w:t>育，可以处五百元以上一千元以下罚款。但已按照第二十四条规定实</w:t>
            </w:r>
            <w:r>
              <w:rPr>
                <w:rFonts w:ascii="FangSong_GB2312" w:hAnsi="FangSong_GB2312" w:eastAsia="FangSong_GB2312" w:cs="FangSong_GB2312"/>
                <w:sz w:val="24"/>
                <w:szCs w:val="24"/>
                <w:spacing w:val="16"/>
              </w:rPr>
              <w:t xml:space="preserve"> </w:t>
            </w:r>
            <w:r>
              <w:rPr>
                <w:rFonts w:ascii="FangSong_GB2312" w:hAnsi="FangSong_GB2312" w:eastAsia="FangSong_GB2312" w:cs="FangSong_GB2312"/>
                <w:sz w:val="24"/>
                <w:szCs w:val="24"/>
                <w:spacing w:val="-1"/>
              </w:rPr>
              <w:t>施处罚的除外。</w:t>
            </w:r>
          </w:p>
        </w:tc>
      </w:tr>
      <w:tr>
        <w:trPr>
          <w:trHeight w:val="634" w:hRule="atLeast"/>
        </w:trPr>
        <w:tc>
          <w:tcPr>
            <w:tcW w:w="4068" w:type="dxa"/>
            <w:vAlign w:val="top"/>
            <w:gridSpan w:val="4"/>
          </w:tcPr>
          <w:p>
            <w:pPr>
              <w:ind w:left="1482"/>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4342" w:type="dxa"/>
            <w:vAlign w:val="top"/>
            <w:gridSpan w:val="2"/>
          </w:tcPr>
          <w:p>
            <w:pPr>
              <w:ind w:left="162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5" w:hRule="atLeast"/>
        </w:trPr>
        <w:tc>
          <w:tcPr>
            <w:tcW w:w="1387" w:type="dxa"/>
            <w:vAlign w:val="top"/>
            <w:gridSpan w:val="2"/>
          </w:tcPr>
          <w:p>
            <w:pPr>
              <w:ind w:left="465"/>
              <w:spacing w:before="200"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889" w:type="dxa"/>
            <w:vAlign w:val="top"/>
          </w:tcPr>
          <w:p>
            <w:pPr>
              <w:ind w:left="515"/>
              <w:spacing w:before="210"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792" w:type="dxa"/>
            <w:vAlign w:val="top"/>
          </w:tcPr>
          <w:p>
            <w:pPr>
              <w:ind w:left="211" w:right="174" w:hanging="32"/>
              <w:spacing w:before="53"/>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3333" w:type="dxa"/>
            <w:vAlign w:val="top"/>
          </w:tcPr>
          <w:p>
            <w:pPr>
              <w:ind w:left="1454"/>
              <w:spacing w:before="209"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09" w:type="dxa"/>
            <w:vAlign w:val="top"/>
          </w:tcPr>
          <w:p>
            <w:pPr>
              <w:ind w:left="189"/>
              <w:spacing w:before="209"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387" w:type="dxa"/>
            <w:vAlign w:val="top"/>
            <w:gridSpan w:val="2"/>
            <w:vMerge w:val="restart"/>
            <w:tcBorders>
              <w:bottom w:val="nil"/>
            </w:tcBorders>
          </w:tcPr>
          <w:p>
            <w:pPr>
              <w:spacing w:line="443" w:lineRule="auto"/>
              <w:rPr>
                <w:rFonts w:ascii="Arial"/>
                <w:sz w:val="21"/>
              </w:rPr>
            </w:pPr>
            <w:r/>
          </w:p>
          <w:p>
            <w:pPr>
              <w:ind w:left="345" w:right="210" w:hanging="122"/>
              <w:spacing w:before="78"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889"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233"/>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违法行为类型</w:t>
            </w:r>
          </w:p>
        </w:tc>
        <w:tc>
          <w:tcPr>
            <w:tcW w:w="792"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ind w:left="233"/>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8"/>
              </w:rPr>
              <w:t>50%</w:t>
            </w:r>
          </w:p>
        </w:tc>
        <w:tc>
          <w:tcPr>
            <w:tcW w:w="3333"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焚烧物占地面积</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5"/>
              </w:rPr>
              <w:t>平方米以下</w:t>
            </w:r>
          </w:p>
        </w:tc>
        <w:tc>
          <w:tcPr>
            <w:tcW w:w="1009" w:type="dxa"/>
            <w:vAlign w:val="top"/>
          </w:tcPr>
          <w:p>
            <w:pPr>
              <w:ind w:left="16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5"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2"/>
              <w:spacing w:before="44"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焚烧物占地面积</w:t>
            </w:r>
            <w:r>
              <w:rPr>
                <w:rFonts w:ascii="FangSong_GB2312" w:hAnsi="FangSong_GB2312" w:eastAsia="FangSong_GB2312" w:cs="FangSong_GB2312"/>
                <w:sz w:val="24"/>
                <w:szCs w:val="24"/>
                <w:spacing w:val="-29"/>
              </w:rPr>
              <w:t xml:space="preserve"> </w:t>
            </w:r>
            <w:r>
              <w:rPr>
                <w:rFonts w:ascii="FangSong_GB2312" w:hAnsi="FangSong_GB2312" w:eastAsia="FangSong_GB2312" w:cs="FangSong_GB2312"/>
                <w:sz w:val="24"/>
                <w:szCs w:val="24"/>
                <w:spacing w:val="-5"/>
              </w:rPr>
              <w:t>1</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5"/>
              </w:rPr>
              <w:t>平方米以上</w:t>
            </w:r>
          </w:p>
          <w:p>
            <w:pPr>
              <w:ind w:left="130"/>
              <w:spacing w:before="34"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10</w:t>
            </w:r>
            <w:r>
              <w:rPr>
                <w:rFonts w:ascii="FangSong_GB2312" w:hAnsi="FangSong_GB2312" w:eastAsia="FangSong_GB2312" w:cs="FangSong_GB2312"/>
                <w:sz w:val="24"/>
                <w:szCs w:val="24"/>
                <w:spacing w:val="-44"/>
              </w:rPr>
              <w:t xml:space="preserve"> </w:t>
            </w:r>
            <w:r>
              <w:rPr>
                <w:rFonts w:ascii="FangSong_GB2312" w:hAnsi="FangSong_GB2312" w:eastAsia="FangSong_GB2312" w:cs="FangSong_GB2312"/>
                <w:sz w:val="24"/>
                <w:szCs w:val="24"/>
                <w:spacing w:val="-6"/>
              </w:rPr>
              <w:t>平方米以下</w:t>
            </w:r>
          </w:p>
        </w:tc>
        <w:tc>
          <w:tcPr>
            <w:tcW w:w="1009" w:type="dxa"/>
            <w:vAlign w:val="top"/>
          </w:tcPr>
          <w:p>
            <w:pPr>
              <w:ind w:left="451" w:right="141" w:hanging="284"/>
              <w:spacing w:before="45" w:line="22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11%-30</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w:t>
            </w:r>
          </w:p>
        </w:tc>
      </w:tr>
      <w:tr>
        <w:trPr>
          <w:trHeight w:val="635"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1" w:right="222" w:firstLine="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焚烧物占地面积</w:t>
            </w:r>
            <w:r>
              <w:rPr>
                <w:rFonts w:ascii="FangSong_GB2312" w:hAnsi="FangSong_GB2312" w:eastAsia="FangSong_GB2312" w:cs="FangSong_GB2312"/>
                <w:sz w:val="24"/>
                <w:szCs w:val="24"/>
                <w:spacing w:val="-26"/>
              </w:rPr>
              <w:t xml:space="preserve"> </w:t>
            </w:r>
            <w:r>
              <w:rPr>
                <w:rFonts w:ascii="FangSong_GB2312" w:hAnsi="FangSong_GB2312" w:eastAsia="FangSong_GB2312" w:cs="FangSong_GB2312"/>
                <w:sz w:val="24"/>
                <w:szCs w:val="24"/>
                <w:spacing w:val="-5"/>
              </w:rPr>
              <w:t>10</w:t>
            </w:r>
            <w:r>
              <w:rPr>
                <w:rFonts w:ascii="FangSong_GB2312" w:hAnsi="FangSong_GB2312" w:eastAsia="FangSong_GB2312" w:cs="FangSong_GB2312"/>
                <w:sz w:val="24"/>
                <w:szCs w:val="24"/>
                <w:spacing w:val="-47"/>
              </w:rPr>
              <w:t xml:space="preserve"> </w:t>
            </w:r>
            <w:r>
              <w:rPr>
                <w:rFonts w:ascii="FangSong_GB2312" w:hAnsi="FangSong_GB2312" w:eastAsia="FangSong_GB2312" w:cs="FangSong_GB2312"/>
                <w:sz w:val="24"/>
                <w:szCs w:val="24"/>
                <w:spacing w:val="-5"/>
              </w:rPr>
              <w:t>平方米以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上</w:t>
            </w:r>
          </w:p>
        </w:tc>
        <w:tc>
          <w:tcPr>
            <w:tcW w:w="1009" w:type="dxa"/>
            <w:vAlign w:val="top"/>
          </w:tcPr>
          <w:p>
            <w:pPr>
              <w:ind w:left="451" w:right="141" w:hanging="281"/>
              <w:spacing w:before="42" w:line="22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31%-50</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w:t>
            </w:r>
          </w:p>
        </w:tc>
      </w:tr>
      <w:tr>
        <w:trPr>
          <w:trHeight w:val="320" w:hRule="atLeast"/>
        </w:trPr>
        <w:tc>
          <w:tcPr>
            <w:tcW w:w="1387" w:type="dxa"/>
            <w:vAlign w:val="top"/>
            <w:gridSpan w:val="2"/>
            <w:vMerge w:val="restart"/>
            <w:tcBorders>
              <w:bottom w:val="nil"/>
            </w:tcBorders>
          </w:tcPr>
          <w:p>
            <w:pPr>
              <w:spacing w:line="449" w:lineRule="auto"/>
              <w:rPr>
                <w:rFonts w:ascii="Arial"/>
                <w:sz w:val="21"/>
              </w:rPr>
            </w:pPr>
            <w:r/>
          </w:p>
          <w:p>
            <w:pPr>
              <w:ind w:left="221"/>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889" w:type="dxa"/>
            <w:vAlign w:val="top"/>
            <w:vMerge w:val="restart"/>
            <w:tcBorders>
              <w:bottom w:val="nil"/>
            </w:tcBorders>
          </w:tcPr>
          <w:p>
            <w:pPr>
              <w:spacing w:line="296" w:lineRule="auto"/>
              <w:rPr>
                <w:rFonts w:ascii="Arial"/>
                <w:sz w:val="21"/>
              </w:rPr>
            </w:pPr>
            <w:r/>
          </w:p>
          <w:p>
            <w:pPr>
              <w:ind w:left="836" w:right="222" w:hanging="591"/>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一年内违法次</w:t>
            </w:r>
            <w:r>
              <w:rPr>
                <w:rFonts w:ascii="FangSong_GB2312" w:hAnsi="FangSong_GB2312" w:eastAsia="FangSong_GB2312" w:cs="FangSong_GB2312"/>
                <w:sz w:val="24"/>
                <w:szCs w:val="24"/>
                <w:spacing w:val="4"/>
              </w:rPr>
              <w:t xml:space="preserve"> </w:t>
            </w:r>
            <w:r>
              <w:rPr>
                <w:rFonts w:ascii="FangSong_GB2312" w:hAnsi="FangSong_GB2312" w:eastAsia="FangSong_GB2312" w:cs="FangSong_GB2312"/>
                <w:sz w:val="24"/>
                <w:szCs w:val="24"/>
              </w:rPr>
              <w:t>数</w:t>
            </w:r>
          </w:p>
        </w:tc>
        <w:tc>
          <w:tcPr>
            <w:tcW w:w="792" w:type="dxa"/>
            <w:vAlign w:val="top"/>
            <w:vMerge w:val="restart"/>
            <w:tcBorders>
              <w:bottom w:val="nil"/>
            </w:tcBorders>
          </w:tcPr>
          <w:p>
            <w:pPr>
              <w:spacing w:line="449"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22"/>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09" w:type="dxa"/>
            <w:vAlign w:val="top"/>
          </w:tcPr>
          <w:p>
            <w:pPr>
              <w:ind w:left="404"/>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09" w:type="dxa"/>
            <w:vAlign w:val="top"/>
          </w:tcPr>
          <w:p>
            <w:pPr>
              <w:ind w:left="34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387" w:type="dxa"/>
            <w:vAlign w:val="top"/>
            <w:gridSpan w:val="2"/>
            <w:vMerge w:val="continue"/>
            <w:tcBorders>
              <w:top w:val="nil"/>
              <w:bottom w:val="nil"/>
            </w:tcBorders>
          </w:tcPr>
          <w:p>
            <w:pPr>
              <w:rPr>
                <w:rFonts w:ascii="Arial"/>
                <w:sz w:val="21"/>
              </w:rPr>
            </w:pPr>
            <w:r/>
          </w:p>
        </w:tc>
        <w:tc>
          <w:tcPr>
            <w:tcW w:w="1889" w:type="dxa"/>
            <w:vAlign w:val="top"/>
            <w:vMerge w:val="continue"/>
            <w:tcBorders>
              <w:top w:val="nil"/>
              <w:bottom w:val="nil"/>
            </w:tcBorders>
          </w:tcPr>
          <w:p>
            <w:pPr>
              <w:rPr>
                <w:rFonts w:ascii="Arial"/>
                <w:sz w:val="21"/>
              </w:rPr>
            </w:pPr>
            <w:r/>
          </w:p>
        </w:tc>
        <w:tc>
          <w:tcPr>
            <w:tcW w:w="792" w:type="dxa"/>
            <w:vAlign w:val="top"/>
            <w:vMerge w:val="continue"/>
            <w:tcBorders>
              <w:top w:val="nil"/>
              <w:bottom w:val="nil"/>
            </w:tcBorders>
          </w:tcPr>
          <w:p>
            <w:pPr>
              <w:rPr>
                <w:rFonts w:ascii="Arial"/>
                <w:sz w:val="21"/>
              </w:rPr>
            </w:pPr>
            <w:r/>
          </w:p>
        </w:tc>
        <w:tc>
          <w:tcPr>
            <w:tcW w:w="3333" w:type="dxa"/>
            <w:vAlign w:val="top"/>
          </w:tcPr>
          <w:p>
            <w:pPr>
              <w:ind w:left="12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09" w:type="dxa"/>
            <w:vAlign w:val="top"/>
          </w:tcPr>
          <w:p>
            <w:pPr>
              <w:ind w:left="347"/>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3"/>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09" w:type="dxa"/>
            <w:vAlign w:val="top"/>
          </w:tcPr>
          <w:p>
            <w:pPr>
              <w:ind w:left="341"/>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387" w:type="dxa"/>
            <w:vAlign w:val="top"/>
            <w:gridSpan w:val="2"/>
            <w:vMerge w:val="restart"/>
            <w:tcBorders>
              <w:bottom w:val="nil"/>
            </w:tcBorders>
          </w:tcPr>
          <w:p>
            <w:pPr>
              <w:ind w:left="221" w:right="210" w:firstLine="7"/>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889" w:type="dxa"/>
            <w:vAlign w:val="top"/>
            <w:vMerge w:val="restart"/>
            <w:tcBorders>
              <w:bottom w:val="nil"/>
            </w:tcBorders>
          </w:tcPr>
          <w:p>
            <w:pPr>
              <w:ind w:left="706" w:right="222" w:hanging="480"/>
              <w:spacing w:before="50"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是否配合执法</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spacing w:val="-4"/>
              </w:rPr>
              <w:t>检查</w:t>
            </w:r>
          </w:p>
        </w:tc>
        <w:tc>
          <w:tcPr>
            <w:tcW w:w="792" w:type="dxa"/>
            <w:vAlign w:val="top"/>
            <w:vMerge w:val="restart"/>
            <w:tcBorders>
              <w:bottom w:val="nil"/>
            </w:tcBorders>
          </w:tcPr>
          <w:p>
            <w:pPr>
              <w:ind w:left="236"/>
              <w:spacing w:before="205"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3333" w:type="dxa"/>
            <w:vAlign w:val="top"/>
          </w:tcPr>
          <w:p>
            <w:pPr>
              <w:ind w:left="120"/>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09" w:type="dxa"/>
            <w:vAlign w:val="top"/>
          </w:tcPr>
          <w:p>
            <w:pPr>
              <w:ind w:left="167"/>
              <w:spacing w:before="44" w:line="20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25"/>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09" w:type="dxa"/>
            <w:vAlign w:val="top"/>
          </w:tcPr>
          <w:p>
            <w:pPr>
              <w:ind w:left="408"/>
              <w:spacing w:before="43" w:line="20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400" w:hRule="atLeast"/>
        </w:trPr>
        <w:tc>
          <w:tcPr>
            <w:tcW w:w="1387" w:type="dxa"/>
            <w:vAlign w:val="top"/>
            <w:gridSpan w:val="2"/>
            <w:vMerge w:val="restart"/>
            <w:tcBorders>
              <w:bottom w:val="nil"/>
            </w:tcBorders>
          </w:tcPr>
          <w:p>
            <w:pPr>
              <w:ind w:left="213" w:right="210" w:firstLine="9"/>
              <w:spacing w:before="87" w:line="234"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889" w:type="dxa"/>
            <w:vAlign w:val="top"/>
            <w:vMerge w:val="restart"/>
            <w:tcBorders>
              <w:bottom w:val="nil"/>
            </w:tcBorders>
          </w:tcPr>
          <w:p>
            <w:pPr>
              <w:ind w:left="226"/>
              <w:spacing w:before="87"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是否造成社会</w:t>
            </w:r>
          </w:p>
          <w:p>
            <w:pPr>
              <w:ind w:left="238"/>
              <w:spacing w:before="3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影响或生态破</w:t>
            </w:r>
          </w:p>
          <w:p>
            <w:pPr>
              <w:ind w:left="838"/>
              <w:spacing w:before="36" w:line="21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rPr>
              <w:t>坏</w:t>
            </w:r>
          </w:p>
        </w:tc>
        <w:tc>
          <w:tcPr>
            <w:tcW w:w="792" w:type="dxa"/>
            <w:vAlign w:val="top"/>
            <w:vMerge w:val="restart"/>
            <w:tcBorders>
              <w:bottom w:val="nil"/>
            </w:tcBorders>
          </w:tcPr>
          <w:p>
            <w:pPr>
              <w:spacing w:line="324" w:lineRule="auto"/>
              <w:rPr>
                <w:rFonts w:ascii="Arial"/>
                <w:sz w:val="21"/>
              </w:rPr>
            </w:pPr>
            <w:r/>
          </w:p>
          <w:p>
            <w:pPr>
              <w:ind w:left="230"/>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3333" w:type="dxa"/>
            <w:vAlign w:val="top"/>
          </w:tcPr>
          <w:p>
            <w:pPr>
              <w:ind w:left="118"/>
              <w:spacing w:before="82"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09" w:type="dxa"/>
            <w:vAlign w:val="top"/>
          </w:tcPr>
          <w:p>
            <w:pPr>
              <w:ind w:left="167"/>
              <w:spacing w:before="83"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639" w:hRule="atLeast"/>
        </w:trPr>
        <w:tc>
          <w:tcPr>
            <w:tcW w:w="1387" w:type="dxa"/>
            <w:vAlign w:val="top"/>
            <w:gridSpan w:val="2"/>
            <w:vMerge w:val="continue"/>
            <w:tcBorders>
              <w:top w:val="nil"/>
            </w:tcBorders>
          </w:tcPr>
          <w:p>
            <w:pPr>
              <w:rPr>
                <w:rFonts w:ascii="Arial"/>
                <w:sz w:val="21"/>
              </w:rPr>
            </w:pPr>
            <w:r/>
          </w:p>
        </w:tc>
        <w:tc>
          <w:tcPr>
            <w:tcW w:w="1889" w:type="dxa"/>
            <w:vAlign w:val="top"/>
            <w:vMerge w:val="continue"/>
            <w:tcBorders>
              <w:top w:val="nil"/>
            </w:tcBorders>
          </w:tcPr>
          <w:p>
            <w:pPr>
              <w:rPr>
                <w:rFonts w:ascii="Arial"/>
                <w:sz w:val="21"/>
              </w:rPr>
            </w:pPr>
            <w:r/>
          </w:p>
        </w:tc>
        <w:tc>
          <w:tcPr>
            <w:tcW w:w="792" w:type="dxa"/>
            <w:vAlign w:val="top"/>
            <w:vMerge w:val="continue"/>
            <w:tcBorders>
              <w:top w:val="nil"/>
            </w:tcBorders>
          </w:tcPr>
          <w:p>
            <w:pPr>
              <w:rPr>
                <w:rFonts w:ascii="Arial"/>
                <w:sz w:val="21"/>
              </w:rPr>
            </w:pPr>
            <w:r/>
          </w:p>
        </w:tc>
        <w:tc>
          <w:tcPr>
            <w:tcW w:w="3333" w:type="dxa"/>
            <w:vAlign w:val="top"/>
          </w:tcPr>
          <w:p>
            <w:pPr>
              <w:ind w:left="135" w:right="102" w:hanging="20"/>
              <w:spacing w:before="43"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9"/>
              </w:rPr>
              <w:t>未造成社会影响或生态破坏</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rPr>
              <w:t>的</w:t>
            </w:r>
          </w:p>
        </w:tc>
        <w:tc>
          <w:tcPr>
            <w:tcW w:w="1009" w:type="dxa"/>
            <w:vAlign w:val="top"/>
          </w:tcPr>
          <w:p>
            <w:pPr>
              <w:ind w:left="408"/>
              <w:spacing w:before="201"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32"/>
          <w:pgSz w:w="11905" w:h="16839"/>
          <w:pgMar w:top="1431" w:right="1745" w:bottom="1156" w:left="1744" w:header="0" w:footer="994" w:gutter="0"/>
        </w:sectPr>
        <w:rPr/>
      </w:pPr>
    </w:p>
    <w:p>
      <w:pPr>
        <w:pStyle w:val="BodyText"/>
        <w:spacing w:line="305" w:lineRule="auto"/>
        <w:rPr/>
      </w:pPr>
      <w:r/>
    </w:p>
    <w:p>
      <w:pPr>
        <w:pStyle w:val="BodyText"/>
        <w:spacing w:line="305" w:lineRule="auto"/>
        <w:rPr/>
      </w:pPr>
      <w:r/>
    </w:p>
    <w:p>
      <w:pPr>
        <w:pStyle w:val="BodyText"/>
        <w:spacing w:line="305" w:lineRule="auto"/>
        <w:rPr/>
      </w:pPr>
      <w:r/>
    </w:p>
    <w:p>
      <w:pPr>
        <w:ind w:left="985"/>
        <w:spacing w:before="155" w:line="205" w:lineRule="auto"/>
        <w:outlineLvl w:val="0"/>
        <w:rPr>
          <w:rFonts w:ascii="FZXiaoBiaoSong-B05S" w:hAnsi="FZXiaoBiaoSong-B05S" w:eastAsia="FZXiaoBiaoSong-B05S" w:cs="FZXiaoBiaoSong-B05S"/>
          <w:sz w:val="40"/>
          <w:szCs w:val="40"/>
        </w:rPr>
      </w:pPr>
      <w:bookmarkStart w:name="bookmark24" w:id="27"/>
      <w:bookmarkEnd w:id="27"/>
      <w:bookmarkStart w:name="bookmark11" w:id="28"/>
      <w:bookmarkEnd w:id="28"/>
      <w:r>
        <w:rPr>
          <w:rFonts w:ascii="FZXiaoBiaoSong-B05S" w:hAnsi="FZXiaoBiaoSong-B05S" w:eastAsia="FZXiaoBiaoSong-B05S" w:cs="FZXiaoBiaoSong-B05S"/>
          <w:sz w:val="40"/>
          <w:szCs w:val="40"/>
          <w:spacing w:val="-1"/>
        </w:rPr>
        <w:t>河北省生态环境行政处罚通用裁量表</w:t>
      </w:r>
    </w:p>
    <w:p>
      <w:pPr>
        <w:spacing w:before="185"/>
        <w:rPr/>
      </w:pPr>
      <w:r/>
    </w:p>
    <w:tbl>
      <w:tblPr>
        <w:tblStyle w:val="TableNormal"/>
        <w:tblW w:w="84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0"/>
        <w:gridCol w:w="1266"/>
        <w:gridCol w:w="824"/>
        <w:gridCol w:w="4062"/>
        <w:gridCol w:w="1062"/>
      </w:tblGrid>
      <w:tr>
        <w:trPr>
          <w:trHeight w:val="639" w:hRule="atLeast"/>
        </w:trPr>
        <w:tc>
          <w:tcPr>
            <w:tcW w:w="3300" w:type="dxa"/>
            <w:vAlign w:val="top"/>
            <w:gridSpan w:val="3"/>
          </w:tcPr>
          <w:p>
            <w:pPr>
              <w:ind w:left="1097"/>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5"/>
              </w:rPr>
              <w:t>裁量要素</w:t>
            </w:r>
          </w:p>
        </w:tc>
        <w:tc>
          <w:tcPr>
            <w:tcW w:w="5124" w:type="dxa"/>
            <w:vAlign w:val="top"/>
            <w:gridSpan w:val="2"/>
          </w:tcPr>
          <w:p>
            <w:pPr>
              <w:ind w:left="2019"/>
              <w:spacing w:before="180" w:line="214" w:lineRule="auto"/>
              <w:rPr>
                <w:rFonts w:ascii="FangSong_GB2312" w:hAnsi="FangSong_GB2312" w:eastAsia="FangSong_GB2312" w:cs="FangSong_GB2312"/>
                <w:sz w:val="28"/>
                <w:szCs w:val="28"/>
              </w:rPr>
            </w:pPr>
            <w:r>
              <w:rPr>
                <w:rFonts w:ascii="FangSong_GB2312" w:hAnsi="FangSong_GB2312" w:eastAsia="FangSong_GB2312" w:cs="FangSong_GB2312"/>
                <w:sz w:val="28"/>
                <w:szCs w:val="28"/>
                <w:b/>
                <w:bCs/>
                <w:spacing w:val="-8"/>
              </w:rPr>
              <w:t>判定标准</w:t>
            </w:r>
          </w:p>
        </w:tc>
      </w:tr>
      <w:tr>
        <w:trPr>
          <w:trHeight w:val="634" w:hRule="atLeast"/>
        </w:trPr>
        <w:tc>
          <w:tcPr>
            <w:tcW w:w="1210" w:type="dxa"/>
            <w:vAlign w:val="top"/>
          </w:tcPr>
          <w:p>
            <w:pPr>
              <w:ind w:left="378"/>
              <w:spacing w:before="196"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11"/>
              </w:rPr>
              <w:t>要素</w:t>
            </w:r>
          </w:p>
        </w:tc>
        <w:tc>
          <w:tcPr>
            <w:tcW w:w="1266" w:type="dxa"/>
            <w:vAlign w:val="top"/>
          </w:tcPr>
          <w:p>
            <w:pPr>
              <w:ind w:left="204"/>
              <w:spacing w:before="206" w:line="214"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具体条件</w:t>
            </w:r>
          </w:p>
        </w:tc>
        <w:tc>
          <w:tcPr>
            <w:tcW w:w="824" w:type="dxa"/>
            <w:vAlign w:val="top"/>
          </w:tcPr>
          <w:p>
            <w:pPr>
              <w:ind w:left="228" w:right="189" w:hanging="32"/>
              <w:spacing w:before="47" w:line="242"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6"/>
              </w:rPr>
              <w:t>构成</w:t>
            </w:r>
            <w:r>
              <w:rPr>
                <w:rFonts w:ascii="FangSong_GB2312" w:hAnsi="FangSong_GB2312" w:eastAsia="FangSong_GB2312" w:cs="FangSong_GB2312"/>
                <w:sz w:val="22"/>
                <w:szCs w:val="22"/>
              </w:rPr>
              <w:t xml:space="preserve"> </w:t>
            </w:r>
            <w:r>
              <w:rPr>
                <w:rFonts w:ascii="FangSong_GB2312" w:hAnsi="FangSong_GB2312" w:eastAsia="FangSong_GB2312" w:cs="FangSong_GB2312"/>
                <w:sz w:val="22"/>
                <w:szCs w:val="22"/>
                <w:b/>
                <w:bCs/>
                <w:spacing w:val="-23"/>
              </w:rPr>
              <w:t>比例</w:t>
            </w:r>
          </w:p>
        </w:tc>
        <w:tc>
          <w:tcPr>
            <w:tcW w:w="4062" w:type="dxa"/>
            <w:vAlign w:val="top"/>
          </w:tcPr>
          <w:p>
            <w:pPr>
              <w:ind w:left="1820"/>
              <w:spacing w:before="205" w:line="217"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程度</w:t>
            </w:r>
          </w:p>
        </w:tc>
        <w:tc>
          <w:tcPr>
            <w:tcW w:w="1062" w:type="dxa"/>
            <w:vAlign w:val="top"/>
          </w:tcPr>
          <w:p>
            <w:pPr>
              <w:ind w:left="215"/>
              <w:spacing w:before="206" w:line="215" w:lineRule="auto"/>
              <w:rPr>
                <w:rFonts w:ascii="FangSong_GB2312" w:hAnsi="FangSong_GB2312" w:eastAsia="FangSong_GB2312" w:cs="FangSong_GB2312"/>
                <w:sz w:val="22"/>
                <w:szCs w:val="22"/>
              </w:rPr>
            </w:pPr>
            <w:r>
              <w:rPr>
                <w:rFonts w:ascii="FangSong_GB2312" w:hAnsi="FangSong_GB2312" w:eastAsia="FangSong_GB2312" w:cs="FangSong_GB2312"/>
                <w:sz w:val="22"/>
                <w:szCs w:val="22"/>
                <w:b/>
                <w:bCs/>
                <w:spacing w:val="-8"/>
              </w:rPr>
              <w:t>百分值</w:t>
            </w:r>
          </w:p>
        </w:tc>
      </w:tr>
      <w:tr>
        <w:trPr>
          <w:trHeight w:val="320" w:hRule="atLeast"/>
        </w:trPr>
        <w:tc>
          <w:tcPr>
            <w:tcW w:w="1210" w:type="dxa"/>
            <w:vAlign w:val="top"/>
            <w:vMerge w:val="restart"/>
            <w:tcBorders>
              <w:bottom w:val="nil"/>
            </w:tcBorders>
          </w:tcPr>
          <w:p>
            <w:pPr>
              <w:spacing w:line="283" w:lineRule="auto"/>
              <w:rPr>
                <w:rFonts w:ascii="Arial"/>
                <w:sz w:val="21"/>
              </w:rPr>
            </w:pPr>
            <w:r/>
          </w:p>
          <w:p>
            <w:pPr>
              <w:ind w:left="257" w:right="120" w:hanging="122"/>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对环境影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8"/>
              </w:rPr>
              <w:t>响程度</w:t>
            </w:r>
          </w:p>
        </w:tc>
        <w:tc>
          <w:tcPr>
            <w:tcW w:w="1266" w:type="dxa"/>
            <w:vAlign w:val="top"/>
            <w:vMerge w:val="restart"/>
            <w:tcBorders>
              <w:bottom w:val="nil"/>
            </w:tcBorders>
          </w:tcPr>
          <w:p>
            <w:pPr>
              <w:spacing w:line="285" w:lineRule="auto"/>
              <w:rPr>
                <w:rFonts w:ascii="Arial"/>
                <w:sz w:val="21"/>
              </w:rPr>
            </w:pPr>
            <w:r/>
          </w:p>
          <w:p>
            <w:pPr>
              <w:ind w:left="160" w:right="153"/>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4"/>
              </w:rPr>
              <w:t>持续时间</w:t>
            </w:r>
          </w:p>
        </w:tc>
        <w:tc>
          <w:tcPr>
            <w:tcW w:w="824" w:type="dxa"/>
            <w:vAlign w:val="top"/>
            <w:vMerge w:val="restart"/>
            <w:tcBorders>
              <w:bottom w:val="nil"/>
            </w:tcBorders>
          </w:tcPr>
          <w:p>
            <w:pPr>
              <w:spacing w:line="442" w:lineRule="auto"/>
              <w:rPr>
                <w:rFonts w:ascii="Arial"/>
                <w:sz w:val="21"/>
              </w:rPr>
            </w:pPr>
            <w:r/>
          </w:p>
          <w:p>
            <w:pPr>
              <w:ind w:left="25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0"/>
              </w:rPr>
              <w:t>30%</w:t>
            </w:r>
          </w:p>
        </w:tc>
        <w:tc>
          <w:tcPr>
            <w:tcW w:w="4062" w:type="dxa"/>
            <w:vAlign w:val="top"/>
          </w:tcPr>
          <w:p>
            <w:pPr>
              <w:ind w:left="11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违法行为持续</w:t>
            </w:r>
            <w:r>
              <w:rPr>
                <w:rFonts w:ascii="FangSong_GB2312" w:hAnsi="FangSong_GB2312" w:eastAsia="FangSong_GB2312" w:cs="FangSong_GB2312"/>
                <w:sz w:val="24"/>
                <w:szCs w:val="24"/>
                <w:spacing w:val="-36"/>
              </w:rPr>
              <w:t xml:space="preserve"> </w:t>
            </w:r>
            <w:r>
              <w:rPr>
                <w:rFonts w:ascii="FangSong_GB2312" w:hAnsi="FangSong_GB2312" w:eastAsia="FangSong_GB2312" w:cs="FangSong_GB2312"/>
                <w:sz w:val="24"/>
                <w:szCs w:val="24"/>
                <w:spacing w:val="-4"/>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4"/>
              </w:rPr>
              <w:t>个月以下的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634" w:hRule="atLeast"/>
        </w:trPr>
        <w:tc>
          <w:tcPr>
            <w:tcW w:w="1210" w:type="dxa"/>
            <w:vAlign w:val="top"/>
            <w:vMerge w:val="continue"/>
            <w:tcBorders>
              <w:top w:val="nil"/>
              <w:bottom w:val="nil"/>
            </w:tcBorders>
          </w:tcPr>
          <w:p>
            <w:pPr>
              <w:rPr>
                <w:rFonts w:ascii="Arial"/>
                <w:sz w:val="21"/>
              </w:rPr>
            </w:pPr>
            <w:r/>
          </w:p>
        </w:tc>
        <w:tc>
          <w:tcPr>
            <w:tcW w:w="126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4062" w:type="dxa"/>
            <w:vAlign w:val="top"/>
          </w:tcPr>
          <w:p>
            <w:pPr>
              <w:ind w:left="134" w:right="112" w:hanging="17"/>
              <w:spacing w:before="39" w:line="22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6"/>
              </w:rPr>
              <w:t>违法行为持续</w:t>
            </w:r>
            <w:r>
              <w:rPr>
                <w:rFonts w:ascii="FangSong_GB2312" w:hAnsi="FangSong_GB2312" w:eastAsia="FangSong_GB2312" w:cs="FangSong_GB2312"/>
                <w:sz w:val="24"/>
                <w:szCs w:val="24"/>
                <w:spacing w:val="-28"/>
              </w:rPr>
              <w:t xml:space="preserve"> </w:t>
            </w:r>
            <w:r>
              <w:rPr>
                <w:rFonts w:ascii="FangSong_GB2312" w:hAnsi="FangSong_GB2312" w:eastAsia="FangSong_GB2312" w:cs="FangSong_GB2312"/>
                <w:sz w:val="24"/>
                <w:szCs w:val="24"/>
                <w:spacing w:val="-6"/>
              </w:rPr>
              <w:t>1</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6"/>
              </w:rPr>
              <w:t>个月以上</w:t>
            </w:r>
            <w:r>
              <w:rPr>
                <w:rFonts w:ascii="FangSong_GB2312" w:hAnsi="FangSong_GB2312" w:eastAsia="FangSong_GB2312" w:cs="FangSong_GB2312"/>
                <w:sz w:val="24"/>
                <w:szCs w:val="24"/>
                <w:spacing w:val="-32"/>
              </w:rPr>
              <w:t xml:space="preserve"> </w:t>
            </w:r>
            <w:r>
              <w:rPr>
                <w:rFonts w:ascii="FangSong_GB2312" w:hAnsi="FangSong_GB2312" w:eastAsia="FangSong_GB2312" w:cs="FangSong_GB2312"/>
                <w:sz w:val="24"/>
                <w:szCs w:val="24"/>
                <w:spacing w:val="-6"/>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6"/>
              </w:rPr>
              <w:t>个月以下</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rPr>
              <w:t>的</w:t>
            </w:r>
          </w:p>
        </w:tc>
        <w:tc>
          <w:tcPr>
            <w:tcW w:w="1062" w:type="dxa"/>
            <w:vAlign w:val="top"/>
          </w:tcPr>
          <w:p>
            <w:pPr>
              <w:ind w:left="133"/>
              <w:spacing w:before="19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11%-20%</w:t>
            </w:r>
          </w:p>
        </w:tc>
      </w:tr>
      <w:tr>
        <w:trPr>
          <w:trHeight w:val="320" w:hRule="atLeast"/>
        </w:trPr>
        <w:tc>
          <w:tcPr>
            <w:tcW w:w="1210" w:type="dxa"/>
            <w:vAlign w:val="top"/>
            <w:vMerge w:val="continue"/>
            <w:tcBorders>
              <w:top w:val="nil"/>
            </w:tcBorders>
          </w:tcPr>
          <w:p>
            <w:pPr>
              <w:rPr>
                <w:rFonts w:ascii="Arial"/>
                <w:sz w:val="21"/>
              </w:rPr>
            </w:pPr>
            <w:r/>
          </w:p>
        </w:tc>
        <w:tc>
          <w:tcPr>
            <w:tcW w:w="1266"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4062" w:type="dxa"/>
            <w:vAlign w:val="top"/>
          </w:tcPr>
          <w:p>
            <w:pPr>
              <w:ind w:left="11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违法行为持续</w:t>
            </w:r>
            <w:r>
              <w:rPr>
                <w:rFonts w:ascii="FangSong_GB2312" w:hAnsi="FangSong_GB2312" w:eastAsia="FangSong_GB2312" w:cs="FangSong_GB2312"/>
                <w:sz w:val="24"/>
                <w:szCs w:val="24"/>
                <w:spacing w:val="-25"/>
              </w:rPr>
              <w:t xml:space="preserve"> </w:t>
            </w:r>
            <w:r>
              <w:rPr>
                <w:rFonts w:ascii="FangSong_GB2312" w:hAnsi="FangSong_GB2312" w:eastAsia="FangSong_GB2312" w:cs="FangSong_GB2312"/>
                <w:sz w:val="24"/>
                <w:szCs w:val="24"/>
                <w:spacing w:val="-5"/>
              </w:rPr>
              <w:t>3</w:t>
            </w:r>
            <w:r>
              <w:rPr>
                <w:rFonts w:ascii="FangSong_GB2312" w:hAnsi="FangSong_GB2312" w:eastAsia="FangSong_GB2312" w:cs="FangSong_GB2312"/>
                <w:sz w:val="24"/>
                <w:szCs w:val="24"/>
                <w:spacing w:val="-49"/>
              </w:rPr>
              <w:t xml:space="preserve"> </w:t>
            </w:r>
            <w:r>
              <w:rPr>
                <w:rFonts w:ascii="FangSong_GB2312" w:hAnsi="FangSong_GB2312" w:eastAsia="FangSong_GB2312" w:cs="FangSong_GB2312"/>
                <w:sz w:val="24"/>
                <w:szCs w:val="24"/>
                <w:spacing w:val="-5"/>
              </w:rPr>
              <w:t>个月以上的</w:t>
            </w:r>
          </w:p>
        </w:tc>
        <w:tc>
          <w:tcPr>
            <w:tcW w:w="1062" w:type="dxa"/>
            <w:vAlign w:val="top"/>
          </w:tcPr>
          <w:p>
            <w:pPr>
              <w:ind w:left="12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21%-30%</w:t>
            </w:r>
          </w:p>
        </w:tc>
      </w:tr>
      <w:tr>
        <w:trPr>
          <w:trHeight w:val="320" w:hRule="atLeast"/>
        </w:trPr>
        <w:tc>
          <w:tcPr>
            <w:tcW w:w="1210" w:type="dxa"/>
            <w:vAlign w:val="top"/>
            <w:vMerge w:val="restart"/>
            <w:tcBorders>
              <w:bottom w:val="nil"/>
            </w:tcBorders>
          </w:tcPr>
          <w:p>
            <w:pPr>
              <w:spacing w:line="446" w:lineRule="auto"/>
              <w:rPr>
                <w:rFonts w:ascii="Arial"/>
                <w:sz w:val="21"/>
              </w:rPr>
            </w:pPr>
            <w:r/>
          </w:p>
          <w:p>
            <w:pPr>
              <w:ind w:left="134"/>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违法频次</w:t>
            </w:r>
          </w:p>
        </w:tc>
        <w:tc>
          <w:tcPr>
            <w:tcW w:w="1266" w:type="dxa"/>
            <w:vAlign w:val="top"/>
            <w:vMerge w:val="restart"/>
            <w:tcBorders>
              <w:bottom w:val="nil"/>
            </w:tcBorders>
          </w:tcPr>
          <w:p>
            <w:pPr>
              <w:spacing w:line="293" w:lineRule="auto"/>
              <w:rPr>
                <w:rFonts w:ascii="Arial"/>
                <w:sz w:val="21"/>
              </w:rPr>
            </w:pPr>
            <w:r/>
          </w:p>
          <w:p>
            <w:pPr>
              <w:ind w:left="285" w:right="153" w:hanging="113"/>
              <w:spacing w:before="78" w:line="229"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一年内违</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spacing w:val="-6"/>
              </w:rPr>
              <w:t>法次数</w:t>
            </w:r>
          </w:p>
        </w:tc>
        <w:tc>
          <w:tcPr>
            <w:tcW w:w="824" w:type="dxa"/>
            <w:vAlign w:val="top"/>
            <w:vMerge w:val="restart"/>
            <w:tcBorders>
              <w:bottom w:val="nil"/>
            </w:tcBorders>
          </w:tcPr>
          <w:p>
            <w:pPr>
              <w:spacing w:line="446" w:lineRule="auto"/>
              <w:rPr>
                <w:rFonts w:ascii="Arial"/>
                <w:sz w:val="21"/>
              </w:rPr>
            </w:pPr>
            <w:r/>
          </w:p>
          <w:p>
            <w:pPr>
              <w:ind w:left="24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4062"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首次实施违法行为的</w:t>
            </w:r>
          </w:p>
        </w:tc>
        <w:tc>
          <w:tcPr>
            <w:tcW w:w="1062" w:type="dxa"/>
            <w:vAlign w:val="top"/>
          </w:tcPr>
          <w:p>
            <w:pPr>
              <w:ind w:left="43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1"/>
              </w:rPr>
              <w:t>5%</w:t>
            </w:r>
          </w:p>
        </w:tc>
      </w:tr>
      <w:tr>
        <w:trPr>
          <w:trHeight w:val="320" w:hRule="atLeast"/>
        </w:trPr>
        <w:tc>
          <w:tcPr>
            <w:tcW w:w="1210" w:type="dxa"/>
            <w:vAlign w:val="top"/>
            <w:vMerge w:val="continue"/>
            <w:tcBorders>
              <w:top w:val="nil"/>
              <w:bottom w:val="nil"/>
            </w:tcBorders>
          </w:tcPr>
          <w:p>
            <w:pPr>
              <w:rPr>
                <w:rFonts w:ascii="Arial"/>
                <w:sz w:val="21"/>
              </w:rPr>
            </w:pPr>
            <w:r/>
          </w:p>
        </w:tc>
        <w:tc>
          <w:tcPr>
            <w:tcW w:w="126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4062" w:type="dxa"/>
            <w:vAlign w:val="top"/>
          </w:tcPr>
          <w:p>
            <w:pPr>
              <w:ind w:left="120"/>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再次实施违法行为的</w:t>
            </w:r>
          </w:p>
        </w:tc>
        <w:tc>
          <w:tcPr>
            <w:tcW w:w="1062" w:type="dxa"/>
            <w:vAlign w:val="top"/>
          </w:tcPr>
          <w:p>
            <w:pPr>
              <w:ind w:left="37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r>
      <w:tr>
        <w:trPr>
          <w:trHeight w:val="320" w:hRule="atLeast"/>
        </w:trPr>
        <w:tc>
          <w:tcPr>
            <w:tcW w:w="1210" w:type="dxa"/>
            <w:vAlign w:val="top"/>
            <w:vMerge w:val="continue"/>
            <w:tcBorders>
              <w:top w:val="nil"/>
              <w:bottom w:val="nil"/>
            </w:tcBorders>
          </w:tcPr>
          <w:p>
            <w:pPr>
              <w:rPr>
                <w:rFonts w:ascii="Arial"/>
                <w:sz w:val="21"/>
              </w:rPr>
            </w:pPr>
            <w:r/>
          </w:p>
        </w:tc>
        <w:tc>
          <w:tcPr>
            <w:tcW w:w="126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4062" w:type="dxa"/>
            <w:vAlign w:val="top"/>
          </w:tcPr>
          <w:p>
            <w:pPr>
              <w:ind w:left="126"/>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第三次实施违法行为的</w:t>
            </w:r>
          </w:p>
        </w:tc>
        <w:tc>
          <w:tcPr>
            <w:tcW w:w="1062" w:type="dxa"/>
            <w:vAlign w:val="top"/>
          </w:tcPr>
          <w:p>
            <w:pPr>
              <w:ind w:left="37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15%</w:t>
            </w:r>
          </w:p>
        </w:tc>
      </w:tr>
      <w:tr>
        <w:trPr>
          <w:trHeight w:val="320" w:hRule="atLeast"/>
        </w:trPr>
        <w:tc>
          <w:tcPr>
            <w:tcW w:w="1210" w:type="dxa"/>
            <w:vAlign w:val="top"/>
            <w:vMerge w:val="continue"/>
            <w:tcBorders>
              <w:top w:val="nil"/>
            </w:tcBorders>
          </w:tcPr>
          <w:p>
            <w:pPr>
              <w:rPr>
                <w:rFonts w:ascii="Arial"/>
                <w:sz w:val="21"/>
              </w:rPr>
            </w:pPr>
            <w:r/>
          </w:p>
        </w:tc>
        <w:tc>
          <w:tcPr>
            <w:tcW w:w="1266"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4062" w:type="dxa"/>
            <w:vAlign w:val="top"/>
          </w:tcPr>
          <w:p>
            <w:pPr>
              <w:ind w:left="132"/>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三次以上实施违法行为的</w:t>
            </w:r>
          </w:p>
        </w:tc>
        <w:tc>
          <w:tcPr>
            <w:tcW w:w="1062" w:type="dxa"/>
            <w:vAlign w:val="top"/>
          </w:tcPr>
          <w:p>
            <w:pPr>
              <w:ind w:left="367"/>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r>
      <w:tr>
        <w:trPr>
          <w:trHeight w:val="320" w:hRule="atLeast"/>
        </w:trPr>
        <w:tc>
          <w:tcPr>
            <w:tcW w:w="1210" w:type="dxa"/>
            <w:vAlign w:val="top"/>
            <w:vMerge w:val="restart"/>
            <w:tcBorders>
              <w:bottom w:val="nil"/>
            </w:tcBorders>
          </w:tcPr>
          <w:p>
            <w:pPr>
              <w:ind w:left="132" w:right="120" w:firstLine="1"/>
              <w:spacing w:before="219" w:line="228"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5"/>
              </w:rPr>
              <w:t>排污许可</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管理类别</w:t>
            </w:r>
          </w:p>
        </w:tc>
        <w:tc>
          <w:tcPr>
            <w:tcW w:w="1266" w:type="dxa"/>
            <w:vAlign w:val="top"/>
            <w:vMerge w:val="restart"/>
            <w:tcBorders>
              <w:bottom w:val="nil"/>
            </w:tcBorders>
          </w:tcPr>
          <w:p>
            <w:pPr>
              <w:spacing w:line="297" w:lineRule="auto"/>
              <w:rPr>
                <w:rFonts w:ascii="Arial"/>
                <w:sz w:val="21"/>
              </w:rPr>
            </w:pPr>
            <w:r/>
          </w:p>
          <w:p>
            <w:pPr>
              <w:ind w:left="164"/>
              <w:spacing w:before="78" w:line="213"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具体类别</w:t>
            </w:r>
          </w:p>
        </w:tc>
        <w:tc>
          <w:tcPr>
            <w:tcW w:w="824" w:type="dxa"/>
            <w:vAlign w:val="top"/>
            <w:vMerge w:val="restart"/>
            <w:tcBorders>
              <w:bottom w:val="nil"/>
            </w:tcBorders>
          </w:tcPr>
          <w:p>
            <w:pPr>
              <w:spacing w:line="297" w:lineRule="auto"/>
              <w:rPr>
                <w:rFonts w:ascii="Arial"/>
                <w:sz w:val="21"/>
              </w:rPr>
            </w:pPr>
            <w:r/>
          </w:p>
          <w:p>
            <w:pPr>
              <w:ind w:left="25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4062" w:type="dxa"/>
            <w:vAlign w:val="top"/>
          </w:tcPr>
          <w:p>
            <w:pPr>
              <w:ind w:left="117"/>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登记管理</w:t>
            </w:r>
          </w:p>
        </w:tc>
        <w:tc>
          <w:tcPr>
            <w:tcW w:w="1062" w:type="dxa"/>
            <w:vAlign w:val="top"/>
          </w:tcPr>
          <w:p>
            <w:pPr>
              <w:ind w:left="25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1%-3%</w:t>
            </w:r>
          </w:p>
        </w:tc>
      </w:tr>
      <w:tr>
        <w:trPr>
          <w:trHeight w:val="320" w:hRule="atLeast"/>
        </w:trPr>
        <w:tc>
          <w:tcPr>
            <w:tcW w:w="1210" w:type="dxa"/>
            <w:vAlign w:val="top"/>
            <w:vMerge w:val="continue"/>
            <w:tcBorders>
              <w:top w:val="nil"/>
              <w:bottom w:val="nil"/>
            </w:tcBorders>
          </w:tcPr>
          <w:p>
            <w:pPr>
              <w:rPr>
                <w:rFonts w:ascii="Arial"/>
                <w:sz w:val="21"/>
              </w:rPr>
            </w:pPr>
            <w:r/>
          </w:p>
        </w:tc>
        <w:tc>
          <w:tcPr>
            <w:tcW w:w="126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4062" w:type="dxa"/>
            <w:vAlign w:val="top"/>
          </w:tcPr>
          <w:p>
            <w:pPr>
              <w:ind w:left="121"/>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简化管理</w:t>
            </w:r>
          </w:p>
        </w:tc>
        <w:tc>
          <w:tcPr>
            <w:tcW w:w="1062" w:type="dxa"/>
            <w:vAlign w:val="top"/>
          </w:tcPr>
          <w:p>
            <w:pPr>
              <w:ind w:left="246"/>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4%-6%</w:t>
            </w:r>
          </w:p>
        </w:tc>
      </w:tr>
      <w:tr>
        <w:trPr>
          <w:trHeight w:val="341" w:hRule="atLeast"/>
        </w:trPr>
        <w:tc>
          <w:tcPr>
            <w:tcW w:w="1210" w:type="dxa"/>
            <w:vAlign w:val="top"/>
            <w:vMerge w:val="continue"/>
            <w:tcBorders>
              <w:top w:val="nil"/>
            </w:tcBorders>
          </w:tcPr>
          <w:p>
            <w:pPr>
              <w:rPr>
                <w:rFonts w:ascii="Arial"/>
                <w:sz w:val="21"/>
              </w:rPr>
            </w:pPr>
            <w:r/>
          </w:p>
        </w:tc>
        <w:tc>
          <w:tcPr>
            <w:tcW w:w="1266"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4062" w:type="dxa"/>
            <w:vAlign w:val="top"/>
          </w:tcPr>
          <w:p>
            <w:pPr>
              <w:ind w:left="124"/>
              <w:spacing w:before="41"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重点管理</w:t>
            </w:r>
          </w:p>
        </w:tc>
        <w:tc>
          <w:tcPr>
            <w:tcW w:w="1062" w:type="dxa"/>
            <w:vAlign w:val="top"/>
          </w:tcPr>
          <w:p>
            <w:pPr>
              <w:ind w:left="189"/>
              <w:spacing w:before="51"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7%-10%</w:t>
            </w:r>
          </w:p>
        </w:tc>
      </w:tr>
      <w:tr>
        <w:trPr>
          <w:trHeight w:val="320" w:hRule="atLeast"/>
        </w:trPr>
        <w:tc>
          <w:tcPr>
            <w:tcW w:w="1210" w:type="dxa"/>
            <w:vAlign w:val="top"/>
            <w:vMerge w:val="restart"/>
            <w:tcBorders>
              <w:bottom w:val="nil"/>
            </w:tcBorders>
          </w:tcPr>
          <w:p>
            <w:pPr>
              <w:ind w:left="134" w:right="120" w:firstLine="7"/>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7"/>
              </w:rPr>
              <w:t>配合调查</w:t>
            </w:r>
            <w:r>
              <w:rPr>
                <w:rFonts w:ascii="FangSong_GB2312" w:hAnsi="FangSong_GB2312" w:eastAsia="FangSong_GB2312" w:cs="FangSong_GB2312"/>
                <w:sz w:val="24"/>
                <w:szCs w:val="24"/>
              </w:rPr>
              <w:t xml:space="preserve"> </w:t>
            </w:r>
            <w:r>
              <w:rPr>
                <w:rFonts w:ascii="FangSong_GB2312" w:hAnsi="FangSong_GB2312" w:eastAsia="FangSong_GB2312" w:cs="FangSong_GB2312"/>
                <w:sz w:val="24"/>
                <w:szCs w:val="24"/>
                <w:b/>
                <w:bCs/>
                <w:spacing w:val="-5"/>
              </w:rPr>
              <w:t>取证情况</w:t>
            </w:r>
          </w:p>
        </w:tc>
        <w:tc>
          <w:tcPr>
            <w:tcW w:w="1266" w:type="dxa"/>
            <w:vAlign w:val="top"/>
            <w:vMerge w:val="restart"/>
            <w:tcBorders>
              <w:bottom w:val="nil"/>
            </w:tcBorders>
          </w:tcPr>
          <w:p>
            <w:pPr>
              <w:ind w:left="162" w:right="153" w:hanging="9"/>
              <w:spacing w:before="44" w:line="22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是否配合</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4"/>
              </w:rPr>
              <w:t>执法检查</w:t>
            </w:r>
          </w:p>
        </w:tc>
        <w:tc>
          <w:tcPr>
            <w:tcW w:w="824" w:type="dxa"/>
            <w:vAlign w:val="top"/>
            <w:vMerge w:val="restart"/>
            <w:tcBorders>
              <w:bottom w:val="nil"/>
            </w:tcBorders>
          </w:tcPr>
          <w:p>
            <w:pPr>
              <w:ind w:left="252"/>
              <w:spacing w:before="204"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4062" w:type="dxa"/>
            <w:vAlign w:val="top"/>
          </w:tcPr>
          <w:p>
            <w:pPr>
              <w:ind w:left="119"/>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3"/>
              </w:rPr>
              <w:t>不配合检查的</w:t>
            </w:r>
          </w:p>
        </w:tc>
        <w:tc>
          <w:tcPr>
            <w:tcW w:w="1062" w:type="dxa"/>
            <w:vAlign w:val="top"/>
          </w:tcPr>
          <w:p>
            <w:pPr>
              <w:ind w:left="19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1%-10%</w:t>
            </w:r>
          </w:p>
        </w:tc>
      </w:tr>
      <w:tr>
        <w:trPr>
          <w:trHeight w:val="320" w:hRule="atLeast"/>
        </w:trPr>
        <w:tc>
          <w:tcPr>
            <w:tcW w:w="1210" w:type="dxa"/>
            <w:vAlign w:val="top"/>
            <w:vMerge w:val="continue"/>
            <w:tcBorders>
              <w:top w:val="nil"/>
            </w:tcBorders>
          </w:tcPr>
          <w:p>
            <w:pPr>
              <w:rPr>
                <w:rFonts w:ascii="Arial"/>
                <w:sz w:val="21"/>
              </w:rPr>
            </w:pPr>
            <w:r/>
          </w:p>
        </w:tc>
        <w:tc>
          <w:tcPr>
            <w:tcW w:w="1266"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4062" w:type="dxa"/>
            <w:vAlign w:val="top"/>
          </w:tcPr>
          <w:p>
            <w:pPr>
              <w:ind w:left="12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配合检查的</w:t>
            </w:r>
          </w:p>
        </w:tc>
        <w:tc>
          <w:tcPr>
            <w:tcW w:w="1062" w:type="dxa"/>
            <w:vAlign w:val="top"/>
          </w:tcPr>
          <w:p>
            <w:pPr>
              <w:ind w:left="43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210" w:type="dxa"/>
            <w:vAlign w:val="top"/>
            <w:vMerge w:val="restart"/>
            <w:tcBorders>
              <w:bottom w:val="nil"/>
            </w:tcBorders>
          </w:tcPr>
          <w:p>
            <w:pPr>
              <w:spacing w:line="333" w:lineRule="auto"/>
              <w:rPr>
                <w:rFonts w:ascii="Arial"/>
                <w:sz w:val="21"/>
              </w:rPr>
            </w:pPr>
            <w:r/>
          </w:p>
          <w:p>
            <w:pPr>
              <w:ind w:left="135"/>
              <w:spacing w:before="78" w:line="21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整改情况</w:t>
            </w:r>
          </w:p>
        </w:tc>
        <w:tc>
          <w:tcPr>
            <w:tcW w:w="1266" w:type="dxa"/>
            <w:vAlign w:val="top"/>
            <w:vMerge w:val="restart"/>
            <w:tcBorders>
              <w:bottom w:val="nil"/>
            </w:tcBorders>
          </w:tcPr>
          <w:p>
            <w:pPr>
              <w:ind w:left="400" w:right="153" w:hanging="247"/>
              <w:spacing w:before="254" w:line="230"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是否完成</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spacing w:val="-7"/>
              </w:rPr>
              <w:t>整改</w:t>
            </w:r>
          </w:p>
        </w:tc>
        <w:tc>
          <w:tcPr>
            <w:tcW w:w="824" w:type="dxa"/>
            <w:vAlign w:val="top"/>
            <w:vMerge w:val="restart"/>
            <w:tcBorders>
              <w:bottom w:val="nil"/>
            </w:tcBorders>
          </w:tcPr>
          <w:p>
            <w:pPr>
              <w:spacing w:line="333" w:lineRule="auto"/>
              <w:rPr>
                <w:rFonts w:ascii="Arial"/>
                <w:sz w:val="21"/>
              </w:rPr>
            </w:pPr>
            <w:r/>
          </w:p>
          <w:p>
            <w:pPr>
              <w:ind w:left="252"/>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9"/>
              </w:rPr>
              <w:t>10%</w:t>
            </w:r>
          </w:p>
        </w:tc>
        <w:tc>
          <w:tcPr>
            <w:tcW w:w="4062" w:type="dxa"/>
            <w:vAlign w:val="top"/>
          </w:tcPr>
          <w:p>
            <w:pPr>
              <w:ind w:left="113"/>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全面整改并停止违法行为的</w:t>
            </w:r>
          </w:p>
        </w:tc>
        <w:tc>
          <w:tcPr>
            <w:tcW w:w="1062" w:type="dxa"/>
            <w:vAlign w:val="top"/>
          </w:tcPr>
          <w:p>
            <w:pPr>
              <w:ind w:left="434"/>
              <w:spacing w:before="42" w:line="20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r>
        <w:trPr>
          <w:trHeight w:val="320" w:hRule="atLeast"/>
        </w:trPr>
        <w:tc>
          <w:tcPr>
            <w:tcW w:w="1210" w:type="dxa"/>
            <w:vAlign w:val="top"/>
            <w:vMerge w:val="continue"/>
            <w:tcBorders>
              <w:top w:val="nil"/>
              <w:bottom w:val="nil"/>
            </w:tcBorders>
          </w:tcPr>
          <w:p>
            <w:pPr>
              <w:rPr>
                <w:rFonts w:ascii="Arial"/>
                <w:sz w:val="21"/>
              </w:rPr>
            </w:pPr>
            <w:r/>
          </w:p>
        </w:tc>
        <w:tc>
          <w:tcPr>
            <w:tcW w:w="1266" w:type="dxa"/>
            <w:vAlign w:val="top"/>
            <w:vMerge w:val="continue"/>
            <w:tcBorders>
              <w:top w:val="nil"/>
              <w:bottom w:val="nil"/>
            </w:tcBorders>
          </w:tcPr>
          <w:p>
            <w:pPr>
              <w:rPr>
                <w:rFonts w:ascii="Arial"/>
                <w:sz w:val="21"/>
              </w:rPr>
            </w:pPr>
            <w:r/>
          </w:p>
        </w:tc>
        <w:tc>
          <w:tcPr>
            <w:tcW w:w="824" w:type="dxa"/>
            <w:vAlign w:val="top"/>
            <w:vMerge w:val="continue"/>
            <w:tcBorders>
              <w:top w:val="nil"/>
              <w:bottom w:val="nil"/>
            </w:tcBorders>
          </w:tcPr>
          <w:p>
            <w:pPr>
              <w:rPr>
                <w:rFonts w:ascii="Arial"/>
                <w:sz w:val="21"/>
              </w:rPr>
            </w:pPr>
            <w:r/>
          </w:p>
        </w:tc>
        <w:tc>
          <w:tcPr>
            <w:tcW w:w="4062" w:type="dxa"/>
            <w:vAlign w:val="top"/>
          </w:tcPr>
          <w:p>
            <w:pPr>
              <w:ind w:left="121"/>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正在整改但违法行为未完全消除的</w:t>
            </w:r>
          </w:p>
        </w:tc>
        <w:tc>
          <w:tcPr>
            <w:tcW w:w="1062" w:type="dxa"/>
            <w:vAlign w:val="top"/>
          </w:tcPr>
          <w:p>
            <w:pPr>
              <w:ind w:left="253"/>
              <w:spacing w:before="40"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1%-5%</w:t>
            </w:r>
          </w:p>
        </w:tc>
      </w:tr>
      <w:tr>
        <w:trPr>
          <w:trHeight w:val="412" w:hRule="atLeast"/>
        </w:trPr>
        <w:tc>
          <w:tcPr>
            <w:tcW w:w="1210" w:type="dxa"/>
            <w:vAlign w:val="top"/>
            <w:vMerge w:val="continue"/>
            <w:tcBorders>
              <w:top w:val="nil"/>
            </w:tcBorders>
          </w:tcPr>
          <w:p>
            <w:pPr>
              <w:rPr>
                <w:rFonts w:ascii="Arial"/>
                <w:sz w:val="21"/>
              </w:rPr>
            </w:pPr>
            <w:r/>
          </w:p>
        </w:tc>
        <w:tc>
          <w:tcPr>
            <w:tcW w:w="1266"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4062" w:type="dxa"/>
            <w:vAlign w:val="top"/>
          </w:tcPr>
          <w:p>
            <w:pPr>
              <w:ind w:left="125"/>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复查时未采取整改措施的</w:t>
            </w:r>
          </w:p>
        </w:tc>
        <w:tc>
          <w:tcPr>
            <w:tcW w:w="1062" w:type="dxa"/>
            <w:vAlign w:val="top"/>
          </w:tcPr>
          <w:p>
            <w:pPr>
              <w:ind w:left="189"/>
              <w:spacing w:before="87"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4"/>
              </w:rPr>
              <w:t>6%-10%</w:t>
            </w:r>
          </w:p>
        </w:tc>
      </w:tr>
      <w:tr>
        <w:trPr>
          <w:trHeight w:val="412" w:hRule="atLeast"/>
        </w:trPr>
        <w:tc>
          <w:tcPr>
            <w:tcW w:w="1210" w:type="dxa"/>
            <w:vAlign w:val="top"/>
            <w:vMerge w:val="restart"/>
            <w:tcBorders>
              <w:bottom w:val="nil"/>
            </w:tcBorders>
          </w:tcPr>
          <w:p>
            <w:pPr>
              <w:ind w:left="126" w:right="120" w:firstLine="9"/>
              <w:spacing w:before="42" w:line="231" w:lineRule="auto"/>
              <w:jc w:val="both"/>
              <w:rPr>
                <w:rFonts w:ascii="FangSong_GB2312" w:hAnsi="FangSong_GB2312" w:eastAsia="FangSong_GB2312" w:cs="FangSong_GB2312"/>
                <w:sz w:val="24"/>
                <w:szCs w:val="24"/>
              </w:rPr>
            </w:pPr>
            <w:r>
              <w:rPr>
                <w:rFonts w:ascii="FangSong_GB2312" w:hAnsi="FangSong_GB2312" w:eastAsia="FangSong_GB2312" w:cs="FangSong_GB2312"/>
                <w:sz w:val="24"/>
                <w:szCs w:val="24"/>
                <w:b/>
                <w:bCs/>
                <w:spacing w:val="-6"/>
              </w:rPr>
              <w:t>对社会影</w:t>
            </w:r>
            <w:r>
              <w:rPr>
                <w:rFonts w:ascii="FangSong_GB2312" w:hAnsi="FangSong_GB2312" w:eastAsia="FangSong_GB2312" w:cs="FangSong_GB2312"/>
                <w:sz w:val="24"/>
                <w:szCs w:val="24"/>
                <w:spacing w:val="1"/>
              </w:rPr>
              <w:t xml:space="preserve"> </w:t>
            </w:r>
            <w:r>
              <w:rPr>
                <w:rFonts w:ascii="FangSong_GB2312" w:hAnsi="FangSong_GB2312" w:eastAsia="FangSong_GB2312" w:cs="FangSong_GB2312"/>
                <w:sz w:val="24"/>
                <w:szCs w:val="24"/>
                <w:b/>
                <w:bCs/>
                <w:spacing w:val="-4"/>
              </w:rPr>
              <w:t>响或生态</w:t>
            </w:r>
            <w:r>
              <w:rPr>
                <w:rFonts w:ascii="FangSong_GB2312" w:hAnsi="FangSong_GB2312" w:eastAsia="FangSong_GB2312" w:cs="FangSong_GB2312"/>
                <w:sz w:val="24"/>
                <w:szCs w:val="24"/>
                <w:spacing w:val="2"/>
              </w:rPr>
              <w:t xml:space="preserve"> </w:t>
            </w:r>
            <w:r>
              <w:rPr>
                <w:rFonts w:ascii="FangSong_GB2312" w:hAnsi="FangSong_GB2312" w:eastAsia="FangSong_GB2312" w:cs="FangSong_GB2312"/>
                <w:sz w:val="24"/>
                <w:szCs w:val="24"/>
                <w:b/>
                <w:bCs/>
                <w:spacing w:val="-4"/>
              </w:rPr>
              <w:t>破坏程度</w:t>
            </w:r>
          </w:p>
        </w:tc>
        <w:tc>
          <w:tcPr>
            <w:tcW w:w="1266" w:type="dxa"/>
            <w:vAlign w:val="top"/>
            <w:vMerge w:val="restart"/>
            <w:tcBorders>
              <w:bottom w:val="nil"/>
            </w:tcBorders>
          </w:tcPr>
          <w:p>
            <w:pPr>
              <w:ind w:left="134"/>
              <w:spacing w:before="42" w:line="215"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3"/>
                <w:w w:val="99"/>
              </w:rPr>
              <w:t>是否造成社</w:t>
            </w:r>
          </w:p>
          <w:p>
            <w:pPr>
              <w:ind w:left="141"/>
              <w:spacing w:before="34"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7"/>
              </w:rPr>
              <w:t>会影响与生</w:t>
            </w:r>
          </w:p>
          <w:p>
            <w:pPr>
              <w:ind w:left="349"/>
              <w:spacing w:before="39" w:line="207"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1"/>
              </w:rPr>
              <w:t>态破坏</w:t>
            </w:r>
          </w:p>
        </w:tc>
        <w:tc>
          <w:tcPr>
            <w:tcW w:w="824" w:type="dxa"/>
            <w:vAlign w:val="top"/>
            <w:vMerge w:val="restart"/>
            <w:tcBorders>
              <w:bottom w:val="nil"/>
            </w:tcBorders>
          </w:tcPr>
          <w:p>
            <w:pPr>
              <w:spacing w:line="277" w:lineRule="auto"/>
              <w:rPr>
                <w:rFonts w:ascii="Arial"/>
                <w:sz w:val="21"/>
              </w:rPr>
            </w:pPr>
            <w:r/>
          </w:p>
          <w:p>
            <w:pPr>
              <w:ind w:left="246"/>
              <w:spacing w:before="7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7"/>
              </w:rPr>
              <w:t>20%</w:t>
            </w:r>
          </w:p>
        </w:tc>
        <w:tc>
          <w:tcPr>
            <w:tcW w:w="4062" w:type="dxa"/>
            <w:vAlign w:val="top"/>
          </w:tcPr>
          <w:p>
            <w:pPr>
              <w:ind w:left="117"/>
              <w:spacing w:before="87"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2"/>
              </w:rPr>
              <w:t>造成社会影响或生态破坏的</w:t>
            </w:r>
          </w:p>
        </w:tc>
        <w:tc>
          <w:tcPr>
            <w:tcW w:w="1062" w:type="dxa"/>
            <w:vAlign w:val="top"/>
          </w:tcPr>
          <w:p>
            <w:pPr>
              <w:ind w:left="133"/>
              <w:spacing w:before="8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5"/>
              </w:rPr>
              <w:t>1%-20%</w:t>
            </w:r>
          </w:p>
        </w:tc>
      </w:tr>
      <w:tr>
        <w:trPr>
          <w:trHeight w:val="536" w:hRule="atLeast"/>
        </w:trPr>
        <w:tc>
          <w:tcPr>
            <w:tcW w:w="1210" w:type="dxa"/>
            <w:vAlign w:val="top"/>
            <w:vMerge w:val="continue"/>
            <w:tcBorders>
              <w:top w:val="nil"/>
            </w:tcBorders>
          </w:tcPr>
          <w:p>
            <w:pPr>
              <w:rPr>
                <w:rFonts w:ascii="Arial"/>
                <w:sz w:val="21"/>
              </w:rPr>
            </w:pPr>
            <w:r/>
          </w:p>
        </w:tc>
        <w:tc>
          <w:tcPr>
            <w:tcW w:w="1266" w:type="dxa"/>
            <w:vAlign w:val="top"/>
            <w:vMerge w:val="continue"/>
            <w:tcBorders>
              <w:top w:val="nil"/>
            </w:tcBorders>
          </w:tcPr>
          <w:p>
            <w:pPr>
              <w:rPr>
                <w:rFonts w:ascii="Arial"/>
                <w:sz w:val="21"/>
              </w:rPr>
            </w:pPr>
            <w:r/>
          </w:p>
        </w:tc>
        <w:tc>
          <w:tcPr>
            <w:tcW w:w="824" w:type="dxa"/>
            <w:vAlign w:val="top"/>
            <w:vMerge w:val="continue"/>
            <w:tcBorders>
              <w:top w:val="nil"/>
            </w:tcBorders>
          </w:tcPr>
          <w:p>
            <w:pPr>
              <w:rPr>
                <w:rFonts w:ascii="Arial"/>
                <w:sz w:val="21"/>
              </w:rPr>
            </w:pPr>
            <w:r/>
          </w:p>
        </w:tc>
        <w:tc>
          <w:tcPr>
            <w:tcW w:w="4062" w:type="dxa"/>
            <w:vAlign w:val="top"/>
          </w:tcPr>
          <w:p>
            <w:pPr>
              <w:ind w:left="114"/>
              <w:spacing w:before="148" w:line="214"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
              </w:rPr>
              <w:t>未造成社会影响与生态破坏的</w:t>
            </w:r>
          </w:p>
        </w:tc>
        <w:tc>
          <w:tcPr>
            <w:tcW w:w="1062" w:type="dxa"/>
            <w:vAlign w:val="top"/>
          </w:tcPr>
          <w:p>
            <w:pPr>
              <w:ind w:left="434"/>
              <w:spacing w:before="148" w:line="236" w:lineRule="auto"/>
              <w:rPr>
                <w:rFonts w:ascii="FangSong_GB2312" w:hAnsi="FangSong_GB2312" w:eastAsia="FangSong_GB2312" w:cs="FangSong_GB2312"/>
                <w:sz w:val="24"/>
                <w:szCs w:val="24"/>
              </w:rPr>
            </w:pPr>
            <w:r>
              <w:rPr>
                <w:rFonts w:ascii="FangSong_GB2312" w:hAnsi="FangSong_GB2312" w:eastAsia="FangSong_GB2312" w:cs="FangSong_GB2312"/>
                <w:sz w:val="24"/>
                <w:szCs w:val="24"/>
                <w:spacing w:val="-14"/>
              </w:rPr>
              <w:t>0%</w:t>
            </w:r>
          </w:p>
        </w:tc>
      </w:tr>
    </w:tbl>
    <w:p>
      <w:pPr>
        <w:pStyle w:val="BodyText"/>
        <w:rPr/>
      </w:pPr>
      <w:r/>
    </w:p>
    <w:p>
      <w:pPr>
        <w:sectPr>
          <w:footerReference w:type="default" r:id="rId433"/>
          <w:pgSz w:w="11905" w:h="16839"/>
          <w:pgMar w:top="1431" w:right="1706" w:bottom="1156" w:left="1769" w:header="0" w:footer="994" w:gutter="0"/>
        </w:sectPr>
        <w:rPr/>
      </w:pPr>
    </w:p>
    <w:p>
      <w:pPr>
        <w:pStyle w:val="BodyText"/>
        <w:spacing w:line="298" w:lineRule="auto"/>
        <w:rPr/>
      </w:pPr>
      <w:r/>
    </w:p>
    <w:p>
      <w:pPr>
        <w:ind w:left="2038"/>
        <w:spacing w:before="184" w:line="196" w:lineRule="auto"/>
        <w:outlineLvl w:val="0"/>
        <w:rPr>
          <w:rFonts w:ascii="Microsoft YaHei" w:hAnsi="Microsoft YaHei" w:eastAsia="Microsoft YaHei" w:cs="Microsoft YaHei"/>
          <w:sz w:val="43"/>
          <w:szCs w:val="43"/>
        </w:rPr>
      </w:pPr>
      <w:bookmarkStart w:name="bookmark25" w:id="29"/>
      <w:bookmarkEnd w:id="29"/>
      <w:bookmarkStart w:name="bookmark12" w:id="30"/>
      <w:bookmarkEnd w:id="30"/>
      <w:r>
        <w:rPr>
          <w:rFonts w:ascii="Microsoft YaHei" w:hAnsi="Microsoft YaHei" w:eastAsia="Microsoft YaHei" w:cs="Microsoft YaHei"/>
          <w:sz w:val="43"/>
          <w:szCs w:val="43"/>
          <w:spacing w:val="9"/>
        </w:rPr>
        <w:t>河北省生态环境轻微违法行为不予行政处罚事项清单</w:t>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627" w:hRule="atLeast"/>
        </w:trPr>
        <w:tc>
          <w:tcPr>
            <w:tcW w:w="1002" w:type="dxa"/>
            <w:vAlign w:val="top"/>
          </w:tcPr>
          <w:p>
            <w:pPr>
              <w:pStyle w:val="TableText"/>
              <w:ind w:left="273"/>
              <w:spacing w:before="208" w:line="229" w:lineRule="auto"/>
              <w:rPr>
                <w:sz w:val="20"/>
                <w:szCs w:val="20"/>
              </w:rPr>
            </w:pPr>
            <w:r>
              <w:rPr>
                <w:sz w:val="20"/>
                <w:szCs w:val="20"/>
                <w:b/>
                <w:bCs/>
                <w:spacing w:val="4"/>
              </w:rPr>
              <w:t>序号</w:t>
            </w:r>
          </w:p>
        </w:tc>
        <w:tc>
          <w:tcPr>
            <w:tcW w:w="5713" w:type="dxa"/>
            <w:vAlign w:val="top"/>
          </w:tcPr>
          <w:p>
            <w:pPr>
              <w:pStyle w:val="TableText"/>
              <w:ind w:left="2209"/>
              <w:spacing w:before="209" w:line="228" w:lineRule="auto"/>
              <w:rPr>
                <w:sz w:val="20"/>
                <w:szCs w:val="20"/>
              </w:rPr>
            </w:pPr>
            <w:r>
              <w:rPr>
                <w:sz w:val="20"/>
                <w:szCs w:val="20"/>
                <w:b/>
                <w:bCs/>
                <w:spacing w:val="6"/>
              </w:rPr>
              <w:t>免罚事项名称</w:t>
            </w:r>
          </w:p>
        </w:tc>
        <w:tc>
          <w:tcPr>
            <w:tcW w:w="7844" w:type="dxa"/>
            <w:vAlign w:val="top"/>
          </w:tcPr>
          <w:p>
            <w:pPr>
              <w:pStyle w:val="TableText"/>
              <w:ind w:left="3720"/>
              <w:spacing w:before="208" w:line="227" w:lineRule="auto"/>
              <w:rPr>
                <w:sz w:val="20"/>
                <w:szCs w:val="20"/>
              </w:rPr>
            </w:pPr>
            <w:r>
              <w:rPr>
                <w:sz w:val="20"/>
                <w:szCs w:val="20"/>
                <w:b/>
                <w:bCs/>
                <w:spacing w:val="5"/>
              </w:rPr>
              <w:t>实施依据</w:t>
            </w:r>
          </w:p>
        </w:tc>
      </w:tr>
      <w:tr>
        <w:trPr>
          <w:trHeight w:val="3236" w:hRule="atLeast"/>
        </w:trPr>
        <w:tc>
          <w:tcPr>
            <w:tcW w:w="1002"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306"/>
              <w:spacing w:before="65" w:line="189" w:lineRule="auto"/>
              <w:rPr>
                <w:sz w:val="20"/>
                <w:szCs w:val="20"/>
              </w:rPr>
            </w:pPr>
            <w:r>
              <w:rPr>
                <w:sz w:val="20"/>
                <w:szCs w:val="20"/>
              </w:rPr>
              <w:t>1</w:t>
            </w:r>
          </w:p>
        </w:tc>
        <w:tc>
          <w:tcPr>
            <w:tcW w:w="5713"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97" w:right="208" w:hanging="33"/>
              <w:spacing w:before="65"/>
              <w:rPr>
                <w:sz w:val="20"/>
                <w:szCs w:val="20"/>
              </w:rPr>
            </w:pPr>
            <w:r>
              <w:rPr>
                <w:sz w:val="20"/>
                <w:szCs w:val="20"/>
                <w:spacing w:val="11"/>
              </w:rPr>
              <w:t>建设单位未依法备案建设项目环境影响登记表，</w:t>
            </w:r>
            <w:r>
              <w:rPr>
                <w:sz w:val="20"/>
                <w:szCs w:val="20"/>
                <w:spacing w:val="-42"/>
              </w:rPr>
              <w:t xml:space="preserve"> </w:t>
            </w:r>
            <w:r>
              <w:rPr>
                <w:sz w:val="20"/>
                <w:szCs w:val="20"/>
                <w:spacing w:val="11"/>
              </w:rPr>
              <w:t>自检查之</w:t>
            </w:r>
            <w:r>
              <w:rPr>
                <w:sz w:val="20"/>
                <w:szCs w:val="20"/>
              </w:rPr>
              <w:t xml:space="preserve"> </w:t>
            </w:r>
            <w:r>
              <w:rPr>
                <w:sz w:val="20"/>
                <w:szCs w:val="20"/>
                <w:spacing w:val="8"/>
              </w:rPr>
              <w:t>日起5日内完成备案的</w:t>
            </w:r>
          </w:p>
        </w:tc>
        <w:tc>
          <w:tcPr>
            <w:tcW w:w="7844" w:type="dxa"/>
            <w:vAlign w:val="top"/>
          </w:tcPr>
          <w:p>
            <w:pPr>
              <w:pStyle w:val="TableText"/>
              <w:ind w:left="599"/>
              <w:spacing w:before="32" w:line="226" w:lineRule="auto"/>
              <w:rPr>
                <w:sz w:val="20"/>
                <w:szCs w:val="20"/>
              </w:rPr>
            </w:pPr>
            <w:r>
              <w:rPr>
                <w:sz w:val="20"/>
                <w:szCs w:val="20"/>
                <w:spacing w:val="7"/>
              </w:rPr>
              <w:t>1.《中华人民共和国环境影响评价法》第三十一条第三款</w:t>
            </w:r>
          </w:p>
          <w:p>
            <w:pPr>
              <w:pStyle w:val="TableText"/>
              <w:ind w:left="187" w:right="154" w:firstLine="398"/>
              <w:spacing w:before="12" w:line="234" w:lineRule="auto"/>
              <w:rPr>
                <w:sz w:val="20"/>
                <w:szCs w:val="20"/>
              </w:rPr>
            </w:pPr>
            <w:r>
              <w:rPr>
                <w:sz w:val="20"/>
                <w:szCs w:val="20"/>
                <w:spacing w:val="9"/>
              </w:rPr>
              <w:t>建设单位未依法备案建设项目环境影响登记表的，由县级</w:t>
            </w:r>
            <w:r>
              <w:rPr>
                <w:sz w:val="20"/>
                <w:szCs w:val="20"/>
                <w:spacing w:val="8"/>
              </w:rPr>
              <w:t>以上生态环境主管部</w:t>
            </w:r>
            <w:r>
              <w:rPr>
                <w:sz w:val="20"/>
                <w:szCs w:val="20"/>
              </w:rPr>
              <w:t xml:space="preserve"> </w:t>
            </w:r>
            <w:r>
              <w:rPr>
                <w:sz w:val="20"/>
                <w:szCs w:val="20"/>
                <w:spacing w:val="7"/>
              </w:rPr>
              <w:t>门责令备案，处五万元以下的罚款。</w:t>
            </w:r>
          </w:p>
          <w:p>
            <w:pPr>
              <w:pStyle w:val="TableText"/>
              <w:ind w:left="586"/>
              <w:spacing w:before="256" w:line="208" w:lineRule="auto"/>
              <w:rPr>
                <w:sz w:val="20"/>
                <w:szCs w:val="20"/>
              </w:rPr>
            </w:pPr>
            <w:r>
              <w:rPr>
                <w:sz w:val="20"/>
                <w:szCs w:val="20"/>
                <w:spacing w:val="8"/>
              </w:rPr>
              <w:t>2.</w:t>
            </w:r>
            <w:r>
              <w:rPr>
                <w:sz w:val="20"/>
                <w:szCs w:val="20"/>
                <w:spacing w:val="78"/>
              </w:rPr>
              <w:t xml:space="preserve"> </w:t>
            </w:r>
            <w:r>
              <w:rPr>
                <w:sz w:val="20"/>
                <w:szCs w:val="20"/>
                <w:spacing w:val="8"/>
              </w:rPr>
              <w:t>《建设项目环境保护管理条例》第二十一条</w:t>
            </w:r>
          </w:p>
          <w:p>
            <w:pPr>
              <w:pStyle w:val="TableText"/>
              <w:ind w:left="167" w:right="154" w:firstLine="418"/>
              <w:spacing w:line="209" w:lineRule="auto"/>
              <w:rPr>
                <w:sz w:val="20"/>
                <w:szCs w:val="20"/>
              </w:rPr>
            </w:pPr>
            <w:r>
              <w:rPr>
                <w:sz w:val="20"/>
                <w:szCs w:val="20"/>
                <w:spacing w:val="9"/>
              </w:rPr>
              <w:t>建设单位有下列行为之一的，依照《中华人民共和国环境</w:t>
            </w:r>
            <w:r>
              <w:rPr>
                <w:sz w:val="20"/>
                <w:szCs w:val="20"/>
                <w:spacing w:val="8"/>
              </w:rPr>
              <w:t>影响评价法》的规定</w:t>
            </w:r>
            <w:r>
              <w:rPr>
                <w:sz w:val="20"/>
                <w:szCs w:val="20"/>
              </w:rPr>
              <w:t xml:space="preserve"> </w:t>
            </w:r>
            <w:r>
              <w:rPr>
                <w:sz w:val="20"/>
                <w:szCs w:val="20"/>
                <w:spacing w:val="1"/>
              </w:rPr>
              <w:t>处罚：</w:t>
            </w:r>
          </w:p>
          <w:p>
            <w:pPr>
              <w:pStyle w:val="TableText"/>
              <w:ind w:left="593"/>
              <w:spacing w:line="226" w:lineRule="auto"/>
              <w:rPr>
                <w:sz w:val="20"/>
                <w:szCs w:val="20"/>
              </w:rPr>
            </w:pPr>
            <w:r>
              <w:rPr>
                <w:sz w:val="20"/>
                <w:szCs w:val="20"/>
                <w:spacing w:val="8"/>
              </w:rPr>
              <w:t>（三）建设项目环境影响登记表未依法备案。</w:t>
            </w:r>
          </w:p>
          <w:p>
            <w:pPr>
              <w:pStyle w:val="TableText"/>
              <w:ind w:left="587"/>
              <w:spacing w:before="244" w:line="228" w:lineRule="auto"/>
              <w:rPr>
                <w:sz w:val="20"/>
                <w:szCs w:val="20"/>
              </w:rPr>
            </w:pPr>
            <w:r>
              <w:rPr>
                <w:sz w:val="20"/>
                <w:szCs w:val="20"/>
                <w:spacing w:val="8"/>
              </w:rPr>
              <w:t>3.《建设项目环境影响登记表备案管理办法》</w:t>
            </w:r>
          </w:p>
          <w:p>
            <w:pPr>
              <w:pStyle w:val="TableText"/>
              <w:ind w:left="165" w:right="154" w:firstLine="418"/>
              <w:spacing w:before="4" w:line="232" w:lineRule="auto"/>
              <w:rPr>
                <w:sz w:val="20"/>
                <w:szCs w:val="20"/>
              </w:rPr>
            </w:pPr>
            <w:r>
              <w:rPr>
                <w:sz w:val="20"/>
                <w:szCs w:val="20"/>
                <w:spacing w:val="9"/>
              </w:rPr>
              <w:t>第十八条  建设单位未依法备案建设项目</w:t>
            </w:r>
            <w:r>
              <w:rPr>
                <w:sz w:val="20"/>
                <w:szCs w:val="20"/>
                <w:spacing w:val="8"/>
              </w:rPr>
              <w:t>环境影响登记表的，由县级环境保护</w:t>
            </w:r>
            <w:r>
              <w:rPr>
                <w:sz w:val="20"/>
                <w:szCs w:val="20"/>
              </w:rPr>
              <w:t xml:space="preserve"> </w:t>
            </w:r>
            <w:r>
              <w:rPr>
                <w:sz w:val="20"/>
                <w:szCs w:val="20"/>
                <w:spacing w:val="9"/>
              </w:rPr>
              <w:t>主管部门根据《中华人民共和国环境影响评价法》第三十一条第三款</w:t>
            </w:r>
            <w:r>
              <w:rPr>
                <w:sz w:val="20"/>
                <w:szCs w:val="20"/>
                <w:spacing w:val="8"/>
              </w:rPr>
              <w:t>的规定，责令</w:t>
            </w:r>
            <w:r>
              <w:rPr>
                <w:sz w:val="20"/>
                <w:szCs w:val="20"/>
              </w:rPr>
              <w:t xml:space="preserve"> </w:t>
            </w:r>
            <w:r>
              <w:rPr>
                <w:sz w:val="20"/>
                <w:szCs w:val="20"/>
                <w:spacing w:val="8"/>
              </w:rPr>
              <w:t>备案，处五万元以下的罚款。</w:t>
            </w:r>
          </w:p>
        </w:tc>
      </w:tr>
      <w:tr>
        <w:trPr>
          <w:trHeight w:val="4217" w:hRule="atLeast"/>
        </w:trPr>
        <w:tc>
          <w:tcPr>
            <w:tcW w:w="1002"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12"/>
              <w:spacing w:before="65" w:line="189" w:lineRule="auto"/>
              <w:rPr>
                <w:sz w:val="20"/>
                <w:szCs w:val="20"/>
              </w:rPr>
            </w:pPr>
            <w:r>
              <w:rPr>
                <w:sz w:val="20"/>
                <w:szCs w:val="20"/>
              </w:rPr>
              <w:t>2</w:t>
            </w:r>
          </w:p>
        </w:tc>
        <w:tc>
          <w:tcPr>
            <w:tcW w:w="5713"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61" w:right="208"/>
              <w:spacing w:before="65" w:line="245" w:lineRule="auto"/>
              <w:jc w:val="both"/>
              <w:rPr>
                <w:sz w:val="20"/>
                <w:szCs w:val="20"/>
              </w:rPr>
            </w:pPr>
            <w:r>
              <w:rPr>
                <w:sz w:val="20"/>
                <w:szCs w:val="20"/>
                <w:spacing w:val="13"/>
              </w:rPr>
              <w:t>应当编制环境影响报告书、报告表的建设项目，未依法报</w:t>
            </w:r>
            <w:r>
              <w:rPr>
                <w:sz w:val="20"/>
                <w:szCs w:val="20"/>
                <w:spacing w:val="10"/>
              </w:rPr>
              <w:t xml:space="preserve"> </w:t>
            </w:r>
            <w:r>
              <w:rPr>
                <w:sz w:val="20"/>
                <w:szCs w:val="20"/>
                <w:spacing w:val="13"/>
              </w:rPr>
              <w:t>批，但处于建设阶段，无污染物产生，企业主动停止建设</w:t>
            </w:r>
            <w:r>
              <w:rPr>
                <w:sz w:val="20"/>
                <w:szCs w:val="20"/>
                <w:spacing w:val="11"/>
              </w:rPr>
              <w:t xml:space="preserve"> </w:t>
            </w:r>
            <w:r>
              <w:rPr>
                <w:sz w:val="20"/>
                <w:szCs w:val="20"/>
                <w:spacing w:val="12"/>
              </w:rPr>
              <w:t>或者恢复原状的</w:t>
            </w:r>
          </w:p>
        </w:tc>
        <w:tc>
          <w:tcPr>
            <w:tcW w:w="7844" w:type="dxa"/>
            <w:vAlign w:val="top"/>
          </w:tcPr>
          <w:p>
            <w:pPr>
              <w:pStyle w:val="TableText"/>
              <w:ind w:left="548"/>
              <w:spacing w:before="64" w:line="228" w:lineRule="auto"/>
              <w:rPr>
                <w:sz w:val="20"/>
                <w:szCs w:val="20"/>
              </w:rPr>
            </w:pPr>
            <w:r>
              <w:rPr>
                <w:sz w:val="20"/>
                <w:szCs w:val="20"/>
                <w:spacing w:val="8"/>
              </w:rPr>
              <w:t>1.《中华人民共和国环境保护法》第六十一条</w:t>
            </w:r>
          </w:p>
          <w:p>
            <w:pPr>
              <w:pStyle w:val="TableText"/>
              <w:ind w:left="114" w:right="219" w:firstLine="414"/>
              <w:spacing w:before="53" w:line="267" w:lineRule="auto"/>
              <w:rPr>
                <w:sz w:val="20"/>
                <w:szCs w:val="20"/>
              </w:rPr>
            </w:pPr>
            <w:r>
              <w:rPr>
                <w:sz w:val="20"/>
                <w:szCs w:val="20"/>
                <w:spacing w:val="6"/>
              </w:rPr>
              <w:t>建设单位未依法提交建设项目环境影响评价文件或者</w:t>
            </w:r>
            <w:r>
              <w:rPr>
                <w:sz w:val="20"/>
                <w:szCs w:val="20"/>
                <w:spacing w:val="5"/>
              </w:rPr>
              <w:t>环境影响评价文件未经批</w:t>
            </w:r>
            <w:r>
              <w:rPr>
                <w:sz w:val="20"/>
                <w:szCs w:val="20"/>
              </w:rPr>
              <w:t xml:space="preserve">  </w:t>
            </w:r>
            <w:r>
              <w:rPr>
                <w:sz w:val="20"/>
                <w:szCs w:val="20"/>
                <w:spacing w:val="8"/>
              </w:rPr>
              <w:t>准，擅自开工建设的，由负有环境保护监督管理职责的部门责令停止建设，处以罚</w:t>
            </w:r>
            <w:r>
              <w:rPr>
                <w:sz w:val="20"/>
                <w:szCs w:val="20"/>
                <w:spacing w:val="16"/>
              </w:rPr>
              <w:t xml:space="preserve"> </w:t>
            </w:r>
            <w:r>
              <w:rPr>
                <w:sz w:val="20"/>
                <w:szCs w:val="20"/>
                <w:spacing w:val="8"/>
              </w:rPr>
              <w:t>款，并可以责令恢复原状。</w:t>
            </w:r>
          </w:p>
          <w:p>
            <w:pPr>
              <w:spacing w:line="270" w:lineRule="auto"/>
              <w:rPr>
                <w:rFonts w:ascii="Arial"/>
                <w:sz w:val="21"/>
              </w:rPr>
            </w:pPr>
            <w:r/>
          </w:p>
          <w:p>
            <w:pPr>
              <w:pStyle w:val="TableText"/>
              <w:ind w:left="586"/>
              <w:spacing w:before="65" w:line="226" w:lineRule="auto"/>
              <w:rPr>
                <w:sz w:val="20"/>
                <w:szCs w:val="20"/>
              </w:rPr>
            </w:pPr>
            <w:r>
              <w:rPr>
                <w:sz w:val="20"/>
                <w:szCs w:val="20"/>
                <w:spacing w:val="8"/>
              </w:rPr>
              <w:t>2.《中华人民共和国环境影响评价法》第三十一条第一款</w:t>
            </w:r>
          </w:p>
          <w:p>
            <w:pPr>
              <w:pStyle w:val="TableText"/>
              <w:ind w:left="183" w:right="156" w:firstLine="395"/>
              <w:spacing w:before="56" w:line="262" w:lineRule="auto"/>
              <w:rPr>
                <w:sz w:val="20"/>
                <w:szCs w:val="20"/>
              </w:rPr>
            </w:pPr>
            <w:r>
              <w:rPr>
                <w:sz w:val="20"/>
                <w:szCs w:val="20"/>
                <w:spacing w:val="3"/>
              </w:rPr>
              <w:t>建设单位未依法报批建设项目环境影响报告书、报告表，或者未依照本法</w:t>
            </w:r>
            <w:r>
              <w:rPr>
                <w:sz w:val="20"/>
                <w:szCs w:val="20"/>
                <w:spacing w:val="2"/>
              </w:rPr>
              <w:t>第二十</w:t>
            </w:r>
            <w:r>
              <w:rPr>
                <w:sz w:val="20"/>
                <w:szCs w:val="20"/>
              </w:rPr>
              <w:t xml:space="preserve"> </w:t>
            </w:r>
            <w:r>
              <w:rPr>
                <w:sz w:val="20"/>
                <w:szCs w:val="20"/>
              </w:rPr>
              <w:t>四条的规定重新报批或者报请重新审核环境影响报告书、报告表，擅自开工建设的，</w:t>
            </w:r>
          </w:p>
          <w:p>
            <w:pPr>
              <w:pStyle w:val="TableText"/>
              <w:ind w:left="169" w:right="149" w:firstLine="19"/>
              <w:spacing w:before="33" w:line="267" w:lineRule="auto"/>
              <w:rPr>
                <w:sz w:val="20"/>
                <w:szCs w:val="20"/>
              </w:rPr>
            </w:pPr>
            <w:r>
              <w:rPr>
                <w:sz w:val="20"/>
                <w:szCs w:val="20"/>
                <w:spacing w:val="3"/>
              </w:rPr>
              <w:t>由县级以上生态环境主管部门责令停止建设，根据违法情</w:t>
            </w:r>
            <w:r>
              <w:rPr>
                <w:sz w:val="20"/>
                <w:szCs w:val="20"/>
                <w:spacing w:val="2"/>
              </w:rPr>
              <w:t>节和危害后果，处建设项目</w:t>
            </w:r>
            <w:r>
              <w:rPr>
                <w:sz w:val="20"/>
                <w:szCs w:val="20"/>
              </w:rPr>
              <w:t xml:space="preserve"> </w:t>
            </w:r>
            <w:r>
              <w:rPr>
                <w:sz w:val="20"/>
                <w:szCs w:val="20"/>
                <w:spacing w:val="-2"/>
              </w:rPr>
              <w:t>总投资额百分之一以上百分之五以下的罚款，并可以责令恢复原状；对建</w:t>
            </w:r>
            <w:r>
              <w:rPr>
                <w:sz w:val="20"/>
                <w:szCs w:val="20"/>
                <w:spacing w:val="-3"/>
              </w:rPr>
              <w:t>设单位直接负</w:t>
            </w:r>
            <w:r>
              <w:rPr>
                <w:sz w:val="20"/>
                <w:szCs w:val="20"/>
              </w:rPr>
              <w:t xml:space="preserve"> </w:t>
            </w:r>
            <w:r>
              <w:rPr>
                <w:sz w:val="20"/>
                <w:szCs w:val="20"/>
              </w:rPr>
              <w:t>责的主管人员和其他直接责任人员，依法给</w:t>
            </w:r>
            <w:r>
              <w:rPr>
                <w:sz w:val="20"/>
                <w:szCs w:val="20"/>
                <w:spacing w:val="-1"/>
              </w:rPr>
              <w:t>予行政处分。</w:t>
            </w:r>
          </w:p>
          <w:p>
            <w:pPr>
              <w:spacing w:line="267" w:lineRule="auto"/>
              <w:rPr>
                <w:rFonts w:ascii="Arial"/>
                <w:sz w:val="21"/>
              </w:rPr>
            </w:pPr>
            <w:r/>
          </w:p>
          <w:p>
            <w:pPr>
              <w:pStyle w:val="TableText"/>
              <w:ind w:left="587"/>
              <w:spacing w:before="66" w:line="228" w:lineRule="auto"/>
              <w:rPr>
                <w:sz w:val="20"/>
                <w:szCs w:val="20"/>
              </w:rPr>
            </w:pPr>
            <w:r>
              <w:rPr>
                <w:sz w:val="20"/>
                <w:szCs w:val="20"/>
                <w:spacing w:val="7"/>
              </w:rPr>
              <w:t>3.《建设项目环境保护管理条例》第二十一条</w:t>
            </w:r>
          </w:p>
          <w:p>
            <w:pPr>
              <w:pStyle w:val="TableText"/>
              <w:ind w:left="567"/>
              <w:spacing w:before="53" w:line="214" w:lineRule="auto"/>
              <w:rPr>
                <w:sz w:val="20"/>
                <w:szCs w:val="20"/>
              </w:rPr>
            </w:pPr>
            <w:r>
              <w:rPr>
                <w:sz w:val="20"/>
                <w:szCs w:val="20"/>
                <w:spacing w:val="-2"/>
              </w:rPr>
              <w:t>建设单位有下列行为之一的，依照《中华人民共和国环境影响评价法</w:t>
            </w:r>
            <w:r>
              <w:rPr>
                <w:sz w:val="20"/>
                <w:szCs w:val="20"/>
                <w:spacing w:val="-3"/>
              </w:rPr>
              <w:t>》的规定处罚</w:t>
            </w:r>
          </w:p>
        </w:tc>
      </w:tr>
    </w:tbl>
    <w:p>
      <w:pPr>
        <w:pStyle w:val="BodyText"/>
        <w:rPr/>
      </w:pPr>
      <w:r/>
    </w:p>
    <w:p>
      <w:pPr>
        <w:sectPr>
          <w:footerReference w:type="default" r:id="rId434"/>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3613"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81"/>
              <w:spacing w:before="65" w:line="267" w:lineRule="exact"/>
              <w:rPr>
                <w:sz w:val="20"/>
                <w:szCs w:val="20"/>
              </w:rPr>
            </w:pPr>
            <w:r>
              <w:rPr>
                <w:sz w:val="20"/>
                <w:szCs w:val="20"/>
                <w:position w:val="3"/>
              </w:rPr>
              <w:t>:</w:t>
            </w:r>
          </w:p>
          <w:p>
            <w:pPr>
              <w:pStyle w:val="TableText"/>
              <w:ind w:left="164" w:right="124" w:firstLine="410"/>
              <w:spacing w:before="33" w:line="253" w:lineRule="auto"/>
              <w:rPr>
                <w:sz w:val="20"/>
                <w:szCs w:val="20"/>
              </w:rPr>
            </w:pPr>
            <w:r>
              <w:rPr>
                <w:sz w:val="20"/>
                <w:szCs w:val="20"/>
                <w:spacing w:val="-2"/>
              </w:rPr>
              <w:t>（一）建设项目环境影响报告书、环境影响报告表未依法报批或者报请重新审核，</w:t>
            </w:r>
            <w:r>
              <w:rPr>
                <w:sz w:val="20"/>
                <w:szCs w:val="20"/>
                <w:spacing w:val="11"/>
              </w:rPr>
              <w:t xml:space="preserve"> </w:t>
            </w:r>
            <w:r>
              <w:rPr>
                <w:sz w:val="20"/>
                <w:szCs w:val="20"/>
              </w:rPr>
              <w:t>擅自开工建设；</w:t>
            </w:r>
          </w:p>
          <w:p>
            <w:pPr>
              <w:pStyle w:val="TableText"/>
              <w:ind w:left="198" w:right="149" w:firstLine="376"/>
              <w:spacing w:before="51" w:line="253" w:lineRule="auto"/>
              <w:rPr>
                <w:sz w:val="20"/>
                <w:szCs w:val="20"/>
              </w:rPr>
            </w:pPr>
            <w:r>
              <w:rPr>
                <w:sz w:val="20"/>
                <w:szCs w:val="20"/>
                <w:spacing w:val="-2"/>
              </w:rPr>
              <w:t>（二）建设项目环境影响报告书、环境影响报告</w:t>
            </w:r>
            <w:r>
              <w:rPr>
                <w:sz w:val="20"/>
                <w:szCs w:val="20"/>
                <w:spacing w:val="-3"/>
              </w:rPr>
              <w:t>表未经批准或者重新审核同意，擅</w:t>
            </w:r>
            <w:r>
              <w:rPr>
                <w:sz w:val="20"/>
                <w:szCs w:val="20"/>
              </w:rPr>
              <w:t xml:space="preserve"> </w:t>
            </w:r>
            <w:r>
              <w:rPr>
                <w:sz w:val="20"/>
                <w:szCs w:val="20"/>
                <w:spacing w:val="-6"/>
              </w:rPr>
              <w:t>自开工建设；</w:t>
            </w:r>
          </w:p>
          <w:p>
            <w:pPr>
              <w:spacing w:line="287" w:lineRule="auto"/>
              <w:rPr>
                <w:rFonts w:ascii="Arial"/>
                <w:sz w:val="21"/>
              </w:rPr>
            </w:pPr>
            <w:r/>
          </w:p>
          <w:p>
            <w:pPr>
              <w:pStyle w:val="TableText"/>
              <w:ind w:left="532"/>
              <w:spacing w:before="66" w:line="228" w:lineRule="auto"/>
              <w:rPr>
                <w:sz w:val="20"/>
                <w:szCs w:val="20"/>
              </w:rPr>
            </w:pPr>
            <w:r>
              <w:rPr>
                <w:sz w:val="20"/>
                <w:szCs w:val="20"/>
              </w:rPr>
              <w:t>4.《河北省生态环境保护条例》第七十一条第一款</w:t>
            </w:r>
          </w:p>
          <w:p>
            <w:pPr>
              <w:pStyle w:val="TableText"/>
              <w:ind w:left="113" w:right="149" w:firstLine="400"/>
              <w:spacing w:before="51" w:line="265" w:lineRule="auto"/>
              <w:rPr>
                <w:sz w:val="20"/>
                <w:szCs w:val="20"/>
              </w:rPr>
            </w:pPr>
            <w:r>
              <w:rPr>
                <w:sz w:val="20"/>
                <w:szCs w:val="20"/>
                <w:spacing w:val="-1"/>
              </w:rPr>
              <w:t>违反本条例规定，建设单位未依法报批建设项目环境影响评价报告书、报告表，或</w:t>
            </w:r>
            <w:r>
              <w:rPr>
                <w:sz w:val="20"/>
                <w:szCs w:val="20"/>
                <w:spacing w:val="10"/>
              </w:rPr>
              <w:t xml:space="preserve"> </w:t>
            </w:r>
            <w:r>
              <w:rPr>
                <w:sz w:val="20"/>
                <w:szCs w:val="20"/>
                <w:spacing w:val="-1"/>
              </w:rPr>
              <w:t>者未依法重新报批或者报请重新审核环境影响报告书、报告表，擅自开工建设的，由生</w:t>
            </w:r>
            <w:r>
              <w:rPr>
                <w:sz w:val="20"/>
                <w:szCs w:val="20"/>
                <w:spacing w:val="13"/>
              </w:rPr>
              <w:t xml:space="preserve"> </w:t>
            </w:r>
            <w:r>
              <w:rPr>
                <w:sz w:val="20"/>
                <w:szCs w:val="20"/>
                <w:spacing w:val="-1"/>
              </w:rPr>
              <w:t>态环境主管部门责令停止建设，根据违法情节和危害后果，处建设项目总投资额百分之</w:t>
            </w:r>
            <w:r>
              <w:rPr>
                <w:sz w:val="20"/>
                <w:szCs w:val="20"/>
                <w:spacing w:val="12"/>
              </w:rPr>
              <w:t xml:space="preserve"> </w:t>
            </w:r>
            <w:r>
              <w:rPr>
                <w:sz w:val="20"/>
                <w:szCs w:val="20"/>
                <w:spacing w:val="-1"/>
              </w:rPr>
              <w:t>一以上百分之五以下的罚款，并可以责令恢复原状；对建设单位直接负责的主管人员和</w:t>
            </w:r>
            <w:r>
              <w:rPr>
                <w:sz w:val="20"/>
                <w:szCs w:val="20"/>
                <w:spacing w:val="12"/>
              </w:rPr>
              <w:t xml:space="preserve"> </w:t>
            </w:r>
            <w:r>
              <w:rPr>
                <w:sz w:val="20"/>
                <w:szCs w:val="20"/>
              </w:rPr>
              <w:t>其他直接责任人员，依法给予处分。</w:t>
            </w:r>
          </w:p>
        </w:tc>
      </w:tr>
      <w:tr>
        <w:trPr>
          <w:trHeight w:val="1657" w:hRule="atLeast"/>
        </w:trPr>
        <w:tc>
          <w:tcPr>
            <w:tcW w:w="1002" w:type="dxa"/>
            <w:vAlign w:val="top"/>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pStyle w:val="TableText"/>
              <w:ind w:left="294"/>
              <w:spacing w:before="65" w:line="189" w:lineRule="auto"/>
              <w:rPr>
                <w:sz w:val="20"/>
                <w:szCs w:val="20"/>
              </w:rPr>
            </w:pPr>
            <w:r>
              <w:rPr>
                <w:sz w:val="20"/>
                <w:szCs w:val="20"/>
              </w:rPr>
              <w:t>3</w:t>
            </w:r>
          </w:p>
        </w:tc>
        <w:tc>
          <w:tcPr>
            <w:tcW w:w="5713" w:type="dxa"/>
            <w:vAlign w:val="top"/>
          </w:tcPr>
          <w:p>
            <w:pPr>
              <w:pStyle w:val="TableText"/>
              <w:ind w:left="162" w:right="207" w:firstLine="2"/>
              <w:spacing w:before="171" w:line="249" w:lineRule="auto"/>
              <w:jc w:val="both"/>
              <w:rPr>
                <w:sz w:val="20"/>
                <w:szCs w:val="20"/>
              </w:rPr>
            </w:pPr>
            <w:r>
              <w:rPr>
                <w:sz w:val="20"/>
                <w:szCs w:val="20"/>
                <w:spacing w:val="13"/>
              </w:rPr>
              <w:t>建设项目环境影响评价文件已审批，配套建设的环境保护</w:t>
            </w:r>
            <w:r>
              <w:rPr>
                <w:sz w:val="20"/>
                <w:szCs w:val="20"/>
                <w:spacing w:val="8"/>
              </w:rPr>
              <w:t xml:space="preserve"> </w:t>
            </w:r>
            <w:r>
              <w:rPr>
                <w:sz w:val="20"/>
                <w:szCs w:val="20"/>
                <w:spacing w:val="11"/>
              </w:rPr>
              <w:t>设施（措施）</w:t>
            </w:r>
            <w:r>
              <w:rPr>
                <w:sz w:val="20"/>
                <w:szCs w:val="20"/>
                <w:spacing w:val="-40"/>
              </w:rPr>
              <w:t xml:space="preserve"> </w:t>
            </w:r>
            <w:r>
              <w:rPr>
                <w:sz w:val="20"/>
                <w:szCs w:val="20"/>
                <w:spacing w:val="11"/>
              </w:rPr>
              <w:t>已按环评要求建设完成并正常运行，并依法</w:t>
            </w:r>
            <w:r>
              <w:rPr>
                <w:sz w:val="20"/>
                <w:szCs w:val="20"/>
              </w:rPr>
              <w:t xml:space="preserve"> </w:t>
            </w:r>
            <w:r>
              <w:rPr>
                <w:sz w:val="20"/>
                <w:szCs w:val="20"/>
                <w:spacing w:val="13"/>
              </w:rPr>
              <w:t>取得排污许可证，污染物达标排放，建设项目调试运行</w:t>
            </w:r>
            <w:r>
              <w:rPr>
                <w:sz w:val="20"/>
                <w:szCs w:val="20"/>
                <w:spacing w:val="12"/>
              </w:rPr>
              <w:t>12</w:t>
            </w:r>
            <w:r>
              <w:rPr>
                <w:sz w:val="20"/>
                <w:szCs w:val="20"/>
              </w:rPr>
              <w:t xml:space="preserve"> </w:t>
            </w:r>
            <w:r>
              <w:rPr>
                <w:sz w:val="20"/>
                <w:szCs w:val="20"/>
                <w:spacing w:val="13"/>
              </w:rPr>
              <w:t>个月内，配套的环境保护设施仍未进行验收，经责令改正</w:t>
            </w:r>
            <w:r>
              <w:rPr>
                <w:sz w:val="20"/>
                <w:szCs w:val="20"/>
                <w:spacing w:val="10"/>
              </w:rPr>
              <w:t xml:space="preserve"> </w:t>
            </w:r>
            <w:r>
              <w:rPr>
                <w:sz w:val="20"/>
                <w:szCs w:val="20"/>
                <w:spacing w:val="13"/>
              </w:rPr>
              <w:t>后按规定期限和要求完成验收的</w:t>
            </w:r>
          </w:p>
        </w:tc>
        <w:tc>
          <w:tcPr>
            <w:tcW w:w="7844" w:type="dxa"/>
            <w:vAlign w:val="top"/>
          </w:tcPr>
          <w:p>
            <w:pPr>
              <w:pStyle w:val="TableText"/>
              <w:ind w:left="548"/>
              <w:spacing w:before="32" w:line="228" w:lineRule="auto"/>
              <w:rPr>
                <w:sz w:val="20"/>
                <w:szCs w:val="20"/>
              </w:rPr>
            </w:pPr>
            <w:r>
              <w:rPr>
                <w:sz w:val="20"/>
                <w:szCs w:val="20"/>
                <w:spacing w:val="12"/>
              </w:rPr>
              <w:t>1.《建设项目环境保护管理条例》第二十三条第一款</w:t>
            </w:r>
          </w:p>
          <w:p>
            <w:pPr>
              <w:pStyle w:val="TableText"/>
              <w:ind w:left="114" w:right="140" w:firstLine="428"/>
              <w:spacing w:before="26" w:line="248" w:lineRule="auto"/>
              <w:rPr>
                <w:sz w:val="20"/>
                <w:szCs w:val="20"/>
              </w:rPr>
            </w:pPr>
            <w:r>
              <w:rPr>
                <w:sz w:val="20"/>
                <w:szCs w:val="20"/>
                <w:spacing w:val="10"/>
              </w:rPr>
              <w:t>违反本条例规定，需要配套建设的环境保护设施未建成、未经验收或者验收不</w:t>
            </w:r>
            <w:r>
              <w:rPr>
                <w:sz w:val="20"/>
                <w:szCs w:val="20"/>
                <w:spacing w:val="15"/>
              </w:rPr>
              <w:t xml:space="preserve"> </w:t>
            </w:r>
            <w:r>
              <w:rPr>
                <w:sz w:val="20"/>
                <w:szCs w:val="20"/>
                <w:spacing w:val="11"/>
              </w:rPr>
              <w:t>合格，建设项目即投入生产或者使用，或者在环境保</w:t>
            </w:r>
            <w:r>
              <w:rPr>
                <w:sz w:val="20"/>
                <w:szCs w:val="20"/>
                <w:spacing w:val="10"/>
              </w:rPr>
              <w:t>护设施验收中弄虚作假的，由</w:t>
            </w:r>
            <w:r>
              <w:rPr>
                <w:sz w:val="20"/>
                <w:szCs w:val="20"/>
              </w:rPr>
              <w:t xml:space="preserve"> </w:t>
            </w:r>
            <w:r>
              <w:rPr>
                <w:sz w:val="20"/>
                <w:szCs w:val="20"/>
                <w:spacing w:val="13"/>
              </w:rPr>
              <w:t>县级以上环境保护行政主管部门责令限期改正，处20万</w:t>
            </w:r>
            <w:r>
              <w:rPr>
                <w:sz w:val="20"/>
                <w:szCs w:val="20"/>
                <w:spacing w:val="12"/>
              </w:rPr>
              <w:t>元以上100万元以下的罚款</w:t>
            </w:r>
            <w:r>
              <w:rPr>
                <w:sz w:val="20"/>
                <w:szCs w:val="20"/>
              </w:rPr>
              <w:t xml:space="preserve"> </w:t>
            </w:r>
            <w:r>
              <w:rPr>
                <w:sz w:val="20"/>
                <w:szCs w:val="20"/>
                <w:spacing w:val="9"/>
              </w:rPr>
              <w:t>;</w:t>
            </w:r>
            <w:r>
              <w:rPr>
                <w:sz w:val="20"/>
                <w:szCs w:val="20"/>
                <w:spacing w:val="64"/>
              </w:rPr>
              <w:t xml:space="preserve"> </w:t>
            </w:r>
            <w:r>
              <w:rPr>
                <w:sz w:val="20"/>
                <w:szCs w:val="20"/>
                <w:spacing w:val="9"/>
              </w:rPr>
              <w:t>逾期不改正的，处100万元以上200万元以下的罚款。</w:t>
            </w:r>
          </w:p>
          <w:p>
            <w:pPr>
              <w:pStyle w:val="TableText"/>
              <w:ind w:left="123"/>
              <w:spacing w:before="28" w:line="219" w:lineRule="auto"/>
              <w:rPr>
                <w:sz w:val="20"/>
                <w:szCs w:val="20"/>
              </w:rPr>
            </w:pPr>
            <w:r>
              <w:rPr>
                <w:sz w:val="20"/>
                <w:szCs w:val="20"/>
                <w:b/>
                <w:bCs/>
                <w:spacing w:val="10"/>
              </w:rPr>
              <w:t>（只含本规定中对未经验收的处罚）</w:t>
            </w:r>
          </w:p>
        </w:tc>
      </w:tr>
      <w:tr>
        <w:trPr>
          <w:trHeight w:val="1935" w:hRule="atLeast"/>
        </w:trPr>
        <w:tc>
          <w:tcPr>
            <w:tcW w:w="1002"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289"/>
              <w:spacing w:before="65" w:line="189" w:lineRule="auto"/>
              <w:rPr>
                <w:sz w:val="20"/>
                <w:szCs w:val="20"/>
              </w:rPr>
            </w:pPr>
            <w:r>
              <w:rPr>
                <w:sz w:val="20"/>
                <w:szCs w:val="20"/>
              </w:rPr>
              <w:t>4</w:t>
            </w:r>
          </w:p>
        </w:tc>
        <w:tc>
          <w:tcPr>
            <w:tcW w:w="5713" w:type="dxa"/>
            <w:vAlign w:val="top"/>
          </w:tcPr>
          <w:p>
            <w:pPr>
              <w:spacing w:line="379" w:lineRule="auto"/>
              <w:rPr>
                <w:rFonts w:ascii="Arial"/>
                <w:sz w:val="21"/>
              </w:rPr>
            </w:pPr>
            <w:r/>
          </w:p>
          <w:p>
            <w:pPr>
              <w:pStyle w:val="TableText"/>
              <w:ind w:left="162" w:right="208" w:firstLine="2"/>
              <w:spacing w:before="65" w:line="248" w:lineRule="auto"/>
              <w:jc w:val="both"/>
              <w:rPr>
                <w:sz w:val="20"/>
                <w:szCs w:val="20"/>
              </w:rPr>
            </w:pPr>
            <w:r>
              <w:rPr>
                <w:sz w:val="20"/>
                <w:szCs w:val="20"/>
                <w:spacing w:val="13"/>
              </w:rPr>
              <w:t>建设项目投产时配套的环境保护设施未经验收，配套建设</w:t>
            </w:r>
            <w:r>
              <w:rPr>
                <w:sz w:val="20"/>
                <w:szCs w:val="20"/>
                <w:spacing w:val="8"/>
              </w:rPr>
              <w:t xml:space="preserve"> </w:t>
            </w:r>
            <w:r>
              <w:rPr>
                <w:sz w:val="20"/>
                <w:szCs w:val="20"/>
                <w:spacing w:val="13"/>
              </w:rPr>
              <w:t>的环保设施已按照环评建设完成并正常运行，污染物达标</w:t>
            </w:r>
            <w:r>
              <w:rPr>
                <w:sz w:val="20"/>
                <w:szCs w:val="20"/>
                <w:spacing w:val="10"/>
              </w:rPr>
              <w:t xml:space="preserve"> </w:t>
            </w:r>
            <w:r>
              <w:rPr>
                <w:sz w:val="20"/>
                <w:szCs w:val="20"/>
                <w:spacing w:val="13"/>
              </w:rPr>
              <w:t>排放，被检查发现后主动停止生产，积极推进整改的，对</w:t>
            </w:r>
            <w:r>
              <w:rPr>
                <w:sz w:val="20"/>
                <w:szCs w:val="20"/>
                <w:spacing w:val="10"/>
              </w:rPr>
              <w:t xml:space="preserve"> </w:t>
            </w:r>
            <w:r>
              <w:rPr>
                <w:sz w:val="20"/>
                <w:szCs w:val="20"/>
                <w:spacing w:val="13"/>
              </w:rPr>
              <w:t>直接负责的主管人员和其他责任人员不予行政处罚</w:t>
            </w:r>
          </w:p>
        </w:tc>
        <w:tc>
          <w:tcPr>
            <w:tcW w:w="7844" w:type="dxa"/>
            <w:vAlign w:val="top"/>
          </w:tcPr>
          <w:p>
            <w:pPr>
              <w:pStyle w:val="TableText"/>
              <w:ind w:left="548"/>
              <w:spacing w:before="33" w:line="228" w:lineRule="auto"/>
              <w:rPr>
                <w:sz w:val="20"/>
                <w:szCs w:val="20"/>
              </w:rPr>
            </w:pPr>
            <w:r>
              <w:rPr>
                <w:sz w:val="20"/>
                <w:szCs w:val="20"/>
                <w:spacing w:val="12"/>
              </w:rPr>
              <w:t>1.《建设项目环境保护管理条例》第二十三条第一款</w:t>
            </w:r>
          </w:p>
          <w:p>
            <w:pPr>
              <w:pStyle w:val="TableText"/>
              <w:ind w:left="113" w:right="140" w:firstLine="429"/>
              <w:spacing w:before="28" w:line="249" w:lineRule="auto"/>
              <w:rPr>
                <w:sz w:val="20"/>
                <w:szCs w:val="20"/>
              </w:rPr>
            </w:pPr>
            <w:r>
              <w:rPr>
                <w:sz w:val="20"/>
                <w:szCs w:val="20"/>
                <w:spacing w:val="10"/>
              </w:rPr>
              <w:t>违反本条例规定，需要配套建设的环境保护设施未建成、未经验收或者验收不</w:t>
            </w:r>
            <w:r>
              <w:rPr>
                <w:sz w:val="20"/>
                <w:szCs w:val="20"/>
                <w:spacing w:val="15"/>
              </w:rPr>
              <w:t xml:space="preserve"> </w:t>
            </w:r>
            <w:r>
              <w:rPr>
                <w:sz w:val="20"/>
                <w:szCs w:val="20"/>
                <w:spacing w:val="11"/>
              </w:rPr>
              <w:t>合格，建设项目即投入生产或者使用，或者在环境保护</w:t>
            </w:r>
            <w:r>
              <w:rPr>
                <w:sz w:val="20"/>
                <w:szCs w:val="20"/>
                <w:spacing w:val="10"/>
              </w:rPr>
              <w:t>设施验收中弄虚作假的，由</w:t>
            </w:r>
            <w:r>
              <w:rPr>
                <w:sz w:val="20"/>
                <w:szCs w:val="20"/>
              </w:rPr>
              <w:t xml:space="preserve"> </w:t>
            </w:r>
            <w:r>
              <w:rPr>
                <w:sz w:val="20"/>
                <w:szCs w:val="20"/>
                <w:spacing w:val="13"/>
              </w:rPr>
              <w:t>县级以上环境保护行政主管部门责令限期改正，处20万元</w:t>
            </w:r>
            <w:r>
              <w:rPr>
                <w:sz w:val="20"/>
                <w:szCs w:val="20"/>
                <w:spacing w:val="12"/>
              </w:rPr>
              <w:t>以上100万元以下的罚款</w:t>
            </w:r>
            <w:r>
              <w:rPr>
                <w:sz w:val="20"/>
                <w:szCs w:val="20"/>
              </w:rPr>
              <w:t xml:space="preserve"> </w:t>
            </w:r>
            <w:r>
              <w:rPr>
                <w:sz w:val="20"/>
                <w:szCs w:val="20"/>
                <w:spacing w:val="10"/>
              </w:rPr>
              <w:t>; 逾期不改正的，处100万元以上200万元以下</w:t>
            </w:r>
            <w:r>
              <w:rPr>
                <w:sz w:val="20"/>
                <w:szCs w:val="20"/>
                <w:spacing w:val="9"/>
              </w:rPr>
              <w:t>的罚款；对直接负责的主管人员和其</w:t>
            </w:r>
            <w:r>
              <w:rPr>
                <w:sz w:val="20"/>
                <w:szCs w:val="20"/>
              </w:rPr>
              <w:t xml:space="preserve"> </w:t>
            </w:r>
            <w:r>
              <w:rPr>
                <w:sz w:val="20"/>
                <w:szCs w:val="20"/>
                <w:spacing w:val="11"/>
              </w:rPr>
              <w:t>他责任人员，处5万元以上20万元以下的罚款。</w:t>
            </w:r>
          </w:p>
          <w:p>
            <w:pPr>
              <w:pStyle w:val="TableText"/>
              <w:ind w:left="123"/>
              <w:spacing w:before="29" w:line="219" w:lineRule="auto"/>
              <w:rPr>
                <w:sz w:val="20"/>
                <w:szCs w:val="20"/>
              </w:rPr>
            </w:pPr>
            <w:r>
              <w:rPr>
                <w:sz w:val="20"/>
                <w:szCs w:val="20"/>
                <w:b/>
                <w:bCs/>
                <w:spacing w:val="11"/>
              </w:rPr>
              <w:t>（只含本规定中对直接负责的主管人员和其他责任人员的处罚）</w:t>
            </w:r>
          </w:p>
        </w:tc>
      </w:tr>
      <w:tr>
        <w:trPr>
          <w:trHeight w:val="831" w:hRule="atLeast"/>
        </w:trPr>
        <w:tc>
          <w:tcPr>
            <w:tcW w:w="1002" w:type="dxa"/>
            <w:vAlign w:val="top"/>
          </w:tcPr>
          <w:p>
            <w:pPr>
              <w:spacing w:line="305" w:lineRule="auto"/>
              <w:rPr>
                <w:rFonts w:ascii="Arial"/>
                <w:sz w:val="21"/>
              </w:rPr>
            </w:pPr>
            <w:r/>
          </w:p>
          <w:p>
            <w:pPr>
              <w:pStyle w:val="TableText"/>
              <w:ind w:left="294"/>
              <w:spacing w:before="65" w:line="187" w:lineRule="auto"/>
              <w:rPr>
                <w:sz w:val="20"/>
                <w:szCs w:val="20"/>
              </w:rPr>
            </w:pPr>
            <w:r>
              <w:rPr>
                <w:sz w:val="20"/>
                <w:szCs w:val="20"/>
              </w:rPr>
              <w:t>5</w:t>
            </w:r>
          </w:p>
        </w:tc>
        <w:tc>
          <w:tcPr>
            <w:tcW w:w="5713" w:type="dxa"/>
            <w:vAlign w:val="top"/>
          </w:tcPr>
          <w:p>
            <w:pPr>
              <w:pStyle w:val="TableText"/>
              <w:ind w:left="164" w:right="208"/>
              <w:spacing w:before="34" w:line="242" w:lineRule="auto"/>
              <w:rPr>
                <w:sz w:val="20"/>
                <w:szCs w:val="20"/>
              </w:rPr>
            </w:pPr>
            <w:r>
              <w:rPr>
                <w:sz w:val="20"/>
                <w:szCs w:val="20"/>
                <w:spacing w:val="13"/>
              </w:rPr>
              <w:t>污染物产生量、排放量和对环境的影响都很小的企业事业</w:t>
            </w:r>
            <w:r>
              <w:rPr>
                <w:sz w:val="20"/>
                <w:szCs w:val="20"/>
                <w:spacing w:val="9"/>
              </w:rPr>
              <w:t xml:space="preserve"> </w:t>
            </w:r>
            <w:r>
              <w:rPr>
                <w:sz w:val="20"/>
                <w:szCs w:val="20"/>
                <w:spacing w:val="13"/>
              </w:rPr>
              <w:t>单位和其他生产经营者，应当填报排污登记表没有填报，</w:t>
            </w:r>
            <w:r>
              <w:rPr>
                <w:sz w:val="20"/>
                <w:szCs w:val="20"/>
                <w:spacing w:val="9"/>
              </w:rPr>
              <w:t xml:space="preserve"> </w:t>
            </w:r>
            <w:r>
              <w:rPr>
                <w:sz w:val="20"/>
                <w:szCs w:val="20"/>
                <w:spacing w:val="12"/>
              </w:rPr>
              <w:t>自检查之日起5日内完成填报的</w:t>
            </w:r>
          </w:p>
        </w:tc>
        <w:tc>
          <w:tcPr>
            <w:tcW w:w="7844" w:type="dxa"/>
            <w:vAlign w:val="top"/>
          </w:tcPr>
          <w:p>
            <w:pPr>
              <w:pStyle w:val="TableText"/>
              <w:ind w:left="558"/>
              <w:spacing w:before="2" w:line="275" w:lineRule="exact"/>
              <w:rPr>
                <w:sz w:val="20"/>
                <w:szCs w:val="20"/>
              </w:rPr>
            </w:pPr>
            <w:r>
              <w:rPr>
                <w:sz w:val="20"/>
                <w:szCs w:val="20"/>
                <w:spacing w:val="11"/>
                <w:position w:val="1"/>
              </w:rPr>
              <w:t>1.《</w:t>
            </w:r>
            <w:hyperlink w:history="true" r:id="rId436">
              <w:r>
                <w:rPr>
                  <w:sz w:val="20"/>
                  <w:szCs w:val="20"/>
                  <w:spacing w:val="11"/>
                  <w:position w:val="1"/>
                </w:rPr>
                <w:t>排污许可管理条例</w:t>
              </w:r>
            </w:hyperlink>
            <w:r>
              <w:rPr>
                <w:sz w:val="20"/>
                <w:szCs w:val="20"/>
                <w:spacing w:val="11"/>
                <w:position w:val="1"/>
              </w:rPr>
              <w:t>》第四十三条</w:t>
            </w:r>
          </w:p>
          <w:p>
            <w:pPr>
              <w:pStyle w:val="TableText"/>
              <w:ind w:left="111" w:right="140" w:firstLine="442"/>
              <w:spacing w:before="31" w:line="236" w:lineRule="auto"/>
              <w:rPr>
                <w:sz w:val="20"/>
                <w:szCs w:val="20"/>
              </w:rPr>
            </w:pPr>
            <w:r>
              <w:rPr>
                <w:sz w:val="20"/>
                <w:szCs w:val="20"/>
                <w:spacing w:val="10"/>
              </w:rPr>
              <w:t>需要填报排污登记表的企业事业单位和其他生产经营者，未依照本条例规定填</w:t>
            </w:r>
            <w:r>
              <w:rPr>
                <w:sz w:val="20"/>
                <w:szCs w:val="20"/>
                <w:spacing w:val="3"/>
              </w:rPr>
              <w:t xml:space="preserve"> </w:t>
            </w:r>
            <w:r>
              <w:rPr>
                <w:sz w:val="20"/>
                <w:szCs w:val="20"/>
                <w:spacing w:val="12"/>
              </w:rPr>
              <w:t>报排污信息的，</w:t>
            </w:r>
            <w:r>
              <w:rPr>
                <w:sz w:val="20"/>
                <w:szCs w:val="20"/>
                <w:spacing w:val="-55"/>
              </w:rPr>
              <w:t xml:space="preserve"> </w:t>
            </w:r>
            <w:r>
              <w:rPr>
                <w:sz w:val="20"/>
                <w:szCs w:val="20"/>
                <w:spacing w:val="12"/>
              </w:rPr>
              <w:t>由生态环境主管部门责令改正，</w:t>
            </w:r>
            <w:r>
              <w:rPr>
                <w:sz w:val="20"/>
                <w:szCs w:val="20"/>
                <w:spacing w:val="11"/>
              </w:rPr>
              <w:t>可以处5万元以下的罚款。</w:t>
            </w:r>
          </w:p>
        </w:tc>
      </w:tr>
      <w:tr>
        <w:trPr>
          <w:trHeight w:val="834" w:hRule="atLeast"/>
        </w:trPr>
        <w:tc>
          <w:tcPr>
            <w:tcW w:w="1002" w:type="dxa"/>
            <w:vAlign w:val="top"/>
          </w:tcPr>
          <w:p>
            <w:pPr>
              <w:spacing w:line="305" w:lineRule="auto"/>
              <w:rPr>
                <w:rFonts w:ascii="Arial"/>
                <w:sz w:val="21"/>
              </w:rPr>
            </w:pPr>
            <w:r/>
          </w:p>
          <w:p>
            <w:pPr>
              <w:pStyle w:val="TableText"/>
              <w:ind w:left="292"/>
              <w:spacing w:before="65" w:line="189" w:lineRule="auto"/>
              <w:rPr>
                <w:sz w:val="20"/>
                <w:szCs w:val="20"/>
              </w:rPr>
            </w:pPr>
            <w:r>
              <w:rPr>
                <w:sz w:val="20"/>
                <w:szCs w:val="20"/>
              </w:rPr>
              <w:t>6</w:t>
            </w:r>
          </w:p>
        </w:tc>
        <w:tc>
          <w:tcPr>
            <w:tcW w:w="5713" w:type="dxa"/>
            <w:vAlign w:val="top"/>
          </w:tcPr>
          <w:p>
            <w:pPr>
              <w:pStyle w:val="TableText"/>
              <w:ind w:left="160" w:right="208" w:firstLine="1"/>
              <w:spacing w:before="171" w:line="241" w:lineRule="auto"/>
              <w:rPr>
                <w:sz w:val="20"/>
                <w:szCs w:val="20"/>
              </w:rPr>
            </w:pPr>
            <w:r>
              <w:rPr>
                <w:sz w:val="20"/>
                <w:szCs w:val="20"/>
                <w:spacing w:val="13"/>
              </w:rPr>
              <w:t>环境保护设施升级改造项目实施后，未依法变更或重新申</w:t>
            </w:r>
            <w:r>
              <w:rPr>
                <w:sz w:val="20"/>
                <w:szCs w:val="20"/>
                <w:spacing w:val="10"/>
              </w:rPr>
              <w:t xml:space="preserve"> </w:t>
            </w:r>
            <w:r>
              <w:rPr>
                <w:sz w:val="20"/>
                <w:szCs w:val="20"/>
                <w:spacing w:val="13"/>
              </w:rPr>
              <w:t>请排污许可证的建设单位，经责令后限期改正的</w:t>
            </w:r>
          </w:p>
        </w:tc>
        <w:tc>
          <w:tcPr>
            <w:tcW w:w="7844" w:type="dxa"/>
            <w:vAlign w:val="top"/>
          </w:tcPr>
          <w:p>
            <w:pPr>
              <w:pStyle w:val="TableText"/>
              <w:ind w:left="548"/>
              <w:spacing w:before="3" w:line="275" w:lineRule="exact"/>
              <w:rPr>
                <w:sz w:val="20"/>
                <w:szCs w:val="20"/>
              </w:rPr>
            </w:pPr>
            <w:r>
              <w:rPr>
                <w:sz w:val="20"/>
                <w:szCs w:val="20"/>
                <w:spacing w:val="11"/>
                <w:position w:val="1"/>
              </w:rPr>
              <w:t>1.《</w:t>
            </w:r>
            <w:hyperlink w:history="true" r:id="rId436">
              <w:r>
                <w:rPr>
                  <w:sz w:val="20"/>
                  <w:szCs w:val="20"/>
                  <w:spacing w:val="11"/>
                  <w:position w:val="1"/>
                </w:rPr>
                <w:t>排污许可管理条例</w:t>
              </w:r>
            </w:hyperlink>
            <w:r>
              <w:rPr>
                <w:sz w:val="20"/>
                <w:szCs w:val="20"/>
                <w:spacing w:val="11"/>
                <w:position w:val="1"/>
              </w:rPr>
              <w:t>》第三十三条</w:t>
            </w:r>
          </w:p>
          <w:p>
            <w:pPr>
              <w:pStyle w:val="TableText"/>
              <w:ind w:left="115" w:right="140" w:firstLine="427"/>
              <w:spacing w:before="31" w:line="237" w:lineRule="auto"/>
              <w:rPr>
                <w:sz w:val="20"/>
                <w:szCs w:val="20"/>
              </w:rPr>
            </w:pPr>
            <w:r>
              <w:rPr>
                <w:sz w:val="20"/>
                <w:szCs w:val="20"/>
                <w:spacing w:val="10"/>
              </w:rPr>
              <w:t>违反本条例规定，排污单位有下列行为之一的，由生态环境主管部门责令改正</w:t>
            </w:r>
            <w:r>
              <w:rPr>
                <w:sz w:val="20"/>
                <w:szCs w:val="20"/>
                <w:spacing w:val="14"/>
              </w:rPr>
              <w:t xml:space="preserve"> </w:t>
            </w:r>
            <w:r>
              <w:rPr>
                <w:sz w:val="20"/>
                <w:szCs w:val="20"/>
                <w:spacing w:val="13"/>
              </w:rPr>
              <w:t>或者限制生产、停产整治，处20万元以上100万元以下</w:t>
            </w:r>
            <w:r>
              <w:rPr>
                <w:sz w:val="20"/>
                <w:szCs w:val="20"/>
                <w:spacing w:val="12"/>
              </w:rPr>
              <w:t>的罚款；情节严重的，报经</w:t>
            </w:r>
          </w:p>
        </w:tc>
      </w:tr>
    </w:tbl>
    <w:p>
      <w:pPr>
        <w:pStyle w:val="BodyText"/>
        <w:rPr/>
      </w:pPr>
      <w:r/>
    </w:p>
    <w:p>
      <w:pPr>
        <w:sectPr>
          <w:footerReference w:type="default" r:id="rId435"/>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834"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14"/>
              <w:spacing w:before="36" w:line="227" w:lineRule="auto"/>
              <w:rPr>
                <w:sz w:val="20"/>
                <w:szCs w:val="20"/>
              </w:rPr>
            </w:pPr>
            <w:r>
              <w:rPr>
                <w:sz w:val="20"/>
                <w:szCs w:val="20"/>
                <w:spacing w:val="12"/>
              </w:rPr>
              <w:t>有批准权的人民政府批准，责令停业、关闭：</w:t>
            </w:r>
          </w:p>
          <w:p>
            <w:pPr>
              <w:pStyle w:val="TableText"/>
              <w:ind w:left="165" w:right="142" w:firstLine="435"/>
              <w:spacing w:before="30" w:line="236" w:lineRule="auto"/>
              <w:rPr>
                <w:sz w:val="20"/>
                <w:szCs w:val="20"/>
              </w:rPr>
            </w:pPr>
            <w:r>
              <w:rPr>
                <w:sz w:val="20"/>
                <w:szCs w:val="20"/>
                <w:spacing w:val="15"/>
              </w:rPr>
              <w:t>（四）依法应当重新申请取得排污许可证，未重新申请取得排污许可证排放</w:t>
            </w:r>
            <w:r>
              <w:rPr>
                <w:sz w:val="20"/>
                <w:szCs w:val="20"/>
              </w:rPr>
              <w:t xml:space="preserve"> </w:t>
            </w:r>
            <w:r>
              <w:rPr>
                <w:sz w:val="20"/>
                <w:szCs w:val="20"/>
                <w:spacing w:val="6"/>
              </w:rPr>
              <w:t>污染物。</w:t>
            </w:r>
          </w:p>
        </w:tc>
      </w:tr>
      <w:tr>
        <w:trPr>
          <w:trHeight w:val="1930" w:hRule="atLeast"/>
        </w:trPr>
        <w:tc>
          <w:tcPr>
            <w:tcW w:w="1002"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95"/>
              <w:spacing w:before="65" w:line="187" w:lineRule="auto"/>
              <w:rPr>
                <w:sz w:val="20"/>
                <w:szCs w:val="20"/>
              </w:rPr>
            </w:pPr>
            <w:r>
              <w:rPr>
                <w:sz w:val="20"/>
                <w:szCs w:val="20"/>
              </w:rPr>
              <w:t>7</w:t>
            </w:r>
          </w:p>
        </w:tc>
        <w:tc>
          <w:tcPr>
            <w:tcW w:w="5713" w:type="dxa"/>
            <w:vAlign w:val="top"/>
          </w:tcPr>
          <w:p>
            <w:pPr>
              <w:spacing w:line="256" w:lineRule="auto"/>
              <w:rPr>
                <w:rFonts w:ascii="Arial"/>
                <w:sz w:val="21"/>
              </w:rPr>
            </w:pPr>
            <w:r/>
          </w:p>
          <w:p>
            <w:pPr>
              <w:spacing w:line="256" w:lineRule="auto"/>
              <w:rPr>
                <w:rFonts w:ascii="Arial"/>
                <w:sz w:val="21"/>
              </w:rPr>
            </w:pPr>
            <w:r/>
          </w:p>
          <w:p>
            <w:pPr>
              <w:pStyle w:val="TableText"/>
              <w:ind w:left="167" w:right="208" w:firstLine="17"/>
              <w:spacing w:before="65" w:line="239" w:lineRule="auto"/>
              <w:rPr>
                <w:sz w:val="20"/>
                <w:szCs w:val="20"/>
              </w:rPr>
            </w:pPr>
            <w:r>
              <w:rPr>
                <w:sz w:val="20"/>
                <w:szCs w:val="20"/>
                <w:spacing w:val="12"/>
              </w:rPr>
              <w:t>已核发排污许可证的企业，未按规定时间要求提交执行报 </w:t>
            </w:r>
            <w:r>
              <w:rPr>
                <w:sz w:val="20"/>
                <w:szCs w:val="20"/>
                <w:spacing w:val="13"/>
              </w:rPr>
              <w:t>告、未及时开展自行监测，企业按要求期限完成整改的</w:t>
            </w:r>
          </w:p>
        </w:tc>
        <w:tc>
          <w:tcPr>
            <w:tcW w:w="7844" w:type="dxa"/>
            <w:vAlign w:val="top"/>
          </w:tcPr>
          <w:p>
            <w:pPr>
              <w:pStyle w:val="TableText"/>
              <w:ind w:left="558"/>
              <w:spacing w:line="275" w:lineRule="exact"/>
              <w:rPr>
                <w:sz w:val="20"/>
                <w:szCs w:val="20"/>
              </w:rPr>
            </w:pPr>
            <w:r>
              <w:rPr>
                <w:sz w:val="20"/>
                <w:szCs w:val="20"/>
                <w:spacing w:val="9"/>
                <w:position w:val="1"/>
              </w:rPr>
              <w:t>1.《</w:t>
            </w:r>
            <w:hyperlink w:history="true" r:id="rId436">
              <w:r>
                <w:rPr>
                  <w:sz w:val="20"/>
                  <w:szCs w:val="20"/>
                  <w:spacing w:val="9"/>
                  <w:position w:val="1"/>
                </w:rPr>
                <w:t>排污许可管理条例</w:t>
              </w:r>
            </w:hyperlink>
            <w:r>
              <w:rPr>
                <w:sz w:val="20"/>
                <w:szCs w:val="20"/>
                <w:spacing w:val="9"/>
                <w:position w:val="1"/>
              </w:rPr>
              <w:t>》</w:t>
            </w:r>
          </w:p>
          <w:p>
            <w:pPr>
              <w:pStyle w:val="TableText"/>
              <w:ind w:left="115" w:right="140" w:firstLine="427"/>
              <w:spacing w:before="30" w:line="241" w:lineRule="auto"/>
              <w:rPr>
                <w:sz w:val="20"/>
                <w:szCs w:val="20"/>
              </w:rPr>
            </w:pPr>
            <w:r>
              <w:rPr>
                <w:sz w:val="20"/>
                <w:szCs w:val="20"/>
                <w:spacing w:val="10"/>
              </w:rPr>
              <w:t>第三十六条  违反本条例规定，排污单位有下列行为之一的，由生态环境主管</w:t>
            </w:r>
            <w:r>
              <w:rPr>
                <w:sz w:val="20"/>
                <w:szCs w:val="20"/>
                <w:spacing w:val="4"/>
              </w:rPr>
              <w:t xml:space="preserve"> </w:t>
            </w:r>
            <w:r>
              <w:rPr>
                <w:sz w:val="20"/>
                <w:szCs w:val="20"/>
                <w:spacing w:val="13"/>
              </w:rPr>
              <w:t>部门责令改正，处2万元以上20万元以下的</w:t>
            </w:r>
            <w:r>
              <w:rPr>
                <w:sz w:val="20"/>
                <w:szCs w:val="20"/>
                <w:spacing w:val="12"/>
              </w:rPr>
              <w:t>罚款；拒不改正的，责令停产整治：</w:t>
            </w:r>
          </w:p>
          <w:p>
            <w:pPr>
              <w:pStyle w:val="TableText"/>
              <w:ind w:left="553"/>
              <w:spacing w:before="29" w:line="228" w:lineRule="auto"/>
              <w:rPr>
                <w:sz w:val="20"/>
                <w:szCs w:val="20"/>
              </w:rPr>
            </w:pPr>
            <w:r>
              <w:rPr>
                <w:sz w:val="20"/>
                <w:szCs w:val="20"/>
                <w:spacing w:val="12"/>
              </w:rPr>
              <w:t>（五）未按照排污许可证规定制定自行监测方案并开展自行监测；</w:t>
            </w:r>
          </w:p>
          <w:p>
            <w:pPr>
              <w:pStyle w:val="TableText"/>
              <w:ind w:left="115" w:right="87" w:firstLine="427"/>
              <w:spacing w:before="26" w:line="241" w:lineRule="auto"/>
              <w:rPr>
                <w:sz w:val="20"/>
                <w:szCs w:val="20"/>
              </w:rPr>
            </w:pPr>
            <w:r>
              <w:rPr>
                <w:sz w:val="20"/>
                <w:szCs w:val="20"/>
                <w:spacing w:val="10"/>
              </w:rPr>
              <w:t>第三十七条  违反本条例规定，排污单位有下列行为之一的，由生态环境主管</w:t>
            </w:r>
            <w:r>
              <w:rPr>
                <w:sz w:val="20"/>
                <w:szCs w:val="20"/>
                <w:spacing w:val="2"/>
              </w:rPr>
              <w:t xml:space="preserve"> </w:t>
            </w:r>
            <w:r>
              <w:rPr>
                <w:sz w:val="20"/>
                <w:szCs w:val="20"/>
                <w:spacing w:val="12"/>
              </w:rPr>
              <w:t>部门责令改正，处每次5千元以上2万元以下的罚款；法律另有</w:t>
            </w:r>
            <w:r>
              <w:rPr>
                <w:sz w:val="20"/>
                <w:szCs w:val="20"/>
                <w:spacing w:val="11"/>
              </w:rPr>
              <w:t>规定的，从其规定：</w:t>
            </w:r>
          </w:p>
          <w:p>
            <w:pPr>
              <w:pStyle w:val="TableText"/>
              <w:ind w:left="543"/>
              <w:spacing w:before="28" w:line="220" w:lineRule="auto"/>
              <w:rPr>
                <w:sz w:val="20"/>
                <w:szCs w:val="20"/>
              </w:rPr>
            </w:pPr>
            <w:r>
              <w:rPr>
                <w:sz w:val="20"/>
                <w:szCs w:val="20"/>
                <w:spacing w:val="8"/>
              </w:rPr>
              <w:t>（三）未按照排污许可证规定提交排污许可证执行报告。</w:t>
            </w:r>
          </w:p>
        </w:tc>
      </w:tr>
      <w:tr>
        <w:trPr>
          <w:trHeight w:val="3043" w:hRule="atLeast"/>
        </w:trPr>
        <w:tc>
          <w:tcPr>
            <w:tcW w:w="1002"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91"/>
              <w:spacing w:before="65" w:line="189" w:lineRule="auto"/>
              <w:rPr>
                <w:sz w:val="20"/>
                <w:szCs w:val="20"/>
              </w:rPr>
            </w:pPr>
            <w:r>
              <w:rPr>
                <w:sz w:val="20"/>
                <w:szCs w:val="20"/>
              </w:rPr>
              <w:t>8</w:t>
            </w:r>
          </w:p>
        </w:tc>
        <w:tc>
          <w:tcPr>
            <w:tcW w:w="5713"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161" w:right="208" w:firstLine="4"/>
              <w:spacing w:before="65" w:line="246" w:lineRule="auto"/>
              <w:jc w:val="both"/>
              <w:rPr>
                <w:sz w:val="20"/>
                <w:szCs w:val="20"/>
              </w:rPr>
            </w:pPr>
            <w:r>
              <w:rPr>
                <w:sz w:val="20"/>
                <w:szCs w:val="20"/>
                <w:spacing w:val="13"/>
              </w:rPr>
              <w:t>未按照规定和监测规范设置监测点位和采样监测平台，或</w:t>
            </w:r>
            <w:r>
              <w:rPr>
                <w:sz w:val="20"/>
                <w:szCs w:val="20"/>
                <w:spacing w:val="7"/>
              </w:rPr>
              <w:t xml:space="preserve"> </w:t>
            </w:r>
            <w:r>
              <w:rPr>
                <w:sz w:val="20"/>
                <w:szCs w:val="20"/>
                <w:spacing w:val="13"/>
              </w:rPr>
              <w:t>者排放口设置、排放口标识设置不规范的，经责令改正后</w:t>
            </w:r>
            <w:r>
              <w:rPr>
                <w:sz w:val="20"/>
                <w:szCs w:val="20"/>
                <w:spacing w:val="11"/>
              </w:rPr>
              <w:t xml:space="preserve"> </w:t>
            </w:r>
            <w:r>
              <w:rPr>
                <w:sz w:val="20"/>
                <w:szCs w:val="20"/>
                <w:spacing w:val="12"/>
              </w:rPr>
              <w:t>及时完成整改的</w:t>
            </w:r>
          </w:p>
        </w:tc>
        <w:tc>
          <w:tcPr>
            <w:tcW w:w="7844" w:type="dxa"/>
            <w:vAlign w:val="top"/>
          </w:tcPr>
          <w:p>
            <w:pPr>
              <w:pStyle w:val="TableText"/>
              <w:ind w:left="596"/>
              <w:spacing w:before="65" w:line="228" w:lineRule="auto"/>
              <w:rPr>
                <w:sz w:val="20"/>
                <w:szCs w:val="20"/>
              </w:rPr>
            </w:pPr>
            <w:r>
              <w:rPr>
                <w:sz w:val="20"/>
                <w:szCs w:val="20"/>
                <w:spacing w:val="8"/>
              </w:rPr>
              <w:t>1.《中华人民共和国大气污染防治法》第一百条</w:t>
            </w:r>
          </w:p>
          <w:p>
            <w:pPr>
              <w:pStyle w:val="TableText"/>
              <w:ind w:left="162" w:right="188" w:firstLine="419"/>
              <w:spacing w:before="28"/>
              <w:rPr>
                <w:sz w:val="20"/>
                <w:szCs w:val="20"/>
              </w:rPr>
            </w:pPr>
            <w:r>
              <w:rPr>
                <w:sz w:val="20"/>
                <w:szCs w:val="20"/>
                <w:spacing w:val="8"/>
              </w:rPr>
              <w:t>违反本法规定，有下列行为之一的，由县级以上人民政府生态环境主</w:t>
            </w:r>
            <w:r>
              <w:rPr>
                <w:sz w:val="20"/>
                <w:szCs w:val="20"/>
                <w:spacing w:val="7"/>
              </w:rPr>
              <w:t>管部门责</w:t>
            </w:r>
            <w:r>
              <w:rPr>
                <w:sz w:val="20"/>
                <w:szCs w:val="20"/>
              </w:rPr>
              <w:t xml:space="preserve"> </w:t>
            </w:r>
            <w:r>
              <w:rPr>
                <w:sz w:val="20"/>
                <w:szCs w:val="20"/>
                <w:spacing w:val="8"/>
              </w:rPr>
              <w:t>令改正，处二万元以上二十万元以下的罚款；拒不改正的，责令停产整治：</w:t>
            </w:r>
          </w:p>
          <w:p>
            <w:pPr>
              <w:pStyle w:val="TableText"/>
              <w:ind w:left="543"/>
              <w:spacing w:before="32" w:line="228" w:lineRule="auto"/>
              <w:rPr>
                <w:sz w:val="20"/>
                <w:szCs w:val="20"/>
              </w:rPr>
            </w:pPr>
            <w:r>
              <w:rPr>
                <w:sz w:val="20"/>
                <w:szCs w:val="20"/>
                <w:spacing w:val="8"/>
              </w:rPr>
              <w:t>（五）未按照规定设置大气污染物排放口的。</w:t>
            </w:r>
          </w:p>
          <w:p>
            <w:pPr>
              <w:pStyle w:val="TableText"/>
              <w:ind w:left="564"/>
              <w:spacing w:before="297" w:line="228" w:lineRule="auto"/>
              <w:rPr>
                <w:sz w:val="20"/>
                <w:szCs w:val="20"/>
              </w:rPr>
            </w:pPr>
            <w:r>
              <w:rPr>
                <w:sz w:val="20"/>
                <w:szCs w:val="20"/>
                <w:spacing w:val="8"/>
              </w:rPr>
              <w:t>2.《河北省大气污染防治条例》第七十九条</w:t>
            </w:r>
          </w:p>
          <w:p>
            <w:pPr>
              <w:pStyle w:val="TableText"/>
              <w:ind w:left="142" w:right="147" w:firstLine="419"/>
              <w:spacing w:before="26" w:line="246" w:lineRule="auto"/>
              <w:rPr>
                <w:sz w:val="20"/>
                <w:szCs w:val="20"/>
              </w:rPr>
            </w:pPr>
            <w:r>
              <w:rPr>
                <w:sz w:val="20"/>
                <w:szCs w:val="20"/>
                <w:spacing w:val="10"/>
              </w:rPr>
              <w:t>违反本条例规定，有下列行为之一的，由县级以上</w:t>
            </w:r>
            <w:r>
              <w:rPr>
                <w:sz w:val="20"/>
                <w:szCs w:val="20"/>
                <w:spacing w:val="9"/>
              </w:rPr>
              <w:t>人民政府环境保护主管部门</w:t>
            </w:r>
            <w:r>
              <w:rPr>
                <w:sz w:val="20"/>
                <w:szCs w:val="20"/>
              </w:rPr>
              <w:t xml:space="preserve"> </w:t>
            </w:r>
            <w:r>
              <w:rPr>
                <w:sz w:val="20"/>
                <w:szCs w:val="20"/>
                <w:spacing w:val="10"/>
              </w:rPr>
              <w:t>责令限期改正，处二万元以上五万元以下罚款；情节</w:t>
            </w:r>
            <w:r>
              <w:rPr>
                <w:sz w:val="20"/>
                <w:szCs w:val="20"/>
                <w:spacing w:val="9"/>
              </w:rPr>
              <w:t>较重的，处五万元以上十万元</w:t>
            </w:r>
            <w:r>
              <w:rPr>
                <w:sz w:val="20"/>
                <w:szCs w:val="20"/>
              </w:rPr>
              <w:t xml:space="preserve"> </w:t>
            </w:r>
            <w:r>
              <w:rPr>
                <w:sz w:val="20"/>
                <w:szCs w:val="20"/>
                <w:spacing w:val="10"/>
              </w:rPr>
              <w:t>以下罚款；情节严重的，处十万元以上二十万元以下</w:t>
            </w:r>
            <w:r>
              <w:rPr>
                <w:sz w:val="20"/>
                <w:szCs w:val="20"/>
                <w:spacing w:val="9"/>
              </w:rPr>
              <w:t>罚款；拒不改正的，责令停产</w:t>
            </w:r>
            <w:r>
              <w:rPr>
                <w:sz w:val="20"/>
                <w:szCs w:val="20"/>
              </w:rPr>
              <w:t xml:space="preserve"> </w:t>
            </w:r>
            <w:r>
              <w:rPr>
                <w:sz w:val="20"/>
                <w:szCs w:val="20"/>
                <w:spacing w:val="2"/>
              </w:rPr>
              <w:t>整治：</w:t>
            </w:r>
          </w:p>
          <w:p>
            <w:pPr>
              <w:pStyle w:val="TableText"/>
              <w:ind w:left="572"/>
              <w:spacing w:before="21" w:line="216" w:lineRule="auto"/>
              <w:rPr>
                <w:sz w:val="20"/>
                <w:szCs w:val="20"/>
              </w:rPr>
            </w:pPr>
            <w:r>
              <w:rPr>
                <w:sz w:val="20"/>
                <w:szCs w:val="20"/>
                <w:spacing w:val="9"/>
              </w:rPr>
              <w:t>（一）未按照规定设置大气污染物排放口的。</w:t>
            </w:r>
          </w:p>
        </w:tc>
      </w:tr>
      <w:tr>
        <w:trPr>
          <w:trHeight w:val="3021" w:hRule="atLeast"/>
        </w:trPr>
        <w:tc>
          <w:tcPr>
            <w:tcW w:w="1002"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91"/>
              <w:spacing w:before="65" w:line="189" w:lineRule="auto"/>
              <w:rPr>
                <w:sz w:val="20"/>
                <w:szCs w:val="20"/>
              </w:rPr>
            </w:pPr>
            <w:r>
              <w:rPr>
                <w:sz w:val="20"/>
                <w:szCs w:val="20"/>
              </w:rPr>
              <w:t>9</w:t>
            </w:r>
          </w:p>
        </w:tc>
        <w:tc>
          <w:tcPr>
            <w:tcW w:w="5713"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177" w:right="208" w:hanging="12"/>
              <w:spacing w:before="65" w:line="241" w:lineRule="auto"/>
              <w:rPr>
                <w:sz w:val="20"/>
                <w:szCs w:val="20"/>
              </w:rPr>
            </w:pPr>
            <w:r>
              <w:rPr>
                <w:sz w:val="20"/>
                <w:szCs w:val="20"/>
                <w:spacing w:val="13"/>
              </w:rPr>
              <w:t>未按规定安装、使用自动监测设备或未与生态环境部门联</w:t>
            </w:r>
            <w:r>
              <w:rPr>
                <w:sz w:val="20"/>
                <w:szCs w:val="20"/>
                <w:spacing w:val="7"/>
              </w:rPr>
              <w:t xml:space="preserve"> </w:t>
            </w:r>
            <w:r>
              <w:rPr>
                <w:sz w:val="20"/>
                <w:szCs w:val="20"/>
                <w:spacing w:val="12"/>
              </w:rPr>
              <w:t>网，但已按要求开展自行手工监测，且污染物达标排放</w:t>
            </w:r>
          </w:p>
        </w:tc>
        <w:tc>
          <w:tcPr>
            <w:tcW w:w="7844" w:type="dxa"/>
            <w:vAlign w:val="top"/>
          </w:tcPr>
          <w:p>
            <w:pPr>
              <w:pStyle w:val="TableText"/>
              <w:ind w:left="558"/>
              <w:spacing w:before="3" w:line="275" w:lineRule="exact"/>
              <w:rPr>
                <w:sz w:val="20"/>
                <w:szCs w:val="20"/>
              </w:rPr>
            </w:pPr>
            <w:r>
              <w:rPr>
                <w:sz w:val="20"/>
                <w:szCs w:val="20"/>
                <w:spacing w:val="11"/>
                <w:position w:val="1"/>
              </w:rPr>
              <w:t>1.《</w:t>
            </w:r>
            <w:hyperlink w:history="true" r:id="rId436">
              <w:r>
                <w:rPr>
                  <w:sz w:val="20"/>
                  <w:szCs w:val="20"/>
                  <w:spacing w:val="11"/>
                  <w:position w:val="1"/>
                </w:rPr>
                <w:t>排污许可管理条例</w:t>
              </w:r>
            </w:hyperlink>
            <w:r>
              <w:rPr>
                <w:sz w:val="20"/>
                <w:szCs w:val="20"/>
                <w:spacing w:val="11"/>
                <w:position w:val="1"/>
              </w:rPr>
              <w:t>》第三十六条</w:t>
            </w:r>
          </w:p>
          <w:p>
            <w:pPr>
              <w:pStyle w:val="TableText"/>
              <w:ind w:left="130" w:right="140" w:firstLine="412"/>
              <w:spacing w:before="31"/>
              <w:rPr>
                <w:sz w:val="20"/>
                <w:szCs w:val="20"/>
              </w:rPr>
            </w:pPr>
            <w:r>
              <w:rPr>
                <w:sz w:val="20"/>
                <w:szCs w:val="20"/>
                <w:spacing w:val="10"/>
              </w:rPr>
              <w:t>违反本条例规定，排污单位有下列行为之一的，由生态环境主管部门责令改正</w:t>
            </w:r>
            <w:r>
              <w:rPr>
                <w:sz w:val="20"/>
                <w:szCs w:val="20"/>
                <w:spacing w:val="14"/>
              </w:rPr>
              <w:t xml:space="preserve"> </w:t>
            </w:r>
            <w:r>
              <w:rPr>
                <w:sz w:val="20"/>
                <w:szCs w:val="20"/>
                <w:spacing w:val="9"/>
              </w:rPr>
              <w:t>,</w:t>
            </w:r>
            <w:r>
              <w:rPr>
                <w:sz w:val="20"/>
                <w:szCs w:val="20"/>
                <w:spacing w:val="83"/>
              </w:rPr>
              <w:t xml:space="preserve"> </w:t>
            </w:r>
            <w:r>
              <w:rPr>
                <w:sz w:val="20"/>
                <w:szCs w:val="20"/>
                <w:spacing w:val="9"/>
              </w:rPr>
              <w:t>处2万元以上20万元以下的罚款；拒不改正的，责令停产整治：</w:t>
            </w:r>
          </w:p>
          <w:p>
            <w:pPr>
              <w:pStyle w:val="TableText"/>
              <w:ind w:left="163" w:right="142" w:firstLine="437"/>
              <w:spacing w:before="32"/>
              <w:rPr>
                <w:sz w:val="20"/>
                <w:szCs w:val="20"/>
              </w:rPr>
            </w:pPr>
            <w:r>
              <w:rPr>
                <w:sz w:val="20"/>
                <w:szCs w:val="20"/>
                <w:spacing w:val="15"/>
              </w:rPr>
              <w:t>（四）未按照排污许可证规定安装、使用污染物排放自动监测设备并与生态</w:t>
            </w:r>
            <w:r>
              <w:rPr>
                <w:sz w:val="20"/>
                <w:szCs w:val="20"/>
              </w:rPr>
              <w:t xml:space="preserve"> </w:t>
            </w:r>
            <w:r>
              <w:rPr>
                <w:sz w:val="20"/>
                <w:szCs w:val="20"/>
                <w:spacing w:val="12"/>
              </w:rPr>
              <w:t>环境主管部门的监控设备联网。</w:t>
            </w:r>
          </w:p>
          <w:p>
            <w:pPr>
              <w:pStyle w:val="TableText"/>
              <w:ind w:left="545"/>
              <w:spacing w:before="300" w:line="228" w:lineRule="auto"/>
              <w:rPr>
                <w:sz w:val="20"/>
                <w:szCs w:val="20"/>
              </w:rPr>
            </w:pPr>
            <w:r>
              <w:rPr>
                <w:sz w:val="20"/>
                <w:szCs w:val="20"/>
                <w:spacing w:val="9"/>
              </w:rPr>
              <w:t>2.《中华人民共和国水污染防治法》第八十二条</w:t>
            </w:r>
          </w:p>
          <w:p>
            <w:pPr>
              <w:pStyle w:val="TableText"/>
              <w:ind w:left="114" w:right="109" w:firstLine="419"/>
              <w:spacing w:before="23"/>
              <w:rPr>
                <w:sz w:val="20"/>
                <w:szCs w:val="20"/>
              </w:rPr>
            </w:pPr>
            <w:r>
              <w:rPr>
                <w:sz w:val="20"/>
                <w:szCs w:val="20"/>
                <w:spacing w:val="10"/>
              </w:rPr>
              <w:t>违反本法规定，有下列行为之一的，</w:t>
            </w:r>
            <w:r>
              <w:rPr>
                <w:sz w:val="20"/>
                <w:szCs w:val="20"/>
                <w:spacing w:val="-45"/>
              </w:rPr>
              <w:t xml:space="preserve"> </w:t>
            </w:r>
            <w:r>
              <w:rPr>
                <w:sz w:val="20"/>
                <w:szCs w:val="20"/>
                <w:spacing w:val="10"/>
              </w:rPr>
              <w:t>由县级以上人民政府环境保护主管部门责</w:t>
            </w:r>
            <w:r>
              <w:rPr>
                <w:sz w:val="20"/>
                <w:szCs w:val="20"/>
              </w:rPr>
              <w:t xml:space="preserve"> </w:t>
            </w:r>
            <w:r>
              <w:rPr>
                <w:sz w:val="20"/>
                <w:szCs w:val="20"/>
                <w:spacing w:val="9"/>
              </w:rPr>
              <w:t>令限期改正，处二万元以上二十万元以下的罚款；逾期不改正的，责令停产整治：</w:t>
            </w:r>
          </w:p>
          <w:p>
            <w:pPr>
              <w:pStyle w:val="TableText"/>
              <w:ind w:left="168" w:right="137" w:firstLine="425"/>
              <w:spacing w:before="26" w:line="236" w:lineRule="auto"/>
              <w:rPr>
                <w:sz w:val="20"/>
                <w:szCs w:val="20"/>
              </w:rPr>
            </w:pPr>
            <w:r>
              <w:rPr>
                <w:sz w:val="20"/>
                <w:szCs w:val="20"/>
                <w:spacing w:val="9"/>
              </w:rPr>
              <w:t>（二）未按照规定安装水污染物排放自动监测设备，未按照规定与环境保护主</w:t>
            </w:r>
            <w:r>
              <w:rPr>
                <w:sz w:val="20"/>
                <w:szCs w:val="20"/>
              </w:rPr>
              <w:t xml:space="preserve"> </w:t>
            </w:r>
            <w:r>
              <w:rPr>
                <w:sz w:val="20"/>
                <w:szCs w:val="20"/>
                <w:spacing w:val="7"/>
              </w:rPr>
              <w:t>管部门的监控设备联网；</w:t>
            </w:r>
          </w:p>
        </w:tc>
      </w:tr>
    </w:tbl>
    <w:p>
      <w:pPr>
        <w:pStyle w:val="BodyText"/>
        <w:rPr/>
      </w:pPr>
      <w:r/>
    </w:p>
    <w:p>
      <w:pPr>
        <w:sectPr>
          <w:footerReference w:type="default" r:id="rId437"/>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9058"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spacing w:line="242" w:lineRule="auto"/>
              <w:rPr>
                <w:rFonts w:ascii="Arial"/>
                <w:sz w:val="21"/>
              </w:rPr>
            </w:pPr>
            <w:r/>
          </w:p>
          <w:p>
            <w:pPr>
              <w:pStyle w:val="TableText"/>
              <w:ind w:left="547"/>
              <w:spacing w:before="65" w:line="228" w:lineRule="auto"/>
              <w:rPr>
                <w:sz w:val="20"/>
                <w:szCs w:val="20"/>
              </w:rPr>
            </w:pPr>
            <w:r>
              <w:rPr>
                <w:sz w:val="20"/>
                <w:szCs w:val="20"/>
                <w:spacing w:val="8"/>
              </w:rPr>
              <w:t>3.《河北省水污染防治条例》第七十二条</w:t>
            </w:r>
          </w:p>
          <w:p>
            <w:pPr>
              <w:pStyle w:val="TableText"/>
              <w:ind w:left="111" w:right="109" w:firstLine="421"/>
              <w:spacing w:before="27" w:line="243" w:lineRule="auto"/>
              <w:rPr>
                <w:sz w:val="20"/>
                <w:szCs w:val="20"/>
              </w:rPr>
            </w:pPr>
            <w:r>
              <w:rPr>
                <w:sz w:val="20"/>
                <w:szCs w:val="20"/>
                <w:spacing w:val="10"/>
              </w:rPr>
              <w:t>违反本条例规定，有下列行为之一的，</w:t>
            </w:r>
            <w:r>
              <w:rPr>
                <w:sz w:val="20"/>
                <w:szCs w:val="20"/>
                <w:spacing w:val="-45"/>
              </w:rPr>
              <w:t xml:space="preserve"> </w:t>
            </w:r>
            <w:r>
              <w:rPr>
                <w:sz w:val="20"/>
                <w:szCs w:val="20"/>
                <w:spacing w:val="10"/>
              </w:rPr>
              <w:t>由环境保护主管部门责令限期改正，处</w:t>
            </w:r>
            <w:r>
              <w:rPr>
                <w:sz w:val="20"/>
                <w:szCs w:val="20"/>
              </w:rPr>
              <w:t xml:space="preserve"> </w:t>
            </w:r>
            <w:r>
              <w:rPr>
                <w:sz w:val="20"/>
                <w:szCs w:val="20"/>
                <w:spacing w:val="11"/>
              </w:rPr>
              <w:t>三万元以上十万元以下的罚款；情节较重的，处十万元以上二十万元以下的罚款；</w:t>
            </w:r>
            <w:r>
              <w:rPr>
                <w:sz w:val="20"/>
                <w:szCs w:val="20"/>
                <w:spacing w:val="9"/>
              </w:rPr>
              <w:t xml:space="preserve"> </w:t>
            </w:r>
            <w:r>
              <w:rPr>
                <w:sz w:val="20"/>
                <w:szCs w:val="20"/>
                <w:spacing w:val="8"/>
              </w:rPr>
              <w:t>逾期不改正的，责令停产整治：</w:t>
            </w:r>
          </w:p>
          <w:p>
            <w:pPr>
              <w:pStyle w:val="TableText"/>
              <w:ind w:left="118" w:right="109" w:firstLine="425"/>
              <w:spacing w:before="25"/>
              <w:rPr>
                <w:sz w:val="20"/>
                <w:szCs w:val="20"/>
              </w:rPr>
            </w:pPr>
            <w:r>
              <w:rPr>
                <w:sz w:val="20"/>
                <w:szCs w:val="20"/>
                <w:spacing w:val="11"/>
              </w:rPr>
              <w:t>（二）未按照规定安装水污染物排放自动监测设备，未按照规定与环境保护主 </w:t>
            </w:r>
            <w:r>
              <w:rPr>
                <w:sz w:val="20"/>
                <w:szCs w:val="20"/>
                <w:spacing w:val="7"/>
              </w:rPr>
              <w:t>管部门的监控设备联网；</w:t>
            </w:r>
          </w:p>
          <w:p>
            <w:pPr>
              <w:pStyle w:val="TableText"/>
              <w:ind w:left="532"/>
              <w:spacing w:before="268" w:line="274" w:lineRule="exact"/>
              <w:rPr>
                <w:sz w:val="20"/>
                <w:szCs w:val="20"/>
              </w:rPr>
            </w:pPr>
            <w:r>
              <w:rPr>
                <w:sz w:val="20"/>
                <w:szCs w:val="20"/>
                <w:spacing w:val="12"/>
                <w:position w:val="1"/>
              </w:rPr>
              <w:t>4.《</w:t>
            </w:r>
            <w:hyperlink w:history="true" r:id="rId439">
              <w:r>
                <w:rPr>
                  <w:sz w:val="20"/>
                  <w:szCs w:val="20"/>
                  <w:spacing w:val="12"/>
                  <w:position w:val="1"/>
                </w:rPr>
                <w:t>中华人民共和国大气污染防治法</w:t>
              </w:r>
            </w:hyperlink>
            <w:r>
              <w:rPr>
                <w:sz w:val="20"/>
                <w:szCs w:val="20"/>
                <w:spacing w:val="12"/>
                <w:position w:val="1"/>
              </w:rPr>
              <w:t>》第一百条</w:t>
            </w:r>
          </w:p>
          <w:p>
            <w:pPr>
              <w:pStyle w:val="TableText"/>
              <w:ind w:left="114" w:right="140" w:firstLine="428"/>
              <w:spacing w:before="32" w:line="241" w:lineRule="auto"/>
              <w:rPr>
                <w:sz w:val="20"/>
                <w:szCs w:val="20"/>
              </w:rPr>
            </w:pPr>
            <w:r>
              <w:rPr>
                <w:sz w:val="20"/>
                <w:szCs w:val="20"/>
                <w:spacing w:val="10"/>
              </w:rPr>
              <w:t>违反本法规定，有下列行为之一的，由县级以上人民政府生态环境主管部门责</w:t>
            </w:r>
            <w:r>
              <w:rPr>
                <w:sz w:val="20"/>
                <w:szCs w:val="20"/>
                <w:spacing w:val="14"/>
              </w:rPr>
              <w:t xml:space="preserve"> </w:t>
            </w:r>
            <w:r>
              <w:rPr>
                <w:sz w:val="20"/>
                <w:szCs w:val="20"/>
                <w:spacing w:val="13"/>
              </w:rPr>
              <w:t>令改正，处二万元以上二十万元以下的罚款；拒不改正的，责令停产整治：</w:t>
            </w:r>
          </w:p>
          <w:p>
            <w:pPr>
              <w:pStyle w:val="TableText"/>
              <w:ind w:left="167" w:right="142" w:firstLine="433"/>
              <w:spacing w:before="30"/>
              <w:rPr>
                <w:sz w:val="20"/>
                <w:szCs w:val="20"/>
              </w:rPr>
            </w:pPr>
            <w:r>
              <w:rPr>
                <w:sz w:val="20"/>
                <w:szCs w:val="20"/>
                <w:spacing w:val="15"/>
              </w:rPr>
              <w:t>（三）未按照规定安装、使用大气污染物排放自动监测设备或者未按照规定</w:t>
            </w:r>
            <w:r>
              <w:rPr>
                <w:sz w:val="20"/>
                <w:szCs w:val="20"/>
              </w:rPr>
              <w:t xml:space="preserve"> </w:t>
            </w:r>
            <w:r>
              <w:rPr>
                <w:sz w:val="20"/>
                <w:szCs w:val="20"/>
                <w:spacing w:val="12"/>
              </w:rPr>
              <w:t>与生态环境主管部门的监控设备联网。</w:t>
            </w:r>
          </w:p>
          <w:p>
            <w:pPr>
              <w:pStyle w:val="TableText"/>
              <w:ind w:left="595"/>
              <w:spacing w:before="303" w:line="228" w:lineRule="auto"/>
              <w:rPr>
                <w:sz w:val="20"/>
                <w:szCs w:val="20"/>
              </w:rPr>
            </w:pPr>
            <w:r>
              <w:rPr>
                <w:sz w:val="20"/>
                <w:szCs w:val="20"/>
                <w:spacing w:val="12"/>
              </w:rPr>
              <w:t>5.《河北省大气污染防治条例》第七十九条</w:t>
            </w:r>
          </w:p>
          <w:p>
            <w:pPr>
              <w:pStyle w:val="TableText"/>
              <w:ind w:left="164" w:right="142" w:firstLine="426"/>
              <w:spacing w:before="28" w:line="247" w:lineRule="auto"/>
              <w:rPr>
                <w:sz w:val="20"/>
                <w:szCs w:val="20"/>
              </w:rPr>
            </w:pPr>
            <w:r>
              <w:rPr>
                <w:sz w:val="20"/>
                <w:szCs w:val="20"/>
                <w:spacing w:val="14"/>
              </w:rPr>
              <w:t>违反本条例规定，有下列行为之一的，</w:t>
            </w:r>
            <w:r>
              <w:rPr>
                <w:sz w:val="20"/>
                <w:szCs w:val="20"/>
                <w:spacing w:val="-56"/>
              </w:rPr>
              <w:t xml:space="preserve"> </w:t>
            </w:r>
            <w:r>
              <w:rPr>
                <w:sz w:val="20"/>
                <w:szCs w:val="20"/>
                <w:spacing w:val="14"/>
              </w:rPr>
              <w:t>由县级以上人民政府环境保护主</w:t>
            </w:r>
            <w:r>
              <w:rPr>
                <w:sz w:val="20"/>
                <w:szCs w:val="20"/>
                <w:spacing w:val="13"/>
              </w:rPr>
              <w:t>管部</w:t>
            </w:r>
            <w:r>
              <w:rPr>
                <w:sz w:val="20"/>
                <w:szCs w:val="20"/>
              </w:rPr>
              <w:t xml:space="preserve"> </w:t>
            </w:r>
            <w:r>
              <w:rPr>
                <w:sz w:val="20"/>
                <w:szCs w:val="20"/>
                <w:spacing w:val="15"/>
              </w:rPr>
              <w:t>门责令限期改正，处二万元以上五万元以下罚款；情节较重的，处五万元以上十</w:t>
            </w:r>
            <w:r>
              <w:rPr>
                <w:sz w:val="20"/>
                <w:szCs w:val="20"/>
                <w:spacing w:val="5"/>
              </w:rPr>
              <w:t xml:space="preserve"> </w:t>
            </w:r>
            <w:r>
              <w:rPr>
                <w:sz w:val="20"/>
                <w:szCs w:val="20"/>
                <w:spacing w:val="15"/>
              </w:rPr>
              <w:t>万元以下罚款；情节严重的，处十万元以上二十万元以下罚款；拒不改正的，责</w:t>
            </w:r>
            <w:r>
              <w:rPr>
                <w:sz w:val="20"/>
                <w:szCs w:val="20"/>
                <w:spacing w:val="5"/>
              </w:rPr>
              <w:t xml:space="preserve"> </w:t>
            </w:r>
            <w:r>
              <w:rPr>
                <w:sz w:val="20"/>
                <w:szCs w:val="20"/>
                <w:spacing w:val="9"/>
              </w:rPr>
              <w:t>令停产整治：</w:t>
            </w:r>
          </w:p>
          <w:p>
            <w:pPr>
              <w:pStyle w:val="TableText"/>
              <w:ind w:left="168" w:right="142" w:firstLine="432"/>
              <w:spacing w:before="28"/>
              <w:rPr>
                <w:sz w:val="20"/>
                <w:szCs w:val="20"/>
              </w:rPr>
            </w:pPr>
            <w:r>
              <w:rPr>
                <w:sz w:val="20"/>
                <w:szCs w:val="20"/>
                <w:spacing w:val="15"/>
              </w:rPr>
              <w:t>（二）未按照规定安装大气污染物排放自动监测、监控等设备或者未按照规</w:t>
            </w:r>
            <w:r>
              <w:rPr>
                <w:sz w:val="20"/>
                <w:szCs w:val="20"/>
              </w:rPr>
              <w:t xml:space="preserve"> </w:t>
            </w:r>
            <w:r>
              <w:rPr>
                <w:sz w:val="20"/>
                <w:szCs w:val="20"/>
                <w:spacing w:val="12"/>
              </w:rPr>
              <w:t>定与环境保护主管部门的监控设备联网；</w:t>
            </w:r>
          </w:p>
          <w:p>
            <w:pPr>
              <w:pStyle w:val="TableText"/>
              <w:ind w:left="592"/>
              <w:spacing w:before="305" w:line="228" w:lineRule="auto"/>
              <w:rPr>
                <w:sz w:val="20"/>
                <w:szCs w:val="20"/>
              </w:rPr>
            </w:pPr>
            <w:r>
              <w:rPr>
                <w:sz w:val="20"/>
                <w:szCs w:val="20"/>
                <w:spacing w:val="12"/>
              </w:rPr>
              <w:t>6.《河北省生态环境保护条例》第七十二条</w:t>
            </w:r>
          </w:p>
          <w:p>
            <w:pPr>
              <w:pStyle w:val="TableText"/>
              <w:ind w:left="164" w:right="142" w:firstLine="426"/>
              <w:spacing w:before="26"/>
              <w:rPr>
                <w:sz w:val="20"/>
                <w:szCs w:val="20"/>
              </w:rPr>
            </w:pPr>
            <w:r>
              <w:rPr>
                <w:sz w:val="20"/>
                <w:szCs w:val="20"/>
                <w:spacing w:val="14"/>
              </w:rPr>
              <w:t>违反本条例规定，重点排污单位有下列行为之一的，</w:t>
            </w:r>
            <w:r>
              <w:rPr>
                <w:sz w:val="20"/>
                <w:szCs w:val="20"/>
                <w:spacing w:val="-53"/>
              </w:rPr>
              <w:t xml:space="preserve"> </w:t>
            </w:r>
            <w:r>
              <w:rPr>
                <w:sz w:val="20"/>
                <w:szCs w:val="20"/>
                <w:spacing w:val="14"/>
              </w:rPr>
              <w:t>由生态环境</w:t>
            </w:r>
            <w:r>
              <w:rPr>
                <w:sz w:val="20"/>
                <w:szCs w:val="20"/>
                <w:spacing w:val="13"/>
              </w:rPr>
              <w:t>主管部门责</w:t>
            </w:r>
            <w:r>
              <w:rPr>
                <w:sz w:val="20"/>
                <w:szCs w:val="20"/>
              </w:rPr>
              <w:t xml:space="preserve"> </w:t>
            </w:r>
            <w:r>
              <w:rPr>
                <w:sz w:val="20"/>
                <w:szCs w:val="20"/>
                <w:spacing w:val="13"/>
              </w:rPr>
              <w:t>令改正，处二万元以上二十万元以下的罚款；拒不改正的，责令停产整治：</w:t>
            </w:r>
          </w:p>
          <w:p>
            <w:pPr>
              <w:pStyle w:val="TableText"/>
              <w:ind w:left="162" w:right="142" w:firstLine="438"/>
              <w:spacing w:before="27" w:line="242" w:lineRule="auto"/>
              <w:rPr>
                <w:sz w:val="20"/>
                <w:szCs w:val="20"/>
              </w:rPr>
            </w:pPr>
            <w:r>
              <w:rPr>
                <w:sz w:val="20"/>
                <w:szCs w:val="20"/>
                <w:spacing w:val="15"/>
              </w:rPr>
              <w:t>（一）未按照规定安装使用自动监测设备，或者未与生态环境主管部门的监</w:t>
            </w:r>
            <w:r>
              <w:rPr>
                <w:sz w:val="20"/>
                <w:szCs w:val="20"/>
              </w:rPr>
              <w:t xml:space="preserve"> </w:t>
            </w:r>
            <w:r>
              <w:rPr>
                <w:sz w:val="20"/>
                <w:szCs w:val="20"/>
                <w:spacing w:val="10"/>
              </w:rPr>
              <w:t>控设备联网的；</w:t>
            </w:r>
          </w:p>
          <w:p>
            <w:pPr>
              <w:pStyle w:val="TableText"/>
              <w:ind w:left="595"/>
              <w:spacing w:before="302" w:line="228" w:lineRule="auto"/>
              <w:rPr>
                <w:sz w:val="20"/>
                <w:szCs w:val="20"/>
              </w:rPr>
            </w:pPr>
            <w:r>
              <w:rPr>
                <w:sz w:val="20"/>
                <w:szCs w:val="20"/>
                <w:spacing w:val="12"/>
              </w:rPr>
              <w:t>7.《河北省扬尘污染防治办法》第四十三条</w:t>
            </w:r>
          </w:p>
          <w:p>
            <w:pPr>
              <w:pStyle w:val="TableText"/>
              <w:ind w:left="165" w:right="142" w:firstLine="425"/>
              <w:spacing w:before="26" w:line="245" w:lineRule="auto"/>
              <w:rPr>
                <w:sz w:val="20"/>
                <w:szCs w:val="20"/>
              </w:rPr>
            </w:pPr>
            <w:r>
              <w:rPr>
                <w:sz w:val="20"/>
                <w:szCs w:val="20"/>
                <w:spacing w:val="15"/>
              </w:rPr>
              <w:t>违反本办法规定，被确定为重点扬尘污染源的企业事业单位和其他生产经营</w:t>
            </w:r>
            <w:r>
              <w:rPr>
                <w:sz w:val="20"/>
                <w:szCs w:val="20"/>
                <w:spacing w:val="9"/>
              </w:rPr>
              <w:t xml:space="preserve"> </w:t>
            </w:r>
            <w:r>
              <w:rPr>
                <w:sz w:val="20"/>
                <w:szCs w:val="20"/>
                <w:spacing w:val="14"/>
              </w:rPr>
              <w:t>者有下列行为之一的，</w:t>
            </w:r>
            <w:r>
              <w:rPr>
                <w:sz w:val="20"/>
                <w:szCs w:val="20"/>
                <w:spacing w:val="-53"/>
              </w:rPr>
              <w:t xml:space="preserve"> </w:t>
            </w:r>
            <w:r>
              <w:rPr>
                <w:sz w:val="20"/>
                <w:szCs w:val="20"/>
                <w:spacing w:val="14"/>
              </w:rPr>
              <w:t>由监督管理部门责令限期改正，处二万元</w:t>
            </w:r>
            <w:r>
              <w:rPr>
                <w:sz w:val="20"/>
                <w:szCs w:val="20"/>
                <w:spacing w:val="13"/>
              </w:rPr>
              <w:t>以上五万元以下</w:t>
            </w:r>
            <w:r>
              <w:rPr>
                <w:sz w:val="20"/>
                <w:szCs w:val="20"/>
              </w:rPr>
              <w:t xml:space="preserve"> </w:t>
            </w:r>
            <w:r>
              <w:rPr>
                <w:sz w:val="20"/>
                <w:szCs w:val="20"/>
                <w:spacing w:val="15"/>
              </w:rPr>
              <w:t>罚款；情节较重的，处五万元以上十万元以下罚款；情节严重的，处十万元以上</w:t>
            </w:r>
            <w:r>
              <w:rPr>
                <w:sz w:val="20"/>
                <w:szCs w:val="20"/>
                <w:spacing w:val="5"/>
              </w:rPr>
              <w:t xml:space="preserve"> </w:t>
            </w:r>
            <w:r>
              <w:rPr>
                <w:sz w:val="20"/>
                <w:szCs w:val="20"/>
                <w:spacing w:val="12"/>
              </w:rPr>
              <w:t>二十万元以下罚款；拒不改正的，责令停工停产整治：</w:t>
            </w:r>
          </w:p>
        </w:tc>
      </w:tr>
    </w:tbl>
    <w:p>
      <w:pPr>
        <w:pStyle w:val="BodyText"/>
        <w:rPr/>
      </w:pPr>
      <w:r/>
    </w:p>
    <w:p>
      <w:pPr>
        <w:sectPr>
          <w:footerReference w:type="default" r:id="rId438"/>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558"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63" w:right="142" w:firstLine="437"/>
              <w:spacing w:before="36" w:line="236" w:lineRule="auto"/>
              <w:rPr>
                <w:sz w:val="20"/>
                <w:szCs w:val="20"/>
              </w:rPr>
            </w:pPr>
            <w:r>
              <w:rPr>
                <w:sz w:val="20"/>
                <w:szCs w:val="20"/>
                <w:spacing w:val="15"/>
              </w:rPr>
              <w:t>（一）未按照规定安装、使用扬尘污染物在线监测设备或者未按照规定与生</w:t>
            </w:r>
            <w:r>
              <w:rPr>
                <w:sz w:val="20"/>
                <w:szCs w:val="20"/>
              </w:rPr>
              <w:t xml:space="preserve"> </w:t>
            </w:r>
            <w:r>
              <w:rPr>
                <w:sz w:val="20"/>
                <w:szCs w:val="20"/>
                <w:spacing w:val="12"/>
              </w:rPr>
              <w:t>态环境主管部门的监控设备联网；</w:t>
            </w:r>
          </w:p>
        </w:tc>
      </w:tr>
      <w:tr>
        <w:trPr>
          <w:trHeight w:val="1659" w:hRule="atLeast"/>
        </w:trPr>
        <w:tc>
          <w:tcPr>
            <w:tcW w:w="1002" w:type="dxa"/>
            <w:vAlign w:val="top"/>
          </w:tcPr>
          <w:p>
            <w:pPr>
              <w:spacing w:line="356" w:lineRule="auto"/>
              <w:rPr>
                <w:rFonts w:ascii="Arial"/>
                <w:sz w:val="21"/>
              </w:rPr>
            </w:pPr>
            <w:r/>
          </w:p>
          <w:p>
            <w:pPr>
              <w:spacing w:line="356" w:lineRule="auto"/>
              <w:rPr>
                <w:rFonts w:ascii="Arial"/>
                <w:sz w:val="21"/>
              </w:rPr>
            </w:pPr>
            <w:r/>
          </w:p>
          <w:p>
            <w:pPr>
              <w:pStyle w:val="TableText"/>
              <w:ind w:left="306"/>
              <w:spacing w:before="65" w:line="190" w:lineRule="auto"/>
              <w:rPr>
                <w:sz w:val="20"/>
                <w:szCs w:val="20"/>
              </w:rPr>
            </w:pPr>
            <w:r>
              <w:rPr>
                <w:sz w:val="20"/>
                <w:szCs w:val="20"/>
                <w:spacing w:val="-7"/>
              </w:rPr>
              <w:t>10</w:t>
            </w:r>
          </w:p>
        </w:tc>
        <w:tc>
          <w:tcPr>
            <w:tcW w:w="5713" w:type="dxa"/>
            <w:vAlign w:val="top"/>
          </w:tcPr>
          <w:p>
            <w:pPr>
              <w:spacing w:line="258" w:lineRule="auto"/>
              <w:rPr>
                <w:rFonts w:ascii="Arial"/>
                <w:sz w:val="21"/>
              </w:rPr>
            </w:pPr>
            <w:r/>
          </w:p>
          <w:p>
            <w:pPr>
              <w:spacing w:line="258" w:lineRule="auto"/>
              <w:rPr>
                <w:rFonts w:ascii="Arial"/>
                <w:sz w:val="21"/>
              </w:rPr>
            </w:pPr>
            <w:r/>
          </w:p>
          <w:p>
            <w:pPr>
              <w:pStyle w:val="TableText"/>
              <w:ind w:left="164" w:right="139" w:firstLine="1"/>
              <w:spacing w:before="65"/>
              <w:rPr>
                <w:sz w:val="20"/>
                <w:szCs w:val="20"/>
              </w:rPr>
            </w:pPr>
            <w:r>
              <w:rPr>
                <w:sz w:val="20"/>
                <w:szCs w:val="20"/>
                <w:spacing w:val="11"/>
              </w:rPr>
              <w:t>未使用焊烟收集处理设施，首次发现，焊机不超过4台，经</w:t>
            </w:r>
            <w:r>
              <w:rPr>
                <w:sz w:val="20"/>
                <w:szCs w:val="20"/>
                <w:spacing w:val="16"/>
              </w:rPr>
              <w:t xml:space="preserve"> </w:t>
            </w:r>
            <w:r>
              <w:rPr>
                <w:sz w:val="20"/>
                <w:szCs w:val="20"/>
                <w:spacing w:val="12"/>
              </w:rPr>
              <w:t>现场检查指出后立即改正的</w:t>
            </w:r>
          </w:p>
        </w:tc>
        <w:tc>
          <w:tcPr>
            <w:tcW w:w="7844" w:type="dxa"/>
            <w:vAlign w:val="top"/>
          </w:tcPr>
          <w:p>
            <w:pPr>
              <w:pStyle w:val="TableText"/>
              <w:ind w:left="608"/>
              <w:spacing w:before="32" w:line="228" w:lineRule="auto"/>
              <w:rPr>
                <w:sz w:val="20"/>
                <w:szCs w:val="20"/>
              </w:rPr>
            </w:pPr>
            <w:r>
              <w:rPr>
                <w:sz w:val="20"/>
                <w:szCs w:val="20"/>
                <w:spacing w:val="12"/>
              </w:rPr>
              <w:t>1.《中华人民共和国大气污染防治法》第一百零八条</w:t>
            </w:r>
          </w:p>
          <w:p>
            <w:pPr>
              <w:pStyle w:val="TableText"/>
              <w:ind w:left="171" w:right="197" w:firstLine="422"/>
              <w:spacing w:before="29" w:line="241" w:lineRule="auto"/>
              <w:rPr>
                <w:sz w:val="20"/>
                <w:szCs w:val="20"/>
              </w:rPr>
            </w:pPr>
            <w:r>
              <w:rPr>
                <w:sz w:val="20"/>
                <w:szCs w:val="20"/>
                <w:spacing w:val="12"/>
              </w:rPr>
              <w:t>违反本法规定，有下列行为之一的，</w:t>
            </w:r>
            <w:r>
              <w:rPr>
                <w:sz w:val="20"/>
                <w:szCs w:val="20"/>
                <w:spacing w:val="-50"/>
              </w:rPr>
              <w:t xml:space="preserve"> </w:t>
            </w:r>
            <w:r>
              <w:rPr>
                <w:sz w:val="20"/>
                <w:szCs w:val="20"/>
                <w:spacing w:val="12"/>
              </w:rPr>
              <w:t>由县级以上人民政府生态环境主管部门</w:t>
            </w:r>
            <w:r>
              <w:rPr>
                <w:sz w:val="20"/>
                <w:szCs w:val="20"/>
              </w:rPr>
              <w:t xml:space="preserve"> </w:t>
            </w:r>
            <w:r>
              <w:rPr>
                <w:sz w:val="20"/>
                <w:szCs w:val="20"/>
                <w:spacing w:val="13"/>
              </w:rPr>
              <w:t>责令改正，处二万元以上二十万元以下的罚款；拒不改正的，责令停产</w:t>
            </w:r>
            <w:r>
              <w:rPr>
                <w:sz w:val="20"/>
                <w:szCs w:val="20"/>
                <w:spacing w:val="12"/>
              </w:rPr>
              <w:t>整治：</w:t>
            </w:r>
          </w:p>
          <w:p>
            <w:pPr>
              <w:pStyle w:val="TableText"/>
              <w:ind w:left="163" w:right="197" w:firstLine="439"/>
              <w:spacing w:before="28" w:line="243" w:lineRule="auto"/>
              <w:rPr>
                <w:sz w:val="20"/>
                <w:szCs w:val="20"/>
              </w:rPr>
            </w:pPr>
            <w:r>
              <w:rPr>
                <w:sz w:val="20"/>
                <w:szCs w:val="20"/>
                <w:spacing w:val="13"/>
              </w:rPr>
              <w:t>（五）钢铁、建材、有色金属、石油、化工、制药、矿产开采等企业，未采</w:t>
            </w:r>
            <w:r>
              <w:rPr>
                <w:sz w:val="20"/>
                <w:szCs w:val="20"/>
                <w:spacing w:val="7"/>
              </w:rPr>
              <w:t xml:space="preserve"> </w:t>
            </w:r>
            <w:r>
              <w:rPr>
                <w:sz w:val="20"/>
                <w:szCs w:val="20"/>
                <w:spacing w:val="14"/>
              </w:rPr>
              <w:t>取集中收集处理、密闭、围挡、遮盖、清扫、洒</w:t>
            </w:r>
            <w:r>
              <w:rPr>
                <w:sz w:val="20"/>
                <w:szCs w:val="20"/>
                <w:spacing w:val="13"/>
              </w:rPr>
              <w:t>水等措施，控制、减少粉尘和气</w:t>
            </w:r>
            <w:r>
              <w:rPr>
                <w:sz w:val="20"/>
                <w:szCs w:val="20"/>
              </w:rPr>
              <w:t xml:space="preserve"> </w:t>
            </w:r>
            <w:r>
              <w:rPr>
                <w:sz w:val="20"/>
                <w:szCs w:val="20"/>
                <w:spacing w:val="10"/>
              </w:rPr>
              <w:t>态污染物排放的；</w:t>
            </w:r>
          </w:p>
        </w:tc>
      </w:tr>
      <w:tr>
        <w:trPr>
          <w:trHeight w:val="1010" w:hRule="atLeast"/>
        </w:trPr>
        <w:tc>
          <w:tcPr>
            <w:tcW w:w="1002" w:type="dxa"/>
            <w:vAlign w:val="top"/>
          </w:tcPr>
          <w:p>
            <w:pPr>
              <w:spacing w:line="390" w:lineRule="auto"/>
              <w:rPr>
                <w:rFonts w:ascii="Arial"/>
                <w:sz w:val="21"/>
              </w:rPr>
            </w:pPr>
            <w:r/>
          </w:p>
          <w:p>
            <w:pPr>
              <w:pStyle w:val="TableText"/>
              <w:ind w:left="306"/>
              <w:spacing w:before="65" w:line="189" w:lineRule="auto"/>
              <w:rPr>
                <w:sz w:val="20"/>
                <w:szCs w:val="20"/>
              </w:rPr>
            </w:pPr>
            <w:r>
              <w:rPr>
                <w:sz w:val="20"/>
                <w:szCs w:val="20"/>
                <w:spacing w:val="-7"/>
              </w:rPr>
              <w:t>11</w:t>
            </w:r>
          </w:p>
        </w:tc>
        <w:tc>
          <w:tcPr>
            <w:tcW w:w="5713" w:type="dxa"/>
            <w:vAlign w:val="top"/>
          </w:tcPr>
          <w:p>
            <w:pPr>
              <w:pStyle w:val="TableText"/>
              <w:ind w:left="165" w:right="208" w:hanging="3"/>
              <w:spacing w:before="259"/>
              <w:rPr>
                <w:sz w:val="20"/>
                <w:szCs w:val="20"/>
              </w:rPr>
            </w:pPr>
            <w:r>
              <w:rPr>
                <w:sz w:val="20"/>
                <w:szCs w:val="20"/>
                <w:spacing w:val="13"/>
              </w:rPr>
              <w:t>产生工业固体废物的单位未建立固体废物管理台账，检查</w:t>
            </w:r>
            <w:r>
              <w:rPr>
                <w:sz w:val="20"/>
                <w:szCs w:val="20"/>
                <w:spacing w:val="10"/>
              </w:rPr>
              <w:t xml:space="preserve"> </w:t>
            </w:r>
            <w:r>
              <w:rPr>
                <w:sz w:val="20"/>
                <w:szCs w:val="20"/>
                <w:spacing w:val="12"/>
              </w:rPr>
              <w:t>发现后企业限期主动完成整改的</w:t>
            </w:r>
          </w:p>
        </w:tc>
        <w:tc>
          <w:tcPr>
            <w:tcW w:w="7844" w:type="dxa"/>
            <w:vAlign w:val="top"/>
          </w:tcPr>
          <w:p>
            <w:pPr>
              <w:pStyle w:val="TableText"/>
              <w:ind w:left="606"/>
              <w:spacing w:before="24" w:line="228" w:lineRule="auto"/>
              <w:rPr>
                <w:sz w:val="20"/>
                <w:szCs w:val="20"/>
              </w:rPr>
            </w:pPr>
            <w:r>
              <w:rPr>
                <w:sz w:val="20"/>
                <w:szCs w:val="20"/>
                <w:spacing w:val="6"/>
              </w:rPr>
              <w:t>1.《中华人民共和国固体废物污染环境防治法》第一百零二条</w:t>
            </w:r>
          </w:p>
          <w:p>
            <w:pPr>
              <w:pStyle w:val="TableText"/>
              <w:ind w:left="170" w:right="142" w:firstLine="395"/>
              <w:spacing w:before="4" w:line="229" w:lineRule="auto"/>
              <w:rPr>
                <w:sz w:val="20"/>
                <w:szCs w:val="20"/>
              </w:rPr>
            </w:pPr>
            <w:r>
              <w:rPr>
                <w:sz w:val="20"/>
                <w:szCs w:val="20"/>
                <w:spacing w:val="-2"/>
              </w:rPr>
              <w:t>违反本法规定，有下列行为之一，由生态环境主管部门责令改正，处以罚款，没收</w:t>
            </w:r>
            <w:r>
              <w:rPr>
                <w:sz w:val="20"/>
                <w:szCs w:val="20"/>
              </w:rPr>
              <w:t xml:space="preserve"> </w:t>
            </w:r>
            <w:r>
              <w:rPr>
                <w:sz w:val="20"/>
                <w:szCs w:val="20"/>
                <w:spacing w:val="-2"/>
              </w:rPr>
              <w:t>违法所得；情节严重的，报经有批准权的人民政府批准，可以责令停业或者关闭：</w:t>
            </w:r>
          </w:p>
          <w:p>
            <w:pPr>
              <w:pStyle w:val="TableText"/>
              <w:ind w:left="577"/>
              <w:spacing w:before="6" w:line="205" w:lineRule="auto"/>
              <w:rPr>
                <w:sz w:val="20"/>
                <w:szCs w:val="20"/>
              </w:rPr>
            </w:pPr>
            <w:r>
              <w:rPr>
                <w:sz w:val="20"/>
                <w:szCs w:val="20"/>
                <w:spacing w:val="-2"/>
              </w:rPr>
              <w:t>（八）产生工业固体废物的单位未建立固体废物管理台账</w:t>
            </w:r>
            <w:r>
              <w:rPr>
                <w:sz w:val="20"/>
                <w:szCs w:val="20"/>
                <w:spacing w:val="-3"/>
              </w:rPr>
              <w:t>并如实记录的；</w:t>
            </w:r>
          </w:p>
        </w:tc>
      </w:tr>
      <w:tr>
        <w:trPr>
          <w:trHeight w:val="1934" w:hRule="atLeast"/>
        </w:trPr>
        <w:tc>
          <w:tcPr>
            <w:tcW w:w="1002"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306"/>
              <w:spacing w:before="65" w:line="189" w:lineRule="auto"/>
              <w:rPr>
                <w:sz w:val="20"/>
                <w:szCs w:val="20"/>
              </w:rPr>
            </w:pPr>
            <w:r>
              <w:rPr>
                <w:sz w:val="20"/>
                <w:szCs w:val="20"/>
                <w:spacing w:val="-7"/>
              </w:rPr>
              <w:t>12</w:t>
            </w:r>
          </w:p>
        </w:tc>
        <w:tc>
          <w:tcPr>
            <w:tcW w:w="5713" w:type="dxa"/>
            <w:vAlign w:val="top"/>
          </w:tcPr>
          <w:p>
            <w:pPr>
              <w:spacing w:line="327" w:lineRule="auto"/>
              <w:rPr>
                <w:rFonts w:ascii="Arial"/>
                <w:sz w:val="21"/>
              </w:rPr>
            </w:pPr>
            <w:r/>
          </w:p>
          <w:p>
            <w:pPr>
              <w:spacing w:line="327" w:lineRule="auto"/>
              <w:rPr>
                <w:rFonts w:ascii="Arial"/>
                <w:sz w:val="21"/>
              </w:rPr>
            </w:pPr>
            <w:r/>
          </w:p>
          <w:p>
            <w:pPr>
              <w:pStyle w:val="TableText"/>
              <w:ind w:left="163" w:right="208" w:firstLine="2"/>
              <w:spacing w:before="65"/>
              <w:rPr>
                <w:sz w:val="20"/>
                <w:szCs w:val="20"/>
              </w:rPr>
            </w:pPr>
            <w:r>
              <w:rPr>
                <w:sz w:val="20"/>
                <w:szCs w:val="20"/>
                <w:spacing w:val="13"/>
              </w:rPr>
              <w:t>未设置或未规范设置危险废物识别标志等危险废物管理不</w:t>
            </w:r>
            <w:r>
              <w:rPr>
                <w:sz w:val="20"/>
                <w:szCs w:val="20"/>
                <w:spacing w:val="7"/>
              </w:rPr>
              <w:t xml:space="preserve"> </w:t>
            </w:r>
            <w:r>
              <w:rPr>
                <w:sz w:val="20"/>
                <w:szCs w:val="20"/>
                <w:spacing w:val="13"/>
              </w:rPr>
              <w:t>规范行为，经现场检查指出后立即改正的</w:t>
            </w:r>
          </w:p>
        </w:tc>
        <w:tc>
          <w:tcPr>
            <w:tcW w:w="7844" w:type="dxa"/>
            <w:vAlign w:val="top"/>
          </w:tcPr>
          <w:p>
            <w:pPr>
              <w:pStyle w:val="TableText"/>
              <w:ind w:left="608"/>
              <w:spacing w:before="33" w:line="228" w:lineRule="auto"/>
              <w:rPr>
                <w:sz w:val="20"/>
                <w:szCs w:val="20"/>
              </w:rPr>
            </w:pPr>
            <w:r>
              <w:rPr>
                <w:sz w:val="20"/>
                <w:szCs w:val="20"/>
                <w:spacing w:val="12"/>
              </w:rPr>
              <w:t>1.《中华人民共和国固体废物污染环境防治法》第一百一十二条</w:t>
            </w:r>
          </w:p>
          <w:p>
            <w:pPr>
              <w:pStyle w:val="TableText"/>
              <w:ind w:left="165" w:right="140" w:firstLine="427"/>
              <w:spacing w:before="26" w:line="246" w:lineRule="auto"/>
              <w:rPr>
                <w:sz w:val="20"/>
                <w:szCs w:val="20"/>
              </w:rPr>
            </w:pPr>
            <w:r>
              <w:rPr>
                <w:sz w:val="20"/>
                <w:szCs w:val="20"/>
                <w:spacing w:val="14"/>
              </w:rPr>
              <w:t>违反本法规定，有下列行为之一，</w:t>
            </w:r>
            <w:r>
              <w:rPr>
                <w:sz w:val="20"/>
                <w:szCs w:val="20"/>
                <w:spacing w:val="-53"/>
              </w:rPr>
              <w:t xml:space="preserve"> </w:t>
            </w:r>
            <w:r>
              <w:rPr>
                <w:sz w:val="20"/>
                <w:szCs w:val="20"/>
                <w:spacing w:val="14"/>
              </w:rPr>
              <w:t>由生态环境主管部门责令改正</w:t>
            </w:r>
            <w:r>
              <w:rPr>
                <w:sz w:val="20"/>
                <w:szCs w:val="20"/>
                <w:spacing w:val="13"/>
              </w:rPr>
              <w:t>，处以罚款</w:t>
            </w:r>
            <w:r>
              <w:rPr>
                <w:sz w:val="20"/>
                <w:szCs w:val="20"/>
              </w:rPr>
              <w:t xml:space="preserve"> </w:t>
            </w:r>
            <w:r>
              <w:rPr>
                <w:sz w:val="20"/>
                <w:szCs w:val="20"/>
                <w:spacing w:val="13"/>
              </w:rPr>
              <w:t>,</w:t>
            </w:r>
            <w:r>
              <w:rPr>
                <w:sz w:val="20"/>
                <w:szCs w:val="20"/>
                <w:spacing w:val="75"/>
              </w:rPr>
              <w:t xml:space="preserve"> </w:t>
            </w:r>
            <w:r>
              <w:rPr>
                <w:sz w:val="20"/>
                <w:szCs w:val="20"/>
                <w:spacing w:val="13"/>
              </w:rPr>
              <w:t>没收违法所得；情节严重的，报经有批准权的人民政府批准，可以责令停业或</w:t>
            </w:r>
            <w:r>
              <w:rPr>
                <w:sz w:val="20"/>
                <w:szCs w:val="20"/>
              </w:rPr>
              <w:t xml:space="preserve"> </w:t>
            </w:r>
            <w:r>
              <w:rPr>
                <w:sz w:val="20"/>
                <w:szCs w:val="20"/>
                <w:spacing w:val="6"/>
              </w:rPr>
              <w:t>者关闭：</w:t>
            </w:r>
          </w:p>
          <w:p>
            <w:pPr>
              <w:pStyle w:val="TableText"/>
              <w:ind w:left="603"/>
              <w:spacing w:before="28" w:line="228" w:lineRule="auto"/>
              <w:rPr>
                <w:sz w:val="20"/>
                <w:szCs w:val="20"/>
              </w:rPr>
            </w:pPr>
            <w:r>
              <w:rPr>
                <w:sz w:val="20"/>
                <w:szCs w:val="20"/>
                <w:spacing w:val="12"/>
              </w:rPr>
              <w:t>（一）未按照规定设置危险废物识别标志的；</w:t>
            </w:r>
          </w:p>
          <w:p>
            <w:pPr>
              <w:pStyle w:val="TableText"/>
              <w:ind w:left="167" w:right="140" w:firstLine="427"/>
              <w:spacing w:before="30" w:line="236" w:lineRule="auto"/>
              <w:rPr>
                <w:sz w:val="20"/>
                <w:szCs w:val="20"/>
              </w:rPr>
            </w:pPr>
            <w:r>
              <w:rPr>
                <w:sz w:val="20"/>
                <w:szCs w:val="20"/>
                <w:spacing w:val="15"/>
              </w:rPr>
              <w:t>有前款第一项、第二项、第五项、第六项、第七项、第八项、第九项、第十</w:t>
            </w:r>
            <w:r>
              <w:rPr>
                <w:sz w:val="20"/>
                <w:szCs w:val="20"/>
                <w:spacing w:val="8"/>
              </w:rPr>
              <w:t xml:space="preserve"> </w:t>
            </w:r>
            <w:r>
              <w:rPr>
                <w:sz w:val="20"/>
                <w:szCs w:val="20"/>
                <w:spacing w:val="13"/>
              </w:rPr>
              <w:t>二项、第十三项行为之一，处十万元以上一百万元以</w:t>
            </w:r>
            <w:r>
              <w:rPr>
                <w:sz w:val="20"/>
                <w:szCs w:val="20"/>
                <w:spacing w:val="12"/>
              </w:rPr>
              <w:t>下的罚款。</w:t>
            </w:r>
          </w:p>
        </w:tc>
      </w:tr>
      <w:tr>
        <w:trPr>
          <w:trHeight w:val="2531" w:hRule="atLeast"/>
        </w:trPr>
        <w:tc>
          <w:tcPr>
            <w:tcW w:w="1002" w:type="dxa"/>
            <w:vAlign w:val="top"/>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306"/>
              <w:spacing w:before="65" w:line="190" w:lineRule="auto"/>
              <w:rPr>
                <w:sz w:val="20"/>
                <w:szCs w:val="20"/>
              </w:rPr>
            </w:pPr>
            <w:r>
              <w:rPr>
                <w:sz w:val="20"/>
                <w:szCs w:val="20"/>
                <w:spacing w:val="-7"/>
              </w:rPr>
              <w:t>13</w:t>
            </w:r>
          </w:p>
        </w:tc>
        <w:tc>
          <w:tcPr>
            <w:tcW w:w="5713"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162" w:right="139" w:firstLine="3"/>
              <w:spacing w:before="65" w:line="244" w:lineRule="auto"/>
              <w:jc w:val="both"/>
              <w:rPr>
                <w:sz w:val="20"/>
                <w:szCs w:val="20"/>
              </w:rPr>
            </w:pPr>
            <w:r>
              <w:rPr>
                <w:sz w:val="20"/>
                <w:szCs w:val="20"/>
                <w:spacing w:val="11"/>
              </w:rPr>
              <w:t>不规范贮存危险废物，数量小于0.1吨或危险废物独立包装</w:t>
            </w:r>
            <w:r>
              <w:rPr>
                <w:sz w:val="20"/>
                <w:szCs w:val="20"/>
                <w:spacing w:val="2"/>
              </w:rPr>
              <w:t xml:space="preserve"> </w:t>
            </w:r>
            <w:r>
              <w:rPr>
                <w:sz w:val="20"/>
                <w:szCs w:val="20"/>
                <w:spacing w:val="12"/>
              </w:rPr>
              <w:t>小于等于2个的，经现场检查指出后立即改</w:t>
            </w:r>
            <w:r>
              <w:rPr>
                <w:sz w:val="20"/>
                <w:szCs w:val="20"/>
                <w:spacing w:val="11"/>
              </w:rPr>
              <w:t>正，且未污染外</w:t>
            </w:r>
            <w:r>
              <w:rPr>
                <w:sz w:val="20"/>
                <w:szCs w:val="20"/>
              </w:rPr>
              <w:t xml:space="preserve"> </w:t>
            </w:r>
            <w:r>
              <w:rPr>
                <w:sz w:val="20"/>
                <w:szCs w:val="20"/>
                <w:spacing w:val="9"/>
              </w:rPr>
              <w:t>环境的</w:t>
            </w:r>
          </w:p>
        </w:tc>
        <w:tc>
          <w:tcPr>
            <w:tcW w:w="7844" w:type="dxa"/>
            <w:vAlign w:val="top"/>
          </w:tcPr>
          <w:p>
            <w:pPr>
              <w:pStyle w:val="TableText"/>
              <w:ind w:left="593"/>
              <w:spacing w:before="34" w:line="228" w:lineRule="auto"/>
              <w:rPr>
                <w:sz w:val="20"/>
                <w:szCs w:val="20"/>
              </w:rPr>
            </w:pPr>
            <w:r>
              <w:rPr>
                <w:rFonts w:ascii="Calibri" w:hAnsi="Calibri" w:eastAsia="Calibri" w:cs="Calibri"/>
                <w:sz w:val="20"/>
                <w:szCs w:val="20"/>
                <w:spacing w:val="9"/>
              </w:rPr>
              <w:t>1.</w:t>
            </w:r>
            <w:r>
              <w:rPr>
                <w:sz w:val="20"/>
                <w:szCs w:val="20"/>
                <w:spacing w:val="9"/>
              </w:rPr>
              <w:t>《中华人民共和国固体废物污染环境防治法》第一</w:t>
            </w:r>
            <w:r>
              <w:rPr>
                <w:sz w:val="20"/>
                <w:szCs w:val="20"/>
                <w:spacing w:val="8"/>
              </w:rPr>
              <w:t>百一十二条</w:t>
            </w:r>
          </w:p>
          <w:p>
            <w:pPr>
              <w:pStyle w:val="TableText"/>
              <w:ind w:left="167" w:right="137" w:firstLine="416"/>
              <w:spacing w:before="27" w:line="246" w:lineRule="auto"/>
              <w:rPr>
                <w:sz w:val="20"/>
                <w:szCs w:val="20"/>
              </w:rPr>
            </w:pPr>
            <w:r>
              <w:rPr>
                <w:sz w:val="20"/>
                <w:szCs w:val="20"/>
                <w:spacing w:val="9"/>
              </w:rPr>
              <w:t>违反本法规定，有下列行为之一，由生态环境主管部门责令改正，处以罚款，</w:t>
            </w:r>
            <w:r>
              <w:rPr>
                <w:sz w:val="20"/>
                <w:szCs w:val="20"/>
                <w:spacing w:val="10"/>
              </w:rPr>
              <w:t xml:space="preserve"> </w:t>
            </w:r>
            <w:r>
              <w:rPr>
                <w:sz w:val="20"/>
                <w:szCs w:val="20"/>
                <w:spacing w:val="9"/>
              </w:rPr>
              <w:t>没收违法所得；情节严重的，报经有批准权的人民政府批准，可以责令停业或者关 </w:t>
            </w:r>
            <w:r>
              <w:rPr>
                <w:sz w:val="20"/>
                <w:szCs w:val="20"/>
                <w:spacing w:val="-2"/>
              </w:rPr>
              <w:t>闭：</w:t>
            </w:r>
          </w:p>
          <w:p>
            <w:pPr>
              <w:pStyle w:val="TableText"/>
              <w:ind w:left="112" w:right="137" w:firstLine="433"/>
              <w:spacing w:before="23" w:line="241" w:lineRule="auto"/>
              <w:rPr>
                <w:sz w:val="20"/>
                <w:szCs w:val="20"/>
              </w:rPr>
            </w:pPr>
            <w:r>
              <w:rPr>
                <w:sz w:val="20"/>
                <w:szCs w:val="20"/>
                <w:spacing w:val="10"/>
              </w:rPr>
              <w:t>（六）未按照国家环境保护标准贮存、利用、处置危险废物或者将危险废物混</w:t>
            </w:r>
            <w:r>
              <w:rPr>
                <w:sz w:val="20"/>
                <w:szCs w:val="20"/>
                <w:spacing w:val="14"/>
              </w:rPr>
              <w:t xml:space="preserve"> </w:t>
            </w:r>
            <w:r>
              <w:rPr>
                <w:sz w:val="20"/>
                <w:szCs w:val="20"/>
                <w:spacing w:val="8"/>
              </w:rPr>
              <w:t>入非危险废物中贮存的；</w:t>
            </w:r>
          </w:p>
          <w:p>
            <w:pPr>
              <w:pStyle w:val="TableText"/>
              <w:ind w:left="116" w:right="137" w:firstLine="419"/>
              <w:spacing w:before="27" w:line="241" w:lineRule="auto"/>
              <w:rPr>
                <w:sz w:val="20"/>
                <w:szCs w:val="20"/>
              </w:rPr>
            </w:pPr>
            <w:r>
              <w:rPr>
                <w:sz w:val="20"/>
                <w:szCs w:val="20"/>
                <w:spacing w:val="11"/>
              </w:rPr>
              <w:t>有前款第一项、第二项、第五项、第六项、第七项、</w:t>
            </w:r>
            <w:r>
              <w:rPr>
                <w:sz w:val="20"/>
                <w:szCs w:val="20"/>
                <w:spacing w:val="10"/>
              </w:rPr>
              <w:t>第八项、第九项、第十二</w:t>
            </w:r>
            <w:r>
              <w:rPr>
                <w:sz w:val="20"/>
                <w:szCs w:val="20"/>
              </w:rPr>
              <w:t xml:space="preserve"> </w:t>
            </w:r>
            <w:r>
              <w:rPr>
                <w:sz w:val="20"/>
                <w:szCs w:val="20"/>
                <w:spacing w:val="9"/>
              </w:rPr>
              <w:t>项、第十三项行为之一，处十万元以上一百万元以下的罚款。</w:t>
            </w:r>
          </w:p>
          <w:p>
            <w:pPr>
              <w:pStyle w:val="TableText"/>
              <w:ind w:left="229"/>
              <w:spacing w:before="86" w:line="213" w:lineRule="auto"/>
              <w:rPr>
                <w:sz w:val="20"/>
                <w:szCs w:val="20"/>
              </w:rPr>
            </w:pPr>
            <w:r>
              <w:rPr>
                <w:sz w:val="20"/>
                <w:szCs w:val="20"/>
                <w:b/>
                <w:bCs/>
                <w:spacing w:val="11"/>
              </w:rPr>
              <w:t>（只含本规定中对未按照国家环境保护标准贮存危险废物的处罚）</w:t>
            </w:r>
          </w:p>
        </w:tc>
      </w:tr>
      <w:tr>
        <w:trPr>
          <w:trHeight w:val="1119" w:hRule="atLeast"/>
        </w:trPr>
        <w:tc>
          <w:tcPr>
            <w:tcW w:w="1002" w:type="dxa"/>
            <w:vAlign w:val="top"/>
          </w:tcPr>
          <w:p>
            <w:pPr>
              <w:spacing w:line="446" w:lineRule="auto"/>
              <w:rPr>
                <w:rFonts w:ascii="Arial"/>
                <w:sz w:val="21"/>
              </w:rPr>
            </w:pPr>
            <w:r/>
          </w:p>
          <w:p>
            <w:pPr>
              <w:pStyle w:val="TableText"/>
              <w:ind w:left="306"/>
              <w:spacing w:before="65" w:line="189" w:lineRule="auto"/>
              <w:rPr>
                <w:sz w:val="20"/>
                <w:szCs w:val="20"/>
              </w:rPr>
            </w:pPr>
            <w:r>
              <w:rPr>
                <w:sz w:val="20"/>
                <w:szCs w:val="20"/>
                <w:spacing w:val="-7"/>
              </w:rPr>
              <w:t>14</w:t>
            </w:r>
          </w:p>
        </w:tc>
        <w:tc>
          <w:tcPr>
            <w:tcW w:w="5713" w:type="dxa"/>
            <w:vAlign w:val="top"/>
          </w:tcPr>
          <w:p>
            <w:pPr>
              <w:spacing w:line="249" w:lineRule="auto"/>
              <w:rPr>
                <w:rFonts w:ascii="Arial"/>
                <w:sz w:val="21"/>
              </w:rPr>
            </w:pPr>
            <w:r/>
          </w:p>
          <w:p>
            <w:pPr>
              <w:pStyle w:val="TableText"/>
              <w:ind w:left="111" w:right="139"/>
              <w:spacing w:before="65" w:line="244" w:lineRule="auto"/>
              <w:jc w:val="both"/>
              <w:rPr>
                <w:sz w:val="20"/>
                <w:szCs w:val="20"/>
              </w:rPr>
            </w:pPr>
            <w:r>
              <w:rPr>
                <w:sz w:val="20"/>
                <w:szCs w:val="20"/>
                <w:spacing w:val="10"/>
              </w:rPr>
              <w:t>环境管理台账未严格按照相关规定完整记录数据</w:t>
            </w:r>
            <w:r>
              <w:rPr>
                <w:sz w:val="20"/>
                <w:szCs w:val="20"/>
                <w:spacing w:val="9"/>
              </w:rPr>
              <w:t>的，经现场</w:t>
            </w:r>
            <w:r>
              <w:rPr>
                <w:sz w:val="20"/>
                <w:szCs w:val="20"/>
              </w:rPr>
              <w:t xml:space="preserve"> </w:t>
            </w:r>
            <w:r>
              <w:rPr>
                <w:sz w:val="20"/>
                <w:szCs w:val="20"/>
                <w:spacing w:val="10"/>
              </w:rPr>
              <w:t>检查指出后立即改正，并自整改之日起按照</w:t>
            </w:r>
            <w:r>
              <w:rPr>
                <w:sz w:val="20"/>
                <w:szCs w:val="20"/>
                <w:spacing w:val="9"/>
              </w:rPr>
              <w:t>相关规定要求记</w:t>
            </w:r>
            <w:r>
              <w:rPr>
                <w:sz w:val="20"/>
                <w:szCs w:val="20"/>
              </w:rPr>
              <w:t xml:space="preserve"> </w:t>
            </w:r>
            <w:r>
              <w:rPr>
                <w:sz w:val="20"/>
                <w:szCs w:val="20"/>
                <w:spacing w:val="4"/>
              </w:rPr>
              <w:t>录的；</w:t>
            </w:r>
          </w:p>
        </w:tc>
        <w:tc>
          <w:tcPr>
            <w:tcW w:w="7844" w:type="dxa"/>
            <w:vAlign w:val="top"/>
          </w:tcPr>
          <w:p>
            <w:pPr>
              <w:pStyle w:val="TableText"/>
              <w:ind w:left="654"/>
              <w:spacing w:before="34" w:line="228" w:lineRule="auto"/>
              <w:rPr>
                <w:sz w:val="20"/>
                <w:szCs w:val="20"/>
              </w:rPr>
            </w:pPr>
            <w:r>
              <w:rPr>
                <w:sz w:val="20"/>
                <w:szCs w:val="20"/>
                <w:spacing w:val="8"/>
              </w:rPr>
              <w:t>1.《河北省生态环境保护条例》第七十四条</w:t>
            </w:r>
          </w:p>
          <w:p>
            <w:pPr>
              <w:pStyle w:val="TableText"/>
              <w:ind w:left="221" w:right="279" w:firstLine="417"/>
              <w:spacing w:before="30" w:line="245" w:lineRule="auto"/>
              <w:rPr>
                <w:sz w:val="20"/>
                <w:szCs w:val="20"/>
              </w:rPr>
            </w:pPr>
            <w:r>
              <w:rPr>
                <w:sz w:val="20"/>
                <w:szCs w:val="20"/>
                <w:spacing w:val="10"/>
              </w:rPr>
              <w:t>违反本条例规定，排放污染物的企业事业单位和其</w:t>
            </w:r>
            <w:r>
              <w:rPr>
                <w:sz w:val="20"/>
                <w:szCs w:val="20"/>
                <w:spacing w:val="9"/>
              </w:rPr>
              <w:t>他生产经营者未按照规定</w:t>
            </w:r>
            <w:r>
              <w:rPr>
                <w:sz w:val="20"/>
                <w:szCs w:val="20"/>
              </w:rPr>
              <w:t xml:space="preserve"> </w:t>
            </w:r>
            <w:r>
              <w:rPr>
                <w:sz w:val="20"/>
                <w:szCs w:val="20"/>
                <w:spacing w:val="10"/>
              </w:rPr>
              <w:t>建立、保存环境管理台账或者台账记录内容不完整</w:t>
            </w:r>
            <w:r>
              <w:rPr>
                <w:sz w:val="20"/>
                <w:szCs w:val="20"/>
                <w:spacing w:val="9"/>
              </w:rPr>
              <w:t>、弄虚作假的，由生态环境主</w:t>
            </w:r>
            <w:r>
              <w:rPr>
                <w:sz w:val="20"/>
                <w:szCs w:val="20"/>
              </w:rPr>
              <w:t xml:space="preserve"> </w:t>
            </w:r>
            <w:r>
              <w:rPr>
                <w:sz w:val="20"/>
                <w:szCs w:val="20"/>
                <w:spacing w:val="10"/>
              </w:rPr>
              <w:t>管部门责令改正，处二万元以上二十万元以下的罚</w:t>
            </w:r>
            <w:r>
              <w:rPr>
                <w:sz w:val="20"/>
                <w:szCs w:val="20"/>
                <w:spacing w:val="9"/>
              </w:rPr>
              <w:t>款；拒不改正的，责令停产整</w:t>
            </w:r>
          </w:p>
        </w:tc>
      </w:tr>
    </w:tbl>
    <w:p>
      <w:pPr>
        <w:pStyle w:val="BodyText"/>
        <w:rPr/>
      </w:pPr>
      <w:r/>
    </w:p>
    <w:p>
      <w:pPr>
        <w:sectPr>
          <w:footerReference w:type="default" r:id="rId440"/>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1660"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223"/>
              <w:spacing w:before="35" w:line="233" w:lineRule="auto"/>
              <w:rPr>
                <w:sz w:val="20"/>
                <w:szCs w:val="20"/>
              </w:rPr>
            </w:pPr>
            <w:r>
              <w:rPr>
                <w:sz w:val="20"/>
                <w:szCs w:val="20"/>
                <w:spacing w:val="-3"/>
              </w:rPr>
              <w:t>治。</w:t>
            </w:r>
          </w:p>
          <w:p>
            <w:pPr>
              <w:pStyle w:val="TableText"/>
              <w:ind w:left="641"/>
              <w:spacing w:before="304" w:line="228" w:lineRule="auto"/>
              <w:rPr>
                <w:sz w:val="20"/>
                <w:szCs w:val="20"/>
              </w:rPr>
            </w:pPr>
            <w:r>
              <w:rPr>
                <w:sz w:val="20"/>
                <w:szCs w:val="20"/>
                <w:spacing w:val="8"/>
              </w:rPr>
              <w:t>2.《排污许可管理条例》第三十七条</w:t>
            </w:r>
          </w:p>
          <w:p>
            <w:pPr>
              <w:pStyle w:val="TableText"/>
              <w:ind w:left="130" w:right="176" w:firstLine="402"/>
              <w:spacing w:before="30" w:line="238" w:lineRule="auto"/>
              <w:rPr>
                <w:sz w:val="20"/>
                <w:szCs w:val="20"/>
              </w:rPr>
            </w:pPr>
            <w:r>
              <w:rPr>
                <w:sz w:val="20"/>
                <w:szCs w:val="20"/>
                <w:spacing w:val="10"/>
              </w:rPr>
              <w:t>违反本条例规定，排污单位有下列行为之一的，由</w:t>
            </w:r>
            <w:r>
              <w:rPr>
                <w:sz w:val="20"/>
                <w:szCs w:val="20"/>
                <w:spacing w:val="9"/>
              </w:rPr>
              <w:t>生态环境主管部门责令改正</w:t>
            </w:r>
            <w:r>
              <w:rPr>
                <w:sz w:val="20"/>
                <w:szCs w:val="20"/>
              </w:rPr>
              <w:t xml:space="preserve"> </w:t>
            </w:r>
            <w:r>
              <w:rPr>
                <w:sz w:val="20"/>
                <w:szCs w:val="20"/>
                <w:spacing w:val="6"/>
              </w:rPr>
              <w:t>,</w:t>
            </w:r>
            <w:r>
              <w:rPr>
                <w:sz w:val="20"/>
                <w:szCs w:val="20"/>
                <w:spacing w:val="75"/>
              </w:rPr>
              <w:t xml:space="preserve"> </w:t>
            </w:r>
            <w:r>
              <w:rPr>
                <w:sz w:val="20"/>
                <w:szCs w:val="20"/>
                <w:spacing w:val="6"/>
              </w:rPr>
              <w:t>处每次</w:t>
            </w:r>
            <w:r>
              <w:rPr>
                <w:rFonts w:ascii="Arial" w:hAnsi="Arial" w:eastAsia="Arial" w:cs="Arial"/>
                <w:sz w:val="20"/>
                <w:szCs w:val="20"/>
                <w:spacing w:val="6"/>
              </w:rPr>
              <w:t>5</w:t>
            </w:r>
            <w:r>
              <w:rPr>
                <w:sz w:val="20"/>
                <w:szCs w:val="20"/>
                <w:spacing w:val="6"/>
              </w:rPr>
              <w:t>千元以上</w:t>
            </w:r>
            <w:r>
              <w:rPr>
                <w:rFonts w:ascii="Arial" w:hAnsi="Arial" w:eastAsia="Arial" w:cs="Arial"/>
                <w:sz w:val="20"/>
                <w:szCs w:val="20"/>
                <w:spacing w:val="6"/>
              </w:rPr>
              <w:t>2</w:t>
            </w:r>
            <w:r>
              <w:rPr>
                <w:sz w:val="20"/>
                <w:szCs w:val="20"/>
                <w:spacing w:val="6"/>
              </w:rPr>
              <w:t>万元以下的罚款；法律另有规定的，从其规定：</w:t>
            </w:r>
          </w:p>
          <w:p>
            <w:pPr>
              <w:pStyle w:val="TableText"/>
              <w:ind w:left="464"/>
              <w:spacing w:before="27" w:line="218" w:lineRule="auto"/>
              <w:rPr>
                <w:sz w:val="20"/>
                <w:szCs w:val="20"/>
              </w:rPr>
            </w:pPr>
            <w:r>
              <w:rPr>
                <w:sz w:val="20"/>
                <w:szCs w:val="20"/>
                <w:spacing w:val="5"/>
              </w:rPr>
              <w:t>（一）未建立环境管理台账记录制度，或者未按照排污许可证规定记录；</w:t>
            </w:r>
          </w:p>
        </w:tc>
      </w:tr>
      <w:tr>
        <w:trPr>
          <w:trHeight w:val="2485" w:hRule="atLeast"/>
        </w:trPr>
        <w:tc>
          <w:tcPr>
            <w:tcW w:w="1002"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306"/>
              <w:spacing w:before="65" w:line="190" w:lineRule="auto"/>
              <w:rPr>
                <w:sz w:val="20"/>
                <w:szCs w:val="20"/>
              </w:rPr>
            </w:pPr>
            <w:r>
              <w:rPr>
                <w:sz w:val="20"/>
                <w:szCs w:val="20"/>
                <w:spacing w:val="-7"/>
              </w:rPr>
              <w:t>15</w:t>
            </w:r>
          </w:p>
        </w:tc>
        <w:tc>
          <w:tcPr>
            <w:tcW w:w="5713" w:type="dxa"/>
            <w:vAlign w:val="top"/>
          </w:tcPr>
          <w:p>
            <w:pPr>
              <w:spacing w:line="259" w:lineRule="auto"/>
              <w:rPr>
                <w:rFonts w:ascii="Arial"/>
                <w:sz w:val="21"/>
              </w:rPr>
            </w:pPr>
            <w:r/>
          </w:p>
          <w:p>
            <w:pPr>
              <w:spacing w:line="259" w:lineRule="auto"/>
              <w:rPr>
                <w:rFonts w:ascii="Arial"/>
                <w:sz w:val="21"/>
              </w:rPr>
            </w:pPr>
            <w:r/>
          </w:p>
          <w:p>
            <w:pPr>
              <w:pStyle w:val="TableText"/>
              <w:ind w:left="162" w:right="139" w:firstLine="3"/>
              <w:spacing w:before="65" w:line="248" w:lineRule="auto"/>
              <w:jc w:val="both"/>
              <w:rPr>
                <w:sz w:val="20"/>
                <w:szCs w:val="20"/>
              </w:rPr>
            </w:pPr>
            <w:r>
              <w:rPr>
                <w:sz w:val="20"/>
                <w:szCs w:val="20"/>
                <w:spacing w:val="13"/>
              </w:rPr>
              <w:t>未按照规定开展突发环境事件的风险评估、环境安全隐患</w:t>
            </w:r>
            <w:r>
              <w:rPr>
                <w:sz w:val="20"/>
                <w:szCs w:val="20"/>
                <w:spacing w:val="7"/>
              </w:rPr>
              <w:t xml:space="preserve"> </w:t>
            </w:r>
            <w:r>
              <w:rPr>
                <w:sz w:val="20"/>
                <w:szCs w:val="20"/>
                <w:spacing w:val="13"/>
              </w:rPr>
              <w:t>排查治理、应急预案备案、应急培训，或未按规定储备必</w:t>
            </w:r>
            <w:r>
              <w:rPr>
                <w:sz w:val="20"/>
                <w:szCs w:val="20"/>
                <w:spacing w:val="10"/>
              </w:rPr>
              <w:t xml:space="preserve"> </w:t>
            </w:r>
            <w:r>
              <w:rPr>
                <w:sz w:val="20"/>
                <w:szCs w:val="20"/>
                <w:spacing w:val="13"/>
              </w:rPr>
              <w:t>要的环境应急装备和物资，或未按规定公开突发环境事件</w:t>
            </w:r>
            <w:r>
              <w:rPr>
                <w:sz w:val="20"/>
                <w:szCs w:val="20"/>
                <w:spacing w:val="10"/>
              </w:rPr>
              <w:t xml:space="preserve"> </w:t>
            </w:r>
            <w:r>
              <w:rPr>
                <w:sz w:val="20"/>
                <w:szCs w:val="20"/>
                <w:spacing w:val="12"/>
              </w:rPr>
              <w:t>相关信息，且3年内未发生突发环境事件，</w:t>
            </w:r>
            <w:r>
              <w:rPr>
                <w:sz w:val="20"/>
                <w:szCs w:val="20"/>
                <w:spacing w:val="11"/>
              </w:rPr>
              <w:t>经责令改正及时</w:t>
            </w:r>
            <w:r>
              <w:rPr>
                <w:sz w:val="20"/>
                <w:szCs w:val="20"/>
              </w:rPr>
              <w:t xml:space="preserve"> </w:t>
            </w:r>
            <w:r>
              <w:rPr>
                <w:sz w:val="20"/>
                <w:szCs w:val="20"/>
                <w:spacing w:val="11"/>
              </w:rPr>
              <w:t>完成整改的</w:t>
            </w:r>
          </w:p>
        </w:tc>
        <w:tc>
          <w:tcPr>
            <w:tcW w:w="7844" w:type="dxa"/>
            <w:vAlign w:val="top"/>
          </w:tcPr>
          <w:p>
            <w:pPr>
              <w:pStyle w:val="TableText"/>
              <w:ind w:left="608"/>
              <w:spacing w:before="31" w:line="228" w:lineRule="auto"/>
              <w:rPr>
                <w:sz w:val="20"/>
                <w:szCs w:val="20"/>
              </w:rPr>
            </w:pPr>
            <w:r>
              <w:rPr>
                <w:sz w:val="20"/>
                <w:szCs w:val="20"/>
                <w:spacing w:val="11"/>
              </w:rPr>
              <w:t>1.《突发环境事件应急管理办法》第三十八条</w:t>
            </w:r>
          </w:p>
          <w:p>
            <w:pPr>
              <w:pStyle w:val="TableText"/>
              <w:ind w:left="165" w:right="248" w:firstLine="431"/>
              <w:spacing w:before="28" w:line="242" w:lineRule="auto"/>
              <w:rPr>
                <w:sz w:val="20"/>
                <w:szCs w:val="20"/>
              </w:rPr>
            </w:pPr>
            <w:r>
              <w:rPr>
                <w:sz w:val="20"/>
                <w:szCs w:val="20"/>
                <w:spacing w:val="10"/>
              </w:rPr>
              <w:t>企业事业单位有下列情形之一的，</w:t>
            </w:r>
            <w:r>
              <w:rPr>
                <w:sz w:val="20"/>
                <w:szCs w:val="20"/>
                <w:spacing w:val="-38"/>
              </w:rPr>
              <w:t xml:space="preserve"> </w:t>
            </w:r>
            <w:r>
              <w:rPr>
                <w:sz w:val="20"/>
                <w:szCs w:val="20"/>
                <w:spacing w:val="10"/>
              </w:rPr>
              <w:t>由县级以上环境保护主管部门责令改正，</w:t>
            </w:r>
            <w:r>
              <w:rPr>
                <w:sz w:val="20"/>
                <w:szCs w:val="20"/>
              </w:rPr>
              <w:t xml:space="preserve"> </w:t>
            </w:r>
            <w:r>
              <w:rPr>
                <w:sz w:val="20"/>
                <w:szCs w:val="20"/>
                <w:spacing w:val="12"/>
              </w:rPr>
              <w:t>可以处一万元以上三万元以下罚款：</w:t>
            </w:r>
          </w:p>
          <w:p>
            <w:pPr>
              <w:pStyle w:val="TableText"/>
              <w:ind w:left="596"/>
              <w:spacing w:before="28" w:line="226" w:lineRule="auto"/>
              <w:rPr>
                <w:sz w:val="20"/>
                <w:szCs w:val="20"/>
              </w:rPr>
            </w:pPr>
            <w:r>
              <w:rPr>
                <w:sz w:val="20"/>
                <w:szCs w:val="20"/>
                <w:spacing w:val="13"/>
              </w:rPr>
              <w:t>未按规定开展突发环境事件风险评估工作，确定</w:t>
            </w:r>
            <w:r>
              <w:rPr>
                <w:sz w:val="20"/>
                <w:szCs w:val="20"/>
                <w:spacing w:val="12"/>
              </w:rPr>
              <w:t>风险等级的；</w:t>
            </w:r>
          </w:p>
          <w:p>
            <w:pPr>
              <w:pStyle w:val="TableText"/>
              <w:ind w:left="596"/>
              <w:spacing w:before="28" w:line="228" w:lineRule="auto"/>
              <w:rPr>
                <w:sz w:val="20"/>
                <w:szCs w:val="20"/>
              </w:rPr>
            </w:pPr>
            <w:r>
              <w:rPr>
                <w:sz w:val="20"/>
                <w:szCs w:val="20"/>
                <w:spacing w:val="13"/>
              </w:rPr>
              <w:t>未按规定开展环境安全隐患排查治理工作，建立隐患排查治理档案的；</w:t>
            </w:r>
          </w:p>
          <w:p>
            <w:pPr>
              <w:pStyle w:val="TableText"/>
              <w:ind w:left="596"/>
              <w:spacing w:before="29" w:line="228" w:lineRule="auto"/>
              <w:rPr>
                <w:sz w:val="20"/>
                <w:szCs w:val="20"/>
              </w:rPr>
            </w:pPr>
            <w:r>
              <w:rPr>
                <w:sz w:val="20"/>
                <w:szCs w:val="20"/>
                <w:spacing w:val="12"/>
              </w:rPr>
              <w:t>未按规定将突发环境事件应急预案备案的；</w:t>
            </w:r>
          </w:p>
          <w:p>
            <w:pPr>
              <w:pStyle w:val="TableText"/>
              <w:ind w:left="596"/>
              <w:spacing w:before="29" w:line="228" w:lineRule="auto"/>
              <w:rPr>
                <w:sz w:val="20"/>
                <w:szCs w:val="20"/>
              </w:rPr>
            </w:pPr>
            <w:r>
              <w:rPr>
                <w:sz w:val="20"/>
                <w:szCs w:val="20"/>
                <w:spacing w:val="13"/>
              </w:rPr>
              <w:t>未按规定开展突发环境事件应急培训，如实记录</w:t>
            </w:r>
            <w:r>
              <w:rPr>
                <w:sz w:val="20"/>
                <w:szCs w:val="20"/>
                <w:spacing w:val="12"/>
              </w:rPr>
              <w:t>培训情况的；</w:t>
            </w:r>
          </w:p>
          <w:p>
            <w:pPr>
              <w:pStyle w:val="TableText"/>
              <w:ind w:left="596"/>
              <w:spacing w:before="29" w:line="228" w:lineRule="auto"/>
              <w:rPr>
                <w:sz w:val="20"/>
                <w:szCs w:val="20"/>
              </w:rPr>
            </w:pPr>
            <w:r>
              <w:rPr>
                <w:sz w:val="20"/>
                <w:szCs w:val="20"/>
                <w:spacing w:val="12"/>
              </w:rPr>
              <w:t>未按规定储备必要的环境应急装备和物资；</w:t>
            </w:r>
          </w:p>
          <w:p>
            <w:pPr>
              <w:pStyle w:val="TableText"/>
              <w:ind w:left="596"/>
              <w:spacing w:before="29" w:line="219" w:lineRule="auto"/>
              <w:rPr>
                <w:sz w:val="20"/>
                <w:szCs w:val="20"/>
              </w:rPr>
            </w:pPr>
            <w:r>
              <w:rPr>
                <w:sz w:val="20"/>
                <w:szCs w:val="20"/>
                <w:spacing w:val="12"/>
              </w:rPr>
              <w:t>未按规定公开突发环境事件相关信息的。</w:t>
            </w:r>
          </w:p>
        </w:tc>
      </w:tr>
      <w:tr>
        <w:trPr>
          <w:trHeight w:val="4821" w:hRule="atLeast"/>
        </w:trPr>
        <w:tc>
          <w:tcPr>
            <w:tcW w:w="1002"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06"/>
              <w:spacing w:before="65" w:line="190" w:lineRule="auto"/>
              <w:rPr>
                <w:sz w:val="20"/>
                <w:szCs w:val="20"/>
              </w:rPr>
            </w:pPr>
            <w:r>
              <w:rPr>
                <w:sz w:val="20"/>
                <w:szCs w:val="20"/>
                <w:spacing w:val="-7"/>
              </w:rPr>
              <w:t>16</w:t>
            </w:r>
          </w:p>
        </w:tc>
        <w:tc>
          <w:tcPr>
            <w:tcW w:w="571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79" w:right="208" w:hanging="16"/>
              <w:spacing w:before="65" w:line="243" w:lineRule="auto"/>
              <w:jc w:val="both"/>
              <w:rPr>
                <w:sz w:val="20"/>
                <w:szCs w:val="20"/>
              </w:rPr>
            </w:pPr>
            <w:r>
              <w:rPr>
                <w:sz w:val="20"/>
                <w:szCs w:val="20"/>
                <w:spacing w:val="13"/>
              </w:rPr>
              <w:t>重点排污单位环境信息未按规定时限公开或公开内容不全</w:t>
            </w:r>
            <w:r>
              <w:rPr>
                <w:sz w:val="20"/>
                <w:szCs w:val="20"/>
                <w:spacing w:val="9"/>
              </w:rPr>
              <w:t xml:space="preserve"> </w:t>
            </w:r>
            <w:r>
              <w:rPr>
                <w:sz w:val="20"/>
                <w:szCs w:val="20"/>
                <w:spacing w:val="10"/>
              </w:rPr>
              <w:t>,</w:t>
            </w:r>
            <w:r>
              <w:rPr>
                <w:sz w:val="20"/>
                <w:szCs w:val="20"/>
                <w:spacing w:val="68"/>
              </w:rPr>
              <w:t xml:space="preserve"> </w:t>
            </w:r>
            <w:r>
              <w:rPr>
                <w:sz w:val="20"/>
                <w:szCs w:val="20"/>
                <w:spacing w:val="10"/>
              </w:rPr>
              <w:t>或排污单位未按照排污许可证规定公开污染物排放信息</w:t>
            </w:r>
            <w:r>
              <w:rPr>
                <w:sz w:val="20"/>
                <w:szCs w:val="20"/>
              </w:rPr>
              <w:t xml:space="preserve"> </w:t>
            </w:r>
            <w:r>
              <w:rPr>
                <w:sz w:val="20"/>
                <w:szCs w:val="20"/>
                <w:spacing w:val="9"/>
              </w:rPr>
              <w:t>,</w:t>
            </w:r>
            <w:r>
              <w:rPr>
                <w:sz w:val="20"/>
                <w:szCs w:val="20"/>
                <w:spacing w:val="79"/>
              </w:rPr>
              <w:t xml:space="preserve"> </w:t>
            </w:r>
            <w:r>
              <w:rPr>
                <w:sz w:val="20"/>
                <w:szCs w:val="20"/>
                <w:spacing w:val="9"/>
              </w:rPr>
              <w:t>按要求及时完成整改的（不含公开内容弄虚作假行为）</w:t>
            </w:r>
          </w:p>
        </w:tc>
        <w:tc>
          <w:tcPr>
            <w:tcW w:w="7844" w:type="dxa"/>
            <w:vAlign w:val="top"/>
          </w:tcPr>
          <w:p>
            <w:pPr>
              <w:pStyle w:val="TableText"/>
              <w:ind w:left="599"/>
              <w:spacing w:before="78" w:line="228" w:lineRule="auto"/>
              <w:rPr>
                <w:sz w:val="20"/>
                <w:szCs w:val="20"/>
              </w:rPr>
            </w:pPr>
            <w:r>
              <w:rPr>
                <w:sz w:val="20"/>
                <w:szCs w:val="20"/>
                <w:spacing w:val="8"/>
              </w:rPr>
              <w:t>1.《中华人民共和国环境保护法》第六十二条</w:t>
            </w:r>
          </w:p>
          <w:p>
            <w:pPr>
              <w:pStyle w:val="TableText"/>
              <w:ind w:left="163" w:right="159" w:firstLine="420"/>
              <w:spacing w:before="73" w:line="279" w:lineRule="auto"/>
              <w:rPr>
                <w:sz w:val="20"/>
                <w:szCs w:val="20"/>
              </w:rPr>
            </w:pPr>
            <w:r>
              <w:rPr>
                <w:sz w:val="20"/>
                <w:szCs w:val="20"/>
                <w:spacing w:val="9"/>
              </w:rPr>
              <w:t>违反本法规定，重点排污单位不公开或者不如实公开</w:t>
            </w:r>
            <w:r>
              <w:rPr>
                <w:sz w:val="20"/>
                <w:szCs w:val="20"/>
                <w:spacing w:val="8"/>
              </w:rPr>
              <w:t>环境信息的，由县级以上</w:t>
            </w:r>
            <w:r>
              <w:rPr>
                <w:sz w:val="20"/>
                <w:szCs w:val="20"/>
              </w:rPr>
              <w:t xml:space="preserve"> </w:t>
            </w:r>
            <w:r>
              <w:rPr>
                <w:sz w:val="20"/>
                <w:szCs w:val="20"/>
                <w:spacing w:val="9"/>
              </w:rPr>
              <w:t>地方人民政府环境保护主管部门责令公开，处以罚款，并予以公告。</w:t>
            </w:r>
          </w:p>
          <w:p>
            <w:pPr>
              <w:spacing w:line="290" w:lineRule="auto"/>
              <w:rPr>
                <w:rFonts w:ascii="Arial"/>
                <w:sz w:val="21"/>
              </w:rPr>
            </w:pPr>
            <w:r/>
          </w:p>
          <w:p>
            <w:pPr>
              <w:pStyle w:val="TableText"/>
              <w:ind w:left="586"/>
              <w:spacing w:before="65" w:line="228" w:lineRule="auto"/>
              <w:rPr>
                <w:sz w:val="20"/>
                <w:szCs w:val="20"/>
              </w:rPr>
            </w:pPr>
            <w:r>
              <w:rPr>
                <w:sz w:val="20"/>
                <w:szCs w:val="20"/>
                <w:spacing w:val="6"/>
              </w:rPr>
              <w:t>2.《排污许可管理条例》第三十六条</w:t>
            </w:r>
          </w:p>
          <w:p>
            <w:pPr>
              <w:pStyle w:val="TableText"/>
              <w:ind w:left="168" w:right="153" w:firstLine="390"/>
              <w:spacing w:before="74" w:line="280" w:lineRule="auto"/>
              <w:rPr>
                <w:sz w:val="20"/>
                <w:szCs w:val="20"/>
              </w:rPr>
            </w:pPr>
            <w:r>
              <w:rPr>
                <w:sz w:val="20"/>
                <w:szCs w:val="20"/>
                <w:spacing w:val="-5"/>
              </w:rPr>
              <w:t>违反本条例规定，排污单位有下列行为之一的，由生态环境主管部门责令改正，处2</w:t>
            </w:r>
            <w:r>
              <w:rPr>
                <w:sz w:val="20"/>
                <w:szCs w:val="20"/>
                <w:spacing w:val="9"/>
              </w:rPr>
              <w:t xml:space="preserve"> </w:t>
            </w:r>
            <w:r>
              <w:rPr>
                <w:sz w:val="20"/>
                <w:szCs w:val="20"/>
                <w:spacing w:val="-2"/>
              </w:rPr>
              <w:t>万元以上20万元以下的罚款；拒不改正的，责令停产整治：</w:t>
            </w:r>
          </w:p>
          <w:p>
            <w:pPr>
              <w:pStyle w:val="TableText"/>
              <w:ind w:left="569"/>
              <w:spacing w:before="36" w:line="228" w:lineRule="auto"/>
              <w:rPr>
                <w:sz w:val="20"/>
                <w:szCs w:val="20"/>
              </w:rPr>
            </w:pPr>
            <w:r>
              <w:rPr>
                <w:sz w:val="20"/>
                <w:szCs w:val="20"/>
                <w:spacing w:val="-2"/>
              </w:rPr>
              <w:t>（七）未按照排污许可证规定公开或者不如实公开污</w:t>
            </w:r>
            <w:r>
              <w:rPr>
                <w:sz w:val="20"/>
                <w:szCs w:val="20"/>
                <w:spacing w:val="-3"/>
              </w:rPr>
              <w:t>染物排放信息；</w:t>
            </w:r>
          </w:p>
          <w:p>
            <w:pPr>
              <w:spacing w:line="329" w:lineRule="auto"/>
              <w:rPr>
                <w:rFonts w:ascii="Arial"/>
                <w:sz w:val="21"/>
              </w:rPr>
            </w:pPr>
            <w:r/>
          </w:p>
          <w:p>
            <w:pPr>
              <w:pStyle w:val="TableText"/>
              <w:ind w:left="563"/>
              <w:spacing w:before="65" w:line="228" w:lineRule="auto"/>
              <w:rPr>
                <w:sz w:val="20"/>
                <w:szCs w:val="20"/>
              </w:rPr>
            </w:pPr>
            <w:r>
              <w:rPr>
                <w:sz w:val="20"/>
                <w:szCs w:val="20"/>
                <w:spacing w:val="-2"/>
              </w:rPr>
              <w:t>3.《河北省环境保护公众参与条例》第四十条</w:t>
            </w:r>
          </w:p>
          <w:p>
            <w:pPr>
              <w:pStyle w:val="TableText"/>
              <w:ind w:left="163" w:right="149" w:firstLine="396"/>
              <w:spacing w:before="74" w:line="286" w:lineRule="auto"/>
              <w:rPr>
                <w:sz w:val="20"/>
                <w:szCs w:val="20"/>
              </w:rPr>
            </w:pPr>
            <w:r>
              <w:rPr>
                <w:sz w:val="20"/>
                <w:szCs w:val="20"/>
                <w:spacing w:val="-2"/>
              </w:rPr>
              <w:t>重点排污单位未依照本条例规定的方式公开企业环境信息的，由县级以上人民政府</w:t>
            </w:r>
            <w:r>
              <w:rPr>
                <w:sz w:val="20"/>
                <w:szCs w:val="20"/>
              </w:rPr>
              <w:t xml:space="preserve"> </w:t>
            </w:r>
            <w:r>
              <w:rPr>
                <w:sz w:val="20"/>
                <w:szCs w:val="20"/>
                <w:spacing w:val="-2"/>
              </w:rPr>
              <w:t>环境保护主管部门处四万元以上十万元以下罚款，并责令限期公开。逾期不公开的，可</w:t>
            </w:r>
            <w:r>
              <w:rPr>
                <w:sz w:val="20"/>
                <w:szCs w:val="20"/>
              </w:rPr>
              <w:t xml:space="preserve"> </w:t>
            </w:r>
            <w:r>
              <w:rPr>
                <w:sz w:val="20"/>
                <w:szCs w:val="20"/>
                <w:spacing w:val="-2"/>
              </w:rPr>
              <w:t>以按照原处罚数额按日连续处罚。</w:t>
            </w:r>
          </w:p>
          <w:p>
            <w:pPr>
              <w:spacing w:line="287" w:lineRule="auto"/>
              <w:rPr>
                <w:rFonts w:ascii="Arial"/>
                <w:sz w:val="21"/>
              </w:rPr>
            </w:pPr>
            <w:r/>
          </w:p>
          <w:p>
            <w:pPr>
              <w:pStyle w:val="TableText"/>
              <w:ind w:left="558"/>
              <w:spacing w:before="66" w:line="219" w:lineRule="auto"/>
              <w:rPr>
                <w:sz w:val="20"/>
                <w:szCs w:val="20"/>
              </w:rPr>
            </w:pPr>
            <w:r>
              <w:rPr>
                <w:sz w:val="20"/>
                <w:szCs w:val="20"/>
                <w:spacing w:val="-2"/>
              </w:rPr>
              <w:t>4.《河北省生态环境保护条例》第七十七条</w:t>
            </w:r>
          </w:p>
        </w:tc>
      </w:tr>
    </w:tbl>
    <w:p>
      <w:pPr>
        <w:pStyle w:val="BodyText"/>
        <w:rPr/>
      </w:pPr>
      <w:r/>
    </w:p>
    <w:p>
      <w:pPr>
        <w:sectPr>
          <w:footerReference w:type="default" r:id="rId441"/>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651"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71" w:right="149" w:firstLine="388"/>
              <w:spacing w:before="84" w:line="257" w:lineRule="auto"/>
              <w:rPr>
                <w:sz w:val="20"/>
                <w:szCs w:val="20"/>
              </w:rPr>
            </w:pPr>
            <w:r>
              <w:rPr>
                <w:sz w:val="20"/>
                <w:szCs w:val="20"/>
                <w:spacing w:val="-2"/>
              </w:rPr>
              <w:t>违反本条例规定，重点排污单位未按照要求公开环境信息的，由生态环境主管部门</w:t>
            </w:r>
            <w:r>
              <w:rPr>
                <w:sz w:val="20"/>
                <w:szCs w:val="20"/>
              </w:rPr>
              <w:t xml:space="preserve"> </w:t>
            </w:r>
            <w:r>
              <w:rPr>
                <w:sz w:val="20"/>
                <w:szCs w:val="20"/>
                <w:spacing w:val="-3"/>
              </w:rPr>
              <w:t>责令公开，处十万元以下的罚款，并予以公告。</w:t>
            </w:r>
          </w:p>
        </w:tc>
      </w:tr>
      <w:tr>
        <w:trPr>
          <w:trHeight w:val="2154" w:hRule="atLeast"/>
        </w:trPr>
        <w:tc>
          <w:tcPr>
            <w:tcW w:w="1002" w:type="dxa"/>
            <w:vAlign w:val="top"/>
          </w:tcPr>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pStyle w:val="TableText"/>
              <w:ind w:left="306"/>
              <w:spacing w:before="65" w:line="190" w:lineRule="auto"/>
              <w:rPr>
                <w:sz w:val="20"/>
                <w:szCs w:val="20"/>
              </w:rPr>
            </w:pPr>
            <w:r>
              <w:rPr>
                <w:sz w:val="20"/>
                <w:szCs w:val="20"/>
                <w:spacing w:val="-7"/>
              </w:rPr>
              <w:t>17</w:t>
            </w:r>
          </w:p>
        </w:tc>
        <w:tc>
          <w:tcPr>
            <w:tcW w:w="5713"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61" w:right="208"/>
              <w:spacing w:before="66"/>
              <w:rPr>
                <w:sz w:val="20"/>
                <w:szCs w:val="20"/>
              </w:rPr>
            </w:pPr>
            <w:r>
              <w:rPr>
                <w:sz w:val="20"/>
                <w:szCs w:val="20"/>
                <w:spacing w:val="13"/>
              </w:rPr>
              <w:t>三个月内初次发现易产生扬尘的物料未按规定采取抑尘措</w:t>
            </w:r>
            <w:r>
              <w:rPr>
                <w:sz w:val="20"/>
                <w:szCs w:val="20"/>
                <w:spacing w:val="10"/>
              </w:rPr>
              <w:t xml:space="preserve"> </w:t>
            </w:r>
            <w:r>
              <w:rPr>
                <w:sz w:val="20"/>
                <w:szCs w:val="20"/>
                <w:spacing w:val="13"/>
              </w:rPr>
              <w:t>施，经责令改正后及时完成整改的</w:t>
            </w:r>
          </w:p>
        </w:tc>
        <w:tc>
          <w:tcPr>
            <w:tcW w:w="7844" w:type="dxa"/>
            <w:vAlign w:val="top"/>
          </w:tcPr>
          <w:p>
            <w:pPr>
              <w:pStyle w:val="TableText"/>
              <w:ind w:left="594"/>
              <w:spacing w:before="32" w:line="228" w:lineRule="auto"/>
              <w:rPr>
                <w:sz w:val="20"/>
                <w:szCs w:val="20"/>
              </w:rPr>
            </w:pPr>
            <w:r>
              <w:rPr>
                <w:sz w:val="20"/>
                <w:szCs w:val="20"/>
                <w:spacing w:val="8"/>
              </w:rPr>
              <w:t>1.《中华人民共和国大气污染防治法》第一百一十七条</w:t>
            </w:r>
          </w:p>
          <w:p>
            <w:pPr>
              <w:pStyle w:val="TableText"/>
              <w:ind w:left="160" w:right="123" w:firstLine="418"/>
              <w:spacing w:before="16" w:line="244" w:lineRule="auto"/>
              <w:rPr>
                <w:sz w:val="20"/>
                <w:szCs w:val="20"/>
              </w:rPr>
            </w:pPr>
            <w:r>
              <w:rPr>
                <w:sz w:val="20"/>
                <w:szCs w:val="20"/>
                <w:spacing w:val="4"/>
              </w:rPr>
              <w:t>违反本法规定，有下列行为之一的，由县级以上人民政府生态环境等</w:t>
            </w:r>
            <w:r>
              <w:rPr>
                <w:sz w:val="20"/>
                <w:szCs w:val="20"/>
                <w:spacing w:val="3"/>
              </w:rPr>
              <w:t>主管部门按</w:t>
            </w:r>
            <w:r>
              <w:rPr>
                <w:sz w:val="20"/>
                <w:szCs w:val="20"/>
              </w:rPr>
              <w:t xml:space="preserve"> </w:t>
            </w:r>
            <w:r>
              <w:rPr>
                <w:sz w:val="20"/>
                <w:szCs w:val="20"/>
                <w:spacing w:val="10"/>
              </w:rPr>
              <w:t>照职责责令改正，处一万元以上十万元以下的罚款</w:t>
            </w:r>
            <w:r>
              <w:rPr>
                <w:sz w:val="20"/>
                <w:szCs w:val="20"/>
                <w:spacing w:val="9"/>
              </w:rPr>
              <w:t>；拒不改正的，责令停工整治或</w:t>
            </w:r>
            <w:r>
              <w:rPr>
                <w:sz w:val="20"/>
                <w:szCs w:val="20"/>
              </w:rPr>
              <w:t xml:space="preserve"> </w:t>
            </w:r>
            <w:r>
              <w:rPr>
                <w:sz w:val="20"/>
                <w:szCs w:val="20"/>
                <w:spacing w:val="6"/>
              </w:rPr>
              <w:t>者停业整治：</w:t>
            </w:r>
          </w:p>
          <w:p>
            <w:pPr>
              <w:pStyle w:val="TableText"/>
              <w:ind w:left="112" w:right="176" w:firstLine="430"/>
              <w:spacing w:before="26" w:line="236" w:lineRule="auto"/>
              <w:rPr>
                <w:sz w:val="20"/>
                <w:szCs w:val="20"/>
              </w:rPr>
            </w:pPr>
            <w:r>
              <w:rPr>
                <w:sz w:val="20"/>
                <w:szCs w:val="20"/>
                <w:spacing w:val="9"/>
              </w:rPr>
              <w:t>（一）未密闭煤炭、煤矸石、煤渣、煤灰、水泥、石灰、石膏、砂土等易产生</w:t>
            </w:r>
            <w:r>
              <w:rPr>
                <w:sz w:val="20"/>
                <w:szCs w:val="20"/>
                <w:spacing w:val="12"/>
              </w:rPr>
              <w:t xml:space="preserve"> </w:t>
            </w:r>
            <w:r>
              <w:rPr>
                <w:sz w:val="20"/>
                <w:szCs w:val="20"/>
                <w:spacing w:val="7"/>
              </w:rPr>
              <w:t>扬尘的物料的；</w:t>
            </w:r>
          </w:p>
          <w:p>
            <w:pPr>
              <w:pStyle w:val="TableText"/>
              <w:ind w:left="178" w:right="137" w:firstLine="413"/>
              <w:spacing w:before="14" w:line="232" w:lineRule="auto"/>
              <w:rPr>
                <w:sz w:val="20"/>
                <w:szCs w:val="20"/>
              </w:rPr>
            </w:pPr>
            <w:r>
              <w:rPr>
                <w:sz w:val="20"/>
                <w:szCs w:val="20"/>
                <w:spacing w:val="9"/>
              </w:rPr>
              <w:t>（二）对不能密闭的易产生扬尘的物料，未设置不低于堆放物高度的严密围挡</w:t>
            </w:r>
            <w:r>
              <w:rPr>
                <w:sz w:val="20"/>
                <w:szCs w:val="20"/>
                <w:spacing w:val="2"/>
              </w:rPr>
              <w:t xml:space="preserve"> </w:t>
            </w:r>
            <w:r>
              <w:rPr>
                <w:sz w:val="20"/>
                <w:szCs w:val="20"/>
                <w:spacing w:val="3"/>
              </w:rPr>
              <w:t>,</w:t>
            </w:r>
            <w:r>
              <w:rPr>
                <w:sz w:val="20"/>
                <w:szCs w:val="20"/>
                <w:spacing w:val="76"/>
              </w:rPr>
              <w:t xml:space="preserve"> </w:t>
            </w:r>
            <w:r>
              <w:rPr>
                <w:sz w:val="20"/>
                <w:szCs w:val="20"/>
                <w:spacing w:val="3"/>
              </w:rPr>
              <w:t>或者未采取有效覆盖措施防治扬尘污染的；</w:t>
            </w:r>
          </w:p>
        </w:tc>
      </w:tr>
      <w:tr>
        <w:trPr>
          <w:trHeight w:val="5986" w:hRule="atLeast"/>
        </w:trPr>
        <w:tc>
          <w:tcPr>
            <w:tcW w:w="1002"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06"/>
              <w:spacing w:before="65" w:line="190" w:lineRule="auto"/>
              <w:rPr>
                <w:sz w:val="20"/>
                <w:szCs w:val="20"/>
              </w:rPr>
            </w:pPr>
            <w:r>
              <w:rPr>
                <w:sz w:val="20"/>
                <w:szCs w:val="20"/>
                <w:spacing w:val="-7"/>
              </w:rPr>
              <w:t>18</w:t>
            </w:r>
          </w:p>
        </w:tc>
        <w:tc>
          <w:tcPr>
            <w:tcW w:w="5713"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63" w:right="139" w:hanging="1"/>
              <w:spacing w:before="65" w:line="247" w:lineRule="auto"/>
              <w:jc w:val="both"/>
              <w:rPr>
                <w:sz w:val="20"/>
                <w:szCs w:val="20"/>
              </w:rPr>
            </w:pPr>
            <w:r>
              <w:rPr>
                <w:sz w:val="20"/>
                <w:szCs w:val="20"/>
                <w:spacing w:val="13"/>
              </w:rPr>
              <w:t>三个月内初次发现经监测超过许可浓度排放污染物，常规</w:t>
            </w:r>
            <w:r>
              <w:rPr>
                <w:sz w:val="20"/>
                <w:szCs w:val="20"/>
                <w:spacing w:val="10"/>
              </w:rPr>
              <w:t xml:space="preserve"> </w:t>
            </w:r>
            <w:r>
              <w:rPr>
                <w:sz w:val="20"/>
                <w:szCs w:val="20"/>
                <w:spacing w:val="11"/>
              </w:rPr>
              <w:t>污染物单因子超标倍数小于等于0.1倍，或者</w:t>
            </w:r>
            <w:r>
              <w:rPr>
                <w:sz w:val="20"/>
                <w:szCs w:val="20"/>
              </w:rPr>
              <w:t>pH</w:t>
            </w:r>
            <w:r>
              <w:rPr>
                <w:sz w:val="20"/>
                <w:szCs w:val="20"/>
                <w:spacing w:val="11"/>
              </w:rPr>
              <w:t>值大于等于</w:t>
            </w:r>
            <w:r>
              <w:rPr>
                <w:sz w:val="20"/>
                <w:szCs w:val="20"/>
                <w:spacing w:val="17"/>
              </w:rPr>
              <w:t xml:space="preserve"> </w:t>
            </w:r>
            <w:r>
              <w:rPr>
                <w:sz w:val="20"/>
                <w:szCs w:val="20"/>
                <w:spacing w:val="12"/>
              </w:rPr>
              <w:t>5且小于等于10的或者噪声超标在3分贝以内，2</w:t>
            </w:r>
            <w:r>
              <w:rPr>
                <w:sz w:val="20"/>
                <w:szCs w:val="20"/>
                <w:spacing w:val="11"/>
              </w:rPr>
              <w:t>4小时内完</w:t>
            </w:r>
            <w:r>
              <w:rPr>
                <w:sz w:val="20"/>
                <w:szCs w:val="20"/>
              </w:rPr>
              <w:t xml:space="preserve"> </w:t>
            </w:r>
            <w:r>
              <w:rPr>
                <w:sz w:val="20"/>
                <w:szCs w:val="20"/>
                <w:spacing w:val="12"/>
              </w:rPr>
              <w:t>成整改并达标排放的</w:t>
            </w:r>
          </w:p>
        </w:tc>
        <w:tc>
          <w:tcPr>
            <w:tcW w:w="7844" w:type="dxa"/>
            <w:vAlign w:val="top"/>
          </w:tcPr>
          <w:p>
            <w:pPr>
              <w:pStyle w:val="TableText"/>
              <w:ind w:left="593"/>
              <w:spacing w:before="60" w:line="228" w:lineRule="auto"/>
              <w:rPr>
                <w:sz w:val="20"/>
                <w:szCs w:val="20"/>
              </w:rPr>
            </w:pPr>
            <w:r>
              <w:rPr>
                <w:rFonts w:ascii="Calibri" w:hAnsi="Calibri" w:eastAsia="Calibri" w:cs="Calibri"/>
                <w:sz w:val="20"/>
                <w:szCs w:val="20"/>
                <w:spacing w:val="8"/>
              </w:rPr>
              <w:t>1.</w:t>
            </w:r>
            <w:r>
              <w:rPr>
                <w:sz w:val="20"/>
                <w:szCs w:val="20"/>
                <w:spacing w:val="8"/>
              </w:rPr>
              <w:t>《中华人民共和国大气污染防治法》第九十九条</w:t>
            </w:r>
          </w:p>
          <w:p>
            <w:pPr>
              <w:pStyle w:val="TableText"/>
              <w:ind w:left="164" w:right="161" w:firstLine="419"/>
              <w:spacing w:before="53" w:line="267" w:lineRule="auto"/>
              <w:rPr>
                <w:sz w:val="20"/>
                <w:szCs w:val="20"/>
              </w:rPr>
            </w:pPr>
            <w:r>
              <w:rPr>
                <w:sz w:val="20"/>
                <w:szCs w:val="20"/>
                <w:spacing w:val="9"/>
              </w:rPr>
              <w:t>违反本法规定，有下列行为之一的，由县级以</w:t>
            </w:r>
            <w:r>
              <w:rPr>
                <w:sz w:val="20"/>
                <w:szCs w:val="20"/>
                <w:spacing w:val="8"/>
              </w:rPr>
              <w:t>上人民政府生态环境主管部门责</w:t>
            </w:r>
            <w:r>
              <w:rPr>
                <w:sz w:val="20"/>
                <w:szCs w:val="20"/>
              </w:rPr>
              <w:t xml:space="preserve"> </w:t>
            </w:r>
            <w:r>
              <w:rPr>
                <w:sz w:val="20"/>
                <w:szCs w:val="20"/>
                <w:spacing w:val="9"/>
              </w:rPr>
              <w:t>令改正或者限制生产、停产整治，并处十万元以上一</w:t>
            </w:r>
            <w:r>
              <w:rPr>
                <w:sz w:val="20"/>
                <w:szCs w:val="20"/>
                <w:spacing w:val="8"/>
              </w:rPr>
              <w:t>百万元以下的罚款；情节严重</w:t>
            </w:r>
            <w:r>
              <w:rPr>
                <w:sz w:val="20"/>
                <w:szCs w:val="20"/>
              </w:rPr>
              <w:t xml:space="preserve"> </w:t>
            </w:r>
            <w:r>
              <w:rPr>
                <w:sz w:val="20"/>
                <w:szCs w:val="20"/>
                <w:spacing w:val="9"/>
              </w:rPr>
              <w:t>的，报经有批准权的人民政府批准，责令停业、关闭：</w:t>
            </w:r>
          </w:p>
          <w:p>
            <w:pPr>
              <w:pStyle w:val="TableText"/>
              <w:ind w:left="163" w:right="159" w:firstLine="430"/>
              <w:spacing w:before="31" w:line="263" w:lineRule="auto"/>
              <w:rPr>
                <w:sz w:val="20"/>
                <w:szCs w:val="20"/>
              </w:rPr>
            </w:pPr>
            <w:r>
              <w:rPr>
                <w:sz w:val="20"/>
                <w:szCs w:val="20"/>
                <w:spacing w:val="8"/>
              </w:rPr>
              <w:t>（二）超过大气污染物排放标准或者超过重点大气污染物排放总量控制指标排</w:t>
            </w:r>
            <w:r>
              <w:rPr>
                <w:sz w:val="20"/>
                <w:szCs w:val="20"/>
                <w:spacing w:val="12"/>
              </w:rPr>
              <w:t xml:space="preserve"> </w:t>
            </w:r>
            <w:r>
              <w:rPr>
                <w:sz w:val="20"/>
                <w:szCs w:val="20"/>
                <w:spacing w:val="7"/>
              </w:rPr>
              <w:t>放大气污染物的；</w:t>
            </w:r>
          </w:p>
          <w:p>
            <w:pPr>
              <w:pStyle w:val="TableText"/>
              <w:ind w:left="123"/>
              <w:spacing w:before="62" w:line="227" w:lineRule="auto"/>
              <w:rPr>
                <w:sz w:val="20"/>
                <w:szCs w:val="20"/>
              </w:rPr>
            </w:pPr>
            <w:r>
              <w:rPr>
                <w:sz w:val="20"/>
                <w:szCs w:val="20"/>
                <w:spacing w:val="8"/>
              </w:rPr>
              <w:t>（只含本规定中对超标排放大气污染物的处罚）</w:t>
            </w:r>
          </w:p>
          <w:p>
            <w:pPr>
              <w:spacing w:line="318" w:lineRule="auto"/>
              <w:rPr>
                <w:rFonts w:ascii="Arial"/>
                <w:sz w:val="21"/>
              </w:rPr>
            </w:pPr>
            <w:r/>
          </w:p>
          <w:p>
            <w:pPr>
              <w:spacing w:line="319" w:lineRule="auto"/>
              <w:rPr>
                <w:rFonts w:ascii="Arial"/>
                <w:sz w:val="21"/>
              </w:rPr>
            </w:pPr>
            <w:r/>
          </w:p>
          <w:p>
            <w:pPr>
              <w:pStyle w:val="TableText"/>
              <w:ind w:left="587"/>
              <w:spacing w:before="65" w:line="228" w:lineRule="auto"/>
              <w:rPr>
                <w:sz w:val="20"/>
                <w:szCs w:val="20"/>
              </w:rPr>
            </w:pPr>
            <w:r>
              <w:rPr>
                <w:rFonts w:ascii="Calibri" w:hAnsi="Calibri" w:eastAsia="Calibri" w:cs="Calibri"/>
                <w:sz w:val="20"/>
                <w:szCs w:val="20"/>
                <w:spacing w:val="8"/>
              </w:rPr>
              <w:t>2.</w:t>
            </w:r>
            <w:r>
              <w:rPr>
                <w:sz w:val="20"/>
                <w:szCs w:val="20"/>
                <w:spacing w:val="8"/>
              </w:rPr>
              <w:t>《河北省大气污染防治条例》第七十八条</w:t>
            </w:r>
          </w:p>
          <w:p>
            <w:pPr>
              <w:pStyle w:val="TableText"/>
              <w:ind w:left="162" w:right="159" w:firstLine="420"/>
              <w:spacing w:before="52" w:line="271" w:lineRule="auto"/>
              <w:rPr>
                <w:sz w:val="20"/>
                <w:szCs w:val="20"/>
              </w:rPr>
            </w:pPr>
            <w:r>
              <w:rPr>
                <w:sz w:val="20"/>
                <w:szCs w:val="20"/>
                <w:spacing w:val="9"/>
              </w:rPr>
              <w:t>违反本条例规定，有下列行为之一的，由县级以上</w:t>
            </w:r>
            <w:r>
              <w:rPr>
                <w:sz w:val="20"/>
                <w:szCs w:val="20"/>
                <w:spacing w:val="8"/>
              </w:rPr>
              <w:t>人民政府环境保护主管部门</w:t>
            </w:r>
            <w:r>
              <w:rPr>
                <w:sz w:val="20"/>
                <w:szCs w:val="20"/>
              </w:rPr>
              <w:t xml:space="preserve"> </w:t>
            </w:r>
            <w:r>
              <w:rPr>
                <w:sz w:val="20"/>
                <w:szCs w:val="20"/>
                <w:spacing w:val="9"/>
              </w:rPr>
              <w:t>责令停止排污或者限制生产、停产整治，并处十万元以上</w:t>
            </w:r>
            <w:r>
              <w:rPr>
                <w:sz w:val="20"/>
                <w:szCs w:val="20"/>
                <w:spacing w:val="8"/>
              </w:rPr>
              <w:t>三十万元以下罚款；情节</w:t>
            </w:r>
            <w:r>
              <w:rPr>
                <w:sz w:val="20"/>
                <w:szCs w:val="20"/>
              </w:rPr>
              <w:t xml:space="preserve"> </w:t>
            </w:r>
            <w:r>
              <w:rPr>
                <w:sz w:val="20"/>
                <w:szCs w:val="20"/>
                <w:spacing w:val="9"/>
              </w:rPr>
              <w:t>较重的，并处三十万元以上一百万元以下罚款；情节严重的，</w:t>
            </w:r>
            <w:r>
              <w:rPr>
                <w:sz w:val="20"/>
                <w:szCs w:val="20"/>
                <w:spacing w:val="8"/>
              </w:rPr>
              <w:t>报经有批准权的人民</w:t>
            </w:r>
            <w:r>
              <w:rPr>
                <w:sz w:val="20"/>
                <w:szCs w:val="20"/>
              </w:rPr>
              <w:t xml:space="preserve"> </w:t>
            </w:r>
            <w:r>
              <w:rPr>
                <w:sz w:val="20"/>
                <w:szCs w:val="20"/>
                <w:spacing w:val="9"/>
              </w:rPr>
              <w:t>政府批准，责令停业、关闭。受到罚款处罚，被责令改正</w:t>
            </w:r>
            <w:r>
              <w:rPr>
                <w:sz w:val="20"/>
                <w:szCs w:val="20"/>
                <w:spacing w:val="8"/>
              </w:rPr>
              <w:t>，拒不改正的，可以自责</w:t>
            </w:r>
            <w:r>
              <w:rPr>
                <w:sz w:val="20"/>
                <w:szCs w:val="20"/>
              </w:rPr>
              <w:t xml:space="preserve"> </w:t>
            </w:r>
            <w:r>
              <w:rPr>
                <w:sz w:val="20"/>
                <w:szCs w:val="20"/>
                <w:spacing w:val="9"/>
              </w:rPr>
              <w:t>令改正之日的次日起，按照原处罚数额按日连续处罚：</w:t>
            </w:r>
          </w:p>
          <w:p>
            <w:pPr>
              <w:pStyle w:val="TableText"/>
              <w:ind w:left="163" w:right="159" w:firstLine="430"/>
              <w:spacing w:before="32" w:line="263" w:lineRule="auto"/>
              <w:rPr>
                <w:sz w:val="20"/>
                <w:szCs w:val="20"/>
              </w:rPr>
            </w:pPr>
            <w:r>
              <w:rPr>
                <w:sz w:val="20"/>
                <w:szCs w:val="20"/>
                <w:spacing w:val="8"/>
              </w:rPr>
              <w:t>（二）超过大气污染物排放标准或者超过重点大气污染物排放总量控制指标排</w:t>
            </w:r>
            <w:r>
              <w:rPr>
                <w:sz w:val="20"/>
                <w:szCs w:val="20"/>
                <w:spacing w:val="12"/>
              </w:rPr>
              <w:t xml:space="preserve"> </w:t>
            </w:r>
            <w:r>
              <w:rPr>
                <w:sz w:val="20"/>
                <w:szCs w:val="20"/>
                <w:spacing w:val="7"/>
              </w:rPr>
              <w:t>放大气污染物的；</w:t>
            </w:r>
          </w:p>
          <w:p>
            <w:pPr>
              <w:pStyle w:val="TableText"/>
              <w:ind w:left="123"/>
              <w:spacing w:before="2" w:line="227" w:lineRule="auto"/>
              <w:rPr>
                <w:sz w:val="20"/>
                <w:szCs w:val="20"/>
              </w:rPr>
            </w:pPr>
            <w:r>
              <w:rPr>
                <w:sz w:val="20"/>
                <w:szCs w:val="20"/>
                <w:spacing w:val="8"/>
              </w:rPr>
              <w:t>（只含本规定中对超标排放大气污染物的处罚）</w:t>
            </w:r>
          </w:p>
          <w:p>
            <w:pPr>
              <w:pStyle w:val="TableText"/>
              <w:ind w:left="586"/>
              <w:spacing w:before="287" w:line="210" w:lineRule="auto"/>
              <w:rPr>
                <w:sz w:val="20"/>
                <w:szCs w:val="20"/>
              </w:rPr>
            </w:pPr>
            <w:r>
              <w:rPr>
                <w:rFonts w:ascii="Calibri" w:hAnsi="Calibri" w:eastAsia="Calibri" w:cs="Calibri"/>
                <w:sz w:val="20"/>
                <w:szCs w:val="20"/>
                <w:spacing w:val="9"/>
              </w:rPr>
              <w:t>3.</w:t>
            </w:r>
            <w:r>
              <w:rPr>
                <w:sz w:val="20"/>
                <w:szCs w:val="20"/>
                <w:spacing w:val="9"/>
              </w:rPr>
              <w:t>《中华人民共和国水污染防治法》第八</w:t>
            </w:r>
            <w:r>
              <w:rPr>
                <w:sz w:val="20"/>
                <w:szCs w:val="20"/>
                <w:spacing w:val="8"/>
              </w:rPr>
              <w:t>十三条</w:t>
            </w:r>
          </w:p>
        </w:tc>
      </w:tr>
    </w:tbl>
    <w:p>
      <w:pPr>
        <w:pStyle w:val="BodyText"/>
        <w:rPr/>
      </w:pPr>
      <w:r/>
    </w:p>
    <w:p>
      <w:pPr>
        <w:sectPr>
          <w:footerReference w:type="default" r:id="rId442"/>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5988"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63" w:right="159" w:firstLine="525"/>
              <w:spacing w:before="40" w:line="242" w:lineRule="auto"/>
              <w:jc w:val="both"/>
              <w:rPr>
                <w:sz w:val="20"/>
                <w:szCs w:val="20"/>
              </w:rPr>
            </w:pPr>
            <w:r>
              <w:rPr>
                <w:sz w:val="20"/>
                <w:szCs w:val="20"/>
                <w:spacing w:val="10"/>
              </w:rPr>
              <w:t>违反本法规定，有下列行为之一的，</w:t>
            </w:r>
            <w:r>
              <w:rPr>
                <w:sz w:val="20"/>
                <w:szCs w:val="20"/>
                <w:spacing w:val="-41"/>
              </w:rPr>
              <w:t xml:space="preserve"> </w:t>
            </w:r>
            <w:r>
              <w:rPr>
                <w:sz w:val="20"/>
                <w:szCs w:val="20"/>
                <w:spacing w:val="10"/>
              </w:rPr>
              <w:t>由县级以上人民政府环境保护主管部门</w:t>
            </w:r>
            <w:r>
              <w:rPr>
                <w:sz w:val="20"/>
                <w:szCs w:val="20"/>
              </w:rPr>
              <w:t xml:space="preserve"> </w:t>
            </w:r>
            <w:r>
              <w:rPr>
                <w:sz w:val="20"/>
                <w:szCs w:val="20"/>
                <w:spacing w:val="9"/>
              </w:rPr>
              <w:t>责令改正或者责令限制生产、停产整治，并处十万元以上一百</w:t>
            </w:r>
            <w:r>
              <w:rPr>
                <w:sz w:val="20"/>
                <w:szCs w:val="20"/>
                <w:spacing w:val="8"/>
              </w:rPr>
              <w:t>万元以下的罚款；情</w:t>
            </w:r>
            <w:r>
              <w:rPr>
                <w:sz w:val="20"/>
                <w:szCs w:val="20"/>
              </w:rPr>
              <w:t xml:space="preserve"> </w:t>
            </w:r>
            <w:r>
              <w:rPr>
                <w:sz w:val="20"/>
                <w:szCs w:val="20"/>
                <w:spacing w:val="9"/>
              </w:rPr>
              <w:t>节严重的，报经有批准权的人民政府批准，责令停业、关闭：</w:t>
            </w:r>
          </w:p>
          <w:p>
            <w:pPr>
              <w:pStyle w:val="TableText"/>
              <w:ind w:left="165" w:right="159" w:firstLine="428"/>
              <w:spacing w:before="25" w:line="238" w:lineRule="auto"/>
              <w:rPr>
                <w:sz w:val="20"/>
                <w:szCs w:val="20"/>
              </w:rPr>
            </w:pPr>
            <w:r>
              <w:rPr>
                <w:sz w:val="20"/>
                <w:szCs w:val="20"/>
                <w:spacing w:val="8"/>
              </w:rPr>
              <w:t>（二）超过水污染物排放标准或者超过重点水污染物排放总量控制指标排放水</w:t>
            </w:r>
            <w:r>
              <w:rPr>
                <w:sz w:val="20"/>
                <w:szCs w:val="20"/>
                <w:spacing w:val="12"/>
              </w:rPr>
              <w:t xml:space="preserve"> </w:t>
            </w:r>
            <w:r>
              <w:rPr>
                <w:sz w:val="20"/>
                <w:szCs w:val="20"/>
                <w:spacing w:val="5"/>
              </w:rPr>
              <w:t>污染物的；</w:t>
            </w:r>
          </w:p>
          <w:p>
            <w:pPr>
              <w:pStyle w:val="TableText"/>
              <w:ind w:left="123"/>
              <w:spacing w:before="76" w:line="227" w:lineRule="auto"/>
              <w:rPr>
                <w:sz w:val="20"/>
                <w:szCs w:val="20"/>
              </w:rPr>
            </w:pPr>
            <w:r>
              <w:rPr>
                <w:sz w:val="20"/>
                <w:szCs w:val="20"/>
                <w:spacing w:val="8"/>
              </w:rPr>
              <w:t>（只含本规定中对超标排放水污染物的处罚）</w:t>
            </w:r>
          </w:p>
          <w:p>
            <w:pPr>
              <w:pStyle w:val="TableText"/>
              <w:ind w:left="580"/>
              <w:spacing w:before="286" w:line="228" w:lineRule="auto"/>
              <w:rPr>
                <w:sz w:val="20"/>
                <w:szCs w:val="20"/>
              </w:rPr>
            </w:pPr>
            <w:r>
              <w:rPr>
                <w:rFonts w:ascii="Calibri" w:hAnsi="Calibri" w:eastAsia="Calibri" w:cs="Calibri"/>
                <w:sz w:val="20"/>
                <w:szCs w:val="20"/>
                <w:spacing w:val="8"/>
              </w:rPr>
              <w:t>4.</w:t>
            </w:r>
            <w:r>
              <w:rPr>
                <w:sz w:val="20"/>
                <w:szCs w:val="20"/>
                <w:spacing w:val="8"/>
              </w:rPr>
              <w:t>《河北省水污染防治条例》第七十条</w:t>
            </w:r>
          </w:p>
          <w:p>
            <w:pPr>
              <w:pStyle w:val="TableText"/>
              <w:ind w:left="164" w:right="159" w:firstLine="419"/>
              <w:spacing w:before="21" w:line="242" w:lineRule="auto"/>
              <w:rPr>
                <w:sz w:val="20"/>
                <w:szCs w:val="20"/>
              </w:rPr>
            </w:pPr>
            <w:r>
              <w:rPr>
                <w:sz w:val="20"/>
                <w:szCs w:val="20"/>
                <w:spacing w:val="9"/>
              </w:rPr>
              <w:t>违反本条例规定，有下列行为之一的，由环境保护</w:t>
            </w:r>
            <w:r>
              <w:rPr>
                <w:sz w:val="20"/>
                <w:szCs w:val="20"/>
                <w:spacing w:val="8"/>
              </w:rPr>
              <w:t>主管部门责令改正或者责令</w:t>
            </w:r>
            <w:r>
              <w:rPr>
                <w:sz w:val="20"/>
                <w:szCs w:val="20"/>
              </w:rPr>
              <w:t xml:space="preserve"> </w:t>
            </w:r>
            <w:r>
              <w:rPr>
                <w:sz w:val="20"/>
                <w:szCs w:val="20"/>
                <w:spacing w:val="9"/>
              </w:rPr>
              <w:t>限制生产、停产整治，并处二十万元以上一百万元以</w:t>
            </w:r>
            <w:r>
              <w:rPr>
                <w:sz w:val="20"/>
                <w:szCs w:val="20"/>
                <w:spacing w:val="8"/>
              </w:rPr>
              <w:t>下的罚款；情节严重的，报经</w:t>
            </w:r>
            <w:r>
              <w:rPr>
                <w:sz w:val="20"/>
                <w:szCs w:val="20"/>
              </w:rPr>
              <w:t xml:space="preserve"> </w:t>
            </w:r>
            <w:r>
              <w:rPr>
                <w:sz w:val="20"/>
                <w:szCs w:val="20"/>
                <w:spacing w:val="8"/>
              </w:rPr>
              <w:t>有批准权的人民政府批准，责令停业、关闭：</w:t>
            </w:r>
          </w:p>
          <w:p>
            <w:pPr>
              <w:pStyle w:val="TableText"/>
              <w:ind w:left="115" w:right="109" w:firstLine="428"/>
              <w:spacing w:before="22" w:line="239" w:lineRule="auto"/>
              <w:rPr>
                <w:sz w:val="20"/>
                <w:szCs w:val="20"/>
              </w:rPr>
            </w:pPr>
            <w:r>
              <w:rPr>
                <w:sz w:val="20"/>
                <w:szCs w:val="20"/>
                <w:spacing w:val="11"/>
              </w:rPr>
              <w:t>（一）超过水污染物排放标准或者超过重点水污染物排放总量控制指标排放水 </w:t>
            </w:r>
            <w:r>
              <w:rPr>
                <w:sz w:val="20"/>
                <w:szCs w:val="20"/>
                <w:spacing w:val="5"/>
              </w:rPr>
              <w:t>污染物的；</w:t>
            </w:r>
          </w:p>
          <w:p>
            <w:pPr>
              <w:pStyle w:val="TableText"/>
              <w:ind w:left="123"/>
              <w:spacing w:before="83" w:line="227" w:lineRule="auto"/>
              <w:rPr>
                <w:sz w:val="20"/>
                <w:szCs w:val="20"/>
              </w:rPr>
            </w:pPr>
            <w:r>
              <w:rPr>
                <w:sz w:val="20"/>
                <w:szCs w:val="20"/>
                <w:spacing w:val="8"/>
              </w:rPr>
              <w:t>（只含本规定中对超标排放水污染物的处罚）</w:t>
            </w:r>
          </w:p>
          <w:p>
            <w:pPr>
              <w:spacing w:line="473" w:lineRule="auto"/>
              <w:rPr>
                <w:rFonts w:ascii="Arial"/>
                <w:sz w:val="21"/>
              </w:rPr>
            </w:pPr>
            <w:r/>
          </w:p>
          <w:p>
            <w:pPr>
              <w:pStyle w:val="TableText"/>
              <w:ind w:left="585"/>
              <w:spacing w:before="66" w:line="228" w:lineRule="auto"/>
              <w:rPr>
                <w:sz w:val="20"/>
                <w:szCs w:val="20"/>
              </w:rPr>
            </w:pPr>
            <w:r>
              <w:rPr>
                <w:rFonts w:ascii="Calibri" w:hAnsi="Calibri" w:eastAsia="Calibri" w:cs="Calibri"/>
                <w:sz w:val="20"/>
                <w:szCs w:val="20"/>
                <w:spacing w:val="8"/>
              </w:rPr>
              <w:t>5.</w:t>
            </w:r>
            <w:r>
              <w:rPr>
                <w:sz w:val="20"/>
                <w:szCs w:val="20"/>
                <w:spacing w:val="8"/>
              </w:rPr>
              <w:t>《排污许可管理条例》第三十四条</w:t>
            </w:r>
          </w:p>
          <w:p>
            <w:pPr>
              <w:pStyle w:val="TableText"/>
              <w:ind w:left="163" w:right="159" w:firstLine="420"/>
              <w:spacing w:before="23" w:line="242" w:lineRule="auto"/>
              <w:rPr>
                <w:sz w:val="20"/>
                <w:szCs w:val="20"/>
              </w:rPr>
            </w:pPr>
            <w:r>
              <w:rPr>
                <w:sz w:val="20"/>
                <w:szCs w:val="20"/>
                <w:spacing w:val="9"/>
              </w:rPr>
              <w:t>违反本条例规定，排污单位有下列行为之一的，由</w:t>
            </w:r>
            <w:r>
              <w:rPr>
                <w:sz w:val="20"/>
                <w:szCs w:val="20"/>
                <w:spacing w:val="8"/>
              </w:rPr>
              <w:t>生态环境主管部门责令改正</w:t>
            </w:r>
            <w:r>
              <w:rPr>
                <w:sz w:val="20"/>
                <w:szCs w:val="20"/>
              </w:rPr>
              <w:t xml:space="preserve"> </w:t>
            </w:r>
            <w:r>
              <w:rPr>
                <w:sz w:val="20"/>
                <w:szCs w:val="20"/>
                <w:spacing w:val="10"/>
              </w:rPr>
              <w:t>或者限制生产、停产整治，处</w:t>
            </w:r>
            <w:r>
              <w:rPr>
                <w:rFonts w:ascii="Calibri" w:hAnsi="Calibri" w:eastAsia="Calibri" w:cs="Calibri"/>
                <w:sz w:val="20"/>
                <w:szCs w:val="20"/>
                <w:spacing w:val="10"/>
              </w:rPr>
              <w:t>20</w:t>
            </w:r>
            <w:r>
              <w:rPr>
                <w:sz w:val="20"/>
                <w:szCs w:val="20"/>
                <w:spacing w:val="10"/>
              </w:rPr>
              <w:t>万元以上</w:t>
            </w:r>
            <w:r>
              <w:rPr>
                <w:rFonts w:ascii="Calibri" w:hAnsi="Calibri" w:eastAsia="Calibri" w:cs="Calibri"/>
                <w:sz w:val="20"/>
                <w:szCs w:val="20"/>
                <w:spacing w:val="10"/>
              </w:rPr>
              <w:t>10</w:t>
            </w:r>
            <w:r>
              <w:rPr>
                <w:rFonts w:ascii="Calibri" w:hAnsi="Calibri" w:eastAsia="Calibri" w:cs="Calibri"/>
                <w:sz w:val="20"/>
                <w:szCs w:val="20"/>
                <w:spacing w:val="9"/>
              </w:rPr>
              <w:t>0</w:t>
            </w:r>
            <w:r>
              <w:rPr>
                <w:sz w:val="20"/>
                <w:szCs w:val="20"/>
                <w:spacing w:val="9"/>
              </w:rPr>
              <w:t>万元以下的罚款；情节严重的，</w:t>
            </w:r>
            <w:r>
              <w:rPr>
                <w:sz w:val="20"/>
                <w:szCs w:val="20"/>
                <w:spacing w:val="-55"/>
              </w:rPr>
              <w:t xml:space="preserve"> </w:t>
            </w:r>
            <w:r>
              <w:rPr>
                <w:sz w:val="20"/>
                <w:szCs w:val="20"/>
                <w:spacing w:val="9"/>
              </w:rPr>
              <w:t>吊销</w:t>
            </w:r>
            <w:r>
              <w:rPr>
                <w:sz w:val="20"/>
                <w:szCs w:val="20"/>
              </w:rPr>
              <w:t xml:space="preserve"> </w:t>
            </w:r>
            <w:r>
              <w:rPr>
                <w:sz w:val="20"/>
                <w:szCs w:val="20"/>
                <w:spacing w:val="9"/>
              </w:rPr>
              <w:t>排污许可证，报经有批准权的人民政府批准，责令停业、关闭：</w:t>
            </w:r>
          </w:p>
          <w:p>
            <w:pPr>
              <w:pStyle w:val="TableText"/>
              <w:ind w:left="543"/>
              <w:spacing w:before="19" w:line="228" w:lineRule="auto"/>
              <w:rPr>
                <w:sz w:val="20"/>
                <w:szCs w:val="20"/>
              </w:rPr>
            </w:pPr>
            <w:r>
              <w:rPr>
                <w:sz w:val="20"/>
                <w:szCs w:val="20"/>
                <w:spacing w:val="8"/>
              </w:rPr>
              <w:t>（一）超过许可排放浓度、许可排放量排放污染物；</w:t>
            </w:r>
          </w:p>
        </w:tc>
      </w:tr>
      <w:tr>
        <w:trPr>
          <w:trHeight w:val="3046" w:hRule="atLeast"/>
        </w:trPr>
        <w:tc>
          <w:tcPr>
            <w:tcW w:w="1002"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306"/>
              <w:spacing w:before="65" w:line="190" w:lineRule="auto"/>
              <w:rPr>
                <w:sz w:val="20"/>
                <w:szCs w:val="20"/>
              </w:rPr>
            </w:pPr>
            <w:r>
              <w:rPr>
                <w:sz w:val="20"/>
                <w:szCs w:val="20"/>
                <w:spacing w:val="-7"/>
              </w:rPr>
              <w:t>19</w:t>
            </w:r>
          </w:p>
        </w:tc>
        <w:tc>
          <w:tcPr>
            <w:tcW w:w="5713"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95"/>
              <w:spacing w:before="65" w:line="227" w:lineRule="auto"/>
              <w:rPr>
                <w:sz w:val="20"/>
                <w:szCs w:val="20"/>
              </w:rPr>
            </w:pPr>
            <w:r>
              <w:rPr>
                <w:sz w:val="20"/>
                <w:szCs w:val="20"/>
                <w:spacing w:val="13"/>
              </w:rPr>
              <w:t>三个月内初次发现产生含挥发性有机物废气的生产和服务</w:t>
            </w:r>
          </w:p>
          <w:p>
            <w:pPr>
              <w:pStyle w:val="TableText"/>
              <w:ind w:left="199"/>
              <w:spacing w:before="27" w:line="228" w:lineRule="auto"/>
              <w:rPr>
                <w:sz w:val="20"/>
                <w:szCs w:val="20"/>
              </w:rPr>
            </w:pPr>
            <w:r>
              <w:rPr>
                <w:sz w:val="20"/>
                <w:szCs w:val="20"/>
                <w:spacing w:val="13"/>
              </w:rPr>
              <w:t>活动，应当密闭而未密闭的行为，经现场检查指出后立即</w:t>
            </w:r>
          </w:p>
          <w:p>
            <w:pPr>
              <w:pStyle w:val="TableText"/>
              <w:ind w:left="2557"/>
              <w:spacing w:before="28" w:line="228" w:lineRule="auto"/>
              <w:rPr>
                <w:sz w:val="20"/>
                <w:szCs w:val="20"/>
              </w:rPr>
            </w:pPr>
            <w:r>
              <w:rPr>
                <w:sz w:val="20"/>
                <w:szCs w:val="20"/>
                <w:spacing w:val="6"/>
              </w:rPr>
              <w:t>改正的</w:t>
            </w:r>
          </w:p>
        </w:tc>
        <w:tc>
          <w:tcPr>
            <w:tcW w:w="7844" w:type="dxa"/>
            <w:vAlign w:val="top"/>
          </w:tcPr>
          <w:p>
            <w:pPr>
              <w:pStyle w:val="TableText"/>
              <w:ind w:left="549"/>
              <w:spacing w:before="35" w:line="228" w:lineRule="auto"/>
              <w:rPr>
                <w:sz w:val="20"/>
                <w:szCs w:val="20"/>
              </w:rPr>
            </w:pPr>
            <w:r>
              <w:rPr>
                <w:rFonts w:ascii="Times New Roman" w:hAnsi="Times New Roman" w:eastAsia="Times New Roman" w:cs="Times New Roman"/>
                <w:sz w:val="20"/>
                <w:szCs w:val="20"/>
                <w:spacing w:val="8"/>
              </w:rPr>
              <w:t>1.</w:t>
            </w:r>
            <w:r>
              <w:rPr>
                <w:sz w:val="20"/>
                <w:szCs w:val="20"/>
                <w:spacing w:val="8"/>
              </w:rPr>
              <w:t>《中华人民共和国大气污染防治法》第一百零八条</w:t>
            </w:r>
          </w:p>
          <w:p>
            <w:pPr>
              <w:pStyle w:val="TableText"/>
              <w:ind w:left="114" w:right="176" w:firstLine="419"/>
              <w:spacing w:before="29" w:line="241" w:lineRule="auto"/>
              <w:rPr>
                <w:sz w:val="20"/>
                <w:szCs w:val="20"/>
              </w:rPr>
            </w:pPr>
            <w:r>
              <w:rPr>
                <w:sz w:val="20"/>
                <w:szCs w:val="20"/>
                <w:spacing w:val="8"/>
              </w:rPr>
              <w:t>违反本法规定，有下列行为之一的，</w:t>
            </w:r>
            <w:r>
              <w:rPr>
                <w:sz w:val="20"/>
                <w:szCs w:val="20"/>
                <w:spacing w:val="-44"/>
              </w:rPr>
              <w:t xml:space="preserve"> </w:t>
            </w:r>
            <w:r>
              <w:rPr>
                <w:sz w:val="20"/>
                <w:szCs w:val="20"/>
                <w:spacing w:val="8"/>
              </w:rPr>
              <w:t>由县级以上人民政府生态环境主管部门责</w:t>
            </w:r>
            <w:r>
              <w:rPr>
                <w:sz w:val="20"/>
                <w:szCs w:val="20"/>
              </w:rPr>
              <w:t xml:space="preserve"> </w:t>
            </w:r>
            <w:r>
              <w:rPr>
                <w:sz w:val="20"/>
                <w:szCs w:val="20"/>
                <w:spacing w:val="9"/>
              </w:rPr>
              <w:t>令改正，处二万元以上二十万元以下的罚款；拒不改正的，责令停产整治：</w:t>
            </w:r>
          </w:p>
          <w:p>
            <w:pPr>
              <w:pStyle w:val="TableText"/>
              <w:ind w:left="111" w:right="176" w:firstLine="431"/>
              <w:spacing w:before="29" w:line="241" w:lineRule="auto"/>
              <w:rPr>
                <w:sz w:val="20"/>
                <w:szCs w:val="20"/>
              </w:rPr>
            </w:pPr>
            <w:r>
              <w:rPr>
                <w:sz w:val="20"/>
                <w:szCs w:val="20"/>
                <w:spacing w:val="9"/>
              </w:rPr>
              <w:t>（一）产生含挥发性有机物废气的生产和服务活动，未在密闭空间或者设备中</w:t>
            </w:r>
            <w:r>
              <w:rPr>
                <w:sz w:val="20"/>
                <w:szCs w:val="20"/>
                <w:spacing w:val="12"/>
              </w:rPr>
              <w:t xml:space="preserve"> </w:t>
            </w:r>
            <w:r>
              <w:rPr>
                <w:sz w:val="20"/>
                <w:szCs w:val="20"/>
                <w:spacing w:val="9"/>
              </w:rPr>
              <w:t>进行，未按照规定安装使用污染防治设施，或者未采取减少废气排放措施的；</w:t>
            </w:r>
          </w:p>
          <w:p>
            <w:pPr>
              <w:pStyle w:val="TableText"/>
              <w:ind w:left="123"/>
              <w:spacing w:before="30" w:line="227" w:lineRule="auto"/>
              <w:rPr>
                <w:sz w:val="20"/>
                <w:szCs w:val="20"/>
              </w:rPr>
            </w:pPr>
            <w:r>
              <w:rPr>
                <w:sz w:val="20"/>
                <w:szCs w:val="20"/>
                <w:b/>
                <w:bCs/>
                <w:spacing w:val="10"/>
              </w:rPr>
              <w:t>（只含本规定中对未密闭行为的处罚）</w:t>
            </w:r>
          </w:p>
          <w:p>
            <w:pPr>
              <w:spacing w:line="241" w:lineRule="auto"/>
              <w:rPr>
                <w:rFonts w:ascii="Arial"/>
                <w:sz w:val="21"/>
              </w:rPr>
            </w:pPr>
            <w:r/>
          </w:p>
          <w:p>
            <w:pPr>
              <w:pStyle w:val="TableText"/>
              <w:ind w:left="529"/>
              <w:spacing w:before="65" w:line="228" w:lineRule="auto"/>
              <w:rPr>
                <w:sz w:val="20"/>
                <w:szCs w:val="20"/>
              </w:rPr>
            </w:pPr>
            <w:r>
              <w:rPr>
                <w:rFonts w:ascii="Times New Roman" w:hAnsi="Times New Roman" w:eastAsia="Times New Roman" w:cs="Times New Roman"/>
                <w:sz w:val="20"/>
                <w:szCs w:val="20"/>
                <w:spacing w:val="9"/>
              </w:rPr>
              <w:t>2.</w:t>
            </w:r>
            <w:r>
              <w:rPr>
                <w:sz w:val="20"/>
                <w:szCs w:val="20"/>
                <w:spacing w:val="9"/>
              </w:rPr>
              <w:t>《河北省大气污染防治条例》第八十三条</w:t>
            </w:r>
          </w:p>
          <w:p>
            <w:pPr>
              <w:pStyle w:val="TableText"/>
              <w:ind w:left="120" w:right="176" w:firstLine="412"/>
              <w:spacing w:before="29" w:line="243" w:lineRule="auto"/>
              <w:rPr>
                <w:sz w:val="20"/>
                <w:szCs w:val="20"/>
              </w:rPr>
            </w:pPr>
            <w:r>
              <w:rPr>
                <w:sz w:val="20"/>
                <w:szCs w:val="20"/>
                <w:spacing w:val="10"/>
              </w:rPr>
              <w:t>违反本条例规定，有下列行为之一的，由县级以上</w:t>
            </w:r>
            <w:r>
              <w:rPr>
                <w:sz w:val="20"/>
                <w:szCs w:val="20"/>
                <w:spacing w:val="9"/>
              </w:rPr>
              <w:t>人民政府环境保护主管部门</w:t>
            </w:r>
            <w:r>
              <w:rPr>
                <w:sz w:val="20"/>
                <w:szCs w:val="20"/>
              </w:rPr>
              <w:t xml:space="preserve"> </w:t>
            </w:r>
            <w:r>
              <w:rPr>
                <w:sz w:val="20"/>
                <w:szCs w:val="20"/>
                <w:spacing w:val="9"/>
              </w:rPr>
              <w:t>责令改正，处二万元以上五万元以下罚款；情节较重的，处五万元以上十万元以下</w:t>
            </w:r>
            <w:r>
              <w:rPr>
                <w:sz w:val="20"/>
                <w:szCs w:val="20"/>
                <w:spacing w:val="17"/>
              </w:rPr>
              <w:t xml:space="preserve"> </w:t>
            </w:r>
            <w:r>
              <w:rPr>
                <w:sz w:val="20"/>
                <w:szCs w:val="20"/>
                <w:spacing w:val="9"/>
              </w:rPr>
              <w:t>罚款；情节严重的，处十万元以上二十万元以下罚款；拒不改正的，责令停产整治</w:t>
            </w:r>
          </w:p>
        </w:tc>
      </w:tr>
    </w:tbl>
    <w:p>
      <w:pPr>
        <w:pStyle w:val="BodyText"/>
        <w:rPr/>
      </w:pPr>
      <w:r/>
    </w:p>
    <w:p>
      <w:pPr>
        <w:sectPr>
          <w:footerReference w:type="default" r:id="rId443"/>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1114"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15"/>
              <w:spacing w:before="36" w:line="227" w:lineRule="auto"/>
              <w:rPr>
                <w:sz w:val="20"/>
                <w:szCs w:val="20"/>
              </w:rPr>
            </w:pPr>
            <w:r>
              <w:rPr>
                <w:sz w:val="20"/>
                <w:szCs w:val="20"/>
                <w:spacing w:val="9"/>
              </w:rPr>
              <w:t>或者报经有批准权的人民政府批准，责令停业、关闭：</w:t>
            </w:r>
          </w:p>
          <w:p>
            <w:pPr>
              <w:pStyle w:val="TableText"/>
              <w:ind w:left="111" w:right="176" w:firstLine="431"/>
              <w:spacing w:before="29" w:line="241" w:lineRule="auto"/>
              <w:rPr>
                <w:sz w:val="20"/>
                <w:szCs w:val="20"/>
              </w:rPr>
            </w:pPr>
            <w:r>
              <w:rPr>
                <w:sz w:val="20"/>
                <w:szCs w:val="20"/>
                <w:spacing w:val="9"/>
              </w:rPr>
              <w:t>（一）产生含挥发性有机物废气的生产和服务活动，未在密闭空间或者设备中</w:t>
            </w:r>
            <w:r>
              <w:rPr>
                <w:sz w:val="20"/>
                <w:szCs w:val="20"/>
                <w:spacing w:val="12"/>
              </w:rPr>
              <w:t xml:space="preserve"> </w:t>
            </w:r>
            <w:r>
              <w:rPr>
                <w:sz w:val="20"/>
                <w:szCs w:val="20"/>
                <w:spacing w:val="9"/>
              </w:rPr>
              <w:t>进行，未按照规定安装、使用污染防治设施，或者未采取减少废气排放措施的；</w:t>
            </w:r>
          </w:p>
          <w:p>
            <w:pPr>
              <w:pStyle w:val="TableText"/>
              <w:ind w:left="123"/>
              <w:spacing w:before="30" w:line="221" w:lineRule="auto"/>
              <w:rPr>
                <w:sz w:val="20"/>
                <w:szCs w:val="20"/>
              </w:rPr>
            </w:pPr>
            <w:r>
              <w:rPr>
                <w:sz w:val="20"/>
                <w:szCs w:val="20"/>
                <w:b/>
                <w:bCs/>
                <w:spacing w:val="9"/>
              </w:rPr>
              <w:t>（只含本规定中对未密闭行为的处罚）</w:t>
            </w:r>
          </w:p>
        </w:tc>
      </w:tr>
      <w:tr>
        <w:trPr>
          <w:trHeight w:val="7675" w:hRule="atLeast"/>
        </w:trPr>
        <w:tc>
          <w:tcPr>
            <w:tcW w:w="1002"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93"/>
              <w:spacing w:before="65" w:line="189" w:lineRule="auto"/>
              <w:rPr>
                <w:sz w:val="20"/>
                <w:szCs w:val="20"/>
              </w:rPr>
            </w:pPr>
            <w:r>
              <w:rPr>
                <w:sz w:val="20"/>
                <w:szCs w:val="20"/>
                <w:spacing w:val="-1"/>
              </w:rPr>
              <w:t>20</w:t>
            </w:r>
          </w:p>
        </w:tc>
        <w:tc>
          <w:tcPr>
            <w:tcW w:w="5713"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62"/>
              <w:spacing w:before="65" w:line="228" w:lineRule="auto"/>
              <w:rPr>
                <w:sz w:val="20"/>
                <w:szCs w:val="20"/>
              </w:rPr>
            </w:pPr>
            <w:r>
              <w:rPr>
                <w:sz w:val="20"/>
                <w:szCs w:val="20"/>
                <w:spacing w:val="11"/>
              </w:rPr>
              <w:t>三个月内初次发现自动监测设备故障超6个小时，按规定正</w:t>
            </w:r>
          </w:p>
          <w:p>
            <w:pPr>
              <w:pStyle w:val="TableText"/>
              <w:ind w:left="1908" w:right="226" w:hanging="1708"/>
              <w:spacing w:before="26" w:line="242" w:lineRule="auto"/>
              <w:rPr>
                <w:sz w:val="20"/>
                <w:szCs w:val="20"/>
              </w:rPr>
            </w:pPr>
            <w:r>
              <w:rPr>
                <w:sz w:val="20"/>
                <w:szCs w:val="20"/>
                <w:spacing w:val="11"/>
              </w:rPr>
              <w:t>常运营维护但未采取手工监测，经责令改正后及时改正，</w:t>
            </w:r>
            <w:r>
              <w:rPr>
                <w:sz w:val="20"/>
                <w:szCs w:val="20"/>
                <w:spacing w:val="4"/>
              </w:rPr>
              <w:t xml:space="preserve"> </w:t>
            </w:r>
            <w:r>
              <w:rPr>
                <w:sz w:val="20"/>
                <w:szCs w:val="20"/>
                <w:spacing w:val="12"/>
              </w:rPr>
              <w:t>且污染物达标排放的</w:t>
            </w:r>
          </w:p>
        </w:tc>
        <w:tc>
          <w:tcPr>
            <w:tcW w:w="7844" w:type="dxa"/>
            <w:vAlign w:val="top"/>
          </w:tcPr>
          <w:p>
            <w:pPr>
              <w:pStyle w:val="TableText"/>
              <w:ind w:left="558"/>
              <w:spacing w:line="275" w:lineRule="exact"/>
              <w:rPr>
                <w:sz w:val="20"/>
                <w:szCs w:val="20"/>
              </w:rPr>
            </w:pPr>
            <w:r>
              <w:rPr>
                <w:sz w:val="20"/>
                <w:szCs w:val="20"/>
                <w:spacing w:val="11"/>
                <w:position w:val="1"/>
              </w:rPr>
              <w:t>1.《</w:t>
            </w:r>
            <w:hyperlink w:history="true" r:id="rId436">
              <w:r>
                <w:rPr>
                  <w:sz w:val="20"/>
                  <w:szCs w:val="20"/>
                  <w:spacing w:val="11"/>
                  <w:position w:val="1"/>
                </w:rPr>
                <w:t>排污许可管理条例</w:t>
              </w:r>
            </w:hyperlink>
            <w:r>
              <w:rPr>
                <w:sz w:val="20"/>
                <w:szCs w:val="20"/>
                <w:spacing w:val="11"/>
                <w:position w:val="1"/>
              </w:rPr>
              <w:t>》第三十六条</w:t>
            </w:r>
          </w:p>
          <w:p>
            <w:pPr>
              <w:pStyle w:val="TableText"/>
              <w:ind w:left="130" w:right="140" w:firstLine="412"/>
              <w:spacing w:before="31"/>
              <w:rPr>
                <w:sz w:val="20"/>
                <w:szCs w:val="20"/>
              </w:rPr>
            </w:pPr>
            <w:r>
              <w:rPr>
                <w:sz w:val="20"/>
                <w:szCs w:val="20"/>
                <w:spacing w:val="10"/>
              </w:rPr>
              <w:t>违反本条例规定，排污单位有下列行为之一的，由生态环境主管部门责令改正</w:t>
            </w:r>
            <w:r>
              <w:rPr>
                <w:sz w:val="20"/>
                <w:szCs w:val="20"/>
                <w:spacing w:val="14"/>
              </w:rPr>
              <w:t xml:space="preserve"> </w:t>
            </w:r>
            <w:r>
              <w:rPr>
                <w:sz w:val="20"/>
                <w:szCs w:val="20"/>
                <w:spacing w:val="9"/>
              </w:rPr>
              <w:t>,</w:t>
            </w:r>
            <w:r>
              <w:rPr>
                <w:sz w:val="20"/>
                <w:szCs w:val="20"/>
                <w:spacing w:val="83"/>
              </w:rPr>
              <w:t xml:space="preserve"> </w:t>
            </w:r>
            <w:r>
              <w:rPr>
                <w:sz w:val="20"/>
                <w:szCs w:val="20"/>
                <w:spacing w:val="9"/>
              </w:rPr>
              <w:t>处2万元以上20万元以下的罚款；拒不改正的，责令停产整治：</w:t>
            </w:r>
          </w:p>
          <w:p>
            <w:pPr>
              <w:pStyle w:val="TableText"/>
              <w:ind w:left="163" w:right="142" w:firstLine="437"/>
              <w:spacing w:before="32"/>
              <w:rPr>
                <w:sz w:val="20"/>
                <w:szCs w:val="20"/>
              </w:rPr>
            </w:pPr>
            <w:r>
              <w:rPr>
                <w:sz w:val="20"/>
                <w:szCs w:val="20"/>
                <w:spacing w:val="15"/>
              </w:rPr>
              <w:t>（四）未按照排污许可证规定安装、使用污染物排放自动监测设备并与生态</w:t>
            </w:r>
            <w:r>
              <w:rPr>
                <w:sz w:val="20"/>
                <w:szCs w:val="20"/>
              </w:rPr>
              <w:t xml:space="preserve"> </w:t>
            </w:r>
            <w:r>
              <w:rPr>
                <w:sz w:val="20"/>
                <w:szCs w:val="20"/>
                <w:spacing w:val="13"/>
              </w:rPr>
              <w:t>环境主管部门的监控设备联网，或者未保证污染物排放自动监测设备正常运行。</w:t>
            </w:r>
          </w:p>
          <w:p>
            <w:pPr>
              <w:pStyle w:val="TableText"/>
              <w:ind w:left="545"/>
              <w:spacing w:before="28" w:line="228" w:lineRule="auto"/>
              <w:rPr>
                <w:sz w:val="20"/>
                <w:szCs w:val="20"/>
              </w:rPr>
            </w:pPr>
            <w:r>
              <w:rPr>
                <w:sz w:val="20"/>
                <w:szCs w:val="20"/>
                <w:spacing w:val="9"/>
              </w:rPr>
              <w:t>2.《中华人民共和国水污染防治法》第八十二条</w:t>
            </w:r>
          </w:p>
          <w:p>
            <w:pPr>
              <w:pStyle w:val="TableText"/>
              <w:ind w:left="114" w:right="109" w:firstLine="419"/>
              <w:spacing w:before="24"/>
              <w:rPr>
                <w:sz w:val="20"/>
                <w:szCs w:val="20"/>
              </w:rPr>
            </w:pPr>
            <w:r>
              <w:rPr>
                <w:sz w:val="20"/>
                <w:szCs w:val="20"/>
                <w:spacing w:val="10"/>
              </w:rPr>
              <w:t>违反本法规定，有下列行为之一的，</w:t>
            </w:r>
            <w:r>
              <w:rPr>
                <w:sz w:val="20"/>
                <w:szCs w:val="20"/>
                <w:spacing w:val="-45"/>
              </w:rPr>
              <w:t xml:space="preserve"> </w:t>
            </w:r>
            <w:r>
              <w:rPr>
                <w:sz w:val="20"/>
                <w:szCs w:val="20"/>
                <w:spacing w:val="10"/>
              </w:rPr>
              <w:t>由县级以上人民政府环境保护主管部门责</w:t>
            </w:r>
            <w:r>
              <w:rPr>
                <w:sz w:val="20"/>
                <w:szCs w:val="20"/>
              </w:rPr>
              <w:t xml:space="preserve"> </w:t>
            </w:r>
            <w:r>
              <w:rPr>
                <w:sz w:val="20"/>
                <w:szCs w:val="20"/>
                <w:spacing w:val="9"/>
              </w:rPr>
              <w:t>令限期改正，处二万元以上二十万元以下的罚款；逾期不改正的，责令停产整治：</w:t>
            </w:r>
          </w:p>
          <w:p>
            <w:pPr>
              <w:pStyle w:val="TableText"/>
              <w:ind w:left="168" w:right="137" w:firstLine="425"/>
              <w:spacing w:before="25" w:line="241" w:lineRule="auto"/>
              <w:rPr>
                <w:sz w:val="20"/>
                <w:szCs w:val="20"/>
              </w:rPr>
            </w:pPr>
            <w:r>
              <w:rPr>
                <w:sz w:val="20"/>
                <w:szCs w:val="20"/>
                <w:spacing w:val="9"/>
              </w:rPr>
              <w:t>（二）未按照规定安装水污染物排放自动监测设备，未按照规定与环境保护主</w:t>
            </w:r>
            <w:r>
              <w:rPr>
                <w:sz w:val="20"/>
                <w:szCs w:val="20"/>
              </w:rPr>
              <w:t xml:space="preserve"> </w:t>
            </w:r>
            <w:r>
              <w:rPr>
                <w:sz w:val="20"/>
                <w:szCs w:val="20"/>
                <w:spacing w:val="9"/>
              </w:rPr>
              <w:t>管部门的监控设备联网，或者未保证监测设备正常运行的；</w:t>
            </w:r>
          </w:p>
          <w:p>
            <w:pPr>
              <w:pStyle w:val="TableText"/>
              <w:ind w:left="547"/>
              <w:spacing w:before="301" w:line="228" w:lineRule="auto"/>
              <w:rPr>
                <w:sz w:val="20"/>
                <w:szCs w:val="20"/>
              </w:rPr>
            </w:pPr>
            <w:r>
              <w:rPr>
                <w:sz w:val="20"/>
                <w:szCs w:val="20"/>
                <w:spacing w:val="8"/>
              </w:rPr>
              <w:t>3.《河北省水污染防治条例》第七十二条</w:t>
            </w:r>
          </w:p>
          <w:p>
            <w:pPr>
              <w:pStyle w:val="TableText"/>
              <w:ind w:left="111" w:right="109" w:firstLine="421"/>
              <w:spacing w:before="27" w:line="243" w:lineRule="auto"/>
              <w:rPr>
                <w:sz w:val="20"/>
                <w:szCs w:val="20"/>
              </w:rPr>
            </w:pPr>
            <w:r>
              <w:rPr>
                <w:sz w:val="20"/>
                <w:szCs w:val="20"/>
                <w:spacing w:val="10"/>
              </w:rPr>
              <w:t>违反本条例规定，有下列行为之一的，</w:t>
            </w:r>
            <w:r>
              <w:rPr>
                <w:sz w:val="20"/>
                <w:szCs w:val="20"/>
                <w:spacing w:val="-45"/>
              </w:rPr>
              <w:t xml:space="preserve"> </w:t>
            </w:r>
            <w:r>
              <w:rPr>
                <w:sz w:val="20"/>
                <w:szCs w:val="20"/>
                <w:spacing w:val="10"/>
              </w:rPr>
              <w:t>由环境保护主管部门责令限期改正，处</w:t>
            </w:r>
            <w:r>
              <w:rPr>
                <w:sz w:val="20"/>
                <w:szCs w:val="20"/>
              </w:rPr>
              <w:t xml:space="preserve"> </w:t>
            </w:r>
            <w:r>
              <w:rPr>
                <w:sz w:val="20"/>
                <w:szCs w:val="20"/>
                <w:spacing w:val="11"/>
              </w:rPr>
              <w:t>三万元以上十万元以下的罚款；情节较重的，处十万元以上二十万元以下的罚款；</w:t>
            </w:r>
            <w:r>
              <w:rPr>
                <w:sz w:val="20"/>
                <w:szCs w:val="20"/>
                <w:spacing w:val="9"/>
              </w:rPr>
              <w:t xml:space="preserve"> </w:t>
            </w:r>
            <w:r>
              <w:rPr>
                <w:sz w:val="20"/>
                <w:szCs w:val="20"/>
                <w:spacing w:val="8"/>
              </w:rPr>
              <w:t>逾期不改正的，责令停产整治：</w:t>
            </w:r>
          </w:p>
          <w:p>
            <w:pPr>
              <w:pStyle w:val="TableText"/>
              <w:ind w:left="118" w:right="109" w:firstLine="425"/>
              <w:spacing w:before="26"/>
              <w:rPr>
                <w:sz w:val="20"/>
                <w:szCs w:val="20"/>
              </w:rPr>
            </w:pPr>
            <w:r>
              <w:rPr>
                <w:sz w:val="20"/>
                <w:szCs w:val="20"/>
                <w:spacing w:val="11"/>
              </w:rPr>
              <w:t>（二）未按照规定安装水污染物排放自动监测设备，未按照规定与环境保护主 </w:t>
            </w:r>
            <w:r>
              <w:rPr>
                <w:sz w:val="20"/>
                <w:szCs w:val="20"/>
                <w:spacing w:val="9"/>
              </w:rPr>
              <w:t>管部门的监控设备联网，或者未保证监测设备正常运行的；</w:t>
            </w:r>
          </w:p>
          <w:p>
            <w:pPr>
              <w:pStyle w:val="TableText"/>
              <w:ind w:left="590"/>
              <w:spacing w:before="269" w:line="274" w:lineRule="exact"/>
              <w:rPr>
                <w:sz w:val="20"/>
                <w:szCs w:val="20"/>
              </w:rPr>
            </w:pPr>
            <w:r>
              <w:rPr>
                <w:sz w:val="20"/>
                <w:szCs w:val="20"/>
                <w:spacing w:val="12"/>
                <w:position w:val="1"/>
              </w:rPr>
              <w:t>4.《</w:t>
            </w:r>
            <w:hyperlink w:history="true" r:id="rId439">
              <w:r>
                <w:rPr>
                  <w:sz w:val="20"/>
                  <w:szCs w:val="20"/>
                  <w:spacing w:val="12"/>
                  <w:position w:val="1"/>
                </w:rPr>
                <w:t>中华人民共和国大气污染防治法</w:t>
              </w:r>
            </w:hyperlink>
            <w:r>
              <w:rPr>
                <w:sz w:val="20"/>
                <w:szCs w:val="20"/>
                <w:spacing w:val="12"/>
                <w:position w:val="1"/>
              </w:rPr>
              <w:t>》第一百条</w:t>
            </w:r>
          </w:p>
          <w:p>
            <w:pPr>
              <w:pStyle w:val="TableText"/>
              <w:ind w:left="171" w:right="142" w:firstLine="419"/>
              <w:spacing w:before="31"/>
              <w:rPr>
                <w:sz w:val="20"/>
                <w:szCs w:val="20"/>
              </w:rPr>
            </w:pPr>
            <w:r>
              <w:rPr>
                <w:sz w:val="20"/>
                <w:szCs w:val="20"/>
                <w:spacing w:val="14"/>
              </w:rPr>
              <w:t>违反本法规定，有下列行为之一的，</w:t>
            </w:r>
            <w:r>
              <w:rPr>
                <w:sz w:val="20"/>
                <w:szCs w:val="20"/>
                <w:spacing w:val="-53"/>
              </w:rPr>
              <w:t xml:space="preserve"> </w:t>
            </w:r>
            <w:r>
              <w:rPr>
                <w:sz w:val="20"/>
                <w:szCs w:val="20"/>
                <w:spacing w:val="14"/>
              </w:rPr>
              <w:t>由县级以上人民政府生态环</w:t>
            </w:r>
            <w:r>
              <w:rPr>
                <w:sz w:val="20"/>
                <w:szCs w:val="20"/>
                <w:spacing w:val="13"/>
              </w:rPr>
              <w:t>境主管部门</w:t>
            </w:r>
            <w:r>
              <w:rPr>
                <w:sz w:val="20"/>
                <w:szCs w:val="20"/>
              </w:rPr>
              <w:t xml:space="preserve"> </w:t>
            </w:r>
            <w:r>
              <w:rPr>
                <w:sz w:val="20"/>
                <w:szCs w:val="20"/>
                <w:spacing w:val="13"/>
              </w:rPr>
              <w:t>责令改正，处二万元以上二十万元以下的罚款；拒不改正的，责令停产</w:t>
            </w:r>
            <w:r>
              <w:rPr>
                <w:sz w:val="20"/>
                <w:szCs w:val="20"/>
                <w:spacing w:val="12"/>
              </w:rPr>
              <w:t>整治：</w:t>
            </w:r>
          </w:p>
          <w:p>
            <w:pPr>
              <w:pStyle w:val="TableText"/>
              <w:ind w:left="167" w:right="142" w:firstLine="433"/>
              <w:spacing w:before="30"/>
              <w:rPr>
                <w:sz w:val="20"/>
                <w:szCs w:val="20"/>
              </w:rPr>
            </w:pPr>
            <w:r>
              <w:rPr>
                <w:sz w:val="20"/>
                <w:szCs w:val="20"/>
                <w:spacing w:val="15"/>
              </w:rPr>
              <w:t>（三）未按照规定安装、使用大气污染物排放自动监测设备或者未按照规定</w:t>
            </w:r>
            <w:r>
              <w:rPr>
                <w:sz w:val="20"/>
                <w:szCs w:val="20"/>
              </w:rPr>
              <w:t xml:space="preserve"> </w:t>
            </w:r>
            <w:r>
              <w:rPr>
                <w:sz w:val="20"/>
                <w:szCs w:val="20"/>
                <w:spacing w:val="13"/>
              </w:rPr>
              <w:t>与生态环境主管部门的监控设备联网，并保证监测设备正常运行</w:t>
            </w:r>
            <w:r>
              <w:rPr>
                <w:sz w:val="20"/>
                <w:szCs w:val="20"/>
                <w:spacing w:val="12"/>
              </w:rPr>
              <w:t>的。</w:t>
            </w:r>
          </w:p>
          <w:p>
            <w:pPr>
              <w:pStyle w:val="TableText"/>
              <w:ind w:left="595"/>
              <w:spacing w:before="303" w:line="228" w:lineRule="auto"/>
              <w:rPr>
                <w:sz w:val="20"/>
                <w:szCs w:val="20"/>
              </w:rPr>
            </w:pPr>
            <w:r>
              <w:rPr>
                <w:sz w:val="20"/>
                <w:szCs w:val="20"/>
                <w:spacing w:val="12"/>
              </w:rPr>
              <w:t>5.《河北省大气污染防治条例》第七十九条</w:t>
            </w:r>
          </w:p>
          <w:p>
            <w:pPr>
              <w:pStyle w:val="TableText"/>
              <w:ind w:left="168" w:right="142" w:firstLine="422"/>
              <w:spacing w:before="30" w:line="241" w:lineRule="auto"/>
              <w:rPr>
                <w:sz w:val="20"/>
                <w:szCs w:val="20"/>
              </w:rPr>
            </w:pPr>
            <w:r>
              <w:rPr>
                <w:sz w:val="20"/>
                <w:szCs w:val="20"/>
                <w:spacing w:val="14"/>
              </w:rPr>
              <w:t>违反本条例规定，有下列行为之一的，</w:t>
            </w:r>
            <w:r>
              <w:rPr>
                <w:sz w:val="20"/>
                <w:szCs w:val="20"/>
                <w:spacing w:val="-56"/>
              </w:rPr>
              <w:t xml:space="preserve"> </w:t>
            </w:r>
            <w:r>
              <w:rPr>
                <w:sz w:val="20"/>
                <w:szCs w:val="20"/>
                <w:spacing w:val="14"/>
              </w:rPr>
              <w:t>由县级以上人民政府环境保护主</w:t>
            </w:r>
            <w:r>
              <w:rPr>
                <w:sz w:val="20"/>
                <w:szCs w:val="20"/>
                <w:spacing w:val="13"/>
              </w:rPr>
              <w:t>管部</w:t>
            </w:r>
            <w:r>
              <w:rPr>
                <w:sz w:val="20"/>
                <w:szCs w:val="20"/>
              </w:rPr>
              <w:t xml:space="preserve"> </w:t>
            </w:r>
            <w:r>
              <w:rPr>
                <w:sz w:val="20"/>
                <w:szCs w:val="20"/>
                <w:spacing w:val="15"/>
              </w:rPr>
              <w:t>门责令限期改正，处二万元以上五万元以下罚款；情节较重的，处五万元以上十</w:t>
            </w:r>
            <w:r>
              <w:rPr>
                <w:sz w:val="20"/>
                <w:szCs w:val="20"/>
                <w:spacing w:val="1"/>
              </w:rPr>
              <w:t xml:space="preserve"> </w:t>
            </w:r>
            <w:r>
              <w:rPr>
                <w:sz w:val="20"/>
                <w:szCs w:val="20"/>
                <w:spacing w:val="15"/>
              </w:rPr>
              <w:t>万元以下罚款；情节严重的，处十万元以上二十万元以下罚款；拒不改正的，责</w:t>
            </w:r>
          </w:p>
        </w:tc>
      </w:tr>
    </w:tbl>
    <w:p>
      <w:pPr>
        <w:pStyle w:val="BodyText"/>
        <w:rPr/>
      </w:pPr>
      <w:r/>
    </w:p>
    <w:p>
      <w:pPr>
        <w:sectPr>
          <w:footerReference w:type="default" r:id="rId444"/>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4387"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64"/>
              <w:spacing w:before="36" w:line="227" w:lineRule="auto"/>
              <w:rPr>
                <w:sz w:val="20"/>
                <w:szCs w:val="20"/>
              </w:rPr>
            </w:pPr>
            <w:r>
              <w:rPr>
                <w:sz w:val="20"/>
                <w:szCs w:val="20"/>
                <w:spacing w:val="9"/>
              </w:rPr>
              <w:t>令停产整治：</w:t>
            </w:r>
          </w:p>
          <w:p>
            <w:pPr>
              <w:pStyle w:val="TableText"/>
              <w:ind w:left="168" w:right="142" w:firstLine="432"/>
              <w:spacing w:before="28" w:line="241" w:lineRule="auto"/>
              <w:rPr>
                <w:sz w:val="20"/>
                <w:szCs w:val="20"/>
              </w:rPr>
            </w:pPr>
            <w:r>
              <w:rPr>
                <w:sz w:val="20"/>
                <w:szCs w:val="20"/>
                <w:spacing w:val="15"/>
              </w:rPr>
              <w:t>（二）未按照规定安装大气污染物排放自动监测、监控等设备或者未按照规</w:t>
            </w:r>
            <w:r>
              <w:rPr>
                <w:sz w:val="20"/>
                <w:szCs w:val="20"/>
              </w:rPr>
              <w:t xml:space="preserve"> </w:t>
            </w:r>
            <w:r>
              <w:rPr>
                <w:sz w:val="20"/>
                <w:szCs w:val="20"/>
                <w:spacing w:val="13"/>
              </w:rPr>
              <w:t>定与环境保护主管部门的监控设备联网，并保证监测设备正常运行</w:t>
            </w:r>
            <w:r>
              <w:rPr>
                <w:sz w:val="20"/>
                <w:szCs w:val="20"/>
                <w:spacing w:val="12"/>
              </w:rPr>
              <w:t>的；</w:t>
            </w:r>
          </w:p>
          <w:p>
            <w:pPr>
              <w:pStyle w:val="TableText"/>
              <w:ind w:left="592"/>
              <w:spacing w:before="302" w:line="228" w:lineRule="auto"/>
              <w:rPr>
                <w:sz w:val="20"/>
                <w:szCs w:val="20"/>
              </w:rPr>
            </w:pPr>
            <w:r>
              <w:rPr>
                <w:sz w:val="20"/>
                <w:szCs w:val="20"/>
                <w:spacing w:val="12"/>
              </w:rPr>
              <w:t>6.《河北省生态环境保护条例》第七十二条</w:t>
            </w:r>
          </w:p>
          <w:p>
            <w:pPr>
              <w:pStyle w:val="TableText"/>
              <w:ind w:left="164" w:right="142" w:firstLine="426"/>
              <w:spacing w:before="26"/>
              <w:rPr>
                <w:sz w:val="20"/>
                <w:szCs w:val="20"/>
              </w:rPr>
            </w:pPr>
            <w:r>
              <w:rPr>
                <w:sz w:val="20"/>
                <w:szCs w:val="20"/>
                <w:spacing w:val="14"/>
              </w:rPr>
              <w:t>违反本条例规定，重点排污单位有下列行为之一的，</w:t>
            </w:r>
            <w:r>
              <w:rPr>
                <w:sz w:val="20"/>
                <w:szCs w:val="20"/>
                <w:spacing w:val="-53"/>
              </w:rPr>
              <w:t xml:space="preserve"> </w:t>
            </w:r>
            <w:r>
              <w:rPr>
                <w:sz w:val="20"/>
                <w:szCs w:val="20"/>
                <w:spacing w:val="14"/>
              </w:rPr>
              <w:t>由生态环境</w:t>
            </w:r>
            <w:r>
              <w:rPr>
                <w:sz w:val="20"/>
                <w:szCs w:val="20"/>
                <w:spacing w:val="13"/>
              </w:rPr>
              <w:t>主管部门责</w:t>
            </w:r>
            <w:r>
              <w:rPr>
                <w:sz w:val="20"/>
                <w:szCs w:val="20"/>
              </w:rPr>
              <w:t xml:space="preserve"> </w:t>
            </w:r>
            <w:r>
              <w:rPr>
                <w:sz w:val="20"/>
                <w:szCs w:val="20"/>
                <w:spacing w:val="13"/>
              </w:rPr>
              <w:t>令改正，处二万元以上二十万元以下的罚款；拒不改正的，责令停产整治：</w:t>
            </w:r>
          </w:p>
          <w:p>
            <w:pPr>
              <w:pStyle w:val="TableText"/>
              <w:ind w:left="543"/>
              <w:spacing w:before="30" w:line="228" w:lineRule="auto"/>
              <w:rPr>
                <w:sz w:val="20"/>
                <w:szCs w:val="20"/>
              </w:rPr>
            </w:pPr>
            <w:r>
              <w:rPr>
                <w:sz w:val="20"/>
                <w:szCs w:val="20"/>
                <w:spacing w:val="8"/>
              </w:rPr>
              <w:t>（二）不正常运行自动监测设备的；</w:t>
            </w:r>
          </w:p>
          <w:p>
            <w:pPr>
              <w:pStyle w:val="TableText"/>
              <w:ind w:left="595"/>
              <w:spacing w:before="299" w:line="228" w:lineRule="auto"/>
              <w:rPr>
                <w:sz w:val="20"/>
                <w:szCs w:val="20"/>
              </w:rPr>
            </w:pPr>
            <w:r>
              <w:rPr>
                <w:sz w:val="20"/>
                <w:szCs w:val="20"/>
                <w:spacing w:val="12"/>
              </w:rPr>
              <w:t>7.《河北省扬尘污染防治办法》第四十三条</w:t>
            </w:r>
          </w:p>
          <w:p>
            <w:pPr>
              <w:pStyle w:val="TableText"/>
              <w:ind w:left="165" w:right="142" w:firstLine="425"/>
              <w:spacing w:before="26" w:line="247" w:lineRule="auto"/>
              <w:rPr>
                <w:sz w:val="20"/>
                <w:szCs w:val="20"/>
              </w:rPr>
            </w:pPr>
            <w:r>
              <w:rPr>
                <w:sz w:val="20"/>
                <w:szCs w:val="20"/>
                <w:spacing w:val="15"/>
              </w:rPr>
              <w:t>违反本办法规定，被确定为重点扬尘污染源的企业事业单位和其他生产经营</w:t>
            </w:r>
            <w:r>
              <w:rPr>
                <w:sz w:val="20"/>
                <w:szCs w:val="20"/>
                <w:spacing w:val="9"/>
              </w:rPr>
              <w:t xml:space="preserve"> </w:t>
            </w:r>
            <w:r>
              <w:rPr>
                <w:sz w:val="20"/>
                <w:szCs w:val="20"/>
                <w:spacing w:val="14"/>
              </w:rPr>
              <w:t>者有下列行为之一的，</w:t>
            </w:r>
            <w:r>
              <w:rPr>
                <w:sz w:val="20"/>
                <w:szCs w:val="20"/>
                <w:spacing w:val="-53"/>
              </w:rPr>
              <w:t xml:space="preserve"> </w:t>
            </w:r>
            <w:r>
              <w:rPr>
                <w:sz w:val="20"/>
                <w:szCs w:val="20"/>
                <w:spacing w:val="14"/>
              </w:rPr>
              <w:t>由监督管理部门责令限期改正，处二万元</w:t>
            </w:r>
            <w:r>
              <w:rPr>
                <w:sz w:val="20"/>
                <w:szCs w:val="20"/>
                <w:spacing w:val="13"/>
              </w:rPr>
              <w:t>以上五万元以下</w:t>
            </w:r>
            <w:r>
              <w:rPr>
                <w:sz w:val="20"/>
                <w:szCs w:val="20"/>
              </w:rPr>
              <w:t xml:space="preserve"> </w:t>
            </w:r>
            <w:r>
              <w:rPr>
                <w:sz w:val="20"/>
                <w:szCs w:val="20"/>
                <w:spacing w:val="15"/>
              </w:rPr>
              <w:t>罚款；情节较重的，处五万元以上十万元以下罚款；情节严重的，处十万元以上</w:t>
            </w:r>
            <w:r>
              <w:rPr>
                <w:sz w:val="20"/>
                <w:szCs w:val="20"/>
                <w:spacing w:val="5"/>
              </w:rPr>
              <w:t xml:space="preserve"> </w:t>
            </w:r>
            <w:r>
              <w:rPr>
                <w:sz w:val="20"/>
                <w:szCs w:val="20"/>
                <w:spacing w:val="12"/>
              </w:rPr>
              <w:t>二十万元以下罚款；拒不改正的，责令停工停产整治：</w:t>
            </w:r>
          </w:p>
          <w:p>
            <w:pPr>
              <w:pStyle w:val="TableText"/>
              <w:ind w:left="158" w:right="204" w:firstLine="437"/>
              <w:spacing w:before="28" w:line="231" w:lineRule="auto"/>
              <w:rPr>
                <w:sz w:val="20"/>
                <w:szCs w:val="20"/>
              </w:rPr>
            </w:pPr>
            <w:r>
              <w:rPr>
                <w:sz w:val="20"/>
                <w:szCs w:val="20"/>
                <w:spacing w:val="13"/>
              </w:rPr>
              <w:t>（一）未按照规定安装、使用扬尘污染物在线监测设备或者未按照规定与生</w:t>
            </w:r>
            <w:r>
              <w:rPr>
                <w:sz w:val="20"/>
                <w:szCs w:val="20"/>
                <w:spacing w:val="7"/>
              </w:rPr>
              <w:t xml:space="preserve"> </w:t>
            </w:r>
            <w:r>
              <w:rPr>
                <w:sz w:val="20"/>
                <w:szCs w:val="20"/>
                <w:spacing w:val="13"/>
              </w:rPr>
              <w:t>态环境主管部门的监控设备联网，并保证监测设备正常运行</w:t>
            </w:r>
            <w:r>
              <w:rPr>
                <w:sz w:val="20"/>
                <w:szCs w:val="20"/>
                <w:spacing w:val="12"/>
              </w:rPr>
              <w:t>的；</w:t>
            </w:r>
          </w:p>
        </w:tc>
      </w:tr>
      <w:tr>
        <w:trPr>
          <w:trHeight w:val="4608" w:hRule="atLeast"/>
        </w:trPr>
        <w:tc>
          <w:tcPr>
            <w:tcW w:w="1002"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93"/>
              <w:spacing w:before="65" w:line="189" w:lineRule="auto"/>
              <w:rPr>
                <w:sz w:val="20"/>
                <w:szCs w:val="20"/>
              </w:rPr>
            </w:pPr>
            <w:r>
              <w:rPr>
                <w:sz w:val="20"/>
                <w:szCs w:val="20"/>
                <w:spacing w:val="-1"/>
              </w:rPr>
              <w:t>21</w:t>
            </w:r>
          </w:p>
        </w:tc>
        <w:tc>
          <w:tcPr>
            <w:tcW w:w="5713"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88"/>
              <w:spacing w:before="65" w:line="228" w:lineRule="auto"/>
              <w:rPr>
                <w:sz w:val="20"/>
                <w:szCs w:val="20"/>
              </w:rPr>
            </w:pPr>
            <w:r>
              <w:rPr>
                <w:sz w:val="20"/>
                <w:szCs w:val="20"/>
                <w:spacing w:val="13"/>
              </w:rPr>
              <w:t>三个月内初次发现因突发故障等非主观故意因素导致污染</w:t>
            </w:r>
          </w:p>
          <w:p>
            <w:pPr>
              <w:pStyle w:val="TableText"/>
              <w:ind w:left="144"/>
              <w:spacing w:before="29" w:line="226" w:lineRule="auto"/>
              <w:rPr>
                <w:sz w:val="20"/>
                <w:szCs w:val="20"/>
              </w:rPr>
            </w:pPr>
            <w:r>
              <w:rPr>
                <w:sz w:val="20"/>
                <w:szCs w:val="20"/>
                <w:spacing w:val="9"/>
              </w:rPr>
              <w:t>防治设施不正常运行，24小时内及时报告并采取停、</w:t>
            </w:r>
            <w:r>
              <w:rPr>
                <w:sz w:val="20"/>
                <w:szCs w:val="20"/>
                <w:spacing w:val="8"/>
              </w:rPr>
              <w:t>限产措</w:t>
            </w:r>
          </w:p>
          <w:p>
            <w:pPr>
              <w:pStyle w:val="TableText"/>
              <w:ind w:left="130"/>
              <w:spacing w:before="30" w:line="228" w:lineRule="auto"/>
              <w:rPr>
                <w:sz w:val="20"/>
                <w:szCs w:val="20"/>
              </w:rPr>
            </w:pPr>
            <w:r>
              <w:rPr>
                <w:sz w:val="20"/>
                <w:szCs w:val="20"/>
                <w:spacing w:val="10"/>
              </w:rPr>
              <w:t>施减少污染物排放，且已联网的在线监控企业日均</w:t>
            </w:r>
            <w:r>
              <w:rPr>
                <w:sz w:val="20"/>
                <w:szCs w:val="20"/>
                <w:spacing w:val="9"/>
              </w:rPr>
              <w:t>值未超标</w:t>
            </w:r>
          </w:p>
          <w:p>
            <w:pPr>
              <w:pStyle w:val="TableText"/>
              <w:ind w:left="2773"/>
              <w:spacing w:before="28" w:line="231" w:lineRule="auto"/>
              <w:rPr>
                <w:sz w:val="20"/>
                <w:szCs w:val="20"/>
              </w:rPr>
            </w:pPr>
            <w:r>
              <w:rPr>
                <w:sz w:val="20"/>
                <w:szCs w:val="20"/>
              </w:rPr>
              <w:t>的</w:t>
            </w:r>
          </w:p>
        </w:tc>
        <w:tc>
          <w:tcPr>
            <w:tcW w:w="7844" w:type="dxa"/>
            <w:vAlign w:val="top"/>
          </w:tcPr>
          <w:p>
            <w:pPr>
              <w:pStyle w:val="TableText"/>
              <w:ind w:left="599"/>
              <w:spacing w:before="38" w:line="228" w:lineRule="auto"/>
              <w:rPr>
                <w:sz w:val="20"/>
                <w:szCs w:val="20"/>
              </w:rPr>
            </w:pPr>
            <w:r>
              <w:rPr>
                <w:sz w:val="20"/>
                <w:szCs w:val="20"/>
                <w:spacing w:val="7"/>
              </w:rPr>
              <w:t>1.《中华人民共和国水污染防治法》</w:t>
            </w:r>
          </w:p>
          <w:p>
            <w:pPr>
              <w:pStyle w:val="TableText"/>
              <w:ind w:left="163" w:right="195"/>
              <w:spacing w:before="28" w:line="242" w:lineRule="auto"/>
              <w:jc w:val="both"/>
              <w:rPr>
                <w:sz w:val="20"/>
                <w:szCs w:val="20"/>
              </w:rPr>
            </w:pPr>
            <w:r>
              <w:rPr>
                <w:sz w:val="20"/>
                <w:szCs w:val="20"/>
                <w:spacing w:val="8"/>
              </w:rPr>
              <w:t>第八十三条  违反本法规定，有下列行为</w:t>
            </w:r>
            <w:r>
              <w:rPr>
                <w:sz w:val="20"/>
                <w:szCs w:val="20"/>
                <w:spacing w:val="7"/>
              </w:rPr>
              <w:t>之一的，由县级以上人民政府环境保护主</w:t>
            </w:r>
            <w:r>
              <w:rPr>
                <w:sz w:val="20"/>
                <w:szCs w:val="20"/>
              </w:rPr>
              <w:t xml:space="preserve"> </w:t>
            </w:r>
            <w:r>
              <w:rPr>
                <w:sz w:val="20"/>
                <w:szCs w:val="20"/>
                <w:spacing w:val="8"/>
              </w:rPr>
              <w:t>管部门责令改正或者责令限制生产、停产整治，并处十万元</w:t>
            </w:r>
            <w:r>
              <w:rPr>
                <w:sz w:val="20"/>
                <w:szCs w:val="20"/>
                <w:spacing w:val="7"/>
              </w:rPr>
              <w:t>以上一百万元以下的罚</w:t>
            </w:r>
            <w:r>
              <w:rPr>
                <w:sz w:val="20"/>
                <w:szCs w:val="20"/>
              </w:rPr>
              <w:t xml:space="preserve"> </w:t>
            </w:r>
            <w:r>
              <w:rPr>
                <w:sz w:val="20"/>
                <w:szCs w:val="20"/>
                <w:spacing w:val="7"/>
              </w:rPr>
              <w:t>款；情节严重的，报经有批准权的人民政府批准，责令停业、关闭：</w:t>
            </w:r>
          </w:p>
          <w:p>
            <w:pPr>
              <w:pStyle w:val="TableText"/>
              <w:ind w:left="162" w:right="161" w:firstLine="428"/>
              <w:spacing w:before="25" w:line="242" w:lineRule="auto"/>
              <w:jc w:val="both"/>
              <w:rPr>
                <w:sz w:val="20"/>
                <w:szCs w:val="20"/>
              </w:rPr>
            </w:pPr>
            <w:r>
              <w:rPr>
                <w:sz w:val="20"/>
                <w:szCs w:val="20"/>
                <w:spacing w:val="8"/>
              </w:rPr>
              <w:t>（三）利用渗井、渗坑、裂隙、溶洞，私设暗管，篡改、伪造监测数据，或者</w:t>
            </w:r>
            <w:r>
              <w:rPr>
                <w:sz w:val="20"/>
                <w:szCs w:val="20"/>
                <w:spacing w:val="12"/>
              </w:rPr>
              <w:t xml:space="preserve"> </w:t>
            </w:r>
            <w:r>
              <w:rPr>
                <w:sz w:val="20"/>
                <w:szCs w:val="20"/>
                <w:spacing w:val="10"/>
              </w:rPr>
              <w:t>不正常运行水污染防治设施等逃避监管的方式排放水污染物的</w:t>
            </w:r>
            <w:r>
              <w:rPr>
                <w:sz w:val="20"/>
                <w:szCs w:val="20"/>
                <w:spacing w:val="-8"/>
              </w:rPr>
              <w:t>；</w:t>
            </w:r>
            <w:r>
              <w:rPr>
                <w:sz w:val="20"/>
                <w:szCs w:val="20"/>
                <w:spacing w:val="22"/>
              </w:rPr>
              <w:t xml:space="preserve"> </w:t>
            </w:r>
            <w:r>
              <w:rPr>
                <w:sz w:val="20"/>
                <w:szCs w:val="20"/>
                <w:b/>
                <w:bCs/>
                <w:spacing w:val="-8"/>
              </w:rPr>
              <w:t>（</w:t>
            </w:r>
            <w:r>
              <w:rPr>
                <w:sz w:val="20"/>
                <w:szCs w:val="20"/>
                <w:b/>
                <w:bCs/>
                <w:spacing w:val="10"/>
              </w:rPr>
              <w:t>只含本规定中</w:t>
            </w:r>
            <w:r>
              <w:rPr>
                <w:sz w:val="20"/>
                <w:szCs w:val="20"/>
              </w:rPr>
              <w:t xml:space="preserve"> </w:t>
            </w:r>
            <w:r>
              <w:rPr>
                <w:sz w:val="20"/>
                <w:szCs w:val="20"/>
                <w:b/>
                <w:bCs/>
                <w:spacing w:val="7"/>
              </w:rPr>
              <w:t>对不正常运行水污染防治设施的处罚）</w:t>
            </w:r>
          </w:p>
          <w:p>
            <w:pPr>
              <w:pStyle w:val="TableText"/>
              <w:ind w:left="586"/>
              <w:spacing w:before="295" w:line="228" w:lineRule="auto"/>
              <w:rPr>
                <w:sz w:val="20"/>
                <w:szCs w:val="20"/>
              </w:rPr>
            </w:pPr>
            <w:r>
              <w:rPr>
                <w:sz w:val="20"/>
                <w:szCs w:val="20"/>
                <w:spacing w:val="7"/>
              </w:rPr>
              <w:t>2.《河北省水污染防治条例》</w:t>
            </w:r>
          </w:p>
          <w:p>
            <w:pPr>
              <w:pStyle w:val="TableText"/>
              <w:ind w:left="164" w:right="159" w:hanging="1"/>
              <w:spacing w:before="22" w:line="241" w:lineRule="auto"/>
              <w:jc w:val="both"/>
              <w:rPr>
                <w:sz w:val="20"/>
                <w:szCs w:val="20"/>
              </w:rPr>
            </w:pPr>
            <w:r>
              <w:rPr>
                <w:sz w:val="20"/>
                <w:szCs w:val="20"/>
                <w:spacing w:val="8"/>
              </w:rPr>
              <w:t>第七十条  违反本条例规定，有下列行为之一的，由环境保护主管部门责令改正或</w:t>
            </w:r>
            <w:r>
              <w:rPr>
                <w:sz w:val="20"/>
                <w:szCs w:val="20"/>
                <w:spacing w:val="16"/>
              </w:rPr>
              <w:t xml:space="preserve"> </w:t>
            </w:r>
            <w:r>
              <w:rPr>
                <w:sz w:val="20"/>
                <w:szCs w:val="20"/>
                <w:spacing w:val="9"/>
              </w:rPr>
              <w:t>者责令限制生产、停产整治，并处二十万元以上一百万元</w:t>
            </w:r>
            <w:r>
              <w:rPr>
                <w:sz w:val="20"/>
                <w:szCs w:val="20"/>
                <w:spacing w:val="8"/>
              </w:rPr>
              <w:t>以下的罚款；情节严重的</w:t>
            </w:r>
            <w:r>
              <w:rPr>
                <w:sz w:val="20"/>
                <w:szCs w:val="20"/>
              </w:rPr>
              <w:t xml:space="preserve"> </w:t>
            </w:r>
            <w:r>
              <w:rPr>
                <w:sz w:val="20"/>
                <w:szCs w:val="20"/>
                <w:spacing w:val="6"/>
              </w:rPr>
              <w:t>,</w:t>
            </w:r>
            <w:r>
              <w:rPr>
                <w:sz w:val="20"/>
                <w:szCs w:val="20"/>
                <w:spacing w:val="68"/>
              </w:rPr>
              <w:t xml:space="preserve"> </w:t>
            </w:r>
            <w:r>
              <w:rPr>
                <w:sz w:val="20"/>
                <w:szCs w:val="20"/>
                <w:spacing w:val="6"/>
              </w:rPr>
              <w:t>报经有批准权的人民政府批准，责令停业、关闭：</w:t>
            </w:r>
          </w:p>
          <w:p>
            <w:pPr>
              <w:pStyle w:val="TableText"/>
              <w:ind w:left="167" w:right="161" w:firstLine="426"/>
              <w:spacing w:before="28" w:line="242" w:lineRule="auto"/>
              <w:jc w:val="both"/>
              <w:rPr>
                <w:sz w:val="20"/>
                <w:szCs w:val="20"/>
              </w:rPr>
            </w:pPr>
            <w:r>
              <w:rPr>
                <w:sz w:val="20"/>
                <w:szCs w:val="20"/>
                <w:spacing w:val="8"/>
              </w:rPr>
              <w:t>（三）利用渗井、渗坑、裂隙、溶洞，私设暗管，篡改、伪造监测数据，或者</w:t>
            </w:r>
            <w:r>
              <w:rPr>
                <w:sz w:val="20"/>
                <w:szCs w:val="20"/>
                <w:spacing w:val="10"/>
              </w:rPr>
              <w:t xml:space="preserve"> </w:t>
            </w:r>
            <w:r>
              <w:rPr>
                <w:sz w:val="20"/>
                <w:szCs w:val="20"/>
                <w:spacing w:val="10"/>
              </w:rPr>
              <w:t>不正常运行水污染防治设施等逃避监管的方式排放水污染物的</w:t>
            </w:r>
            <w:r>
              <w:rPr>
                <w:sz w:val="20"/>
                <w:szCs w:val="20"/>
                <w:spacing w:val="-24"/>
              </w:rPr>
              <w:t>；</w:t>
            </w:r>
            <w:r>
              <w:rPr>
                <w:sz w:val="20"/>
                <w:szCs w:val="20"/>
                <w:b/>
                <w:bCs/>
                <w:spacing w:val="-24"/>
              </w:rPr>
              <w:t>（</w:t>
            </w:r>
            <w:r>
              <w:rPr>
                <w:sz w:val="20"/>
                <w:szCs w:val="20"/>
                <w:b/>
                <w:bCs/>
                <w:spacing w:val="10"/>
              </w:rPr>
              <w:t>只含本规定中对</w:t>
            </w:r>
            <w:r>
              <w:rPr>
                <w:sz w:val="20"/>
                <w:szCs w:val="20"/>
              </w:rPr>
              <w:t xml:space="preserve"> </w:t>
            </w:r>
            <w:r>
              <w:rPr>
                <w:sz w:val="20"/>
                <w:szCs w:val="20"/>
                <w:b/>
                <w:bCs/>
                <w:spacing w:val="7"/>
              </w:rPr>
              <w:t>不正常运行水污染防治设施的处罚）</w:t>
            </w:r>
          </w:p>
          <w:p>
            <w:pPr>
              <w:pStyle w:val="TableText"/>
              <w:ind w:left="533"/>
              <w:spacing w:before="289" w:line="216" w:lineRule="auto"/>
              <w:rPr>
                <w:sz w:val="20"/>
                <w:szCs w:val="20"/>
              </w:rPr>
            </w:pPr>
            <w:r>
              <w:rPr>
                <w:rFonts w:ascii="Arial" w:hAnsi="Arial" w:eastAsia="Arial" w:cs="Arial"/>
                <w:sz w:val="20"/>
                <w:szCs w:val="20"/>
                <w:spacing w:val="9"/>
              </w:rPr>
              <w:t>3.</w:t>
            </w:r>
            <w:r>
              <w:rPr>
                <w:sz w:val="20"/>
                <w:szCs w:val="20"/>
                <w:spacing w:val="9"/>
              </w:rPr>
              <w:t>《中华人民共和国大气污染防治法》第九十九条 违反本法规定，有下列行为</w:t>
            </w:r>
          </w:p>
        </w:tc>
      </w:tr>
    </w:tbl>
    <w:p>
      <w:pPr>
        <w:pStyle w:val="BodyText"/>
        <w:rPr/>
      </w:pPr>
      <w:r/>
    </w:p>
    <w:p>
      <w:pPr>
        <w:sectPr>
          <w:footerReference w:type="default" r:id="rId445"/>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6411"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15" w:right="176"/>
              <w:spacing w:before="37" w:line="243" w:lineRule="auto"/>
              <w:jc w:val="both"/>
              <w:rPr>
                <w:sz w:val="20"/>
                <w:szCs w:val="20"/>
              </w:rPr>
            </w:pPr>
            <w:r>
              <w:rPr>
                <w:sz w:val="20"/>
                <w:szCs w:val="20"/>
                <w:spacing w:val="8"/>
              </w:rPr>
              <w:t>之一的，</w:t>
            </w:r>
            <w:r>
              <w:rPr>
                <w:sz w:val="20"/>
                <w:szCs w:val="20"/>
                <w:spacing w:val="-42"/>
              </w:rPr>
              <w:t xml:space="preserve"> </w:t>
            </w:r>
            <w:r>
              <w:rPr>
                <w:sz w:val="20"/>
                <w:szCs w:val="20"/>
                <w:spacing w:val="8"/>
              </w:rPr>
              <w:t>由县级以上人民政府生态环境主管部门责令改正或者限制生产、停产整治</w:t>
            </w:r>
            <w:r>
              <w:rPr>
                <w:sz w:val="20"/>
                <w:szCs w:val="20"/>
              </w:rPr>
              <w:t xml:space="preserve"> </w:t>
            </w:r>
            <w:r>
              <w:rPr>
                <w:sz w:val="20"/>
                <w:szCs w:val="20"/>
                <w:spacing w:val="8"/>
              </w:rPr>
              <w:t>,</w:t>
            </w:r>
            <w:r>
              <w:rPr>
                <w:sz w:val="20"/>
                <w:szCs w:val="20"/>
                <w:spacing w:val="64"/>
              </w:rPr>
              <w:t xml:space="preserve"> </w:t>
            </w:r>
            <w:r>
              <w:rPr>
                <w:sz w:val="20"/>
                <w:szCs w:val="20"/>
                <w:spacing w:val="8"/>
              </w:rPr>
              <w:t>并处十万元以上一百万元以下的罚款；情节严重的，报经有批准权</w:t>
            </w:r>
            <w:r>
              <w:rPr>
                <w:sz w:val="20"/>
                <w:szCs w:val="20"/>
                <w:spacing w:val="7"/>
              </w:rPr>
              <w:t>的人民政府批</w:t>
            </w:r>
            <w:r>
              <w:rPr>
                <w:sz w:val="20"/>
                <w:szCs w:val="20"/>
              </w:rPr>
              <w:t xml:space="preserve"> </w:t>
            </w:r>
            <w:r>
              <w:rPr>
                <w:sz w:val="20"/>
                <w:szCs w:val="20"/>
                <w:spacing w:val="7"/>
              </w:rPr>
              <w:t>准，责令停业、关闭：</w:t>
            </w:r>
          </w:p>
          <w:p>
            <w:pPr>
              <w:pStyle w:val="TableText"/>
              <w:ind w:left="543"/>
              <w:spacing w:before="24" w:line="228" w:lineRule="auto"/>
              <w:rPr>
                <w:sz w:val="20"/>
                <w:szCs w:val="20"/>
              </w:rPr>
            </w:pPr>
            <w:r>
              <w:rPr>
                <w:sz w:val="20"/>
                <w:szCs w:val="20"/>
                <w:spacing w:val="8"/>
              </w:rPr>
              <w:t>（三）通过逃避监管的方式排放大气污染物。</w:t>
            </w:r>
          </w:p>
          <w:p>
            <w:pPr>
              <w:pStyle w:val="TableText"/>
              <w:ind w:left="123"/>
              <w:spacing w:before="26" w:line="227" w:lineRule="auto"/>
              <w:rPr>
                <w:sz w:val="20"/>
                <w:szCs w:val="20"/>
              </w:rPr>
            </w:pPr>
            <w:r>
              <w:rPr>
                <w:sz w:val="20"/>
                <w:szCs w:val="20"/>
                <w:b/>
                <w:bCs/>
                <w:spacing w:val="7"/>
              </w:rPr>
              <w:t>（只含本规定中对不正常运行大气污染防治设施的处罚）</w:t>
            </w:r>
          </w:p>
          <w:p>
            <w:pPr>
              <w:spacing w:line="269" w:lineRule="auto"/>
              <w:rPr>
                <w:rFonts w:ascii="Arial"/>
                <w:sz w:val="21"/>
              </w:rPr>
            </w:pPr>
            <w:r/>
          </w:p>
          <w:p>
            <w:pPr>
              <w:spacing w:line="270" w:lineRule="auto"/>
              <w:rPr>
                <w:rFonts w:ascii="Arial"/>
                <w:sz w:val="21"/>
              </w:rPr>
            </w:pPr>
            <w:r/>
          </w:p>
          <w:p>
            <w:pPr>
              <w:pStyle w:val="TableText"/>
              <w:ind w:left="115" w:right="108" w:firstLine="412"/>
              <w:spacing w:before="65" w:line="247" w:lineRule="auto"/>
              <w:jc w:val="both"/>
              <w:rPr>
                <w:sz w:val="20"/>
                <w:szCs w:val="20"/>
              </w:rPr>
            </w:pPr>
            <w:r>
              <w:rPr>
                <w:rFonts w:ascii="Arial" w:hAnsi="Arial" w:eastAsia="Arial" w:cs="Arial"/>
                <w:sz w:val="20"/>
                <w:szCs w:val="20"/>
                <w:spacing w:val="9"/>
              </w:rPr>
              <w:t>4.</w:t>
            </w:r>
            <w:r>
              <w:rPr>
                <w:sz w:val="20"/>
                <w:szCs w:val="20"/>
                <w:spacing w:val="9"/>
              </w:rPr>
              <w:t>《河北省大气污染防治条例》第七十八条 违反本条例规定，有下列行为之一</w:t>
            </w:r>
            <w:r>
              <w:rPr>
                <w:sz w:val="20"/>
                <w:szCs w:val="20"/>
                <w:spacing w:val="10"/>
              </w:rPr>
              <w:t xml:space="preserve"> </w:t>
            </w:r>
            <w:r>
              <w:rPr>
                <w:sz w:val="20"/>
                <w:szCs w:val="20"/>
                <w:spacing w:val="8"/>
              </w:rPr>
              <w:t>的，</w:t>
            </w:r>
            <w:r>
              <w:rPr>
                <w:sz w:val="20"/>
                <w:szCs w:val="20"/>
                <w:spacing w:val="-42"/>
              </w:rPr>
              <w:t xml:space="preserve"> </w:t>
            </w:r>
            <w:r>
              <w:rPr>
                <w:sz w:val="20"/>
                <w:szCs w:val="20"/>
                <w:spacing w:val="8"/>
              </w:rPr>
              <w:t>由县级以上人民政府环境保护主管部门责令停止排污或者限制生产、停产整治</w:t>
            </w:r>
            <w:r>
              <w:rPr>
                <w:sz w:val="20"/>
                <w:szCs w:val="20"/>
              </w:rPr>
              <w:t xml:space="preserve"> </w:t>
            </w:r>
            <w:r>
              <w:rPr>
                <w:sz w:val="20"/>
                <w:szCs w:val="20"/>
                <w:spacing w:val="8"/>
              </w:rPr>
              <w:t>,</w:t>
            </w:r>
            <w:r>
              <w:rPr>
                <w:sz w:val="20"/>
                <w:szCs w:val="20"/>
                <w:spacing w:val="64"/>
              </w:rPr>
              <w:t xml:space="preserve"> </w:t>
            </w:r>
            <w:r>
              <w:rPr>
                <w:sz w:val="20"/>
                <w:szCs w:val="20"/>
                <w:spacing w:val="8"/>
              </w:rPr>
              <w:t>并处十万元以上三十万元以下罚款；情节较重的，并处三十万元以</w:t>
            </w:r>
            <w:r>
              <w:rPr>
                <w:sz w:val="20"/>
                <w:szCs w:val="20"/>
                <w:spacing w:val="7"/>
              </w:rPr>
              <w:t>上一百万元以</w:t>
            </w:r>
            <w:r>
              <w:rPr>
                <w:sz w:val="20"/>
                <w:szCs w:val="20"/>
              </w:rPr>
              <w:t xml:space="preserve"> </w:t>
            </w:r>
            <w:r>
              <w:rPr>
                <w:sz w:val="20"/>
                <w:szCs w:val="20"/>
                <w:spacing w:val="10"/>
              </w:rPr>
              <w:t>下罚款；情节严重的，报经有批准权的人民政府批</w:t>
            </w:r>
            <w:r>
              <w:rPr>
                <w:sz w:val="20"/>
                <w:szCs w:val="20"/>
                <w:spacing w:val="9"/>
              </w:rPr>
              <w:t>准，责令停业、关闭。受到罚款</w:t>
            </w:r>
            <w:r>
              <w:rPr>
                <w:sz w:val="20"/>
                <w:szCs w:val="20"/>
              </w:rPr>
              <w:t xml:space="preserve"> </w:t>
            </w:r>
            <w:r>
              <w:rPr>
                <w:sz w:val="20"/>
                <w:szCs w:val="20"/>
                <w:spacing w:val="10"/>
              </w:rPr>
              <w:t>处罚，被责令改正，拒不改正的，可以自责令改正</w:t>
            </w:r>
            <w:r>
              <w:rPr>
                <w:sz w:val="20"/>
                <w:szCs w:val="20"/>
                <w:spacing w:val="9"/>
              </w:rPr>
              <w:t>之日的次日起，按照原处罚数额</w:t>
            </w:r>
            <w:r>
              <w:rPr>
                <w:sz w:val="20"/>
                <w:szCs w:val="20"/>
              </w:rPr>
              <w:t xml:space="preserve"> </w:t>
            </w:r>
            <w:r>
              <w:rPr>
                <w:sz w:val="20"/>
                <w:szCs w:val="20"/>
                <w:spacing w:val="6"/>
              </w:rPr>
              <w:t>按日连续处罚：</w:t>
            </w:r>
          </w:p>
          <w:p>
            <w:pPr>
              <w:pStyle w:val="TableText"/>
              <w:ind w:left="543"/>
              <w:spacing w:before="27" w:line="228" w:lineRule="auto"/>
              <w:rPr>
                <w:sz w:val="20"/>
                <w:szCs w:val="20"/>
              </w:rPr>
            </w:pPr>
            <w:r>
              <w:rPr>
                <w:sz w:val="20"/>
                <w:szCs w:val="20"/>
                <w:spacing w:val="9"/>
              </w:rPr>
              <w:t>（三）通过偷排、偷放等逃避监管的方式排放大气</w:t>
            </w:r>
            <w:r>
              <w:rPr>
                <w:sz w:val="20"/>
                <w:szCs w:val="20"/>
                <w:spacing w:val="8"/>
              </w:rPr>
              <w:t>污染物的。</w:t>
            </w:r>
          </w:p>
          <w:p>
            <w:pPr>
              <w:pStyle w:val="TableText"/>
              <w:ind w:left="123"/>
              <w:spacing w:before="24" w:line="227" w:lineRule="auto"/>
              <w:rPr>
                <w:sz w:val="20"/>
                <w:szCs w:val="20"/>
              </w:rPr>
            </w:pPr>
            <w:r>
              <w:rPr>
                <w:sz w:val="20"/>
                <w:szCs w:val="20"/>
                <w:b/>
                <w:bCs/>
                <w:spacing w:val="7"/>
              </w:rPr>
              <w:t>（只含本规定中对不正常运行大气污染防治设施的处罚）</w:t>
            </w:r>
          </w:p>
          <w:p>
            <w:pPr>
              <w:spacing w:line="356" w:lineRule="auto"/>
              <w:rPr>
                <w:rFonts w:ascii="Arial"/>
                <w:sz w:val="21"/>
              </w:rPr>
            </w:pPr>
            <w:r/>
          </w:p>
          <w:p>
            <w:pPr>
              <w:pStyle w:val="TableText"/>
              <w:ind w:left="585"/>
              <w:spacing w:before="66" w:line="228" w:lineRule="auto"/>
              <w:rPr>
                <w:sz w:val="20"/>
                <w:szCs w:val="20"/>
              </w:rPr>
            </w:pPr>
            <w:r>
              <w:rPr>
                <w:rFonts w:ascii="Calibri" w:hAnsi="Calibri" w:eastAsia="Calibri" w:cs="Calibri"/>
                <w:sz w:val="20"/>
                <w:szCs w:val="20"/>
                <w:spacing w:val="8"/>
              </w:rPr>
              <w:t>5.</w:t>
            </w:r>
            <w:r>
              <w:rPr>
                <w:sz w:val="20"/>
                <w:szCs w:val="20"/>
                <w:spacing w:val="8"/>
              </w:rPr>
              <w:t>《排污许可管理条例》第三十四条</w:t>
            </w:r>
          </w:p>
          <w:p>
            <w:pPr>
              <w:pStyle w:val="TableText"/>
              <w:ind w:left="163" w:right="159" w:firstLine="420"/>
              <w:spacing w:before="23" w:line="242" w:lineRule="auto"/>
              <w:rPr>
                <w:sz w:val="20"/>
                <w:szCs w:val="20"/>
              </w:rPr>
            </w:pPr>
            <w:r>
              <w:rPr>
                <w:sz w:val="20"/>
                <w:szCs w:val="20"/>
                <w:spacing w:val="9"/>
              </w:rPr>
              <w:t>违反本条例规定，排污单位有下列行为之一的，由</w:t>
            </w:r>
            <w:r>
              <w:rPr>
                <w:sz w:val="20"/>
                <w:szCs w:val="20"/>
                <w:spacing w:val="8"/>
              </w:rPr>
              <w:t>生态环境主管部门责令改正</w:t>
            </w:r>
            <w:r>
              <w:rPr>
                <w:sz w:val="20"/>
                <w:szCs w:val="20"/>
              </w:rPr>
              <w:t xml:space="preserve"> </w:t>
            </w:r>
            <w:r>
              <w:rPr>
                <w:sz w:val="20"/>
                <w:szCs w:val="20"/>
                <w:spacing w:val="10"/>
              </w:rPr>
              <w:t>或者限制生产、停产整治，处</w:t>
            </w:r>
            <w:r>
              <w:rPr>
                <w:rFonts w:ascii="Calibri" w:hAnsi="Calibri" w:eastAsia="Calibri" w:cs="Calibri"/>
                <w:sz w:val="20"/>
                <w:szCs w:val="20"/>
                <w:spacing w:val="10"/>
              </w:rPr>
              <w:t>20</w:t>
            </w:r>
            <w:r>
              <w:rPr>
                <w:sz w:val="20"/>
                <w:szCs w:val="20"/>
                <w:spacing w:val="10"/>
              </w:rPr>
              <w:t>万元以上</w:t>
            </w:r>
            <w:r>
              <w:rPr>
                <w:rFonts w:ascii="Calibri" w:hAnsi="Calibri" w:eastAsia="Calibri" w:cs="Calibri"/>
                <w:sz w:val="20"/>
                <w:szCs w:val="20"/>
                <w:spacing w:val="10"/>
              </w:rPr>
              <w:t>10</w:t>
            </w:r>
            <w:r>
              <w:rPr>
                <w:rFonts w:ascii="Calibri" w:hAnsi="Calibri" w:eastAsia="Calibri" w:cs="Calibri"/>
                <w:sz w:val="20"/>
                <w:szCs w:val="20"/>
                <w:spacing w:val="9"/>
              </w:rPr>
              <w:t>0</w:t>
            </w:r>
            <w:r>
              <w:rPr>
                <w:sz w:val="20"/>
                <w:szCs w:val="20"/>
                <w:spacing w:val="9"/>
              </w:rPr>
              <w:t>万元以下的罚款；情节严重的，</w:t>
            </w:r>
            <w:r>
              <w:rPr>
                <w:sz w:val="20"/>
                <w:szCs w:val="20"/>
                <w:spacing w:val="-55"/>
              </w:rPr>
              <w:t xml:space="preserve"> </w:t>
            </w:r>
            <w:r>
              <w:rPr>
                <w:sz w:val="20"/>
                <w:szCs w:val="20"/>
                <w:spacing w:val="9"/>
              </w:rPr>
              <w:t>吊销</w:t>
            </w:r>
            <w:r>
              <w:rPr>
                <w:sz w:val="20"/>
                <w:szCs w:val="20"/>
              </w:rPr>
              <w:t xml:space="preserve"> </w:t>
            </w:r>
            <w:r>
              <w:rPr>
                <w:sz w:val="20"/>
                <w:szCs w:val="20"/>
                <w:spacing w:val="9"/>
              </w:rPr>
              <w:t>排污许可证，报经有批准权的人民政府批准，责令停业、关闭：</w:t>
            </w:r>
          </w:p>
          <w:p>
            <w:pPr>
              <w:pStyle w:val="TableText"/>
              <w:ind w:left="167" w:right="161" w:firstLine="421"/>
              <w:spacing w:before="23" w:line="239" w:lineRule="auto"/>
              <w:rPr>
                <w:sz w:val="20"/>
                <w:szCs w:val="20"/>
              </w:rPr>
            </w:pPr>
            <w:r>
              <w:rPr>
                <w:sz w:val="20"/>
                <w:szCs w:val="20"/>
                <w:spacing w:val="8"/>
              </w:rPr>
              <w:t>（二）通过暗管、渗井、渗坑、灌注或者篡改、伪造监测数据，或者不正常运</w:t>
            </w:r>
            <w:r>
              <w:rPr>
                <w:sz w:val="20"/>
                <w:szCs w:val="20"/>
                <w:spacing w:val="15"/>
              </w:rPr>
              <w:t xml:space="preserve"> </w:t>
            </w:r>
            <w:r>
              <w:rPr>
                <w:sz w:val="20"/>
                <w:szCs w:val="20"/>
                <w:spacing w:val="9"/>
              </w:rPr>
              <w:t>行污染防治设施等逃避监管的方式违法排放污染</w:t>
            </w:r>
            <w:r>
              <w:rPr>
                <w:sz w:val="20"/>
                <w:szCs w:val="20"/>
                <w:spacing w:val="8"/>
              </w:rPr>
              <w:t>物。</w:t>
            </w:r>
          </w:p>
          <w:p>
            <w:pPr>
              <w:pStyle w:val="TableText"/>
              <w:ind w:left="123"/>
              <w:spacing w:before="18" w:line="215" w:lineRule="auto"/>
              <w:rPr>
                <w:sz w:val="20"/>
                <w:szCs w:val="20"/>
              </w:rPr>
            </w:pPr>
            <w:r>
              <w:rPr>
                <w:sz w:val="20"/>
                <w:szCs w:val="20"/>
                <w:b/>
                <w:bCs/>
                <w:spacing w:val="7"/>
              </w:rPr>
              <w:t>（只含本规定中对不正常运行污染防治设施的处罚）</w:t>
            </w:r>
          </w:p>
        </w:tc>
      </w:tr>
      <w:tr>
        <w:trPr>
          <w:trHeight w:val="1354" w:hRule="atLeast"/>
        </w:trPr>
        <w:tc>
          <w:tcPr>
            <w:tcW w:w="1002" w:type="dxa"/>
            <w:vAlign w:val="top"/>
          </w:tcPr>
          <w:p>
            <w:pPr>
              <w:spacing w:line="281" w:lineRule="auto"/>
              <w:rPr>
                <w:rFonts w:ascii="Arial"/>
                <w:sz w:val="21"/>
              </w:rPr>
            </w:pPr>
            <w:r/>
          </w:p>
          <w:p>
            <w:pPr>
              <w:spacing w:line="282" w:lineRule="auto"/>
              <w:rPr>
                <w:rFonts w:ascii="Arial"/>
                <w:sz w:val="21"/>
              </w:rPr>
            </w:pPr>
            <w:r/>
          </w:p>
          <w:p>
            <w:pPr>
              <w:pStyle w:val="TableText"/>
              <w:ind w:left="293"/>
              <w:spacing w:before="65" w:line="189" w:lineRule="auto"/>
              <w:rPr>
                <w:sz w:val="20"/>
                <w:szCs w:val="20"/>
              </w:rPr>
            </w:pPr>
            <w:r>
              <w:rPr>
                <w:sz w:val="20"/>
                <w:szCs w:val="20"/>
                <w:spacing w:val="-1"/>
              </w:rPr>
              <w:t>22</w:t>
            </w:r>
          </w:p>
        </w:tc>
        <w:tc>
          <w:tcPr>
            <w:tcW w:w="5713" w:type="dxa"/>
            <w:vAlign w:val="top"/>
          </w:tcPr>
          <w:p>
            <w:pPr>
              <w:pStyle w:val="TableText"/>
              <w:ind w:left="196" w:right="172" w:firstLine="1"/>
              <w:spacing w:before="157" w:line="245" w:lineRule="auto"/>
              <w:rPr>
                <w:sz w:val="20"/>
                <w:szCs w:val="20"/>
              </w:rPr>
            </w:pPr>
            <w:r>
              <w:rPr>
                <w:sz w:val="20"/>
                <w:szCs w:val="20"/>
                <w:spacing w:val="13"/>
              </w:rPr>
              <w:t>三个月内初次发现未按规范记录危险废物管理纸质台账，</w:t>
            </w:r>
            <w:r>
              <w:rPr>
                <w:sz w:val="20"/>
                <w:szCs w:val="20"/>
                <w:spacing w:val="10"/>
              </w:rPr>
              <w:t xml:space="preserve"> </w:t>
            </w:r>
            <w:r>
              <w:rPr>
                <w:sz w:val="20"/>
                <w:szCs w:val="20"/>
                <w:spacing w:val="13"/>
              </w:rPr>
              <w:t>但已按要求在河北省固体废物管理信息系统中申报了危险</w:t>
            </w:r>
            <w:r>
              <w:rPr>
                <w:sz w:val="20"/>
                <w:szCs w:val="20"/>
                <w:spacing w:val="12"/>
              </w:rPr>
              <w:t xml:space="preserve"> </w:t>
            </w:r>
            <w:r>
              <w:rPr>
                <w:sz w:val="20"/>
                <w:szCs w:val="20"/>
                <w:spacing w:val="13"/>
              </w:rPr>
              <w:t>废物的种类、产生量、流向、贮存、处置等有关资料，且</w:t>
            </w:r>
          </w:p>
          <w:p>
            <w:pPr>
              <w:pStyle w:val="TableText"/>
              <w:ind w:left="2349"/>
              <w:spacing w:before="28" w:line="228" w:lineRule="auto"/>
              <w:rPr>
                <w:sz w:val="20"/>
                <w:szCs w:val="20"/>
              </w:rPr>
            </w:pPr>
            <w:r>
              <w:rPr>
                <w:sz w:val="20"/>
                <w:szCs w:val="20"/>
                <w:spacing w:val="8"/>
              </w:rPr>
              <w:t>当日改正的</w:t>
            </w:r>
          </w:p>
        </w:tc>
        <w:tc>
          <w:tcPr>
            <w:tcW w:w="7844" w:type="dxa"/>
            <w:vAlign w:val="top"/>
          </w:tcPr>
          <w:p>
            <w:pPr>
              <w:pStyle w:val="TableText"/>
              <w:ind w:left="599"/>
              <w:spacing w:before="40" w:line="226" w:lineRule="auto"/>
              <w:rPr>
                <w:sz w:val="20"/>
                <w:szCs w:val="20"/>
              </w:rPr>
            </w:pPr>
            <w:r>
              <w:rPr>
                <w:sz w:val="20"/>
                <w:szCs w:val="20"/>
                <w:spacing w:val="9"/>
              </w:rPr>
              <w:t>1.《中华人民共和国</w:t>
            </w:r>
            <w:hyperlink w:history="true" r:id="rId447">
              <w:r>
                <w:rPr>
                  <w:sz w:val="20"/>
                  <w:szCs w:val="20"/>
                  <w:spacing w:val="9"/>
                </w:rPr>
                <w:t>固体废物污染环境防治法</w:t>
              </w:r>
            </w:hyperlink>
            <w:r>
              <w:rPr>
                <w:sz w:val="20"/>
                <w:szCs w:val="20"/>
                <w:spacing w:val="8"/>
              </w:rPr>
              <w:t>》第一百一十二条</w:t>
            </w:r>
          </w:p>
          <w:p>
            <w:pPr>
              <w:pStyle w:val="TableText"/>
              <w:ind w:left="167" w:right="159" w:firstLine="416"/>
              <w:spacing w:before="24" w:line="243" w:lineRule="auto"/>
              <w:rPr>
                <w:sz w:val="20"/>
                <w:szCs w:val="20"/>
              </w:rPr>
            </w:pPr>
            <w:r>
              <w:rPr>
                <w:sz w:val="20"/>
                <w:szCs w:val="20"/>
                <w:spacing w:val="9"/>
              </w:rPr>
              <w:t>违反本法规定，有下列行为之一，由生态环境主管</w:t>
            </w:r>
            <w:r>
              <w:rPr>
                <w:sz w:val="20"/>
                <w:szCs w:val="20"/>
                <w:spacing w:val="8"/>
              </w:rPr>
              <w:t>部门责令改正，处以罚款，</w:t>
            </w:r>
            <w:r>
              <w:rPr>
                <w:sz w:val="20"/>
                <w:szCs w:val="20"/>
              </w:rPr>
              <w:t xml:space="preserve"> </w:t>
            </w:r>
            <w:r>
              <w:rPr>
                <w:sz w:val="20"/>
                <w:szCs w:val="20"/>
                <w:spacing w:val="9"/>
              </w:rPr>
              <w:t>没收违法所得；情节严重的，报经有批准权的人民政</w:t>
            </w:r>
            <w:r>
              <w:rPr>
                <w:sz w:val="20"/>
                <w:szCs w:val="20"/>
                <w:spacing w:val="8"/>
              </w:rPr>
              <w:t>府批准，可以责令停业或者关</w:t>
            </w:r>
            <w:r>
              <w:rPr>
                <w:sz w:val="20"/>
                <w:szCs w:val="20"/>
              </w:rPr>
              <w:t xml:space="preserve"> </w:t>
            </w:r>
            <w:r>
              <w:rPr>
                <w:sz w:val="20"/>
                <w:szCs w:val="20"/>
                <w:spacing w:val="-2"/>
              </w:rPr>
              <w:t>闭：</w:t>
            </w:r>
          </w:p>
          <w:p>
            <w:pPr>
              <w:pStyle w:val="TableText"/>
              <w:ind w:left="593"/>
              <w:spacing w:before="20" w:line="207" w:lineRule="auto"/>
              <w:rPr>
                <w:sz w:val="20"/>
                <w:szCs w:val="20"/>
              </w:rPr>
            </w:pPr>
            <w:r>
              <w:rPr>
                <w:sz w:val="20"/>
                <w:szCs w:val="20"/>
                <w:spacing w:val="9"/>
              </w:rPr>
              <w:t>（十三）未按照国家有关规定建立危险废物管理台账并如实记录的。</w:t>
            </w:r>
          </w:p>
        </w:tc>
      </w:tr>
      <w:tr>
        <w:trPr>
          <w:trHeight w:val="1013" w:hRule="atLeast"/>
        </w:trPr>
        <w:tc>
          <w:tcPr>
            <w:tcW w:w="1002" w:type="dxa"/>
            <w:vAlign w:val="top"/>
          </w:tcPr>
          <w:p>
            <w:pPr>
              <w:spacing w:line="393" w:lineRule="auto"/>
              <w:rPr>
                <w:rFonts w:ascii="Arial"/>
                <w:sz w:val="21"/>
              </w:rPr>
            </w:pPr>
            <w:r/>
          </w:p>
          <w:p>
            <w:pPr>
              <w:pStyle w:val="TableText"/>
              <w:ind w:left="293"/>
              <w:spacing w:before="65" w:line="189" w:lineRule="auto"/>
              <w:rPr>
                <w:sz w:val="20"/>
                <w:szCs w:val="20"/>
              </w:rPr>
            </w:pPr>
            <w:r>
              <w:rPr>
                <w:sz w:val="20"/>
                <w:szCs w:val="20"/>
                <w:spacing w:val="-1"/>
              </w:rPr>
              <w:t>23</w:t>
            </w:r>
          </w:p>
        </w:tc>
        <w:tc>
          <w:tcPr>
            <w:tcW w:w="5713" w:type="dxa"/>
            <w:vAlign w:val="top"/>
          </w:tcPr>
          <w:p>
            <w:pPr>
              <w:pStyle w:val="TableText"/>
              <w:ind w:left="1913" w:right="172" w:hanging="1715"/>
              <w:spacing w:before="263"/>
              <w:rPr>
                <w:sz w:val="20"/>
                <w:szCs w:val="20"/>
              </w:rPr>
            </w:pPr>
            <w:r>
              <w:rPr>
                <w:sz w:val="20"/>
                <w:szCs w:val="20"/>
                <w:spacing w:val="13"/>
              </w:rPr>
              <w:t>三个月内初次发现未按规定贮存工业固体废物，经责令改</w:t>
            </w:r>
            <w:r>
              <w:rPr>
                <w:sz w:val="20"/>
                <w:szCs w:val="20"/>
                <w:spacing w:val="10"/>
              </w:rPr>
              <w:t xml:space="preserve"> </w:t>
            </w:r>
            <w:r>
              <w:rPr>
                <w:sz w:val="20"/>
                <w:szCs w:val="20"/>
                <w:spacing w:val="11"/>
              </w:rPr>
              <w:t>正后及时完成整改的</w:t>
            </w:r>
          </w:p>
        </w:tc>
        <w:tc>
          <w:tcPr>
            <w:tcW w:w="7844" w:type="dxa"/>
            <w:vAlign w:val="top"/>
          </w:tcPr>
          <w:p>
            <w:pPr>
              <w:pStyle w:val="TableText"/>
              <w:ind w:left="606"/>
              <w:spacing w:before="24" w:line="228" w:lineRule="auto"/>
              <w:rPr>
                <w:sz w:val="20"/>
                <w:szCs w:val="20"/>
              </w:rPr>
            </w:pPr>
            <w:r>
              <w:rPr>
                <w:sz w:val="20"/>
                <w:szCs w:val="20"/>
                <w:spacing w:val="6"/>
              </w:rPr>
              <w:t>1.《中华人民共和国固体废物污染环境防治法》第一百零二条</w:t>
            </w:r>
          </w:p>
          <w:p>
            <w:pPr>
              <w:pStyle w:val="TableText"/>
              <w:ind w:left="170" w:right="142" w:firstLine="395"/>
              <w:spacing w:before="4" w:line="230" w:lineRule="auto"/>
              <w:rPr>
                <w:sz w:val="20"/>
                <w:szCs w:val="20"/>
              </w:rPr>
            </w:pPr>
            <w:r>
              <w:rPr>
                <w:sz w:val="20"/>
                <w:szCs w:val="20"/>
                <w:spacing w:val="-2"/>
              </w:rPr>
              <w:t>违反本法规定，有下列行为之一，由生态环境主管部门责令改正，处以罚款，没收</w:t>
            </w:r>
            <w:r>
              <w:rPr>
                <w:sz w:val="20"/>
                <w:szCs w:val="20"/>
              </w:rPr>
              <w:t xml:space="preserve"> </w:t>
            </w:r>
            <w:r>
              <w:rPr>
                <w:sz w:val="20"/>
                <w:szCs w:val="20"/>
                <w:spacing w:val="-2"/>
              </w:rPr>
              <w:t>违法所得；情节严重的，报经有批准权的人民政府批准，可以责令停业或者关闭：</w:t>
            </w:r>
          </w:p>
          <w:p>
            <w:pPr>
              <w:pStyle w:val="TableText"/>
              <w:ind w:left="577"/>
              <w:spacing w:before="5" w:line="205" w:lineRule="auto"/>
              <w:rPr>
                <w:sz w:val="20"/>
                <w:szCs w:val="20"/>
              </w:rPr>
            </w:pPr>
            <w:r>
              <w:rPr>
                <w:sz w:val="20"/>
                <w:szCs w:val="20"/>
                <w:spacing w:val="-2"/>
              </w:rPr>
              <w:t>（十）贮存工业固体废物未采取符合国家环境保护标</w:t>
            </w:r>
            <w:r>
              <w:rPr>
                <w:sz w:val="20"/>
                <w:szCs w:val="20"/>
                <w:spacing w:val="-3"/>
              </w:rPr>
              <w:t>准的防护措施的；</w:t>
            </w:r>
          </w:p>
        </w:tc>
      </w:tr>
    </w:tbl>
    <w:p>
      <w:pPr>
        <w:pStyle w:val="BodyText"/>
        <w:rPr/>
      </w:pPr>
      <w:r/>
    </w:p>
    <w:p>
      <w:pPr>
        <w:sectPr>
          <w:footerReference w:type="default" r:id="rId446"/>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554"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30" w:right="96" w:hanging="16"/>
              <w:spacing w:before="37" w:line="234" w:lineRule="auto"/>
              <w:rPr>
                <w:sz w:val="20"/>
                <w:szCs w:val="20"/>
              </w:rPr>
            </w:pPr>
            <w:r>
              <w:rPr>
                <w:sz w:val="20"/>
                <w:szCs w:val="20"/>
                <w:spacing w:val="-4"/>
              </w:rPr>
              <w:t>有前款第二项、第三项、第四项、第五项、第六</w:t>
            </w:r>
            <w:r>
              <w:rPr>
                <w:sz w:val="20"/>
                <w:szCs w:val="20"/>
                <w:spacing w:val="-5"/>
              </w:rPr>
              <w:t>项、第九项、第十项、第十一项行为之一</w:t>
            </w:r>
            <w:r>
              <w:rPr>
                <w:sz w:val="20"/>
                <w:szCs w:val="20"/>
              </w:rPr>
              <w:t xml:space="preserve"> </w:t>
            </w:r>
            <w:r>
              <w:rPr>
                <w:sz w:val="20"/>
                <w:szCs w:val="20"/>
                <w:spacing w:val="-6"/>
              </w:rPr>
              <w:t>,</w:t>
            </w:r>
            <w:r>
              <w:rPr>
                <w:sz w:val="20"/>
                <w:szCs w:val="20"/>
                <w:spacing w:val="53"/>
              </w:rPr>
              <w:t xml:space="preserve"> </w:t>
            </w:r>
            <w:r>
              <w:rPr>
                <w:sz w:val="20"/>
                <w:szCs w:val="20"/>
                <w:spacing w:val="-6"/>
              </w:rPr>
              <w:t>处十万元以上一百万元以下的罚款；</w:t>
            </w:r>
          </w:p>
        </w:tc>
      </w:tr>
      <w:tr>
        <w:trPr>
          <w:trHeight w:val="8461" w:hRule="atLeast"/>
        </w:trPr>
        <w:tc>
          <w:tcPr>
            <w:tcW w:w="1002"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93"/>
              <w:spacing w:before="65" w:line="189" w:lineRule="auto"/>
              <w:rPr>
                <w:sz w:val="20"/>
                <w:szCs w:val="20"/>
              </w:rPr>
            </w:pPr>
            <w:r>
              <w:rPr>
                <w:sz w:val="20"/>
                <w:szCs w:val="20"/>
                <w:spacing w:val="-1"/>
              </w:rPr>
              <w:t>24</w:t>
            </w:r>
          </w:p>
        </w:tc>
        <w:tc>
          <w:tcPr>
            <w:tcW w:w="571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00"/>
              <w:spacing w:before="65" w:line="228" w:lineRule="auto"/>
              <w:rPr>
                <w:sz w:val="20"/>
                <w:szCs w:val="20"/>
              </w:rPr>
            </w:pPr>
            <w:r>
              <w:rPr>
                <w:sz w:val="20"/>
                <w:szCs w:val="20"/>
                <w:spacing w:val="13"/>
              </w:rPr>
              <w:t>六个月内初次发现经监测超过许可浓度排放污染物，常规</w:t>
            </w:r>
          </w:p>
          <w:p>
            <w:pPr>
              <w:pStyle w:val="TableText"/>
              <w:ind w:left="200"/>
              <w:spacing w:before="28" w:line="228" w:lineRule="auto"/>
              <w:rPr>
                <w:sz w:val="20"/>
                <w:szCs w:val="20"/>
              </w:rPr>
            </w:pPr>
            <w:r>
              <w:rPr>
                <w:sz w:val="20"/>
                <w:szCs w:val="20"/>
                <w:spacing w:val="12"/>
              </w:rPr>
              <w:t>污染物单因子超标倍数小于等于0.2倍，或者噪声超标在5</w:t>
            </w:r>
          </w:p>
          <w:p>
            <w:pPr>
              <w:pStyle w:val="TableText"/>
              <w:ind w:left="841"/>
              <w:spacing w:before="28" w:line="228" w:lineRule="auto"/>
              <w:rPr>
                <w:sz w:val="20"/>
                <w:szCs w:val="20"/>
              </w:rPr>
            </w:pPr>
            <w:r>
              <w:rPr>
                <w:sz w:val="20"/>
                <w:szCs w:val="20"/>
                <w:spacing w:val="12"/>
              </w:rPr>
              <w:t>分贝以内，24小时内完成整改并达标排放的</w:t>
            </w:r>
          </w:p>
        </w:tc>
        <w:tc>
          <w:tcPr>
            <w:tcW w:w="7844" w:type="dxa"/>
            <w:vAlign w:val="top"/>
          </w:tcPr>
          <w:p>
            <w:pPr>
              <w:pStyle w:val="TableText"/>
              <w:ind w:left="593"/>
              <w:spacing w:before="60" w:line="228" w:lineRule="auto"/>
              <w:rPr>
                <w:sz w:val="20"/>
                <w:szCs w:val="20"/>
              </w:rPr>
            </w:pPr>
            <w:r>
              <w:rPr>
                <w:rFonts w:ascii="Calibri" w:hAnsi="Calibri" w:eastAsia="Calibri" w:cs="Calibri"/>
                <w:sz w:val="20"/>
                <w:szCs w:val="20"/>
                <w:spacing w:val="8"/>
              </w:rPr>
              <w:t>1.</w:t>
            </w:r>
            <w:r>
              <w:rPr>
                <w:sz w:val="20"/>
                <w:szCs w:val="20"/>
                <w:spacing w:val="8"/>
              </w:rPr>
              <w:t>《中华人民共和国大气污染防治法》第九十九条</w:t>
            </w:r>
          </w:p>
          <w:p>
            <w:pPr>
              <w:pStyle w:val="TableText"/>
              <w:ind w:left="164" w:right="161" w:firstLine="419"/>
              <w:spacing w:before="53" w:line="267" w:lineRule="auto"/>
              <w:rPr>
                <w:sz w:val="20"/>
                <w:szCs w:val="20"/>
              </w:rPr>
            </w:pPr>
            <w:r>
              <w:rPr>
                <w:sz w:val="20"/>
                <w:szCs w:val="20"/>
                <w:spacing w:val="9"/>
              </w:rPr>
              <w:t>违反本法规定，有下列行为之一的，由县级以</w:t>
            </w:r>
            <w:r>
              <w:rPr>
                <w:sz w:val="20"/>
                <w:szCs w:val="20"/>
                <w:spacing w:val="8"/>
              </w:rPr>
              <w:t>上人民政府生态环境主管部门责</w:t>
            </w:r>
            <w:r>
              <w:rPr>
                <w:sz w:val="20"/>
                <w:szCs w:val="20"/>
              </w:rPr>
              <w:t xml:space="preserve"> </w:t>
            </w:r>
            <w:r>
              <w:rPr>
                <w:sz w:val="20"/>
                <w:szCs w:val="20"/>
                <w:spacing w:val="9"/>
              </w:rPr>
              <w:t>令改正或者限制生产、停产整治，并处十万元以上一</w:t>
            </w:r>
            <w:r>
              <w:rPr>
                <w:sz w:val="20"/>
                <w:szCs w:val="20"/>
                <w:spacing w:val="8"/>
              </w:rPr>
              <w:t>百万元以下的罚款；情节严重</w:t>
            </w:r>
            <w:r>
              <w:rPr>
                <w:sz w:val="20"/>
                <w:szCs w:val="20"/>
              </w:rPr>
              <w:t xml:space="preserve"> </w:t>
            </w:r>
            <w:r>
              <w:rPr>
                <w:sz w:val="20"/>
                <w:szCs w:val="20"/>
                <w:spacing w:val="9"/>
              </w:rPr>
              <w:t>的，报经有批准权的人民政府批准，责令停业、关闭：</w:t>
            </w:r>
          </w:p>
          <w:p>
            <w:pPr>
              <w:pStyle w:val="TableText"/>
              <w:ind w:left="163" w:right="159" w:firstLine="430"/>
              <w:spacing w:before="31" w:line="263" w:lineRule="auto"/>
              <w:rPr>
                <w:sz w:val="20"/>
                <w:szCs w:val="20"/>
              </w:rPr>
            </w:pPr>
            <w:r>
              <w:rPr>
                <w:sz w:val="20"/>
                <w:szCs w:val="20"/>
                <w:spacing w:val="8"/>
              </w:rPr>
              <w:t>（二）超过大气污染物排放标准或者超过重点大气污染物排放总量控制指标排</w:t>
            </w:r>
            <w:r>
              <w:rPr>
                <w:sz w:val="20"/>
                <w:szCs w:val="20"/>
                <w:spacing w:val="12"/>
              </w:rPr>
              <w:t xml:space="preserve"> </w:t>
            </w:r>
            <w:r>
              <w:rPr>
                <w:sz w:val="20"/>
                <w:szCs w:val="20"/>
                <w:spacing w:val="7"/>
              </w:rPr>
              <w:t>放大气污染物的；</w:t>
            </w:r>
          </w:p>
          <w:p>
            <w:pPr>
              <w:pStyle w:val="TableText"/>
              <w:ind w:left="123"/>
              <w:spacing w:before="59" w:line="227" w:lineRule="auto"/>
              <w:rPr>
                <w:sz w:val="20"/>
                <w:szCs w:val="20"/>
              </w:rPr>
            </w:pPr>
            <w:r>
              <w:rPr>
                <w:sz w:val="20"/>
                <w:szCs w:val="20"/>
                <w:spacing w:val="8"/>
              </w:rPr>
              <w:t>（只含本规定中对超标排放大气污染物的处罚）</w:t>
            </w:r>
          </w:p>
          <w:p>
            <w:pPr>
              <w:spacing w:line="320" w:lineRule="auto"/>
              <w:rPr>
                <w:rFonts w:ascii="Arial"/>
                <w:sz w:val="21"/>
              </w:rPr>
            </w:pPr>
            <w:r/>
          </w:p>
          <w:p>
            <w:pPr>
              <w:spacing w:line="320" w:lineRule="auto"/>
              <w:rPr>
                <w:rFonts w:ascii="Arial"/>
                <w:sz w:val="21"/>
              </w:rPr>
            </w:pPr>
            <w:r/>
          </w:p>
          <w:p>
            <w:pPr>
              <w:pStyle w:val="TableText"/>
              <w:ind w:left="587"/>
              <w:spacing w:before="65" w:line="228" w:lineRule="auto"/>
              <w:rPr>
                <w:sz w:val="20"/>
                <w:szCs w:val="20"/>
              </w:rPr>
            </w:pPr>
            <w:r>
              <w:rPr>
                <w:rFonts w:ascii="Calibri" w:hAnsi="Calibri" w:eastAsia="Calibri" w:cs="Calibri"/>
                <w:sz w:val="20"/>
                <w:szCs w:val="20"/>
                <w:spacing w:val="8"/>
              </w:rPr>
              <w:t>2.</w:t>
            </w:r>
            <w:r>
              <w:rPr>
                <w:sz w:val="20"/>
                <w:szCs w:val="20"/>
                <w:spacing w:val="8"/>
              </w:rPr>
              <w:t>《河北省大气污染防治条例》第七十八条</w:t>
            </w:r>
          </w:p>
          <w:p>
            <w:pPr>
              <w:pStyle w:val="TableText"/>
              <w:ind w:left="162" w:right="159" w:firstLine="420"/>
              <w:spacing w:before="52" w:line="271" w:lineRule="auto"/>
              <w:rPr>
                <w:sz w:val="20"/>
                <w:szCs w:val="20"/>
              </w:rPr>
            </w:pPr>
            <w:r>
              <w:rPr>
                <w:sz w:val="20"/>
                <w:szCs w:val="20"/>
                <w:spacing w:val="9"/>
              </w:rPr>
              <w:t>违反本条例规定，有下列行为之一的，由县级以上</w:t>
            </w:r>
            <w:r>
              <w:rPr>
                <w:sz w:val="20"/>
                <w:szCs w:val="20"/>
                <w:spacing w:val="8"/>
              </w:rPr>
              <w:t>人民政府环境保护主管部门</w:t>
            </w:r>
            <w:r>
              <w:rPr>
                <w:sz w:val="20"/>
                <w:szCs w:val="20"/>
              </w:rPr>
              <w:t xml:space="preserve"> </w:t>
            </w:r>
            <w:r>
              <w:rPr>
                <w:sz w:val="20"/>
                <w:szCs w:val="20"/>
                <w:spacing w:val="9"/>
              </w:rPr>
              <w:t>责令停止排污或者限制生产、停产整治，并处十万元以上</w:t>
            </w:r>
            <w:r>
              <w:rPr>
                <w:sz w:val="20"/>
                <w:szCs w:val="20"/>
                <w:spacing w:val="8"/>
              </w:rPr>
              <w:t>三十万元以下罚款；情节</w:t>
            </w:r>
            <w:r>
              <w:rPr>
                <w:sz w:val="20"/>
                <w:szCs w:val="20"/>
              </w:rPr>
              <w:t xml:space="preserve"> </w:t>
            </w:r>
            <w:r>
              <w:rPr>
                <w:sz w:val="20"/>
                <w:szCs w:val="20"/>
                <w:spacing w:val="9"/>
              </w:rPr>
              <w:t>较重的，并处三十万元以上一百万元以下罚款；情节严重的，</w:t>
            </w:r>
            <w:r>
              <w:rPr>
                <w:sz w:val="20"/>
                <w:szCs w:val="20"/>
                <w:spacing w:val="8"/>
              </w:rPr>
              <w:t>报经有批准权的人民</w:t>
            </w:r>
            <w:r>
              <w:rPr>
                <w:sz w:val="20"/>
                <w:szCs w:val="20"/>
              </w:rPr>
              <w:t xml:space="preserve"> </w:t>
            </w:r>
            <w:r>
              <w:rPr>
                <w:sz w:val="20"/>
                <w:szCs w:val="20"/>
                <w:spacing w:val="9"/>
              </w:rPr>
              <w:t>政府批准，责令停业、关闭。受到罚款处罚，被责令改正</w:t>
            </w:r>
            <w:r>
              <w:rPr>
                <w:sz w:val="20"/>
                <w:szCs w:val="20"/>
                <w:spacing w:val="8"/>
              </w:rPr>
              <w:t>，拒不改正的，可以自责</w:t>
            </w:r>
            <w:r>
              <w:rPr>
                <w:sz w:val="20"/>
                <w:szCs w:val="20"/>
              </w:rPr>
              <w:t xml:space="preserve"> </w:t>
            </w:r>
            <w:r>
              <w:rPr>
                <w:sz w:val="20"/>
                <w:szCs w:val="20"/>
                <w:spacing w:val="9"/>
              </w:rPr>
              <w:t>令改正之日的次日起，按照原处罚数额按日连续处罚：</w:t>
            </w:r>
          </w:p>
          <w:p>
            <w:pPr>
              <w:pStyle w:val="TableText"/>
              <w:ind w:left="163" w:right="159" w:firstLine="430"/>
              <w:spacing w:before="32" w:line="263" w:lineRule="auto"/>
              <w:rPr>
                <w:sz w:val="20"/>
                <w:szCs w:val="20"/>
              </w:rPr>
            </w:pPr>
            <w:r>
              <w:rPr>
                <w:sz w:val="20"/>
                <w:szCs w:val="20"/>
                <w:spacing w:val="8"/>
              </w:rPr>
              <w:t>（二）超过大气污染物排放标准或者超过重点大气污染物排放总量控制指标排</w:t>
            </w:r>
            <w:r>
              <w:rPr>
                <w:sz w:val="20"/>
                <w:szCs w:val="20"/>
                <w:spacing w:val="12"/>
              </w:rPr>
              <w:t xml:space="preserve"> </w:t>
            </w:r>
            <w:r>
              <w:rPr>
                <w:sz w:val="20"/>
                <w:szCs w:val="20"/>
                <w:spacing w:val="7"/>
              </w:rPr>
              <w:t>放大气污染物的；</w:t>
            </w:r>
          </w:p>
          <w:p>
            <w:pPr>
              <w:pStyle w:val="TableText"/>
              <w:ind w:left="123"/>
              <w:spacing w:before="1" w:line="226" w:lineRule="auto"/>
              <w:rPr>
                <w:sz w:val="20"/>
                <w:szCs w:val="20"/>
              </w:rPr>
            </w:pPr>
            <w:r>
              <w:rPr>
                <w:sz w:val="20"/>
                <w:szCs w:val="20"/>
                <w:spacing w:val="8"/>
              </w:rPr>
              <w:t>（只含本规定中对超标排放大气污染物的处罚）</w:t>
            </w:r>
          </w:p>
          <w:p>
            <w:pPr>
              <w:pStyle w:val="TableText"/>
              <w:ind w:left="586"/>
              <w:spacing w:before="289" w:line="228" w:lineRule="auto"/>
              <w:rPr>
                <w:sz w:val="20"/>
                <w:szCs w:val="20"/>
              </w:rPr>
            </w:pPr>
            <w:r>
              <w:rPr>
                <w:rFonts w:ascii="Calibri" w:hAnsi="Calibri" w:eastAsia="Calibri" w:cs="Calibri"/>
                <w:sz w:val="20"/>
                <w:szCs w:val="20"/>
                <w:spacing w:val="9"/>
              </w:rPr>
              <w:t>3.</w:t>
            </w:r>
            <w:r>
              <w:rPr>
                <w:sz w:val="20"/>
                <w:szCs w:val="20"/>
                <w:spacing w:val="9"/>
              </w:rPr>
              <w:t>《中华人民共和国水污染防治法》第八</w:t>
            </w:r>
            <w:r>
              <w:rPr>
                <w:sz w:val="20"/>
                <w:szCs w:val="20"/>
                <w:spacing w:val="8"/>
              </w:rPr>
              <w:t>十三条</w:t>
            </w:r>
          </w:p>
          <w:p>
            <w:pPr>
              <w:pStyle w:val="TableText"/>
              <w:ind w:left="163" w:right="159" w:firstLine="525"/>
              <w:spacing w:before="21" w:line="242" w:lineRule="auto"/>
              <w:rPr>
                <w:sz w:val="20"/>
                <w:szCs w:val="20"/>
              </w:rPr>
            </w:pPr>
            <w:r>
              <w:rPr>
                <w:sz w:val="20"/>
                <w:szCs w:val="20"/>
                <w:spacing w:val="10"/>
              </w:rPr>
              <w:t>违反本法规定，有下列行为之一的，</w:t>
            </w:r>
            <w:r>
              <w:rPr>
                <w:sz w:val="20"/>
                <w:szCs w:val="20"/>
                <w:spacing w:val="-41"/>
              </w:rPr>
              <w:t xml:space="preserve"> </w:t>
            </w:r>
            <w:r>
              <w:rPr>
                <w:sz w:val="20"/>
                <w:szCs w:val="20"/>
                <w:spacing w:val="10"/>
              </w:rPr>
              <w:t>由县级以上人民政府环境保护主管部门</w:t>
            </w:r>
            <w:r>
              <w:rPr>
                <w:sz w:val="20"/>
                <w:szCs w:val="20"/>
              </w:rPr>
              <w:t xml:space="preserve"> </w:t>
            </w:r>
            <w:r>
              <w:rPr>
                <w:sz w:val="20"/>
                <w:szCs w:val="20"/>
                <w:spacing w:val="9"/>
              </w:rPr>
              <w:t>责令改正或者责令限制生产、停产整治，并处十万元以上一百</w:t>
            </w:r>
            <w:r>
              <w:rPr>
                <w:sz w:val="20"/>
                <w:szCs w:val="20"/>
                <w:spacing w:val="8"/>
              </w:rPr>
              <w:t>万元以下的罚款；情</w:t>
            </w:r>
            <w:r>
              <w:rPr>
                <w:sz w:val="20"/>
                <w:szCs w:val="20"/>
              </w:rPr>
              <w:t xml:space="preserve"> </w:t>
            </w:r>
            <w:r>
              <w:rPr>
                <w:sz w:val="20"/>
                <w:szCs w:val="20"/>
                <w:spacing w:val="9"/>
              </w:rPr>
              <w:t>节严重的，报经有批准权的人民政府批准，责令停业、关闭：</w:t>
            </w:r>
          </w:p>
          <w:p>
            <w:pPr>
              <w:pStyle w:val="TableText"/>
              <w:ind w:left="165" w:right="159" w:firstLine="428"/>
              <w:spacing w:before="26" w:line="238" w:lineRule="auto"/>
              <w:rPr>
                <w:sz w:val="20"/>
                <w:szCs w:val="20"/>
              </w:rPr>
            </w:pPr>
            <w:r>
              <w:rPr>
                <w:sz w:val="20"/>
                <w:szCs w:val="20"/>
                <w:spacing w:val="8"/>
              </w:rPr>
              <w:t>（二）超过水污染物排放标准或者超过重点水污染物排放总量控制指标排放水</w:t>
            </w:r>
            <w:r>
              <w:rPr>
                <w:sz w:val="20"/>
                <w:szCs w:val="20"/>
                <w:spacing w:val="12"/>
              </w:rPr>
              <w:t xml:space="preserve"> </w:t>
            </w:r>
            <w:r>
              <w:rPr>
                <w:sz w:val="20"/>
                <w:szCs w:val="20"/>
                <w:spacing w:val="5"/>
              </w:rPr>
              <w:t>污染物的；</w:t>
            </w:r>
          </w:p>
          <w:p>
            <w:pPr>
              <w:pStyle w:val="TableText"/>
              <w:ind w:left="123"/>
              <w:spacing w:before="76" w:line="227" w:lineRule="auto"/>
              <w:rPr>
                <w:sz w:val="20"/>
                <w:szCs w:val="20"/>
              </w:rPr>
            </w:pPr>
            <w:r>
              <w:rPr>
                <w:sz w:val="20"/>
                <w:szCs w:val="20"/>
                <w:spacing w:val="8"/>
              </w:rPr>
              <w:t>（只含本规定中对超标排放水污染物的处罚）</w:t>
            </w:r>
          </w:p>
          <w:p>
            <w:pPr>
              <w:pStyle w:val="TableText"/>
              <w:ind w:left="580"/>
              <w:spacing w:before="287" w:line="228" w:lineRule="auto"/>
              <w:rPr>
                <w:sz w:val="20"/>
                <w:szCs w:val="20"/>
              </w:rPr>
            </w:pPr>
            <w:r>
              <w:rPr>
                <w:rFonts w:ascii="Calibri" w:hAnsi="Calibri" w:eastAsia="Calibri" w:cs="Calibri"/>
                <w:sz w:val="20"/>
                <w:szCs w:val="20"/>
                <w:spacing w:val="8"/>
              </w:rPr>
              <w:t>4.</w:t>
            </w:r>
            <w:r>
              <w:rPr>
                <w:sz w:val="20"/>
                <w:szCs w:val="20"/>
                <w:spacing w:val="8"/>
              </w:rPr>
              <w:t>《河北省水污染防治条例》第七十条</w:t>
            </w:r>
          </w:p>
          <w:p>
            <w:pPr>
              <w:pStyle w:val="TableText"/>
              <w:ind w:left="583"/>
              <w:spacing w:before="25" w:line="208" w:lineRule="auto"/>
              <w:rPr>
                <w:sz w:val="20"/>
                <w:szCs w:val="20"/>
              </w:rPr>
            </w:pPr>
            <w:r>
              <w:rPr>
                <w:sz w:val="20"/>
                <w:szCs w:val="20"/>
                <w:spacing w:val="9"/>
              </w:rPr>
              <w:t>违反本条例规定，有下列行为之一的，由环境保护</w:t>
            </w:r>
            <w:r>
              <w:rPr>
                <w:sz w:val="20"/>
                <w:szCs w:val="20"/>
                <w:spacing w:val="8"/>
              </w:rPr>
              <w:t>主管部门责令改正或者责令</w:t>
            </w:r>
          </w:p>
        </w:tc>
      </w:tr>
    </w:tbl>
    <w:p>
      <w:pPr>
        <w:pStyle w:val="BodyText"/>
        <w:rPr/>
      </w:pPr>
      <w:r/>
    </w:p>
    <w:p>
      <w:pPr>
        <w:sectPr>
          <w:footerReference w:type="default" r:id="rId448"/>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3513"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164" w:right="161" w:firstLine="13"/>
              <w:spacing w:before="40" w:line="239" w:lineRule="auto"/>
              <w:rPr>
                <w:sz w:val="20"/>
                <w:szCs w:val="20"/>
              </w:rPr>
            </w:pPr>
            <w:r>
              <w:rPr>
                <w:sz w:val="20"/>
                <w:szCs w:val="20"/>
                <w:spacing w:val="8"/>
              </w:rPr>
              <w:t>限制生产、停产整治，并处二十万元以上一百万元以下的罚款；情节严重的，报经</w:t>
            </w:r>
            <w:r>
              <w:rPr>
                <w:sz w:val="20"/>
                <w:szCs w:val="20"/>
                <w:spacing w:val="10"/>
              </w:rPr>
              <w:t xml:space="preserve"> </w:t>
            </w:r>
            <w:r>
              <w:rPr>
                <w:sz w:val="20"/>
                <w:szCs w:val="20"/>
                <w:spacing w:val="8"/>
              </w:rPr>
              <w:t>有批准权的人民政府批准，责令停业、关闭：</w:t>
            </w:r>
          </w:p>
          <w:p>
            <w:pPr>
              <w:pStyle w:val="TableText"/>
              <w:ind w:left="115" w:right="109" w:firstLine="428"/>
              <w:spacing w:before="18" w:line="239" w:lineRule="auto"/>
              <w:rPr>
                <w:sz w:val="20"/>
                <w:szCs w:val="20"/>
              </w:rPr>
            </w:pPr>
            <w:r>
              <w:rPr>
                <w:sz w:val="20"/>
                <w:szCs w:val="20"/>
                <w:spacing w:val="11"/>
              </w:rPr>
              <w:t>（一）超过水污染物排放标准或者超过重点水污染物排放总量控制指标排放水 </w:t>
            </w:r>
            <w:r>
              <w:rPr>
                <w:sz w:val="20"/>
                <w:szCs w:val="20"/>
                <w:spacing w:val="5"/>
              </w:rPr>
              <w:t>污染物的；</w:t>
            </w:r>
          </w:p>
          <w:p>
            <w:pPr>
              <w:pStyle w:val="TableText"/>
              <w:ind w:left="123"/>
              <w:spacing w:before="83" w:line="227" w:lineRule="auto"/>
              <w:rPr>
                <w:sz w:val="20"/>
                <w:szCs w:val="20"/>
              </w:rPr>
            </w:pPr>
            <w:r>
              <w:rPr>
                <w:sz w:val="20"/>
                <w:szCs w:val="20"/>
                <w:spacing w:val="8"/>
              </w:rPr>
              <w:t>（只含本规定中对超标排放水污染物的处罚）</w:t>
            </w:r>
          </w:p>
          <w:p>
            <w:pPr>
              <w:spacing w:line="475" w:lineRule="auto"/>
              <w:rPr>
                <w:rFonts w:ascii="Arial"/>
                <w:sz w:val="21"/>
              </w:rPr>
            </w:pPr>
            <w:r/>
          </w:p>
          <w:p>
            <w:pPr>
              <w:pStyle w:val="TableText"/>
              <w:ind w:left="585"/>
              <w:spacing w:before="65" w:line="228" w:lineRule="auto"/>
              <w:rPr>
                <w:sz w:val="20"/>
                <w:szCs w:val="20"/>
              </w:rPr>
            </w:pPr>
            <w:r>
              <w:rPr>
                <w:rFonts w:ascii="Calibri" w:hAnsi="Calibri" w:eastAsia="Calibri" w:cs="Calibri"/>
                <w:sz w:val="20"/>
                <w:szCs w:val="20"/>
                <w:spacing w:val="8"/>
              </w:rPr>
              <w:t>5.</w:t>
            </w:r>
            <w:r>
              <w:rPr>
                <w:sz w:val="20"/>
                <w:szCs w:val="20"/>
                <w:spacing w:val="8"/>
              </w:rPr>
              <w:t>《排污许可管理条例》第三十四条</w:t>
            </w:r>
          </w:p>
          <w:p>
            <w:pPr>
              <w:pStyle w:val="TableText"/>
              <w:ind w:left="163" w:right="159" w:firstLine="420"/>
              <w:spacing w:before="21" w:line="242" w:lineRule="auto"/>
              <w:rPr>
                <w:sz w:val="20"/>
                <w:szCs w:val="20"/>
              </w:rPr>
            </w:pPr>
            <w:r>
              <w:rPr>
                <w:sz w:val="20"/>
                <w:szCs w:val="20"/>
                <w:spacing w:val="9"/>
              </w:rPr>
              <w:t>违反本条例规定，排污单位有下列行为之一的，由</w:t>
            </w:r>
            <w:r>
              <w:rPr>
                <w:sz w:val="20"/>
                <w:szCs w:val="20"/>
                <w:spacing w:val="8"/>
              </w:rPr>
              <w:t>生态环境主管部门责令改正</w:t>
            </w:r>
            <w:r>
              <w:rPr>
                <w:sz w:val="20"/>
                <w:szCs w:val="20"/>
              </w:rPr>
              <w:t xml:space="preserve"> </w:t>
            </w:r>
            <w:r>
              <w:rPr>
                <w:sz w:val="20"/>
                <w:szCs w:val="20"/>
                <w:spacing w:val="10"/>
              </w:rPr>
              <w:t>或者限制生产、停产整治，处</w:t>
            </w:r>
            <w:r>
              <w:rPr>
                <w:rFonts w:ascii="Calibri" w:hAnsi="Calibri" w:eastAsia="Calibri" w:cs="Calibri"/>
                <w:sz w:val="20"/>
                <w:szCs w:val="20"/>
                <w:spacing w:val="10"/>
              </w:rPr>
              <w:t>20</w:t>
            </w:r>
            <w:r>
              <w:rPr>
                <w:sz w:val="20"/>
                <w:szCs w:val="20"/>
                <w:spacing w:val="10"/>
              </w:rPr>
              <w:t>万元以上</w:t>
            </w:r>
            <w:r>
              <w:rPr>
                <w:rFonts w:ascii="Calibri" w:hAnsi="Calibri" w:eastAsia="Calibri" w:cs="Calibri"/>
                <w:sz w:val="20"/>
                <w:szCs w:val="20"/>
                <w:spacing w:val="10"/>
              </w:rPr>
              <w:t>10</w:t>
            </w:r>
            <w:r>
              <w:rPr>
                <w:rFonts w:ascii="Calibri" w:hAnsi="Calibri" w:eastAsia="Calibri" w:cs="Calibri"/>
                <w:sz w:val="20"/>
                <w:szCs w:val="20"/>
                <w:spacing w:val="9"/>
              </w:rPr>
              <w:t>0</w:t>
            </w:r>
            <w:r>
              <w:rPr>
                <w:sz w:val="20"/>
                <w:szCs w:val="20"/>
                <w:spacing w:val="9"/>
              </w:rPr>
              <w:t>万元以下的罚款；情节严重的，</w:t>
            </w:r>
            <w:r>
              <w:rPr>
                <w:sz w:val="20"/>
                <w:szCs w:val="20"/>
                <w:spacing w:val="-55"/>
              </w:rPr>
              <w:t xml:space="preserve"> </w:t>
            </w:r>
            <w:r>
              <w:rPr>
                <w:sz w:val="20"/>
                <w:szCs w:val="20"/>
                <w:spacing w:val="9"/>
              </w:rPr>
              <w:t>吊销</w:t>
            </w:r>
            <w:r>
              <w:rPr>
                <w:sz w:val="20"/>
                <w:szCs w:val="20"/>
              </w:rPr>
              <w:t xml:space="preserve"> </w:t>
            </w:r>
            <w:r>
              <w:rPr>
                <w:sz w:val="20"/>
                <w:szCs w:val="20"/>
                <w:spacing w:val="9"/>
              </w:rPr>
              <w:t>排污许可证，报经有批准权的人民政府批准，责令停业、关闭：</w:t>
            </w:r>
          </w:p>
          <w:p>
            <w:pPr>
              <w:pStyle w:val="TableText"/>
              <w:ind w:left="543"/>
              <w:spacing w:before="21" w:line="228" w:lineRule="auto"/>
              <w:rPr>
                <w:sz w:val="20"/>
                <w:szCs w:val="20"/>
              </w:rPr>
            </w:pPr>
            <w:r>
              <w:rPr>
                <w:sz w:val="20"/>
                <w:szCs w:val="20"/>
                <w:spacing w:val="8"/>
              </w:rPr>
              <w:t>（一）超过许可排放浓度、许可排放量排放污染物；</w:t>
            </w:r>
          </w:p>
        </w:tc>
      </w:tr>
      <w:tr>
        <w:trPr>
          <w:trHeight w:val="5460" w:hRule="atLeast"/>
        </w:trPr>
        <w:tc>
          <w:tcPr>
            <w:tcW w:w="1002"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93"/>
              <w:spacing w:before="65" w:line="189" w:lineRule="auto"/>
              <w:rPr>
                <w:sz w:val="20"/>
                <w:szCs w:val="20"/>
              </w:rPr>
            </w:pPr>
            <w:r>
              <w:rPr>
                <w:sz w:val="20"/>
                <w:szCs w:val="20"/>
                <w:spacing w:val="-1"/>
              </w:rPr>
              <w:t>25</w:t>
            </w:r>
          </w:p>
        </w:tc>
        <w:tc>
          <w:tcPr>
            <w:tcW w:w="5713"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01"/>
              <w:spacing w:before="65" w:line="228" w:lineRule="auto"/>
              <w:rPr>
                <w:sz w:val="20"/>
                <w:szCs w:val="20"/>
              </w:rPr>
            </w:pPr>
            <w:r>
              <w:rPr>
                <w:sz w:val="20"/>
                <w:szCs w:val="20"/>
                <w:spacing w:val="13"/>
              </w:rPr>
              <w:t>一年内初次发现经监测超过许可浓度排放污染物，常规污</w:t>
            </w:r>
          </w:p>
          <w:p>
            <w:pPr>
              <w:pStyle w:val="TableText"/>
              <w:ind w:left="165"/>
              <w:spacing w:before="28" w:line="228" w:lineRule="auto"/>
              <w:rPr>
                <w:sz w:val="20"/>
                <w:szCs w:val="20"/>
              </w:rPr>
            </w:pPr>
            <w:r>
              <w:rPr>
                <w:sz w:val="20"/>
                <w:szCs w:val="20"/>
                <w:spacing w:val="11"/>
              </w:rPr>
              <w:t>染物单因子超标倍数小于等于0.3倍，24小时</w:t>
            </w:r>
            <w:r>
              <w:rPr>
                <w:sz w:val="20"/>
                <w:szCs w:val="20"/>
                <w:spacing w:val="10"/>
              </w:rPr>
              <w:t>内完成整改并</w:t>
            </w:r>
          </w:p>
          <w:p>
            <w:pPr>
              <w:pStyle w:val="TableText"/>
              <w:ind w:left="2335"/>
              <w:spacing w:before="29" w:line="228" w:lineRule="auto"/>
              <w:rPr>
                <w:sz w:val="20"/>
                <w:szCs w:val="20"/>
              </w:rPr>
            </w:pPr>
            <w:r>
              <w:rPr>
                <w:sz w:val="20"/>
                <w:szCs w:val="20"/>
                <w:spacing w:val="11"/>
              </w:rPr>
              <w:t>达标排放的</w:t>
            </w:r>
          </w:p>
        </w:tc>
        <w:tc>
          <w:tcPr>
            <w:tcW w:w="7844" w:type="dxa"/>
            <w:vAlign w:val="top"/>
          </w:tcPr>
          <w:p>
            <w:pPr>
              <w:pStyle w:val="TableText"/>
              <w:ind w:left="593"/>
              <w:spacing w:before="62" w:line="228" w:lineRule="auto"/>
              <w:rPr>
                <w:sz w:val="20"/>
                <w:szCs w:val="20"/>
              </w:rPr>
            </w:pPr>
            <w:r>
              <w:rPr>
                <w:rFonts w:ascii="Calibri" w:hAnsi="Calibri" w:eastAsia="Calibri" w:cs="Calibri"/>
                <w:sz w:val="20"/>
                <w:szCs w:val="20"/>
                <w:spacing w:val="8"/>
              </w:rPr>
              <w:t>1.</w:t>
            </w:r>
            <w:r>
              <w:rPr>
                <w:sz w:val="20"/>
                <w:szCs w:val="20"/>
                <w:spacing w:val="8"/>
              </w:rPr>
              <w:t>《中华人民共和国大气污染防治法》第九十九条</w:t>
            </w:r>
          </w:p>
          <w:p>
            <w:pPr>
              <w:pStyle w:val="TableText"/>
              <w:ind w:left="164" w:right="161" w:firstLine="419"/>
              <w:spacing w:before="53" w:line="267" w:lineRule="auto"/>
              <w:rPr>
                <w:sz w:val="20"/>
                <w:szCs w:val="20"/>
              </w:rPr>
            </w:pPr>
            <w:r>
              <w:rPr>
                <w:sz w:val="20"/>
                <w:szCs w:val="20"/>
                <w:spacing w:val="9"/>
              </w:rPr>
              <w:t>违反本法规定，有下列行为之一的，由县级以</w:t>
            </w:r>
            <w:r>
              <w:rPr>
                <w:sz w:val="20"/>
                <w:szCs w:val="20"/>
                <w:spacing w:val="8"/>
              </w:rPr>
              <w:t>上人民政府生态环境主管部门责</w:t>
            </w:r>
            <w:r>
              <w:rPr>
                <w:sz w:val="20"/>
                <w:szCs w:val="20"/>
              </w:rPr>
              <w:t xml:space="preserve"> </w:t>
            </w:r>
            <w:r>
              <w:rPr>
                <w:sz w:val="20"/>
                <w:szCs w:val="20"/>
                <w:spacing w:val="9"/>
              </w:rPr>
              <w:t>令改正或者限制生产、停产整治，并处十万元以上一</w:t>
            </w:r>
            <w:r>
              <w:rPr>
                <w:sz w:val="20"/>
                <w:szCs w:val="20"/>
                <w:spacing w:val="8"/>
              </w:rPr>
              <w:t>百万元以下的罚款；情节严重</w:t>
            </w:r>
            <w:r>
              <w:rPr>
                <w:sz w:val="20"/>
                <w:szCs w:val="20"/>
              </w:rPr>
              <w:t xml:space="preserve"> </w:t>
            </w:r>
            <w:r>
              <w:rPr>
                <w:sz w:val="20"/>
                <w:szCs w:val="20"/>
                <w:spacing w:val="9"/>
              </w:rPr>
              <w:t>的，报经有批准权的人民政府批准，责令停业、关闭：</w:t>
            </w:r>
          </w:p>
          <w:p>
            <w:pPr>
              <w:pStyle w:val="TableText"/>
              <w:ind w:left="163" w:right="159" w:firstLine="430"/>
              <w:spacing w:before="31" w:line="263" w:lineRule="auto"/>
              <w:rPr>
                <w:sz w:val="20"/>
                <w:szCs w:val="20"/>
              </w:rPr>
            </w:pPr>
            <w:r>
              <w:rPr>
                <w:sz w:val="20"/>
                <w:szCs w:val="20"/>
                <w:spacing w:val="8"/>
              </w:rPr>
              <w:t>（二）超过大气污染物排放标准或者超过重点大气污染物排放总量控制指标排</w:t>
            </w:r>
            <w:r>
              <w:rPr>
                <w:sz w:val="20"/>
                <w:szCs w:val="20"/>
                <w:spacing w:val="12"/>
              </w:rPr>
              <w:t xml:space="preserve"> </w:t>
            </w:r>
            <w:r>
              <w:rPr>
                <w:sz w:val="20"/>
                <w:szCs w:val="20"/>
                <w:spacing w:val="7"/>
              </w:rPr>
              <w:t>放大气污染物的；</w:t>
            </w:r>
          </w:p>
          <w:p>
            <w:pPr>
              <w:pStyle w:val="TableText"/>
              <w:ind w:left="123"/>
              <w:spacing w:before="59" w:line="227" w:lineRule="auto"/>
              <w:rPr>
                <w:sz w:val="20"/>
                <w:szCs w:val="20"/>
              </w:rPr>
            </w:pPr>
            <w:r>
              <w:rPr>
                <w:sz w:val="20"/>
                <w:szCs w:val="20"/>
                <w:spacing w:val="8"/>
              </w:rPr>
              <w:t>（只含本规定中对超标排放大气污染物的处罚）</w:t>
            </w:r>
          </w:p>
          <w:p>
            <w:pPr>
              <w:spacing w:line="318" w:lineRule="auto"/>
              <w:rPr>
                <w:rFonts w:ascii="Arial"/>
                <w:sz w:val="21"/>
              </w:rPr>
            </w:pPr>
            <w:r/>
          </w:p>
          <w:p>
            <w:pPr>
              <w:spacing w:line="319" w:lineRule="auto"/>
              <w:rPr>
                <w:rFonts w:ascii="Arial"/>
                <w:sz w:val="21"/>
              </w:rPr>
            </w:pPr>
            <w:r/>
          </w:p>
          <w:p>
            <w:pPr>
              <w:pStyle w:val="TableText"/>
              <w:ind w:left="587"/>
              <w:spacing w:before="65" w:line="228" w:lineRule="auto"/>
              <w:rPr>
                <w:sz w:val="20"/>
                <w:szCs w:val="20"/>
              </w:rPr>
            </w:pPr>
            <w:r>
              <w:rPr>
                <w:rFonts w:ascii="Calibri" w:hAnsi="Calibri" w:eastAsia="Calibri" w:cs="Calibri"/>
                <w:sz w:val="20"/>
                <w:szCs w:val="20"/>
                <w:spacing w:val="8"/>
              </w:rPr>
              <w:t>2.</w:t>
            </w:r>
            <w:r>
              <w:rPr>
                <w:sz w:val="20"/>
                <w:szCs w:val="20"/>
                <w:spacing w:val="8"/>
              </w:rPr>
              <w:t>《河北省大气污染防治条例》第七十八条</w:t>
            </w:r>
          </w:p>
          <w:p>
            <w:pPr>
              <w:pStyle w:val="TableText"/>
              <w:ind w:left="162" w:right="159" w:firstLine="420"/>
              <w:spacing w:before="53" w:line="271" w:lineRule="auto"/>
              <w:rPr>
                <w:sz w:val="20"/>
                <w:szCs w:val="20"/>
              </w:rPr>
            </w:pPr>
            <w:r>
              <w:rPr>
                <w:sz w:val="20"/>
                <w:szCs w:val="20"/>
                <w:spacing w:val="9"/>
              </w:rPr>
              <w:t>违反本条例规定，有下列行为之一的，由县级以上</w:t>
            </w:r>
            <w:r>
              <w:rPr>
                <w:sz w:val="20"/>
                <w:szCs w:val="20"/>
                <w:spacing w:val="8"/>
              </w:rPr>
              <w:t>人民政府环境保护主管部门</w:t>
            </w:r>
            <w:r>
              <w:rPr>
                <w:sz w:val="20"/>
                <w:szCs w:val="20"/>
              </w:rPr>
              <w:t xml:space="preserve"> </w:t>
            </w:r>
            <w:r>
              <w:rPr>
                <w:sz w:val="20"/>
                <w:szCs w:val="20"/>
                <w:spacing w:val="9"/>
              </w:rPr>
              <w:t>责令停止排污或者限制生产、停产整治，并处十万元以上</w:t>
            </w:r>
            <w:r>
              <w:rPr>
                <w:sz w:val="20"/>
                <w:szCs w:val="20"/>
                <w:spacing w:val="8"/>
              </w:rPr>
              <w:t>三十万元以下罚款；情节</w:t>
            </w:r>
            <w:r>
              <w:rPr>
                <w:sz w:val="20"/>
                <w:szCs w:val="20"/>
              </w:rPr>
              <w:t xml:space="preserve"> </w:t>
            </w:r>
            <w:r>
              <w:rPr>
                <w:sz w:val="20"/>
                <w:szCs w:val="20"/>
                <w:spacing w:val="9"/>
              </w:rPr>
              <w:t>较重的，并处三十万元以上一百万元以下罚款；情节严重的，</w:t>
            </w:r>
            <w:r>
              <w:rPr>
                <w:sz w:val="20"/>
                <w:szCs w:val="20"/>
                <w:spacing w:val="8"/>
              </w:rPr>
              <w:t>报经有批准权的人民</w:t>
            </w:r>
            <w:r>
              <w:rPr>
                <w:sz w:val="20"/>
                <w:szCs w:val="20"/>
              </w:rPr>
              <w:t xml:space="preserve"> </w:t>
            </w:r>
            <w:r>
              <w:rPr>
                <w:sz w:val="20"/>
                <w:szCs w:val="20"/>
                <w:spacing w:val="9"/>
              </w:rPr>
              <w:t>政府批准，责令停业、关闭。受到罚款处罚，被责令改正</w:t>
            </w:r>
            <w:r>
              <w:rPr>
                <w:sz w:val="20"/>
                <w:szCs w:val="20"/>
                <w:spacing w:val="8"/>
              </w:rPr>
              <w:t>，拒不改正的，可以自责</w:t>
            </w:r>
            <w:r>
              <w:rPr>
                <w:sz w:val="20"/>
                <w:szCs w:val="20"/>
              </w:rPr>
              <w:t xml:space="preserve"> </w:t>
            </w:r>
            <w:r>
              <w:rPr>
                <w:sz w:val="20"/>
                <w:szCs w:val="20"/>
                <w:spacing w:val="9"/>
              </w:rPr>
              <w:t>令改正之日的次日起，按照原处罚数额按日连续处罚：</w:t>
            </w:r>
          </w:p>
          <w:p>
            <w:pPr>
              <w:pStyle w:val="TableText"/>
              <w:ind w:left="163" w:right="159" w:firstLine="430"/>
              <w:spacing w:before="32" w:line="263" w:lineRule="auto"/>
              <w:rPr>
                <w:sz w:val="20"/>
                <w:szCs w:val="20"/>
              </w:rPr>
            </w:pPr>
            <w:r>
              <w:rPr>
                <w:sz w:val="20"/>
                <w:szCs w:val="20"/>
                <w:spacing w:val="8"/>
              </w:rPr>
              <w:t>（二）超过大气污染物排放标准或者超过重点大气污染物排放总量控制指标排</w:t>
            </w:r>
            <w:r>
              <w:rPr>
                <w:sz w:val="20"/>
                <w:szCs w:val="20"/>
                <w:spacing w:val="12"/>
              </w:rPr>
              <w:t xml:space="preserve"> </w:t>
            </w:r>
            <w:r>
              <w:rPr>
                <w:sz w:val="20"/>
                <w:szCs w:val="20"/>
                <w:spacing w:val="7"/>
              </w:rPr>
              <w:t>放大气污染物的；</w:t>
            </w:r>
          </w:p>
          <w:p>
            <w:pPr>
              <w:pStyle w:val="TableText"/>
              <w:ind w:left="123"/>
              <w:spacing w:before="2" w:line="216" w:lineRule="auto"/>
              <w:rPr>
                <w:sz w:val="20"/>
                <w:szCs w:val="20"/>
              </w:rPr>
            </w:pPr>
            <w:r>
              <w:rPr>
                <w:sz w:val="20"/>
                <w:szCs w:val="20"/>
                <w:spacing w:val="8"/>
              </w:rPr>
              <w:t>（只含本规定中对超标排放大气污染物的处罚）</w:t>
            </w:r>
          </w:p>
        </w:tc>
      </w:tr>
    </w:tbl>
    <w:p>
      <w:pPr>
        <w:pStyle w:val="BodyText"/>
        <w:rPr/>
      </w:pPr>
      <w:r/>
    </w:p>
    <w:p>
      <w:pPr>
        <w:sectPr>
          <w:footerReference w:type="default" r:id="rId449"/>
          <w:pgSz w:w="16839" w:h="11905"/>
          <w:pgMar w:top="1011" w:right="1236" w:bottom="1155" w:left="1037" w:header="0" w:footer="993" w:gutter="0"/>
        </w:sectPr>
        <w:rPr/>
      </w:pPr>
    </w:p>
    <w:p>
      <w:pPr>
        <w:spacing w:before="163"/>
        <w:rPr/>
      </w:pPr>
      <w:r/>
    </w:p>
    <w:tbl>
      <w:tblPr>
        <w:tblStyle w:val="TableNormal"/>
        <w:tblW w:w="1455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2"/>
        <w:gridCol w:w="5713"/>
        <w:gridCol w:w="7844"/>
      </w:tblGrid>
      <w:tr>
        <w:trPr>
          <w:trHeight w:val="6456" w:hRule="atLeast"/>
        </w:trPr>
        <w:tc>
          <w:tcPr>
            <w:tcW w:w="1002" w:type="dxa"/>
            <w:vAlign w:val="top"/>
          </w:tcPr>
          <w:p>
            <w:pPr>
              <w:rPr>
                <w:rFonts w:ascii="Arial"/>
                <w:sz w:val="21"/>
              </w:rPr>
            </w:pPr>
            <w:r/>
          </w:p>
        </w:tc>
        <w:tc>
          <w:tcPr>
            <w:tcW w:w="5713" w:type="dxa"/>
            <w:vAlign w:val="top"/>
          </w:tcPr>
          <w:p>
            <w:pPr>
              <w:rPr>
                <w:rFonts w:ascii="Arial"/>
                <w:sz w:val="21"/>
              </w:rPr>
            </w:pPr>
            <w:r/>
          </w:p>
        </w:tc>
        <w:tc>
          <w:tcPr>
            <w:tcW w:w="7844" w:type="dxa"/>
            <w:vAlign w:val="top"/>
          </w:tcPr>
          <w:p>
            <w:pPr>
              <w:pStyle w:val="TableText"/>
              <w:ind w:left="586"/>
              <w:spacing w:before="297" w:line="228" w:lineRule="auto"/>
              <w:rPr>
                <w:sz w:val="20"/>
                <w:szCs w:val="20"/>
              </w:rPr>
            </w:pPr>
            <w:r>
              <w:rPr>
                <w:rFonts w:ascii="Calibri" w:hAnsi="Calibri" w:eastAsia="Calibri" w:cs="Calibri"/>
                <w:sz w:val="20"/>
                <w:szCs w:val="20"/>
                <w:spacing w:val="9"/>
              </w:rPr>
              <w:t>3.</w:t>
            </w:r>
            <w:r>
              <w:rPr>
                <w:sz w:val="20"/>
                <w:szCs w:val="20"/>
                <w:spacing w:val="9"/>
              </w:rPr>
              <w:t>《中华人民共和国水污染防治法》第八</w:t>
            </w:r>
            <w:r>
              <w:rPr>
                <w:sz w:val="20"/>
                <w:szCs w:val="20"/>
                <w:spacing w:val="8"/>
              </w:rPr>
              <w:t>十三条</w:t>
            </w:r>
          </w:p>
          <w:p>
            <w:pPr>
              <w:pStyle w:val="TableText"/>
              <w:ind w:left="163" w:right="159" w:firstLine="525"/>
              <w:spacing w:before="21" w:line="242" w:lineRule="auto"/>
              <w:rPr>
                <w:sz w:val="20"/>
                <w:szCs w:val="20"/>
              </w:rPr>
            </w:pPr>
            <w:r>
              <w:rPr>
                <w:sz w:val="20"/>
                <w:szCs w:val="20"/>
                <w:spacing w:val="10"/>
              </w:rPr>
              <w:t>违反本法规定，有下列行为之一的，</w:t>
            </w:r>
            <w:r>
              <w:rPr>
                <w:sz w:val="20"/>
                <w:szCs w:val="20"/>
                <w:spacing w:val="-41"/>
              </w:rPr>
              <w:t xml:space="preserve"> </w:t>
            </w:r>
            <w:r>
              <w:rPr>
                <w:sz w:val="20"/>
                <w:szCs w:val="20"/>
                <w:spacing w:val="10"/>
              </w:rPr>
              <w:t>由县级以上人民政府环境保护主管部门</w:t>
            </w:r>
            <w:r>
              <w:rPr>
                <w:sz w:val="20"/>
                <w:szCs w:val="20"/>
              </w:rPr>
              <w:t xml:space="preserve"> </w:t>
            </w:r>
            <w:r>
              <w:rPr>
                <w:sz w:val="20"/>
                <w:szCs w:val="20"/>
                <w:spacing w:val="9"/>
              </w:rPr>
              <w:t>责令改正或者责令限制生产、停产整治，并处十万元以上一百</w:t>
            </w:r>
            <w:r>
              <w:rPr>
                <w:sz w:val="20"/>
                <w:szCs w:val="20"/>
                <w:spacing w:val="8"/>
              </w:rPr>
              <w:t>万元以下的罚款；情</w:t>
            </w:r>
            <w:r>
              <w:rPr>
                <w:sz w:val="20"/>
                <w:szCs w:val="20"/>
              </w:rPr>
              <w:t xml:space="preserve"> </w:t>
            </w:r>
            <w:r>
              <w:rPr>
                <w:sz w:val="20"/>
                <w:szCs w:val="20"/>
                <w:spacing w:val="9"/>
              </w:rPr>
              <w:t>节严重的，报经有批准权的人民政府批准，责令停业、关闭：</w:t>
            </w:r>
          </w:p>
          <w:p>
            <w:pPr>
              <w:pStyle w:val="TableText"/>
              <w:ind w:left="165" w:right="159" w:firstLine="428"/>
              <w:spacing w:before="25" w:line="238" w:lineRule="auto"/>
              <w:rPr>
                <w:sz w:val="20"/>
                <w:szCs w:val="20"/>
              </w:rPr>
            </w:pPr>
            <w:r>
              <w:rPr>
                <w:sz w:val="20"/>
                <w:szCs w:val="20"/>
                <w:spacing w:val="8"/>
              </w:rPr>
              <w:t>（二）超过水污染物排放标准或者超过重点水污染物排放总量控制指标排放水</w:t>
            </w:r>
            <w:r>
              <w:rPr>
                <w:sz w:val="20"/>
                <w:szCs w:val="20"/>
                <w:spacing w:val="12"/>
              </w:rPr>
              <w:t xml:space="preserve"> </w:t>
            </w:r>
            <w:r>
              <w:rPr>
                <w:sz w:val="20"/>
                <w:szCs w:val="20"/>
                <w:spacing w:val="5"/>
              </w:rPr>
              <w:t>污染物的；</w:t>
            </w:r>
          </w:p>
          <w:p>
            <w:pPr>
              <w:pStyle w:val="TableText"/>
              <w:ind w:left="123"/>
              <w:spacing w:before="76" w:line="227" w:lineRule="auto"/>
              <w:rPr>
                <w:sz w:val="20"/>
                <w:szCs w:val="20"/>
              </w:rPr>
            </w:pPr>
            <w:r>
              <w:rPr>
                <w:sz w:val="20"/>
                <w:szCs w:val="20"/>
                <w:spacing w:val="8"/>
              </w:rPr>
              <w:t>（只含本规定中对超标排放水污染物的处罚）</w:t>
            </w:r>
          </w:p>
          <w:p>
            <w:pPr>
              <w:pStyle w:val="TableText"/>
              <w:ind w:left="580"/>
              <w:spacing w:before="286" w:line="228" w:lineRule="auto"/>
              <w:rPr>
                <w:sz w:val="20"/>
                <w:szCs w:val="20"/>
              </w:rPr>
            </w:pPr>
            <w:r>
              <w:rPr>
                <w:rFonts w:ascii="Calibri" w:hAnsi="Calibri" w:eastAsia="Calibri" w:cs="Calibri"/>
                <w:sz w:val="20"/>
                <w:szCs w:val="20"/>
                <w:spacing w:val="8"/>
              </w:rPr>
              <w:t>4.</w:t>
            </w:r>
            <w:r>
              <w:rPr>
                <w:sz w:val="20"/>
                <w:szCs w:val="20"/>
                <w:spacing w:val="8"/>
              </w:rPr>
              <w:t>《河北省水污染防治条例》第七十条</w:t>
            </w:r>
          </w:p>
          <w:p>
            <w:pPr>
              <w:pStyle w:val="TableText"/>
              <w:ind w:left="164" w:right="159" w:firstLine="419"/>
              <w:spacing w:before="22" w:line="242" w:lineRule="auto"/>
              <w:rPr>
                <w:sz w:val="20"/>
                <w:szCs w:val="20"/>
              </w:rPr>
            </w:pPr>
            <w:r>
              <w:rPr>
                <w:sz w:val="20"/>
                <w:szCs w:val="20"/>
                <w:spacing w:val="9"/>
              </w:rPr>
              <w:t>违反本条例规定，有下列行为之一的，由环境保护</w:t>
            </w:r>
            <w:r>
              <w:rPr>
                <w:sz w:val="20"/>
                <w:szCs w:val="20"/>
                <w:spacing w:val="8"/>
              </w:rPr>
              <w:t>主管部门责令改正或者责令</w:t>
            </w:r>
            <w:r>
              <w:rPr>
                <w:sz w:val="20"/>
                <w:szCs w:val="20"/>
              </w:rPr>
              <w:t xml:space="preserve"> </w:t>
            </w:r>
            <w:r>
              <w:rPr>
                <w:sz w:val="20"/>
                <w:szCs w:val="20"/>
                <w:spacing w:val="9"/>
              </w:rPr>
              <w:t>限制生产、停产整治，并处二十万元以上一百万元以</w:t>
            </w:r>
            <w:r>
              <w:rPr>
                <w:sz w:val="20"/>
                <w:szCs w:val="20"/>
                <w:spacing w:val="8"/>
              </w:rPr>
              <w:t>下的罚款；情节严重的，报经</w:t>
            </w:r>
            <w:r>
              <w:rPr>
                <w:sz w:val="20"/>
                <w:szCs w:val="20"/>
              </w:rPr>
              <w:t xml:space="preserve"> </w:t>
            </w:r>
            <w:r>
              <w:rPr>
                <w:sz w:val="20"/>
                <w:szCs w:val="20"/>
                <w:spacing w:val="8"/>
              </w:rPr>
              <w:t>有批准权的人民政府批准，责令停业、关闭：</w:t>
            </w:r>
          </w:p>
          <w:p>
            <w:pPr>
              <w:pStyle w:val="TableText"/>
              <w:ind w:left="115" w:right="109" w:firstLine="428"/>
              <w:spacing w:before="22"/>
              <w:rPr>
                <w:sz w:val="20"/>
                <w:szCs w:val="20"/>
              </w:rPr>
            </w:pPr>
            <w:r>
              <w:rPr>
                <w:sz w:val="20"/>
                <w:szCs w:val="20"/>
                <w:spacing w:val="11"/>
              </w:rPr>
              <w:t>（一）超过水污染物排放标准或者超过重点水污染物排放总量控制指标排放水 </w:t>
            </w:r>
            <w:r>
              <w:rPr>
                <w:sz w:val="20"/>
                <w:szCs w:val="20"/>
                <w:spacing w:val="5"/>
              </w:rPr>
              <w:t>污染物的；</w:t>
            </w:r>
          </w:p>
          <w:p>
            <w:pPr>
              <w:pStyle w:val="TableText"/>
              <w:ind w:left="123"/>
              <w:spacing w:before="23" w:line="227" w:lineRule="auto"/>
              <w:rPr>
                <w:sz w:val="20"/>
                <w:szCs w:val="20"/>
              </w:rPr>
            </w:pPr>
            <w:r>
              <w:rPr>
                <w:sz w:val="20"/>
                <w:szCs w:val="20"/>
                <w:spacing w:val="8"/>
              </w:rPr>
              <w:t>（只含本规定中对超标排放水污染物的处罚）</w:t>
            </w:r>
          </w:p>
          <w:p>
            <w:pPr>
              <w:spacing w:line="475" w:lineRule="auto"/>
              <w:rPr>
                <w:rFonts w:ascii="Arial"/>
                <w:sz w:val="21"/>
              </w:rPr>
            </w:pPr>
            <w:r/>
          </w:p>
          <w:p>
            <w:pPr>
              <w:pStyle w:val="TableText"/>
              <w:ind w:left="585"/>
              <w:spacing w:before="66" w:line="228" w:lineRule="auto"/>
              <w:rPr>
                <w:sz w:val="20"/>
                <w:szCs w:val="20"/>
              </w:rPr>
            </w:pPr>
            <w:r>
              <w:rPr>
                <w:rFonts w:ascii="Calibri" w:hAnsi="Calibri" w:eastAsia="Calibri" w:cs="Calibri"/>
                <w:sz w:val="20"/>
                <w:szCs w:val="20"/>
                <w:spacing w:val="8"/>
              </w:rPr>
              <w:t>5.</w:t>
            </w:r>
            <w:r>
              <w:rPr>
                <w:sz w:val="20"/>
                <w:szCs w:val="20"/>
                <w:spacing w:val="8"/>
              </w:rPr>
              <w:t>《排污许可管理条例》第三十四条</w:t>
            </w:r>
          </w:p>
          <w:p>
            <w:pPr>
              <w:pStyle w:val="TableText"/>
              <w:ind w:left="163" w:right="159" w:firstLine="420"/>
              <w:spacing w:before="21" w:line="242" w:lineRule="auto"/>
              <w:rPr>
                <w:sz w:val="20"/>
                <w:szCs w:val="20"/>
              </w:rPr>
            </w:pPr>
            <w:r>
              <w:rPr>
                <w:sz w:val="20"/>
                <w:szCs w:val="20"/>
                <w:spacing w:val="9"/>
              </w:rPr>
              <w:t>违反本条例规定，排污单位有下列行为之一的，由</w:t>
            </w:r>
            <w:r>
              <w:rPr>
                <w:sz w:val="20"/>
                <w:szCs w:val="20"/>
                <w:spacing w:val="8"/>
              </w:rPr>
              <w:t>生态环境主管部门责令改正</w:t>
            </w:r>
            <w:r>
              <w:rPr>
                <w:sz w:val="20"/>
                <w:szCs w:val="20"/>
              </w:rPr>
              <w:t xml:space="preserve"> </w:t>
            </w:r>
            <w:r>
              <w:rPr>
                <w:sz w:val="20"/>
                <w:szCs w:val="20"/>
                <w:spacing w:val="10"/>
              </w:rPr>
              <w:t>或者限制生产、停产整治，处</w:t>
            </w:r>
            <w:r>
              <w:rPr>
                <w:rFonts w:ascii="Calibri" w:hAnsi="Calibri" w:eastAsia="Calibri" w:cs="Calibri"/>
                <w:sz w:val="20"/>
                <w:szCs w:val="20"/>
                <w:spacing w:val="10"/>
              </w:rPr>
              <w:t>20</w:t>
            </w:r>
            <w:r>
              <w:rPr>
                <w:sz w:val="20"/>
                <w:szCs w:val="20"/>
                <w:spacing w:val="10"/>
              </w:rPr>
              <w:t>万元以上</w:t>
            </w:r>
            <w:r>
              <w:rPr>
                <w:rFonts w:ascii="Calibri" w:hAnsi="Calibri" w:eastAsia="Calibri" w:cs="Calibri"/>
                <w:sz w:val="20"/>
                <w:szCs w:val="20"/>
                <w:spacing w:val="10"/>
              </w:rPr>
              <w:t>10</w:t>
            </w:r>
            <w:r>
              <w:rPr>
                <w:rFonts w:ascii="Calibri" w:hAnsi="Calibri" w:eastAsia="Calibri" w:cs="Calibri"/>
                <w:sz w:val="20"/>
                <w:szCs w:val="20"/>
                <w:spacing w:val="9"/>
              </w:rPr>
              <w:t>0</w:t>
            </w:r>
            <w:r>
              <w:rPr>
                <w:sz w:val="20"/>
                <w:szCs w:val="20"/>
                <w:spacing w:val="9"/>
              </w:rPr>
              <w:t>万元以下的罚款；情节严重的，</w:t>
            </w:r>
            <w:r>
              <w:rPr>
                <w:sz w:val="20"/>
                <w:szCs w:val="20"/>
                <w:spacing w:val="-55"/>
              </w:rPr>
              <w:t xml:space="preserve"> </w:t>
            </w:r>
            <w:r>
              <w:rPr>
                <w:sz w:val="20"/>
                <w:szCs w:val="20"/>
                <w:spacing w:val="9"/>
              </w:rPr>
              <w:t>吊销</w:t>
            </w:r>
            <w:r>
              <w:rPr>
                <w:sz w:val="20"/>
                <w:szCs w:val="20"/>
              </w:rPr>
              <w:t xml:space="preserve"> </w:t>
            </w:r>
            <w:r>
              <w:rPr>
                <w:sz w:val="20"/>
                <w:szCs w:val="20"/>
                <w:spacing w:val="9"/>
              </w:rPr>
              <w:t>排污许可证，报经有批准权的人民政府批准，责令停业、关闭：</w:t>
            </w:r>
          </w:p>
          <w:p>
            <w:pPr>
              <w:pStyle w:val="TableText"/>
              <w:ind w:left="543"/>
              <w:spacing w:before="21" w:line="228" w:lineRule="auto"/>
              <w:rPr>
                <w:sz w:val="20"/>
                <w:szCs w:val="20"/>
              </w:rPr>
            </w:pPr>
            <w:r>
              <w:rPr>
                <w:sz w:val="20"/>
                <w:szCs w:val="20"/>
                <w:spacing w:val="8"/>
              </w:rPr>
              <w:t>（一）超过许可排放浓度、许可排放量排放污染物；</w:t>
            </w:r>
          </w:p>
        </w:tc>
      </w:tr>
      <w:tr>
        <w:trPr>
          <w:trHeight w:val="836" w:hRule="atLeast"/>
        </w:trPr>
        <w:tc>
          <w:tcPr>
            <w:tcW w:w="1002" w:type="dxa"/>
            <w:vAlign w:val="top"/>
          </w:tcPr>
          <w:p>
            <w:pPr>
              <w:spacing w:line="304" w:lineRule="auto"/>
              <w:rPr>
                <w:rFonts w:ascii="Arial"/>
                <w:sz w:val="21"/>
              </w:rPr>
            </w:pPr>
            <w:r/>
          </w:p>
          <w:p>
            <w:pPr>
              <w:pStyle w:val="TableText"/>
              <w:ind w:left="293"/>
              <w:spacing w:before="65" w:line="189" w:lineRule="auto"/>
              <w:rPr>
                <w:sz w:val="20"/>
                <w:szCs w:val="20"/>
              </w:rPr>
            </w:pPr>
            <w:r>
              <w:rPr>
                <w:sz w:val="20"/>
                <w:szCs w:val="20"/>
                <w:spacing w:val="-1"/>
              </w:rPr>
              <w:t>26</w:t>
            </w:r>
          </w:p>
        </w:tc>
        <w:tc>
          <w:tcPr>
            <w:tcW w:w="5713" w:type="dxa"/>
            <w:vAlign w:val="top"/>
          </w:tcPr>
          <w:p>
            <w:pPr>
              <w:pStyle w:val="TableText"/>
              <w:ind w:left="1712" w:right="170" w:hanging="1297"/>
              <w:spacing w:before="37"/>
              <w:rPr>
                <w:sz w:val="20"/>
                <w:szCs w:val="20"/>
              </w:rPr>
            </w:pPr>
            <w:r>
              <w:rPr>
                <w:sz w:val="20"/>
                <w:szCs w:val="20"/>
                <w:spacing w:val="13"/>
              </w:rPr>
              <w:t>其他违法行为轻微并及时纠正，没有造成环境污染后果</w:t>
            </w:r>
            <w:r>
              <w:rPr>
                <w:sz w:val="20"/>
                <w:szCs w:val="20"/>
                <w:spacing w:val="9"/>
              </w:rPr>
              <w:t xml:space="preserve"> </w:t>
            </w:r>
            <w:r>
              <w:rPr>
                <w:sz w:val="20"/>
                <w:szCs w:val="20"/>
                <w:spacing w:val="9"/>
              </w:rPr>
              <w:t>的情形，不予行政处罚。</w:t>
            </w:r>
          </w:p>
          <w:p>
            <w:pPr>
              <w:pStyle w:val="TableText"/>
              <w:ind w:left="338"/>
              <w:spacing w:before="28" w:line="222" w:lineRule="auto"/>
              <w:rPr>
                <w:sz w:val="20"/>
                <w:szCs w:val="20"/>
              </w:rPr>
            </w:pPr>
            <w:r>
              <w:rPr>
                <w:sz w:val="20"/>
                <w:szCs w:val="20"/>
                <w:spacing w:val="-19"/>
                <w:w w:val="95"/>
              </w:rPr>
              <w:t>其他初次违法且危害后果轻微并及时改正的情形，可以不予行政处罚。</w:t>
            </w:r>
          </w:p>
        </w:tc>
        <w:tc>
          <w:tcPr>
            <w:tcW w:w="7844" w:type="dxa"/>
            <w:vAlign w:val="top"/>
          </w:tcPr>
          <w:p>
            <w:pPr>
              <w:rPr>
                <w:rFonts w:ascii="Arial"/>
                <w:sz w:val="21"/>
              </w:rPr>
            </w:pPr>
            <w:r/>
          </w:p>
        </w:tc>
      </w:tr>
    </w:tbl>
    <w:p>
      <w:pPr>
        <w:pStyle w:val="BodyText"/>
        <w:rPr/>
      </w:pPr>
      <w:r/>
    </w:p>
    <w:p>
      <w:pPr>
        <w:sectPr>
          <w:footerReference w:type="default" r:id="rId450"/>
          <w:pgSz w:w="16839" w:h="11905"/>
          <w:pgMar w:top="1011" w:right="1236" w:bottom="1155" w:left="1037" w:header="0" w:footer="993" w:gutter="0"/>
        </w:sectPr>
        <w:rPr/>
      </w:pPr>
    </w:p>
    <w:p>
      <w:pPr>
        <w:pStyle w:val="BodyText"/>
        <w:spacing w:line="278" w:lineRule="auto"/>
        <w:rPr/>
      </w:pPr>
      <w:r/>
    </w:p>
    <w:p>
      <w:pPr>
        <w:pStyle w:val="BodyText"/>
        <w:spacing w:line="279" w:lineRule="auto"/>
        <w:rPr/>
      </w:pPr>
      <w:r/>
    </w:p>
    <w:p>
      <w:pPr>
        <w:ind w:left="295"/>
        <w:spacing w:before="184"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河北省生态环境领域包容免罚告知承诺书</w:t>
      </w:r>
    </w:p>
    <w:p>
      <w:pPr>
        <w:spacing w:line="40" w:lineRule="exact"/>
        <w:rPr/>
      </w:pPr>
      <w:r/>
    </w:p>
    <w:tbl>
      <w:tblPr>
        <w:tblStyle w:val="TableNormal"/>
        <w:tblW w:w="850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5"/>
        <w:gridCol w:w="1390"/>
        <w:gridCol w:w="2318"/>
        <w:gridCol w:w="1480"/>
        <w:gridCol w:w="2599"/>
      </w:tblGrid>
      <w:tr>
        <w:trPr>
          <w:trHeight w:val="692" w:hRule="atLeast"/>
        </w:trPr>
        <w:tc>
          <w:tcPr>
            <w:tcW w:w="715" w:type="dxa"/>
            <w:vAlign w:val="top"/>
            <w:vMerge w:val="restart"/>
            <w:tcBorders>
              <w:bottom w:val="nil"/>
            </w:tcBorders>
          </w:tcPr>
          <w:p>
            <w:pPr>
              <w:spacing w:line="396" w:lineRule="auto"/>
              <w:rPr>
                <w:rFonts w:ascii="Arial"/>
                <w:sz w:val="21"/>
              </w:rPr>
            </w:pPr>
            <w:r/>
          </w:p>
          <w:p>
            <w:pPr>
              <w:ind w:left="133" w:right="116" w:firstLine="21"/>
              <w:spacing w:before="78"/>
              <w:jc w:val="both"/>
              <w:rPr>
                <w:rFonts w:ascii="FangSong" w:hAnsi="FangSong" w:eastAsia="FangSong" w:cs="FangSong"/>
                <w:sz w:val="24"/>
                <w:szCs w:val="24"/>
              </w:rPr>
            </w:pPr>
            <w:r>
              <w:rPr>
                <w:rFonts w:ascii="FangSong" w:hAnsi="FangSong" w:eastAsia="FangSong" w:cs="FangSong"/>
                <w:sz w:val="24"/>
                <w:szCs w:val="24"/>
                <w:spacing w:val="-21"/>
              </w:rPr>
              <w:t>当事</w:t>
            </w:r>
            <w:r>
              <w:rPr>
                <w:rFonts w:ascii="FangSong" w:hAnsi="FangSong" w:eastAsia="FangSong" w:cs="FangSong"/>
                <w:sz w:val="24"/>
                <w:szCs w:val="24"/>
              </w:rPr>
              <w:t xml:space="preserve"> </w:t>
            </w:r>
            <w:r>
              <w:rPr>
                <w:rFonts w:ascii="FangSong" w:hAnsi="FangSong" w:eastAsia="FangSong" w:cs="FangSong"/>
                <w:sz w:val="24"/>
                <w:szCs w:val="24"/>
                <w:spacing w:val="-10"/>
              </w:rPr>
              <w:t>人情</w:t>
            </w:r>
            <w:r>
              <w:rPr>
                <w:rFonts w:ascii="FangSong" w:hAnsi="FangSong" w:eastAsia="FangSong" w:cs="FangSong"/>
                <w:sz w:val="24"/>
                <w:szCs w:val="24"/>
              </w:rPr>
              <w:t xml:space="preserve"> </w:t>
            </w:r>
            <w:r>
              <w:rPr>
                <w:rFonts w:ascii="FangSong" w:hAnsi="FangSong" w:eastAsia="FangSong" w:cs="FangSong"/>
                <w:sz w:val="24"/>
                <w:szCs w:val="24"/>
                <w:spacing w:val="40"/>
                <w:w w:val="125"/>
              </w:rPr>
              <w:t>况</w:t>
            </w:r>
          </w:p>
        </w:tc>
        <w:tc>
          <w:tcPr>
            <w:tcW w:w="1390" w:type="dxa"/>
            <w:vAlign w:val="top"/>
          </w:tcPr>
          <w:p>
            <w:pPr>
              <w:ind w:left="230" w:right="236" w:firstLine="235"/>
              <w:spacing w:before="86" w:line="229" w:lineRule="auto"/>
              <w:rPr>
                <w:rFonts w:ascii="FangSong" w:hAnsi="FangSong" w:eastAsia="FangSong" w:cs="FangSong"/>
                <w:sz w:val="24"/>
                <w:szCs w:val="24"/>
              </w:rPr>
            </w:pPr>
            <w:r>
              <w:rPr>
                <w:rFonts w:ascii="FangSong" w:hAnsi="FangSong" w:eastAsia="FangSong" w:cs="FangSong"/>
                <w:sz w:val="24"/>
                <w:szCs w:val="24"/>
                <w:spacing w:val="-8"/>
              </w:rPr>
              <w:t>姓名</w:t>
            </w:r>
            <w:r>
              <w:rPr>
                <w:rFonts w:ascii="FangSong" w:hAnsi="FangSong" w:eastAsia="FangSong" w:cs="FangSong"/>
                <w:sz w:val="24"/>
                <w:szCs w:val="24"/>
              </w:rPr>
              <w:t xml:space="preserve">  </w:t>
            </w:r>
            <w:r>
              <w:rPr>
                <w:rFonts w:ascii="FangSong" w:hAnsi="FangSong" w:eastAsia="FangSong" w:cs="FangSong"/>
                <w:sz w:val="24"/>
                <w:szCs w:val="24"/>
                <w:spacing w:val="-11"/>
              </w:rPr>
              <w:t>（名称）</w:t>
            </w:r>
          </w:p>
        </w:tc>
        <w:tc>
          <w:tcPr>
            <w:tcW w:w="2318" w:type="dxa"/>
            <w:vAlign w:val="top"/>
          </w:tcPr>
          <w:p>
            <w:pPr>
              <w:rPr>
                <w:rFonts w:ascii="Arial"/>
                <w:sz w:val="21"/>
              </w:rPr>
            </w:pPr>
            <w:r/>
          </w:p>
        </w:tc>
        <w:tc>
          <w:tcPr>
            <w:tcW w:w="1480" w:type="dxa"/>
            <w:vAlign w:val="top"/>
          </w:tcPr>
          <w:p>
            <w:pPr>
              <w:ind w:left="158" w:right="137" w:firstLine="2"/>
              <w:spacing w:before="86" w:line="229" w:lineRule="auto"/>
              <w:rPr>
                <w:rFonts w:ascii="FangSong" w:hAnsi="FangSong" w:eastAsia="FangSong" w:cs="FangSong"/>
                <w:sz w:val="24"/>
                <w:szCs w:val="24"/>
              </w:rPr>
            </w:pPr>
            <w:r>
              <w:rPr>
                <w:rFonts w:ascii="FangSong" w:hAnsi="FangSong" w:eastAsia="FangSong" w:cs="FangSong"/>
                <w:sz w:val="24"/>
                <w:szCs w:val="24"/>
                <w:spacing w:val="-5"/>
              </w:rPr>
              <w:t>法定代表人</w:t>
            </w:r>
            <w:r>
              <w:rPr>
                <w:rFonts w:ascii="FangSong" w:hAnsi="FangSong" w:eastAsia="FangSong" w:cs="FangSong"/>
                <w:sz w:val="24"/>
                <w:szCs w:val="24"/>
              </w:rPr>
              <w:t xml:space="preserve"> </w:t>
            </w:r>
            <w:r>
              <w:rPr>
                <w:rFonts w:ascii="FangSong" w:hAnsi="FangSong" w:eastAsia="FangSong" w:cs="FangSong"/>
                <w:sz w:val="24"/>
                <w:szCs w:val="24"/>
                <w:spacing w:val="-5"/>
              </w:rPr>
              <w:t>（负责人）</w:t>
            </w:r>
          </w:p>
        </w:tc>
        <w:tc>
          <w:tcPr>
            <w:tcW w:w="2599" w:type="dxa"/>
            <w:vAlign w:val="top"/>
          </w:tcPr>
          <w:p>
            <w:pPr>
              <w:rPr>
                <w:rFonts w:ascii="Arial"/>
                <w:sz w:val="21"/>
              </w:rPr>
            </w:pPr>
            <w:r/>
          </w:p>
        </w:tc>
      </w:tr>
      <w:tr>
        <w:trPr>
          <w:trHeight w:val="445" w:hRule="atLeast"/>
        </w:trPr>
        <w:tc>
          <w:tcPr>
            <w:tcW w:w="715" w:type="dxa"/>
            <w:vAlign w:val="top"/>
            <w:vMerge w:val="continue"/>
            <w:tcBorders>
              <w:top w:val="nil"/>
              <w:bottom w:val="nil"/>
            </w:tcBorders>
          </w:tcPr>
          <w:p>
            <w:pPr>
              <w:rPr>
                <w:rFonts w:ascii="Arial"/>
                <w:sz w:val="21"/>
              </w:rPr>
            </w:pPr>
            <w:r/>
          </w:p>
        </w:tc>
        <w:tc>
          <w:tcPr>
            <w:tcW w:w="1390" w:type="dxa"/>
            <w:vAlign w:val="top"/>
          </w:tcPr>
          <w:p>
            <w:pPr>
              <w:ind w:left="224"/>
              <w:spacing w:before="149" w:line="220" w:lineRule="auto"/>
              <w:rPr>
                <w:rFonts w:ascii="FangSong" w:hAnsi="FangSong" w:eastAsia="FangSong" w:cs="FangSong"/>
                <w:sz w:val="24"/>
                <w:szCs w:val="24"/>
              </w:rPr>
            </w:pPr>
            <w:r>
              <w:rPr>
                <w:rFonts w:ascii="FangSong" w:hAnsi="FangSong" w:eastAsia="FangSong" w:cs="FangSong"/>
                <w:sz w:val="24"/>
                <w:szCs w:val="24"/>
                <w:spacing w:val="-4"/>
              </w:rPr>
              <w:t>证件名称</w:t>
            </w:r>
          </w:p>
        </w:tc>
        <w:tc>
          <w:tcPr>
            <w:tcW w:w="2318" w:type="dxa"/>
            <w:vAlign w:val="top"/>
          </w:tcPr>
          <w:p>
            <w:pPr>
              <w:rPr>
                <w:rFonts w:ascii="Arial"/>
                <w:sz w:val="21"/>
              </w:rPr>
            </w:pPr>
            <w:r/>
          </w:p>
        </w:tc>
        <w:tc>
          <w:tcPr>
            <w:tcW w:w="1480" w:type="dxa"/>
            <w:vAlign w:val="top"/>
          </w:tcPr>
          <w:p>
            <w:pPr>
              <w:ind w:left="272"/>
              <w:spacing w:before="149" w:line="220" w:lineRule="auto"/>
              <w:rPr>
                <w:rFonts w:ascii="FangSong" w:hAnsi="FangSong" w:eastAsia="FangSong" w:cs="FangSong"/>
                <w:sz w:val="24"/>
                <w:szCs w:val="24"/>
              </w:rPr>
            </w:pPr>
            <w:r>
              <w:rPr>
                <w:rFonts w:ascii="FangSong" w:hAnsi="FangSong" w:eastAsia="FangSong" w:cs="FangSong"/>
                <w:sz w:val="24"/>
                <w:szCs w:val="24"/>
                <w:spacing w:val="-4"/>
              </w:rPr>
              <w:t>证件号码</w:t>
            </w:r>
          </w:p>
        </w:tc>
        <w:tc>
          <w:tcPr>
            <w:tcW w:w="2599" w:type="dxa"/>
            <w:vAlign w:val="top"/>
          </w:tcPr>
          <w:p>
            <w:pPr>
              <w:rPr>
                <w:rFonts w:ascii="Arial"/>
                <w:sz w:val="21"/>
              </w:rPr>
            </w:pPr>
            <w:r/>
          </w:p>
        </w:tc>
      </w:tr>
      <w:tr>
        <w:trPr>
          <w:trHeight w:val="688" w:hRule="atLeast"/>
        </w:trPr>
        <w:tc>
          <w:tcPr>
            <w:tcW w:w="715" w:type="dxa"/>
            <w:vAlign w:val="top"/>
            <w:vMerge w:val="continue"/>
            <w:tcBorders>
              <w:top w:val="nil"/>
            </w:tcBorders>
          </w:tcPr>
          <w:p>
            <w:pPr>
              <w:rPr>
                <w:rFonts w:ascii="Arial"/>
                <w:sz w:val="21"/>
              </w:rPr>
            </w:pPr>
            <w:r/>
          </w:p>
        </w:tc>
        <w:tc>
          <w:tcPr>
            <w:tcW w:w="1390" w:type="dxa"/>
            <w:vAlign w:val="top"/>
          </w:tcPr>
          <w:p>
            <w:pPr>
              <w:ind w:left="230" w:right="236" w:firstLine="235"/>
              <w:spacing w:before="85" w:line="228" w:lineRule="auto"/>
              <w:rPr>
                <w:rFonts w:ascii="FangSong" w:hAnsi="FangSong" w:eastAsia="FangSong" w:cs="FangSong"/>
                <w:sz w:val="24"/>
                <w:szCs w:val="24"/>
              </w:rPr>
            </w:pPr>
            <w:r>
              <w:rPr>
                <w:rFonts w:ascii="FangSong" w:hAnsi="FangSong" w:eastAsia="FangSong" w:cs="FangSong"/>
                <w:sz w:val="24"/>
                <w:szCs w:val="24"/>
                <w:spacing w:val="-8"/>
              </w:rPr>
              <w:t>住址</w:t>
            </w:r>
            <w:r>
              <w:rPr>
                <w:rFonts w:ascii="FangSong" w:hAnsi="FangSong" w:eastAsia="FangSong" w:cs="FangSong"/>
                <w:sz w:val="24"/>
                <w:szCs w:val="24"/>
              </w:rPr>
              <w:t xml:space="preserve">  </w:t>
            </w:r>
            <w:r>
              <w:rPr>
                <w:rFonts w:ascii="FangSong" w:hAnsi="FangSong" w:eastAsia="FangSong" w:cs="FangSong"/>
                <w:sz w:val="24"/>
                <w:szCs w:val="24"/>
                <w:spacing w:val="-11"/>
              </w:rPr>
              <w:t>（地址）</w:t>
            </w:r>
          </w:p>
        </w:tc>
        <w:tc>
          <w:tcPr>
            <w:tcW w:w="2318" w:type="dxa"/>
            <w:vAlign w:val="top"/>
          </w:tcPr>
          <w:p>
            <w:pPr>
              <w:rPr>
                <w:rFonts w:ascii="Arial"/>
                <w:sz w:val="21"/>
              </w:rPr>
            </w:pPr>
            <w:r/>
          </w:p>
        </w:tc>
        <w:tc>
          <w:tcPr>
            <w:tcW w:w="1480" w:type="dxa"/>
            <w:vAlign w:val="top"/>
          </w:tcPr>
          <w:p>
            <w:pPr>
              <w:ind w:left="271"/>
              <w:spacing w:before="221" w:line="223" w:lineRule="auto"/>
              <w:rPr>
                <w:rFonts w:ascii="FangSong" w:hAnsi="FangSong" w:eastAsia="FangSong" w:cs="FangSong"/>
                <w:sz w:val="24"/>
                <w:szCs w:val="24"/>
              </w:rPr>
            </w:pPr>
            <w:r>
              <w:rPr>
                <w:rFonts w:ascii="FangSong" w:hAnsi="FangSong" w:eastAsia="FangSong" w:cs="FangSong"/>
                <w:sz w:val="24"/>
                <w:szCs w:val="24"/>
                <w:spacing w:val="-4"/>
              </w:rPr>
              <w:t>联系电话</w:t>
            </w:r>
          </w:p>
        </w:tc>
        <w:tc>
          <w:tcPr>
            <w:tcW w:w="2599" w:type="dxa"/>
            <w:vAlign w:val="top"/>
          </w:tcPr>
          <w:p>
            <w:pPr>
              <w:rPr>
                <w:rFonts w:ascii="Arial"/>
                <w:sz w:val="21"/>
              </w:rPr>
            </w:pPr>
            <w:r/>
          </w:p>
        </w:tc>
      </w:tr>
      <w:tr>
        <w:trPr>
          <w:trHeight w:val="2535" w:hRule="atLeast"/>
        </w:trPr>
        <w:tc>
          <w:tcPr>
            <w:tcW w:w="715"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129" w:right="116" w:firstLine="1"/>
              <w:spacing w:before="78"/>
              <w:jc w:val="both"/>
              <w:rPr>
                <w:rFonts w:ascii="FangSong" w:hAnsi="FangSong" w:eastAsia="FangSong" w:cs="FangSong"/>
                <w:sz w:val="24"/>
                <w:szCs w:val="24"/>
              </w:rPr>
            </w:pPr>
            <w:r>
              <w:rPr>
                <w:rFonts w:ascii="FangSong" w:hAnsi="FangSong" w:eastAsia="FangSong" w:cs="FangSong"/>
                <w:sz w:val="24"/>
                <w:szCs w:val="24"/>
                <w:spacing w:val="-9"/>
              </w:rPr>
              <w:t>违法</w:t>
            </w:r>
            <w:r>
              <w:rPr>
                <w:rFonts w:ascii="FangSong" w:hAnsi="FangSong" w:eastAsia="FangSong" w:cs="FangSong"/>
                <w:sz w:val="24"/>
                <w:szCs w:val="24"/>
              </w:rPr>
              <w:t xml:space="preserve"> </w:t>
            </w:r>
            <w:r>
              <w:rPr>
                <w:rFonts w:ascii="FangSong" w:hAnsi="FangSong" w:eastAsia="FangSong" w:cs="FangSong"/>
                <w:sz w:val="24"/>
                <w:szCs w:val="24"/>
                <w:spacing w:val="-8"/>
              </w:rPr>
              <w:t>行为</w:t>
            </w:r>
            <w:r>
              <w:rPr>
                <w:rFonts w:ascii="FangSong" w:hAnsi="FangSong" w:eastAsia="FangSong" w:cs="FangSong"/>
                <w:sz w:val="24"/>
                <w:szCs w:val="24"/>
              </w:rPr>
              <w:t xml:space="preserve"> </w:t>
            </w:r>
            <w:r>
              <w:rPr>
                <w:rFonts w:ascii="FangSong" w:hAnsi="FangSong" w:eastAsia="FangSong" w:cs="FangSong"/>
                <w:sz w:val="24"/>
                <w:szCs w:val="24"/>
                <w:spacing w:val="-8"/>
              </w:rPr>
              <w:t>告知</w:t>
            </w:r>
          </w:p>
        </w:tc>
        <w:tc>
          <w:tcPr>
            <w:tcW w:w="7787" w:type="dxa"/>
            <w:vAlign w:val="top"/>
            <w:gridSpan w:val="4"/>
            <w:tcBorders>
              <w:bottom w:val="single" w:color="000000" w:sz="4" w:space="0"/>
            </w:tcBorders>
          </w:tcPr>
          <w:p>
            <w:pPr>
              <w:ind w:left="103" w:right="108"/>
              <w:spacing w:before="41" w:line="235" w:lineRule="auto"/>
              <w:tabs>
                <w:tab w:val="left" w:pos="703"/>
                <w:tab w:val="left" w:pos="2503"/>
              </w:tabs>
              <w:rPr>
                <w:rFonts w:ascii="FangSong" w:hAnsi="FangSong" w:eastAsia="FangSong" w:cs="FangSong"/>
                <w:sz w:val="24"/>
                <w:szCs w:val="24"/>
              </w:rPr>
            </w:pPr>
            <w:r>
              <w:rPr>
                <w:rFonts w:ascii="FangSong" w:hAnsi="FangSong" w:eastAsia="FangSong" w:cs="FangSong"/>
                <w:sz w:val="24"/>
                <w:szCs w:val="24"/>
                <w:u w:val="single" w:color="auto"/>
              </w:rPr>
              <w:tab/>
            </w:r>
            <w:r>
              <w:rPr>
                <w:rFonts w:ascii="FangSong" w:hAnsi="FangSong" w:eastAsia="FangSong" w:cs="FangSong"/>
                <w:sz w:val="24"/>
                <w:szCs w:val="24"/>
                <w:spacing w:val="-99"/>
              </w:rPr>
              <w:t xml:space="preserve"> </w:t>
            </w:r>
            <w:r>
              <w:rPr>
                <w:rFonts w:ascii="FangSong" w:hAnsi="FangSong" w:eastAsia="FangSong" w:cs="FangSong"/>
                <w:sz w:val="24"/>
                <w:szCs w:val="24"/>
                <w:spacing w:val="-13"/>
              </w:rPr>
              <w:t>年</w:t>
            </w:r>
            <w:r>
              <w:rPr>
                <w:rFonts w:ascii="FangSong" w:hAnsi="FangSong" w:eastAsia="FangSong" w:cs="FangSong"/>
                <w:sz w:val="24"/>
                <w:szCs w:val="24"/>
                <w:u w:val="single" w:color="auto"/>
                <w:spacing w:val="-13"/>
              </w:rPr>
              <w:t xml:space="preserve">   </w:t>
            </w:r>
            <w:r>
              <w:rPr>
                <w:rFonts w:ascii="FangSong" w:hAnsi="FangSong" w:eastAsia="FangSong" w:cs="FangSong"/>
                <w:sz w:val="24"/>
                <w:szCs w:val="24"/>
                <w:spacing w:val="-93"/>
              </w:rPr>
              <w:t xml:space="preserve"> </w:t>
            </w:r>
            <w:r>
              <w:rPr>
                <w:rFonts w:ascii="FangSong" w:hAnsi="FangSong" w:eastAsia="FangSong" w:cs="FangSong"/>
                <w:sz w:val="24"/>
                <w:szCs w:val="24"/>
                <w:spacing w:val="-13"/>
              </w:rPr>
              <w:t>月</w:t>
            </w:r>
            <w:r>
              <w:rPr>
                <w:rFonts w:ascii="FangSong" w:hAnsi="FangSong" w:eastAsia="FangSong" w:cs="FangSong"/>
                <w:sz w:val="24"/>
                <w:szCs w:val="24"/>
                <w:u w:val="single" w:color="auto"/>
                <w:spacing w:val="60"/>
              </w:rPr>
              <w:t xml:space="preserve">  </w:t>
            </w:r>
            <w:r>
              <w:rPr>
                <w:rFonts w:ascii="FangSong" w:hAnsi="FangSong" w:eastAsia="FangSong" w:cs="FangSong"/>
                <w:sz w:val="24"/>
                <w:szCs w:val="24"/>
                <w:spacing w:val="-53"/>
              </w:rPr>
              <w:t xml:space="preserve"> </w:t>
            </w:r>
            <w:r>
              <w:rPr>
                <w:rFonts w:ascii="FangSong" w:hAnsi="FangSong" w:eastAsia="FangSong" w:cs="FangSong"/>
                <w:sz w:val="24"/>
                <w:szCs w:val="24"/>
                <w:spacing w:val="-13"/>
              </w:rPr>
              <w:t>日，执法人员</w:t>
            </w:r>
            <w:r>
              <w:rPr>
                <w:rFonts w:ascii="FangSong" w:hAnsi="FangSong" w:eastAsia="FangSong" w:cs="FangSong"/>
                <w:sz w:val="24"/>
                <w:szCs w:val="24"/>
                <w:u w:val="single" w:color="auto"/>
                <w:spacing w:val="13"/>
              </w:rPr>
              <w:t xml:space="preserve">         </w:t>
            </w:r>
            <w:r>
              <w:rPr>
                <w:rFonts w:ascii="FangSong" w:hAnsi="FangSong" w:eastAsia="FangSong" w:cs="FangSong"/>
                <w:sz w:val="24"/>
                <w:szCs w:val="24"/>
                <w:spacing w:val="-84"/>
              </w:rPr>
              <w:t xml:space="preserve"> </w:t>
            </w:r>
            <w:r>
              <w:rPr>
                <w:rFonts w:ascii="FangSong" w:hAnsi="FangSong" w:eastAsia="FangSong" w:cs="FangSong"/>
                <w:sz w:val="24"/>
                <w:szCs w:val="24"/>
                <w:spacing w:val="-13"/>
              </w:rPr>
              <w:t>、</w:t>
            </w:r>
            <w:r>
              <w:rPr>
                <w:rFonts w:ascii="FangSong" w:hAnsi="FangSong" w:eastAsia="FangSong" w:cs="FangSong"/>
                <w:sz w:val="24"/>
                <w:szCs w:val="24"/>
                <w:u w:val="single" w:color="auto"/>
              </w:rPr>
              <w:t xml:space="preserve">          </w:t>
            </w:r>
            <w:r>
              <w:rPr>
                <w:rFonts w:ascii="FangSong" w:hAnsi="FangSong" w:eastAsia="FangSong" w:cs="FangSong"/>
                <w:sz w:val="24"/>
                <w:szCs w:val="24"/>
                <w:spacing w:val="-86"/>
              </w:rPr>
              <w:t xml:space="preserve"> </w:t>
            </w:r>
            <w:r>
              <w:rPr>
                <w:rFonts w:ascii="FangSong" w:hAnsi="FangSong" w:eastAsia="FangSong" w:cs="FangSong"/>
                <w:sz w:val="24"/>
                <w:szCs w:val="24"/>
                <w:spacing w:val="-13"/>
              </w:rPr>
              <w:t>，在</w:t>
            </w:r>
            <w:r>
              <w:rPr>
                <w:rFonts w:ascii="FangSong" w:hAnsi="FangSong" w:eastAsia="FangSong" w:cs="FangSong"/>
                <w:sz w:val="24"/>
                <w:szCs w:val="24"/>
                <w:u w:val="single" w:color="auto"/>
                <w:spacing w:val="13"/>
              </w:rPr>
              <w:t xml:space="preserve">         </w:t>
            </w:r>
            <w:r>
              <w:rPr>
                <w:rFonts w:ascii="FangSong" w:hAnsi="FangSong" w:eastAsia="FangSong" w:cs="FangSong"/>
                <w:sz w:val="24"/>
                <w:szCs w:val="24"/>
                <w:spacing w:val="2"/>
              </w:rPr>
              <w:t xml:space="preserve"> </w:t>
            </w:r>
            <w:r>
              <w:rPr>
                <w:rFonts w:ascii="FangSong" w:hAnsi="FangSong" w:eastAsia="FangSong" w:cs="FangSong"/>
                <w:sz w:val="24"/>
                <w:szCs w:val="24"/>
                <w:u w:val="single" w:color="auto"/>
              </w:rPr>
              <w:tab/>
            </w:r>
            <w:r>
              <w:rPr>
                <w:rFonts w:ascii="FangSong" w:hAnsi="FangSong" w:eastAsia="FangSong" w:cs="FangSong"/>
                <w:sz w:val="24"/>
                <w:szCs w:val="24"/>
                <w:u w:val="single" w:color="auto"/>
              </w:rPr>
              <w:tab/>
            </w:r>
            <w:r>
              <w:rPr>
                <w:rFonts w:ascii="FangSong" w:hAnsi="FangSong" w:eastAsia="FangSong" w:cs="FangSong"/>
                <w:sz w:val="24"/>
                <w:szCs w:val="24"/>
                <w:spacing w:val="-2"/>
              </w:rPr>
              <w:t>（检查的地点或其他案件线索来源</w:t>
            </w:r>
            <w:r>
              <w:rPr>
                <w:rFonts w:ascii="FangSong" w:hAnsi="FangSong" w:eastAsia="FangSong" w:cs="FangSong"/>
                <w:sz w:val="24"/>
                <w:szCs w:val="24"/>
                <w:spacing w:val="-36"/>
              </w:rPr>
              <w:t>），</w:t>
            </w:r>
            <w:r>
              <w:rPr>
                <w:rFonts w:ascii="FangSong" w:hAnsi="FangSong" w:eastAsia="FangSong" w:cs="FangSong"/>
                <w:sz w:val="24"/>
                <w:szCs w:val="24"/>
                <w:spacing w:val="-2"/>
              </w:rPr>
              <w:t>发现当事人</w:t>
            </w:r>
          </w:p>
          <w:p>
            <w:pPr>
              <w:ind w:left="123"/>
              <w:spacing w:before="35" w:line="219" w:lineRule="auto"/>
              <w:rPr>
                <w:rFonts w:ascii="FangSong" w:hAnsi="FangSong" w:eastAsia="FangSong" w:cs="FangSong"/>
                <w:sz w:val="24"/>
                <w:szCs w:val="24"/>
              </w:rPr>
            </w:pPr>
            <w:r>
              <w:rPr>
                <w:rFonts w:ascii="FangSong" w:hAnsi="FangSong" w:eastAsia="FangSong" w:cs="FangSong"/>
                <w:sz w:val="24"/>
                <w:szCs w:val="24"/>
                <w:spacing w:val="-8"/>
              </w:rPr>
              <w:t>存在</w:t>
            </w:r>
            <w:r>
              <w:rPr>
                <w:rFonts w:ascii="FangSong" w:hAnsi="FangSong" w:eastAsia="FangSong" w:cs="FangSong"/>
                <w:sz w:val="24"/>
                <w:szCs w:val="24"/>
                <w:u w:val="single" w:color="auto"/>
                <w:spacing w:val="4"/>
              </w:rPr>
              <w:t xml:space="preserve">                             </w:t>
            </w:r>
            <w:r>
              <w:rPr>
                <w:rFonts w:ascii="FangSong" w:hAnsi="FangSong" w:eastAsia="FangSong" w:cs="FangSong"/>
                <w:sz w:val="24"/>
                <w:szCs w:val="24"/>
                <w:spacing w:val="-79"/>
              </w:rPr>
              <w:t xml:space="preserve"> </w:t>
            </w:r>
            <w:r>
              <w:rPr>
                <w:rFonts w:ascii="FangSong" w:hAnsi="FangSong" w:eastAsia="FangSong" w:cs="FangSong"/>
                <w:sz w:val="24"/>
                <w:szCs w:val="24"/>
                <w:spacing w:val="-8"/>
              </w:rPr>
              <w:t>的违法行为，根据《</w:t>
            </w:r>
            <w:r>
              <w:rPr>
                <w:rFonts w:ascii="FangSong" w:hAnsi="FangSong" w:eastAsia="FangSong" w:cs="FangSong"/>
                <w:sz w:val="24"/>
                <w:szCs w:val="24"/>
                <w:spacing w:val="7"/>
              </w:rPr>
              <w:t xml:space="preserve">      </w:t>
            </w:r>
            <w:r>
              <w:rPr>
                <w:rFonts w:ascii="FangSong" w:hAnsi="FangSong" w:eastAsia="FangSong" w:cs="FangSong"/>
                <w:sz w:val="24"/>
                <w:szCs w:val="24"/>
                <w:spacing w:val="-8"/>
              </w:rPr>
              <w:t>》第</w:t>
            </w:r>
            <w:r>
              <w:rPr>
                <w:rFonts w:ascii="FangSong" w:hAnsi="FangSong" w:eastAsia="FangSong" w:cs="FangSong"/>
                <w:sz w:val="24"/>
                <w:szCs w:val="24"/>
                <w:u w:val="single" w:color="auto"/>
                <w:spacing w:val="4"/>
              </w:rPr>
              <w:t xml:space="preserve"> </w:t>
            </w:r>
          </w:p>
          <w:p>
            <w:pPr>
              <w:ind w:left="119" w:right="108" w:hanging="16"/>
              <w:spacing w:before="37" w:line="242" w:lineRule="auto"/>
              <w:tabs>
                <w:tab w:val="left" w:pos="582"/>
              </w:tabs>
              <w:jc w:val="both"/>
              <w:rPr>
                <w:rFonts w:ascii="FangSong" w:hAnsi="FangSong" w:eastAsia="FangSong" w:cs="FangSong"/>
                <w:sz w:val="24"/>
                <w:szCs w:val="24"/>
              </w:rPr>
            </w:pPr>
            <w:r>
              <w:rPr>
                <w:rFonts w:ascii="FangSong" w:hAnsi="FangSong" w:eastAsia="FangSong" w:cs="FangSong"/>
                <w:sz w:val="24"/>
                <w:szCs w:val="24"/>
                <w:u w:val="single" w:color="auto"/>
              </w:rPr>
              <w:tab/>
            </w:r>
            <w:r>
              <w:rPr>
                <w:rFonts w:ascii="FangSong" w:hAnsi="FangSong" w:eastAsia="FangSong" w:cs="FangSong"/>
                <w:sz w:val="24"/>
                <w:szCs w:val="24"/>
                <w:u w:val="single" w:color="auto"/>
              </w:rPr>
              <w:tab/>
            </w:r>
            <w:r>
              <w:rPr>
                <w:rFonts w:ascii="FangSong" w:hAnsi="FangSong" w:eastAsia="FangSong" w:cs="FangSong"/>
                <w:sz w:val="24"/>
                <w:szCs w:val="24"/>
                <w:spacing w:val="-98"/>
              </w:rPr>
              <w:t xml:space="preserve"> </w:t>
            </w:r>
            <w:r>
              <w:rPr>
                <w:rFonts w:ascii="FangSong" w:hAnsi="FangSong" w:eastAsia="FangSong" w:cs="FangSong"/>
                <w:sz w:val="24"/>
                <w:szCs w:val="24"/>
                <w:spacing w:val="-4"/>
              </w:rPr>
              <w:t>条第</w:t>
            </w:r>
            <w:r>
              <w:rPr>
                <w:rFonts w:ascii="FangSong" w:hAnsi="FangSong" w:eastAsia="FangSong" w:cs="FangSong"/>
                <w:sz w:val="24"/>
                <w:szCs w:val="24"/>
                <w:u w:val="single" w:color="auto"/>
                <w:spacing w:val="-4"/>
              </w:rPr>
              <w:t xml:space="preserve">    </w:t>
            </w:r>
            <w:r>
              <w:rPr>
                <w:rFonts w:ascii="FangSong" w:hAnsi="FangSong" w:eastAsia="FangSong" w:cs="FangSong"/>
                <w:sz w:val="24"/>
                <w:szCs w:val="24"/>
                <w:spacing w:val="-105"/>
              </w:rPr>
              <w:t xml:space="preserve"> </w:t>
            </w:r>
            <w:r>
              <w:rPr>
                <w:rFonts w:ascii="FangSong" w:hAnsi="FangSong" w:eastAsia="FangSong" w:cs="FangSong"/>
                <w:sz w:val="24"/>
                <w:szCs w:val="24"/>
                <w:spacing w:val="-4"/>
              </w:rPr>
              <w:t>款的规定，应当处以</w:t>
            </w:r>
            <w:r>
              <w:rPr>
                <w:rFonts w:ascii="FangSong" w:hAnsi="FangSong" w:eastAsia="FangSong" w:cs="FangSong"/>
                <w:sz w:val="24"/>
                <w:szCs w:val="24"/>
                <w:u w:val="single" w:color="auto"/>
                <w:spacing w:val="-4"/>
              </w:rPr>
              <w:t xml:space="preserve">          </w:t>
            </w:r>
            <w:r>
              <w:rPr>
                <w:rFonts w:ascii="FangSong" w:hAnsi="FangSong" w:eastAsia="FangSong" w:cs="FangSong"/>
                <w:sz w:val="24"/>
                <w:szCs w:val="24"/>
                <w:spacing w:val="-4"/>
              </w:rPr>
              <w:t>（处罚内容）。经查，当事</w:t>
            </w:r>
            <w:r>
              <w:rPr>
                <w:rFonts w:ascii="FangSong" w:hAnsi="FangSong" w:eastAsia="FangSong" w:cs="FangSong"/>
                <w:sz w:val="24"/>
                <w:szCs w:val="24"/>
              </w:rPr>
              <w:t xml:space="preserve"> </w:t>
            </w:r>
            <w:r>
              <w:rPr>
                <w:rFonts w:ascii="FangSong" w:hAnsi="FangSong" w:eastAsia="FangSong" w:cs="FangSong"/>
                <w:sz w:val="24"/>
                <w:szCs w:val="24"/>
                <w:spacing w:val="-4"/>
              </w:rPr>
              <w:t>人的违法行为符合包容免罚的适用条件。执法人员已向当事人宣传了相关</w:t>
            </w:r>
            <w:r>
              <w:rPr>
                <w:rFonts w:ascii="FangSong" w:hAnsi="FangSong" w:eastAsia="FangSong" w:cs="FangSong"/>
                <w:sz w:val="24"/>
                <w:szCs w:val="24"/>
              </w:rPr>
              <w:t xml:space="preserve"> </w:t>
            </w:r>
            <w:r>
              <w:rPr>
                <w:rFonts w:ascii="FangSong" w:hAnsi="FangSong" w:eastAsia="FangSong" w:cs="FangSong"/>
                <w:sz w:val="24"/>
                <w:szCs w:val="24"/>
                <w:spacing w:val="-6"/>
              </w:rPr>
              <w:t>法律法规规章的规定，现责令当事人立即改正□/于</w:t>
            </w:r>
            <w:r>
              <w:rPr>
                <w:rFonts w:ascii="FangSong" w:hAnsi="FangSong" w:eastAsia="FangSong" w:cs="FangSong"/>
                <w:sz w:val="24"/>
                <w:szCs w:val="24"/>
                <w:u w:val="single" w:color="auto"/>
                <w:spacing w:val="-6"/>
              </w:rPr>
              <w:t xml:space="preserve"> </w:t>
            </w:r>
            <w:r>
              <w:rPr>
                <w:rFonts w:ascii="FangSong" w:hAnsi="FangSong" w:eastAsia="FangSong" w:cs="FangSong"/>
                <w:sz w:val="24"/>
                <w:szCs w:val="24"/>
                <w:u w:val="single" w:color="auto"/>
                <w:spacing w:val="-7"/>
              </w:rPr>
              <w:t xml:space="preserve">    </w:t>
            </w:r>
            <w:r>
              <w:rPr>
                <w:rFonts w:ascii="FangSong" w:hAnsi="FangSong" w:eastAsia="FangSong" w:cs="FangSong"/>
                <w:sz w:val="24"/>
                <w:szCs w:val="24"/>
                <w:spacing w:val="-99"/>
              </w:rPr>
              <w:t xml:space="preserve"> </w:t>
            </w:r>
            <w:r>
              <w:rPr>
                <w:rFonts w:ascii="FangSong" w:hAnsi="FangSong" w:eastAsia="FangSong" w:cs="FangSong"/>
                <w:sz w:val="24"/>
                <w:szCs w:val="24"/>
                <w:spacing w:val="-7"/>
              </w:rPr>
              <w:t>年</w:t>
            </w:r>
            <w:r>
              <w:rPr>
                <w:rFonts w:ascii="FangSong" w:hAnsi="FangSong" w:eastAsia="FangSong" w:cs="FangSong"/>
                <w:sz w:val="24"/>
                <w:szCs w:val="24"/>
                <w:u w:val="single" w:color="auto"/>
                <w:spacing w:val="-7"/>
              </w:rPr>
              <w:t xml:space="preserve">   </w:t>
            </w:r>
            <w:r>
              <w:rPr>
                <w:rFonts w:ascii="FangSong" w:hAnsi="FangSong" w:eastAsia="FangSong" w:cs="FangSong"/>
                <w:sz w:val="24"/>
                <w:szCs w:val="24"/>
                <w:spacing w:val="-93"/>
              </w:rPr>
              <w:t xml:space="preserve"> </w:t>
            </w:r>
            <w:r>
              <w:rPr>
                <w:rFonts w:ascii="FangSong" w:hAnsi="FangSong" w:eastAsia="FangSong" w:cs="FangSong"/>
                <w:sz w:val="24"/>
                <w:szCs w:val="24"/>
                <w:spacing w:val="-7"/>
              </w:rPr>
              <w:t>月</w:t>
            </w:r>
            <w:r>
              <w:rPr>
                <w:rFonts w:ascii="FangSong" w:hAnsi="FangSong" w:eastAsia="FangSong" w:cs="FangSong"/>
                <w:sz w:val="24"/>
                <w:szCs w:val="24"/>
                <w:u w:val="single" w:color="auto"/>
                <w:spacing w:val="-7"/>
              </w:rPr>
              <w:t xml:space="preserve">   </w:t>
            </w:r>
            <w:r>
              <w:rPr>
                <w:rFonts w:ascii="FangSong" w:hAnsi="FangSong" w:eastAsia="FangSong" w:cs="FangSong"/>
                <w:sz w:val="24"/>
                <w:szCs w:val="24"/>
                <w:spacing w:val="-54"/>
              </w:rPr>
              <w:t xml:space="preserve"> </w:t>
            </w:r>
            <w:r>
              <w:rPr>
                <w:rFonts w:ascii="FangSong" w:hAnsi="FangSong" w:eastAsia="FangSong" w:cs="FangSong"/>
                <w:sz w:val="24"/>
                <w:szCs w:val="24"/>
                <w:spacing w:val="-7"/>
              </w:rPr>
              <w:t>日前</w:t>
            </w:r>
            <w:r>
              <w:rPr>
                <w:rFonts w:ascii="FangSong" w:hAnsi="FangSong" w:eastAsia="FangSong" w:cs="FangSong"/>
                <w:sz w:val="24"/>
                <w:szCs w:val="24"/>
              </w:rPr>
              <w:t xml:space="preserve"> </w:t>
            </w:r>
            <w:r>
              <w:rPr>
                <w:rFonts w:ascii="FangSong" w:hAnsi="FangSong" w:eastAsia="FangSong" w:cs="FangSong"/>
                <w:sz w:val="24"/>
                <w:szCs w:val="24"/>
                <w:spacing w:val="-2"/>
              </w:rPr>
              <w:t>整改完毕，改正要求如下：</w:t>
            </w:r>
            <w:r>
              <w:rPr>
                <w:rFonts w:ascii="FangSong" w:hAnsi="FangSong" w:eastAsia="FangSong" w:cs="FangSong"/>
                <w:sz w:val="24"/>
                <w:szCs w:val="24"/>
                <w:u w:val="single" w:color="auto"/>
              </w:rPr>
              <w:t xml:space="preserve">                                        </w:t>
            </w:r>
          </w:p>
        </w:tc>
      </w:tr>
      <w:tr>
        <w:trPr>
          <w:trHeight w:val="314" w:hRule="atLeast"/>
        </w:trPr>
        <w:tc>
          <w:tcPr>
            <w:tcW w:w="715" w:type="dxa"/>
            <w:vAlign w:val="top"/>
            <w:vMerge w:val="continue"/>
            <w:tcBorders>
              <w:top w:val="nil"/>
              <w:bottom w:val="nil"/>
            </w:tcBorders>
          </w:tcPr>
          <w:p>
            <w:pPr>
              <w:rPr>
                <w:rFonts w:ascii="Arial"/>
                <w:sz w:val="21"/>
              </w:rPr>
            </w:pPr>
            <w:r/>
          </w:p>
        </w:tc>
        <w:tc>
          <w:tcPr>
            <w:tcW w:w="7787" w:type="dxa"/>
            <w:vAlign w:val="top"/>
            <w:gridSpan w:val="4"/>
            <w:tcBorders>
              <w:bottom w:val="single" w:color="000000" w:sz="4" w:space="0"/>
              <w:top w:val="single" w:color="000000" w:sz="4" w:space="0"/>
            </w:tcBorders>
          </w:tcPr>
          <w:p>
            <w:pPr>
              <w:rPr>
                <w:rFonts w:ascii="Arial"/>
                <w:sz w:val="21"/>
              </w:rPr>
            </w:pPr>
            <w:r/>
          </w:p>
        </w:tc>
      </w:tr>
      <w:tr>
        <w:trPr>
          <w:trHeight w:val="365" w:hRule="atLeast"/>
        </w:trPr>
        <w:tc>
          <w:tcPr>
            <w:tcW w:w="715" w:type="dxa"/>
            <w:vAlign w:val="top"/>
            <w:vMerge w:val="continue"/>
            <w:tcBorders>
              <w:top w:val="nil"/>
              <w:bottom w:val="nil"/>
            </w:tcBorders>
          </w:tcPr>
          <w:p>
            <w:pPr>
              <w:rPr>
                <w:rFonts w:ascii="Arial"/>
                <w:sz w:val="21"/>
              </w:rPr>
            </w:pPr>
            <w:r/>
          </w:p>
        </w:tc>
        <w:tc>
          <w:tcPr>
            <w:tcW w:w="7787" w:type="dxa"/>
            <w:vAlign w:val="top"/>
            <w:gridSpan w:val="4"/>
            <w:tcBorders>
              <w:top w:val="single" w:color="000000" w:sz="4" w:space="0"/>
            </w:tcBorders>
          </w:tcPr>
          <w:p>
            <w:pPr>
              <w:rPr>
                <w:rFonts w:ascii="Arial"/>
                <w:sz w:val="21"/>
              </w:rPr>
            </w:pPr>
            <w:r/>
          </w:p>
        </w:tc>
      </w:tr>
      <w:tr>
        <w:trPr>
          <w:trHeight w:val="930" w:hRule="atLeast"/>
        </w:trPr>
        <w:tc>
          <w:tcPr>
            <w:tcW w:w="715" w:type="dxa"/>
            <w:vAlign w:val="top"/>
            <w:vMerge w:val="continue"/>
            <w:tcBorders>
              <w:top w:val="nil"/>
            </w:tcBorders>
          </w:tcPr>
          <w:p>
            <w:pPr>
              <w:rPr>
                <w:rFonts w:ascii="Arial"/>
                <w:sz w:val="21"/>
              </w:rPr>
            </w:pPr>
            <w:r/>
          </w:p>
        </w:tc>
        <w:tc>
          <w:tcPr>
            <w:tcW w:w="7787" w:type="dxa"/>
            <w:vAlign w:val="top"/>
            <w:gridSpan w:val="4"/>
          </w:tcPr>
          <w:p>
            <w:pPr>
              <w:ind w:left="2344" w:right="1431"/>
              <w:spacing w:before="41" w:line="237" w:lineRule="auto"/>
              <w:rPr>
                <w:rFonts w:ascii="FangSong" w:hAnsi="FangSong" w:eastAsia="FangSong" w:cs="FangSong"/>
                <w:sz w:val="24"/>
                <w:szCs w:val="24"/>
              </w:rPr>
            </w:pPr>
            <w:r>
              <w:rPr>
                <w:rFonts w:ascii="FangSong" w:hAnsi="FangSong" w:eastAsia="FangSong" w:cs="FangSong"/>
                <w:sz w:val="24"/>
                <w:szCs w:val="24"/>
                <w:spacing w:val="-8"/>
              </w:rPr>
              <w:t>执法人员签名：</w:t>
            </w:r>
            <w:r>
              <w:rPr>
                <w:rFonts w:ascii="FangSong" w:hAnsi="FangSong" w:eastAsia="FangSong" w:cs="FangSong"/>
                <w:sz w:val="24"/>
                <w:szCs w:val="24"/>
                <w:u w:val="single" w:color="auto"/>
              </w:rPr>
              <w:t xml:space="preserve">          </w:t>
            </w:r>
            <w:r>
              <w:rPr>
                <w:rFonts w:ascii="FangSong" w:hAnsi="FangSong" w:eastAsia="FangSong" w:cs="FangSong"/>
                <w:sz w:val="24"/>
                <w:szCs w:val="24"/>
                <w:spacing w:val="-99"/>
              </w:rPr>
              <w:t xml:space="preserve"> </w:t>
            </w:r>
            <w:r>
              <w:rPr>
                <w:rFonts w:ascii="FangSong" w:hAnsi="FangSong" w:eastAsia="FangSong" w:cs="FangSong"/>
                <w:sz w:val="24"/>
                <w:szCs w:val="24"/>
                <w:spacing w:val="-8"/>
              </w:rPr>
              <w:t>执法证号：</w:t>
            </w:r>
            <w:r>
              <w:rPr>
                <w:rFonts w:ascii="FangSong" w:hAnsi="FangSong" w:eastAsia="FangSong" w:cs="FangSong"/>
                <w:sz w:val="24"/>
                <w:szCs w:val="24"/>
              </w:rPr>
              <w:t xml:space="preserve"> </w:t>
            </w:r>
            <w:r>
              <w:rPr>
                <w:rFonts w:ascii="FangSong" w:hAnsi="FangSong" w:eastAsia="FangSong" w:cs="FangSong"/>
                <w:sz w:val="24"/>
                <w:szCs w:val="24"/>
                <w:spacing w:val="-8"/>
              </w:rPr>
              <w:t>执法人员签名：</w:t>
            </w:r>
            <w:r>
              <w:rPr>
                <w:rFonts w:ascii="FangSong" w:hAnsi="FangSong" w:eastAsia="FangSong" w:cs="FangSong"/>
                <w:sz w:val="24"/>
                <w:szCs w:val="24"/>
                <w:u w:val="single" w:color="auto"/>
              </w:rPr>
              <w:t xml:space="preserve">          </w:t>
            </w:r>
            <w:r>
              <w:rPr>
                <w:rFonts w:ascii="FangSong" w:hAnsi="FangSong" w:eastAsia="FangSong" w:cs="FangSong"/>
                <w:sz w:val="24"/>
                <w:szCs w:val="24"/>
                <w:spacing w:val="-99"/>
              </w:rPr>
              <w:t xml:space="preserve"> </w:t>
            </w:r>
            <w:r>
              <w:rPr>
                <w:rFonts w:ascii="FangSong" w:hAnsi="FangSong" w:eastAsia="FangSong" w:cs="FangSong"/>
                <w:sz w:val="24"/>
                <w:szCs w:val="24"/>
                <w:spacing w:val="-8"/>
              </w:rPr>
              <w:t>执法证号：</w:t>
            </w:r>
          </w:p>
          <w:p>
            <w:pPr>
              <w:ind w:left="5049"/>
              <w:spacing w:before="30" w:line="178" w:lineRule="auto"/>
              <w:rPr>
                <w:rFonts w:ascii="FangSong" w:hAnsi="FangSong" w:eastAsia="FangSong" w:cs="FangSong"/>
                <w:sz w:val="24"/>
                <w:szCs w:val="24"/>
              </w:rPr>
            </w:pPr>
            <w:r>
              <w:rPr>
                <w:rFonts w:ascii="FangSong" w:hAnsi="FangSong" w:eastAsia="FangSong" w:cs="FangSong"/>
                <w:sz w:val="24"/>
                <w:szCs w:val="24"/>
                <w:spacing w:val="-16"/>
              </w:rPr>
              <w:t>年</w:t>
            </w:r>
            <w:r>
              <w:rPr>
                <w:rFonts w:ascii="FangSong" w:hAnsi="FangSong" w:eastAsia="FangSong" w:cs="FangSong"/>
                <w:sz w:val="24"/>
                <w:szCs w:val="24"/>
                <w:spacing w:val="9"/>
              </w:rPr>
              <w:t xml:space="preserve">   </w:t>
            </w:r>
            <w:r>
              <w:rPr>
                <w:rFonts w:ascii="FangSong" w:hAnsi="FangSong" w:eastAsia="FangSong" w:cs="FangSong"/>
                <w:sz w:val="24"/>
                <w:szCs w:val="24"/>
                <w:spacing w:val="-16"/>
              </w:rPr>
              <w:t>月</w:t>
            </w:r>
            <w:r>
              <w:rPr>
                <w:rFonts w:ascii="FangSong" w:hAnsi="FangSong" w:eastAsia="FangSong" w:cs="FangSong"/>
                <w:sz w:val="24"/>
                <w:szCs w:val="24"/>
                <w:spacing w:val="22"/>
              </w:rPr>
              <w:t xml:space="preserve">   </w:t>
            </w:r>
            <w:r>
              <w:rPr>
                <w:rFonts w:ascii="FangSong" w:hAnsi="FangSong" w:eastAsia="FangSong" w:cs="FangSong"/>
                <w:sz w:val="24"/>
                <w:szCs w:val="24"/>
                <w:spacing w:val="-16"/>
              </w:rPr>
              <w:t>日</w:t>
            </w:r>
          </w:p>
        </w:tc>
      </w:tr>
      <w:tr>
        <w:trPr>
          <w:trHeight w:val="3233" w:hRule="atLeast"/>
        </w:trPr>
        <w:tc>
          <w:tcPr>
            <w:tcW w:w="715"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133" w:right="116" w:firstLine="21"/>
              <w:spacing w:before="78"/>
              <w:jc w:val="both"/>
              <w:rPr>
                <w:rFonts w:ascii="FangSong" w:hAnsi="FangSong" w:eastAsia="FangSong" w:cs="FangSong"/>
                <w:sz w:val="24"/>
                <w:szCs w:val="24"/>
              </w:rPr>
            </w:pPr>
            <w:r>
              <w:rPr>
                <w:rFonts w:ascii="FangSong" w:hAnsi="FangSong" w:eastAsia="FangSong" w:cs="FangSong"/>
                <w:sz w:val="24"/>
                <w:szCs w:val="24"/>
                <w:spacing w:val="-21"/>
              </w:rPr>
              <w:t>当事</w:t>
            </w:r>
            <w:r>
              <w:rPr>
                <w:rFonts w:ascii="FangSong" w:hAnsi="FangSong" w:eastAsia="FangSong" w:cs="FangSong"/>
                <w:sz w:val="24"/>
                <w:szCs w:val="24"/>
              </w:rPr>
              <w:t xml:space="preserve"> </w:t>
            </w:r>
            <w:r>
              <w:rPr>
                <w:rFonts w:ascii="FangSong" w:hAnsi="FangSong" w:eastAsia="FangSong" w:cs="FangSong"/>
                <w:sz w:val="24"/>
                <w:szCs w:val="24"/>
                <w:spacing w:val="-10"/>
              </w:rPr>
              <w:t>人承</w:t>
            </w:r>
            <w:r>
              <w:rPr>
                <w:rFonts w:ascii="FangSong" w:hAnsi="FangSong" w:eastAsia="FangSong" w:cs="FangSong"/>
                <w:sz w:val="24"/>
                <w:szCs w:val="24"/>
              </w:rPr>
              <w:t xml:space="preserve"> </w:t>
            </w:r>
            <w:r>
              <w:rPr>
                <w:rFonts w:ascii="FangSong" w:hAnsi="FangSong" w:eastAsia="FangSong" w:cs="FangSong"/>
                <w:sz w:val="24"/>
                <w:szCs w:val="24"/>
                <w:spacing w:val="40"/>
                <w:w w:val="125"/>
              </w:rPr>
              <w:t>诺</w:t>
            </w:r>
          </w:p>
        </w:tc>
        <w:tc>
          <w:tcPr>
            <w:tcW w:w="7787" w:type="dxa"/>
            <w:vAlign w:val="top"/>
            <w:gridSpan w:val="4"/>
          </w:tcPr>
          <w:p>
            <w:pPr>
              <w:ind w:left="103"/>
              <w:spacing w:before="87" w:line="221" w:lineRule="auto"/>
              <w:tabs>
                <w:tab w:val="left" w:pos="2622"/>
              </w:tabs>
              <w:rPr>
                <w:rFonts w:ascii="FangSong" w:hAnsi="FangSong" w:eastAsia="FangSong" w:cs="FangSong"/>
                <w:sz w:val="24"/>
                <w:szCs w:val="24"/>
              </w:rPr>
            </w:pPr>
            <w:r>
              <w:rPr>
                <w:rFonts w:ascii="FangSong" w:hAnsi="FangSong" w:eastAsia="FangSong" w:cs="FangSong"/>
                <w:sz w:val="24"/>
                <w:szCs w:val="24"/>
                <w:u w:val="single" w:color="auto"/>
              </w:rPr>
              <w:tab/>
            </w:r>
            <w:r>
              <w:rPr>
                <w:rFonts w:ascii="FangSong" w:hAnsi="FangSong" w:eastAsia="FangSong" w:cs="FangSong"/>
                <w:sz w:val="24"/>
                <w:szCs w:val="24"/>
              </w:rPr>
              <w:t>（执法单位全称）：</w:t>
            </w:r>
          </w:p>
          <w:p>
            <w:pPr>
              <w:ind w:left="128" w:right="108" w:firstLine="470"/>
              <w:spacing w:before="37" w:line="235" w:lineRule="auto"/>
              <w:rPr>
                <w:rFonts w:ascii="FangSong" w:hAnsi="FangSong" w:eastAsia="FangSong" w:cs="FangSong"/>
                <w:sz w:val="24"/>
                <w:szCs w:val="24"/>
              </w:rPr>
            </w:pPr>
            <w:r>
              <w:rPr>
                <w:rFonts w:ascii="FangSong" w:hAnsi="FangSong" w:eastAsia="FangSong" w:cs="FangSong"/>
                <w:sz w:val="24"/>
                <w:szCs w:val="24"/>
                <w:spacing w:val="-4"/>
              </w:rPr>
              <w:t>执法人员已向本人（单位）进行了相关告知和法制宣</w:t>
            </w:r>
            <w:r>
              <w:rPr>
                <w:rFonts w:ascii="FangSong" w:hAnsi="FangSong" w:eastAsia="FangSong" w:cs="FangSong"/>
                <w:sz w:val="24"/>
                <w:szCs w:val="24"/>
                <w:spacing w:val="-5"/>
              </w:rPr>
              <w:t>传教育，并要求</w:t>
            </w:r>
            <w:r>
              <w:rPr>
                <w:rFonts w:ascii="FangSong" w:hAnsi="FangSong" w:eastAsia="FangSong" w:cs="FangSong"/>
                <w:sz w:val="24"/>
                <w:szCs w:val="24"/>
              </w:rPr>
              <w:t xml:space="preserve"> </w:t>
            </w:r>
            <w:r>
              <w:rPr>
                <w:rFonts w:ascii="FangSong" w:hAnsi="FangSong" w:eastAsia="FangSong" w:cs="FangSong"/>
                <w:sz w:val="24"/>
                <w:szCs w:val="24"/>
                <w:spacing w:val="-5"/>
              </w:rPr>
              <w:t>予以改正。</w:t>
            </w:r>
          </w:p>
          <w:p>
            <w:pPr>
              <w:ind w:left="618" w:right="1976" w:hanging="17"/>
              <w:spacing w:before="35" w:line="233" w:lineRule="auto"/>
              <w:rPr>
                <w:rFonts w:ascii="FangSong" w:hAnsi="FangSong" w:eastAsia="FangSong" w:cs="FangSong"/>
                <w:sz w:val="24"/>
                <w:szCs w:val="24"/>
              </w:rPr>
            </w:pPr>
            <w:r>
              <w:rPr>
                <w:rFonts w:ascii="FangSong" w:hAnsi="FangSong" w:eastAsia="FangSong" w:cs="FangSong"/>
                <w:sz w:val="24"/>
                <w:szCs w:val="24"/>
                <w:spacing w:val="-4"/>
              </w:rPr>
              <w:t>本人（单位）对以上情况确认无误，并自愿承诺：</w:t>
            </w:r>
            <w:r>
              <w:rPr>
                <w:rFonts w:ascii="FangSong" w:hAnsi="FangSong" w:eastAsia="FangSong" w:cs="FangSong"/>
                <w:sz w:val="24"/>
                <w:szCs w:val="24"/>
                <w:spacing w:val="11"/>
              </w:rPr>
              <w:t xml:space="preserve"> </w:t>
            </w:r>
            <w:r>
              <w:rPr>
                <w:rFonts w:ascii="FangSong" w:hAnsi="FangSong" w:eastAsia="FangSong" w:cs="FangSong"/>
                <w:sz w:val="24"/>
                <w:szCs w:val="24"/>
                <w:spacing w:val="-11"/>
              </w:rPr>
              <w:t>□1.在</w:t>
            </w:r>
            <w:r>
              <w:rPr>
                <w:rFonts w:ascii="FangSong" w:hAnsi="FangSong" w:eastAsia="FangSong" w:cs="FangSong"/>
                <w:sz w:val="24"/>
                <w:szCs w:val="24"/>
                <w:u w:val="single" w:color="auto"/>
                <w:spacing w:val="31"/>
              </w:rPr>
              <w:t xml:space="preserve">    </w:t>
            </w:r>
            <w:r>
              <w:rPr>
                <w:rFonts w:ascii="FangSong" w:hAnsi="FangSong" w:eastAsia="FangSong" w:cs="FangSong"/>
                <w:sz w:val="24"/>
                <w:szCs w:val="24"/>
                <w:spacing w:val="-99"/>
              </w:rPr>
              <w:t xml:space="preserve"> </w:t>
            </w:r>
            <w:r>
              <w:rPr>
                <w:rFonts w:ascii="FangSong" w:hAnsi="FangSong" w:eastAsia="FangSong" w:cs="FangSong"/>
                <w:sz w:val="24"/>
                <w:szCs w:val="24"/>
                <w:spacing w:val="-11"/>
              </w:rPr>
              <w:t>年</w:t>
            </w:r>
            <w:r>
              <w:rPr>
                <w:rFonts w:ascii="FangSong" w:hAnsi="FangSong" w:eastAsia="FangSong" w:cs="FangSong"/>
                <w:sz w:val="24"/>
                <w:szCs w:val="24"/>
                <w:u w:val="single" w:color="auto"/>
                <w:spacing w:val="-11"/>
              </w:rPr>
              <w:t xml:space="preserve">   </w:t>
            </w:r>
            <w:r>
              <w:rPr>
                <w:rFonts w:ascii="FangSong" w:hAnsi="FangSong" w:eastAsia="FangSong" w:cs="FangSong"/>
                <w:sz w:val="24"/>
                <w:szCs w:val="24"/>
                <w:spacing w:val="-93"/>
              </w:rPr>
              <w:t xml:space="preserve"> </w:t>
            </w:r>
            <w:r>
              <w:rPr>
                <w:rFonts w:ascii="FangSong" w:hAnsi="FangSong" w:eastAsia="FangSong" w:cs="FangSong"/>
                <w:sz w:val="24"/>
                <w:szCs w:val="24"/>
                <w:spacing w:val="-11"/>
              </w:rPr>
              <w:t>月</w:t>
            </w:r>
            <w:r>
              <w:rPr>
                <w:rFonts w:ascii="FangSong" w:hAnsi="FangSong" w:eastAsia="FangSong" w:cs="FangSong"/>
                <w:sz w:val="24"/>
                <w:szCs w:val="24"/>
                <w:u w:val="single" w:color="auto"/>
                <w:spacing w:val="60"/>
              </w:rPr>
              <w:t xml:space="preserve">  </w:t>
            </w:r>
            <w:r>
              <w:rPr>
                <w:rFonts w:ascii="FangSong" w:hAnsi="FangSong" w:eastAsia="FangSong" w:cs="FangSong"/>
                <w:sz w:val="24"/>
                <w:szCs w:val="24"/>
                <w:spacing w:val="-53"/>
              </w:rPr>
              <w:t xml:space="preserve"> </w:t>
            </w:r>
            <w:r>
              <w:rPr>
                <w:rFonts w:ascii="FangSong" w:hAnsi="FangSong" w:eastAsia="FangSong" w:cs="FangSong"/>
                <w:sz w:val="24"/>
                <w:szCs w:val="24"/>
                <w:spacing w:val="-11"/>
              </w:rPr>
              <w:t>日前改正；</w:t>
            </w:r>
          </w:p>
          <w:p>
            <w:pPr>
              <w:ind w:left="618"/>
              <w:spacing w:before="39" w:line="222" w:lineRule="auto"/>
              <w:rPr>
                <w:rFonts w:ascii="FangSong" w:hAnsi="FangSong" w:eastAsia="FangSong" w:cs="FangSong"/>
                <w:sz w:val="24"/>
                <w:szCs w:val="24"/>
              </w:rPr>
            </w:pPr>
            <w:r>
              <w:rPr>
                <w:rFonts w:ascii="FangSong" w:hAnsi="FangSong" w:eastAsia="FangSong" w:cs="FangSong"/>
                <w:sz w:val="24"/>
                <w:szCs w:val="24"/>
                <w:spacing w:val="-5"/>
              </w:rPr>
              <w:t>□2.遵守</w:t>
            </w:r>
            <w:r>
              <w:rPr>
                <w:rFonts w:ascii="FangSong" w:hAnsi="FangSong" w:eastAsia="FangSong" w:cs="FangSong"/>
                <w:sz w:val="24"/>
                <w:szCs w:val="24"/>
                <w:u w:val="single" w:color="auto"/>
                <w:spacing w:val="5"/>
              </w:rPr>
              <w:t xml:space="preserve">                         </w:t>
            </w:r>
            <w:r>
              <w:rPr>
                <w:rFonts w:ascii="FangSong" w:hAnsi="FangSong" w:eastAsia="FangSong" w:cs="FangSong"/>
                <w:sz w:val="24"/>
                <w:szCs w:val="24"/>
                <w:spacing w:val="-95"/>
              </w:rPr>
              <w:t xml:space="preserve"> </w:t>
            </w:r>
            <w:r>
              <w:rPr>
                <w:rFonts w:ascii="FangSong" w:hAnsi="FangSong" w:eastAsia="FangSong" w:cs="FangSong"/>
                <w:sz w:val="24"/>
                <w:szCs w:val="24"/>
                <w:spacing w:val="-5"/>
              </w:rPr>
              <w:t>法律法规的规定。</w:t>
            </w:r>
          </w:p>
          <w:p>
            <w:pPr>
              <w:ind w:left="600"/>
              <w:spacing w:before="34" w:line="221" w:lineRule="auto"/>
              <w:rPr>
                <w:rFonts w:ascii="FangSong" w:hAnsi="FangSong" w:eastAsia="FangSong" w:cs="FangSong"/>
                <w:sz w:val="24"/>
                <w:szCs w:val="24"/>
              </w:rPr>
            </w:pPr>
            <w:r>
              <w:rPr>
                <w:rFonts w:ascii="FangSong" w:hAnsi="FangSong" w:eastAsia="FangSong" w:cs="FangSong"/>
                <w:sz w:val="24"/>
                <w:szCs w:val="24"/>
                <w:spacing w:val="-1"/>
              </w:rPr>
              <w:t>若本人（单位）未履行上述承诺的，愿依法承担相应的法律责任。</w:t>
            </w:r>
          </w:p>
          <w:p>
            <w:pPr>
              <w:spacing w:line="279" w:lineRule="auto"/>
              <w:rPr>
                <w:rFonts w:ascii="Arial"/>
                <w:sz w:val="21"/>
              </w:rPr>
            </w:pPr>
            <w:r/>
          </w:p>
          <w:p>
            <w:pPr>
              <w:ind w:left="3005"/>
              <w:spacing w:before="78" w:line="222" w:lineRule="auto"/>
              <w:rPr>
                <w:rFonts w:ascii="FangSong" w:hAnsi="FangSong" w:eastAsia="FangSong" w:cs="FangSong"/>
                <w:sz w:val="24"/>
                <w:szCs w:val="24"/>
              </w:rPr>
            </w:pPr>
            <w:r>
              <w:rPr>
                <w:rFonts w:ascii="FangSong" w:hAnsi="FangSong" w:eastAsia="FangSong" w:cs="FangSong"/>
                <w:sz w:val="24"/>
                <w:szCs w:val="24"/>
                <w:spacing w:val="-4"/>
              </w:rPr>
              <w:t>签名或盖章：</w:t>
            </w:r>
          </w:p>
          <w:p>
            <w:pPr>
              <w:ind w:left="5284"/>
              <w:spacing w:before="32" w:line="176" w:lineRule="auto"/>
              <w:rPr>
                <w:rFonts w:ascii="FangSong" w:hAnsi="FangSong" w:eastAsia="FangSong" w:cs="FangSong"/>
                <w:sz w:val="24"/>
                <w:szCs w:val="24"/>
              </w:rPr>
            </w:pPr>
            <w:r>
              <w:rPr>
                <w:rFonts w:ascii="FangSong" w:hAnsi="FangSong" w:eastAsia="FangSong" w:cs="FangSong"/>
                <w:sz w:val="24"/>
                <w:szCs w:val="24"/>
                <w:spacing w:val="-16"/>
              </w:rPr>
              <w:t>年</w:t>
            </w:r>
            <w:r>
              <w:rPr>
                <w:rFonts w:ascii="FangSong" w:hAnsi="FangSong" w:eastAsia="FangSong" w:cs="FangSong"/>
                <w:sz w:val="24"/>
                <w:szCs w:val="24"/>
                <w:spacing w:val="9"/>
              </w:rPr>
              <w:t xml:space="preserve">   </w:t>
            </w:r>
            <w:r>
              <w:rPr>
                <w:rFonts w:ascii="FangSong" w:hAnsi="FangSong" w:eastAsia="FangSong" w:cs="FangSong"/>
                <w:sz w:val="24"/>
                <w:szCs w:val="24"/>
                <w:spacing w:val="-16"/>
              </w:rPr>
              <w:t>月</w:t>
            </w:r>
            <w:r>
              <w:rPr>
                <w:rFonts w:ascii="FangSong" w:hAnsi="FangSong" w:eastAsia="FangSong" w:cs="FangSong"/>
                <w:sz w:val="24"/>
                <w:szCs w:val="24"/>
                <w:spacing w:val="22"/>
              </w:rPr>
              <w:t xml:space="preserve">   </w:t>
            </w:r>
            <w:r>
              <w:rPr>
                <w:rFonts w:ascii="FangSong" w:hAnsi="FangSong" w:eastAsia="FangSong" w:cs="FangSong"/>
                <w:sz w:val="24"/>
                <w:szCs w:val="24"/>
                <w:spacing w:val="-16"/>
              </w:rPr>
              <w:t>日</w:t>
            </w:r>
          </w:p>
        </w:tc>
      </w:tr>
      <w:tr>
        <w:trPr>
          <w:trHeight w:val="2313" w:hRule="atLeast"/>
        </w:trPr>
        <w:tc>
          <w:tcPr>
            <w:tcW w:w="715"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31"/>
              <w:spacing w:before="78" w:line="224" w:lineRule="auto"/>
              <w:rPr>
                <w:rFonts w:ascii="FangSong" w:hAnsi="FangSong" w:eastAsia="FangSong" w:cs="FangSong"/>
                <w:sz w:val="24"/>
                <w:szCs w:val="24"/>
              </w:rPr>
            </w:pPr>
            <w:r>
              <w:rPr>
                <w:rFonts w:ascii="FangSong" w:hAnsi="FangSong" w:eastAsia="FangSong" w:cs="FangSong"/>
                <w:sz w:val="24"/>
                <w:szCs w:val="24"/>
                <w:spacing w:val="-9"/>
              </w:rPr>
              <w:t>备注</w:t>
            </w:r>
          </w:p>
        </w:tc>
        <w:tc>
          <w:tcPr>
            <w:tcW w:w="7787" w:type="dxa"/>
            <w:vAlign w:val="top"/>
            <w:gridSpan w:val="4"/>
          </w:tcPr>
          <w:p>
            <w:pPr>
              <w:ind w:left="1149"/>
              <w:spacing w:before="89" w:line="220" w:lineRule="auto"/>
              <w:rPr>
                <w:rFonts w:ascii="FangSong" w:hAnsi="FangSong" w:eastAsia="FangSong" w:cs="FangSong"/>
                <w:sz w:val="24"/>
                <w:szCs w:val="24"/>
              </w:rPr>
            </w:pPr>
            <w:r>
              <w:rPr>
                <w:rFonts w:ascii="FangSong" w:hAnsi="FangSong" w:eastAsia="FangSong" w:cs="FangSong"/>
                <w:sz w:val="24"/>
                <w:szCs w:val="24"/>
                <w:spacing w:val="-1"/>
              </w:rPr>
              <w:t>（注明当事人的改正情况并核查后，执法人员签名）</w:t>
            </w:r>
          </w:p>
          <w:p>
            <w:pPr>
              <w:spacing w:before="21"/>
              <w:rPr/>
            </w:pPr>
            <w:r/>
          </w:p>
          <w:tbl>
            <w:tblPr>
              <w:tblStyle w:val="TableNormal"/>
              <w:tblW w:w="6600" w:type="dxa"/>
              <w:tblInd w:w="10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600"/>
            </w:tblGrid>
            <w:tr>
              <w:trPr>
                <w:trHeight w:val="315" w:hRule="atLeast"/>
              </w:trPr>
              <w:tc>
                <w:tcPr>
                  <w:tcW w:w="6600" w:type="dxa"/>
                  <w:vAlign w:val="top"/>
                  <w:tcBorders>
                    <w:bottom w:val="single" w:color="000000" w:sz="4" w:space="0"/>
                    <w:top w:val="single" w:color="000000" w:sz="4" w:space="0"/>
                  </w:tcBorders>
                </w:tcPr>
                <w:p>
                  <w:pPr>
                    <w:rPr>
                      <w:rFonts w:ascii="Arial"/>
                      <w:sz w:val="21"/>
                    </w:rPr>
                  </w:pPr>
                  <w:r/>
                </w:p>
              </w:tc>
            </w:tr>
            <w:tr>
              <w:trPr>
                <w:trHeight w:val="315" w:hRule="atLeast"/>
              </w:trPr>
              <w:tc>
                <w:tcPr>
                  <w:tcW w:w="6600" w:type="dxa"/>
                  <w:vAlign w:val="top"/>
                  <w:tcBorders>
                    <w:bottom w:val="single" w:color="000000" w:sz="4" w:space="0"/>
                    <w:top w:val="single" w:color="000000" w:sz="4" w:space="0"/>
                  </w:tcBorders>
                </w:tcPr>
                <w:p>
                  <w:pPr>
                    <w:rPr>
                      <w:rFonts w:ascii="Arial"/>
                      <w:sz w:val="21"/>
                    </w:rPr>
                  </w:pPr>
                  <w:r/>
                </w:p>
              </w:tc>
            </w:tr>
          </w:tbl>
          <w:p>
            <w:pPr>
              <w:ind w:left="1799"/>
              <w:spacing w:before="81" w:line="224" w:lineRule="auto"/>
              <w:rPr>
                <w:rFonts w:ascii="FangSong" w:hAnsi="FangSong" w:eastAsia="FangSong" w:cs="FangSong"/>
                <w:sz w:val="24"/>
                <w:szCs w:val="24"/>
              </w:rPr>
            </w:pPr>
            <w:r>
              <w:rPr>
                <w:rFonts w:ascii="FangSong" w:hAnsi="FangSong" w:eastAsia="FangSong" w:cs="FangSong"/>
                <w:sz w:val="24"/>
                <w:szCs w:val="24"/>
                <w:spacing w:val="-3"/>
              </w:rPr>
              <w:t>执法人员签名：</w:t>
            </w:r>
          </w:p>
          <w:p>
            <w:pPr>
              <w:ind w:left="4903"/>
              <w:spacing w:before="33" w:line="222" w:lineRule="auto"/>
              <w:tabs>
                <w:tab w:val="left" w:pos="5502"/>
              </w:tabs>
              <w:rPr>
                <w:rFonts w:ascii="FangSong" w:hAnsi="FangSong" w:eastAsia="FangSong" w:cs="FangSong"/>
                <w:sz w:val="24"/>
                <w:szCs w:val="24"/>
              </w:rPr>
            </w:pPr>
            <w:r>
              <w:rPr>
                <w:rFonts w:ascii="FangSong" w:hAnsi="FangSong" w:eastAsia="FangSong" w:cs="FangSong"/>
                <w:sz w:val="24"/>
                <w:szCs w:val="24"/>
                <w:u w:val="single" w:color="auto"/>
              </w:rPr>
              <w:tab/>
            </w:r>
            <w:r>
              <w:rPr>
                <w:rFonts w:ascii="FangSong" w:hAnsi="FangSong" w:eastAsia="FangSong" w:cs="FangSong"/>
                <w:sz w:val="24"/>
                <w:szCs w:val="24"/>
                <w:spacing w:val="-99"/>
              </w:rPr>
              <w:t xml:space="preserve"> </w:t>
            </w:r>
            <w:r>
              <w:rPr>
                <w:rFonts w:ascii="FangSong" w:hAnsi="FangSong" w:eastAsia="FangSong" w:cs="FangSong"/>
                <w:sz w:val="24"/>
                <w:szCs w:val="24"/>
                <w:spacing w:val="-16"/>
              </w:rPr>
              <w:t>年</w:t>
            </w:r>
            <w:r>
              <w:rPr>
                <w:rFonts w:ascii="FangSong" w:hAnsi="FangSong" w:eastAsia="FangSong" w:cs="FangSong"/>
                <w:sz w:val="24"/>
                <w:szCs w:val="24"/>
                <w:u w:val="single" w:color="auto"/>
                <w:spacing w:val="59"/>
              </w:rPr>
              <w:t xml:space="preserve">  </w:t>
            </w:r>
            <w:r>
              <w:rPr>
                <w:rFonts w:ascii="FangSong" w:hAnsi="FangSong" w:eastAsia="FangSong" w:cs="FangSong"/>
                <w:sz w:val="24"/>
                <w:szCs w:val="24"/>
                <w:spacing w:val="-91"/>
              </w:rPr>
              <w:t xml:space="preserve"> </w:t>
            </w:r>
            <w:r>
              <w:rPr>
                <w:rFonts w:ascii="FangSong" w:hAnsi="FangSong" w:eastAsia="FangSong" w:cs="FangSong"/>
                <w:sz w:val="24"/>
                <w:szCs w:val="24"/>
                <w:spacing w:val="-16"/>
              </w:rPr>
              <w:t>月</w:t>
            </w:r>
            <w:r>
              <w:rPr>
                <w:rFonts w:ascii="FangSong" w:hAnsi="FangSong" w:eastAsia="FangSong" w:cs="FangSong"/>
                <w:sz w:val="24"/>
                <w:szCs w:val="24"/>
                <w:u w:val="single" w:color="auto"/>
                <w:spacing w:val="59"/>
              </w:rPr>
              <w:t xml:space="preserve">  </w:t>
            </w:r>
            <w:r>
              <w:rPr>
                <w:rFonts w:ascii="FangSong" w:hAnsi="FangSong" w:eastAsia="FangSong" w:cs="FangSong"/>
                <w:sz w:val="24"/>
                <w:szCs w:val="24"/>
                <w:spacing w:val="-52"/>
              </w:rPr>
              <w:t xml:space="preserve"> </w:t>
            </w:r>
            <w:r>
              <w:rPr>
                <w:rFonts w:ascii="FangSong" w:hAnsi="FangSong" w:eastAsia="FangSong" w:cs="FangSong"/>
                <w:sz w:val="24"/>
                <w:szCs w:val="24"/>
                <w:spacing w:val="-16"/>
              </w:rPr>
              <w:t>日</w:t>
            </w:r>
          </w:p>
        </w:tc>
      </w:tr>
    </w:tbl>
    <w:p>
      <w:pPr>
        <w:pStyle w:val="BodyText"/>
        <w:rPr/>
      </w:pPr>
      <w:r/>
    </w:p>
    <w:p>
      <w:pPr>
        <w:sectPr>
          <w:footerReference w:type="default" r:id="rId451"/>
          <w:pgSz w:w="11905" w:h="16839"/>
          <w:pgMar w:top="1431" w:right="1699" w:bottom="1156" w:left="1698" w:header="0" w:footer="994" w:gutter="0"/>
        </w:sectPr>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3353"/>
        <w:spacing w:before="167" w:line="179" w:lineRule="auto"/>
        <w:outlineLvl w:val="0"/>
        <w:rPr>
          <w:rFonts w:ascii="FZXiaoBiaoSong-B05S" w:hAnsi="FZXiaoBiaoSong-B05S" w:eastAsia="FZXiaoBiaoSong-B05S" w:cs="FZXiaoBiaoSong-B05S"/>
          <w:sz w:val="43"/>
          <w:szCs w:val="43"/>
        </w:rPr>
      </w:pPr>
      <w:bookmarkStart w:name="bookmark26" w:id="31"/>
      <w:bookmarkEnd w:id="31"/>
      <w:bookmarkStart w:name="bookmark13" w:id="32"/>
      <w:bookmarkEnd w:id="32"/>
      <w:r>
        <w:rPr>
          <w:rFonts w:ascii="FZXiaoBiaoSong-B05S" w:hAnsi="FZXiaoBiaoSong-B05S" w:eastAsia="FZXiaoBiaoSong-B05S" w:cs="FZXiaoBiaoSong-B05S"/>
          <w:sz w:val="43"/>
          <w:szCs w:val="43"/>
          <w:spacing w:val="9"/>
        </w:rPr>
        <w:t>河北省生态环境不予行政强制事项清单</w:t>
      </w:r>
    </w:p>
    <w:tbl>
      <w:tblPr>
        <w:tblStyle w:val="TableNormal"/>
        <w:tblW w:w="1417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1"/>
        <w:gridCol w:w="1728"/>
        <w:gridCol w:w="3746"/>
        <w:gridCol w:w="3439"/>
        <w:gridCol w:w="2399"/>
        <w:gridCol w:w="2443"/>
      </w:tblGrid>
      <w:tr>
        <w:trPr>
          <w:trHeight w:val="655" w:hRule="atLeast"/>
        </w:trPr>
        <w:tc>
          <w:tcPr>
            <w:tcW w:w="421" w:type="dxa"/>
            <w:vAlign w:val="top"/>
            <w:textDirection w:val="tbRlV"/>
          </w:tcPr>
          <w:p>
            <w:pPr>
              <w:ind w:left="67"/>
              <w:spacing w:before="109" w:line="217" w:lineRule="auto"/>
              <w:rPr>
                <w:rFonts w:ascii="SimHei" w:hAnsi="SimHei" w:eastAsia="SimHei" w:cs="SimHei"/>
                <w:sz w:val="19"/>
                <w:szCs w:val="19"/>
              </w:rPr>
            </w:pPr>
            <w:r>
              <w:rPr>
                <w:rFonts w:ascii="SimHei" w:hAnsi="SimHei" w:eastAsia="SimHei" w:cs="SimHei"/>
                <w:sz w:val="19"/>
                <w:szCs w:val="19"/>
                <w:b/>
                <w:bCs/>
                <w:spacing w:val="9"/>
              </w:rPr>
              <w:t>序</w:t>
            </w:r>
            <w:r>
              <w:rPr>
                <w:rFonts w:ascii="SimHei" w:hAnsi="SimHei" w:eastAsia="SimHei" w:cs="SimHei"/>
                <w:sz w:val="19"/>
                <w:szCs w:val="19"/>
                <w:spacing w:val="27"/>
                <w:w w:val="101"/>
              </w:rPr>
              <w:t xml:space="preserve"> </w:t>
            </w:r>
            <w:r>
              <w:rPr>
                <w:rFonts w:ascii="SimHei" w:hAnsi="SimHei" w:eastAsia="SimHei" w:cs="SimHei"/>
                <w:sz w:val="19"/>
                <w:szCs w:val="19"/>
                <w:b/>
                <w:bCs/>
                <w:spacing w:val="9"/>
              </w:rPr>
              <w:t>号</w:t>
            </w:r>
          </w:p>
        </w:tc>
        <w:tc>
          <w:tcPr>
            <w:tcW w:w="1728" w:type="dxa"/>
            <w:vAlign w:val="top"/>
          </w:tcPr>
          <w:p>
            <w:pPr>
              <w:ind w:left="471"/>
              <w:spacing w:before="228" w:line="230" w:lineRule="auto"/>
              <w:rPr>
                <w:rFonts w:ascii="SimHei" w:hAnsi="SimHei" w:eastAsia="SimHei" w:cs="SimHei"/>
                <w:sz w:val="19"/>
                <w:szCs w:val="19"/>
              </w:rPr>
            </w:pPr>
            <w:r>
              <w:rPr>
                <w:rFonts w:ascii="SimHei" w:hAnsi="SimHei" w:eastAsia="SimHei" w:cs="SimHei"/>
                <w:sz w:val="19"/>
                <w:szCs w:val="19"/>
                <w:b/>
                <w:bCs/>
                <w:spacing w:val="5"/>
              </w:rPr>
              <w:t>强制事项</w:t>
            </w:r>
          </w:p>
        </w:tc>
        <w:tc>
          <w:tcPr>
            <w:tcW w:w="3746" w:type="dxa"/>
            <w:vAlign w:val="top"/>
          </w:tcPr>
          <w:p>
            <w:pPr>
              <w:ind w:left="1327"/>
              <w:spacing w:before="228" w:line="230" w:lineRule="auto"/>
              <w:rPr>
                <w:rFonts w:ascii="SimHei" w:hAnsi="SimHei" w:eastAsia="SimHei" w:cs="SimHei"/>
                <w:sz w:val="19"/>
                <w:szCs w:val="19"/>
              </w:rPr>
            </w:pPr>
            <w:r>
              <w:rPr>
                <w:rFonts w:ascii="SimHei" w:hAnsi="SimHei" w:eastAsia="SimHei" w:cs="SimHei"/>
                <w:sz w:val="19"/>
                <w:szCs w:val="19"/>
                <w:b/>
                <w:bCs/>
                <w:spacing w:val="-1"/>
              </w:rPr>
              <w:t>法</w:t>
            </w:r>
            <w:r>
              <w:rPr>
                <w:rFonts w:ascii="SimHei" w:hAnsi="SimHei" w:eastAsia="SimHei" w:cs="SimHei"/>
                <w:sz w:val="19"/>
                <w:szCs w:val="19"/>
                <w:spacing w:val="12"/>
              </w:rPr>
              <w:t xml:space="preserve"> </w:t>
            </w:r>
            <w:r>
              <w:rPr>
                <w:rFonts w:ascii="SimHei" w:hAnsi="SimHei" w:eastAsia="SimHei" w:cs="SimHei"/>
                <w:sz w:val="19"/>
                <w:szCs w:val="19"/>
                <w:b/>
                <w:bCs/>
                <w:spacing w:val="-1"/>
              </w:rPr>
              <w:t>定</w:t>
            </w:r>
            <w:r>
              <w:rPr>
                <w:rFonts w:ascii="SimHei" w:hAnsi="SimHei" w:eastAsia="SimHei" w:cs="SimHei"/>
                <w:sz w:val="19"/>
                <w:szCs w:val="19"/>
                <w:spacing w:val="15"/>
              </w:rPr>
              <w:t xml:space="preserve"> </w:t>
            </w:r>
            <w:r>
              <w:rPr>
                <w:rFonts w:ascii="SimHei" w:hAnsi="SimHei" w:eastAsia="SimHei" w:cs="SimHei"/>
                <w:sz w:val="19"/>
                <w:szCs w:val="19"/>
                <w:b/>
                <w:bCs/>
                <w:spacing w:val="-1"/>
              </w:rPr>
              <w:t>依</w:t>
            </w:r>
            <w:r>
              <w:rPr>
                <w:rFonts w:ascii="SimHei" w:hAnsi="SimHei" w:eastAsia="SimHei" w:cs="SimHei"/>
                <w:sz w:val="19"/>
                <w:szCs w:val="19"/>
                <w:spacing w:val="15"/>
              </w:rPr>
              <w:t xml:space="preserve"> </w:t>
            </w:r>
            <w:r>
              <w:rPr>
                <w:rFonts w:ascii="SimHei" w:hAnsi="SimHei" w:eastAsia="SimHei" w:cs="SimHei"/>
                <w:sz w:val="19"/>
                <w:szCs w:val="19"/>
                <w:b/>
                <w:bCs/>
                <w:spacing w:val="-1"/>
              </w:rPr>
              <w:t>据</w:t>
            </w:r>
          </w:p>
        </w:tc>
        <w:tc>
          <w:tcPr>
            <w:tcW w:w="3439" w:type="dxa"/>
            <w:vAlign w:val="top"/>
          </w:tcPr>
          <w:p>
            <w:pPr>
              <w:ind w:left="1325"/>
              <w:spacing w:before="227" w:line="232" w:lineRule="auto"/>
              <w:rPr>
                <w:rFonts w:ascii="SimHei" w:hAnsi="SimHei" w:eastAsia="SimHei" w:cs="SimHei"/>
                <w:sz w:val="19"/>
                <w:szCs w:val="19"/>
              </w:rPr>
            </w:pPr>
            <w:r>
              <w:rPr>
                <w:rFonts w:ascii="SimHei" w:hAnsi="SimHei" w:eastAsia="SimHei" w:cs="SimHei"/>
                <w:sz w:val="19"/>
                <w:szCs w:val="19"/>
                <w:b/>
                <w:bCs/>
                <w:spacing w:val="5"/>
              </w:rPr>
              <w:t>适用条件</w:t>
            </w:r>
          </w:p>
        </w:tc>
        <w:tc>
          <w:tcPr>
            <w:tcW w:w="2399" w:type="dxa"/>
            <w:vAlign w:val="top"/>
          </w:tcPr>
          <w:p>
            <w:pPr>
              <w:ind w:left="810"/>
              <w:spacing w:before="227" w:line="230" w:lineRule="auto"/>
              <w:rPr>
                <w:rFonts w:ascii="SimHei" w:hAnsi="SimHei" w:eastAsia="SimHei" w:cs="SimHei"/>
                <w:sz w:val="19"/>
                <w:szCs w:val="19"/>
              </w:rPr>
            </w:pPr>
            <w:r>
              <w:rPr>
                <w:rFonts w:ascii="SimHei" w:hAnsi="SimHei" w:eastAsia="SimHei" w:cs="SimHei"/>
                <w:sz w:val="19"/>
                <w:szCs w:val="19"/>
                <w:b/>
                <w:bCs/>
                <w:spacing w:val="5"/>
              </w:rPr>
              <w:t>强制方式</w:t>
            </w:r>
          </w:p>
        </w:tc>
        <w:tc>
          <w:tcPr>
            <w:tcW w:w="2443" w:type="dxa"/>
            <w:vAlign w:val="top"/>
          </w:tcPr>
          <w:p>
            <w:pPr>
              <w:ind w:left="830"/>
              <w:spacing w:before="227" w:line="233" w:lineRule="auto"/>
              <w:rPr>
                <w:rFonts w:ascii="SimHei" w:hAnsi="SimHei" w:eastAsia="SimHei" w:cs="SimHei"/>
                <w:sz w:val="19"/>
                <w:szCs w:val="19"/>
              </w:rPr>
            </w:pPr>
            <w:r>
              <w:rPr>
                <w:rFonts w:ascii="SimHei" w:hAnsi="SimHei" w:eastAsia="SimHei" w:cs="SimHei"/>
                <w:sz w:val="19"/>
                <w:szCs w:val="19"/>
                <w:b/>
                <w:bCs/>
                <w:spacing w:val="5"/>
              </w:rPr>
              <w:t>强制权限</w:t>
            </w:r>
          </w:p>
        </w:tc>
      </w:tr>
      <w:tr>
        <w:trPr>
          <w:trHeight w:val="3232" w:hRule="atLeast"/>
        </w:trPr>
        <w:tc>
          <w:tcPr>
            <w:tcW w:w="421"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79"/>
              <w:spacing w:before="61" w:line="190" w:lineRule="auto"/>
              <w:rPr>
                <w:sz w:val="19"/>
                <w:szCs w:val="19"/>
              </w:rPr>
            </w:pPr>
            <w:r>
              <w:rPr>
                <w:sz w:val="19"/>
                <w:szCs w:val="19"/>
              </w:rPr>
              <w:t>1</w:t>
            </w:r>
          </w:p>
        </w:tc>
        <w:tc>
          <w:tcPr>
            <w:tcW w:w="1728" w:type="dxa"/>
            <w:vAlign w:val="top"/>
          </w:tcPr>
          <w:p>
            <w:pPr>
              <w:spacing w:line="322" w:lineRule="auto"/>
              <w:rPr>
                <w:rFonts w:ascii="Arial"/>
                <w:sz w:val="21"/>
              </w:rPr>
            </w:pPr>
            <w:r/>
          </w:p>
          <w:p>
            <w:pPr>
              <w:spacing w:line="323" w:lineRule="auto"/>
              <w:rPr>
                <w:rFonts w:ascii="Arial"/>
                <w:sz w:val="21"/>
              </w:rPr>
            </w:pPr>
            <w:r/>
          </w:p>
          <w:p>
            <w:pPr>
              <w:pStyle w:val="TableText"/>
              <w:ind w:left="110" w:right="54"/>
              <w:spacing w:before="61" w:line="309" w:lineRule="auto"/>
              <w:rPr>
                <w:sz w:val="19"/>
                <w:szCs w:val="19"/>
              </w:rPr>
            </w:pPr>
            <w:r>
              <w:rPr>
                <w:sz w:val="19"/>
                <w:szCs w:val="19"/>
                <w:spacing w:val="8"/>
              </w:rPr>
              <w:t>对违法收集、贮</w:t>
            </w:r>
            <w:r>
              <w:rPr>
                <w:sz w:val="19"/>
                <w:szCs w:val="19"/>
                <w:spacing w:val="2"/>
              </w:rPr>
              <w:t xml:space="preserve">  </w:t>
            </w:r>
            <w:r>
              <w:rPr>
                <w:sz w:val="19"/>
                <w:szCs w:val="19"/>
                <w:spacing w:val="4"/>
              </w:rPr>
              <w:t>存、运输、利用、 </w:t>
            </w:r>
            <w:r>
              <w:rPr>
                <w:sz w:val="19"/>
                <w:szCs w:val="19"/>
                <w:spacing w:val="8"/>
              </w:rPr>
              <w:t>处置的固体废物</w:t>
            </w:r>
            <w:r>
              <w:rPr>
                <w:sz w:val="19"/>
                <w:szCs w:val="19"/>
                <w:spacing w:val="2"/>
              </w:rPr>
              <w:t xml:space="preserve">  </w:t>
            </w:r>
            <w:r>
              <w:rPr>
                <w:sz w:val="19"/>
                <w:szCs w:val="19"/>
                <w:spacing w:val="-2"/>
              </w:rPr>
              <w:t>及设施、设备、场</w:t>
            </w:r>
            <w:r>
              <w:rPr>
                <w:sz w:val="19"/>
                <w:szCs w:val="19"/>
              </w:rPr>
              <w:t xml:space="preserve"> </w:t>
            </w:r>
            <w:r>
              <w:rPr>
                <w:sz w:val="19"/>
                <w:szCs w:val="19"/>
                <w:spacing w:val="-2"/>
              </w:rPr>
              <w:t>所、工具、物品的</w:t>
            </w:r>
            <w:r>
              <w:rPr>
                <w:sz w:val="19"/>
                <w:szCs w:val="19"/>
                <w:spacing w:val="2"/>
              </w:rPr>
              <w:t xml:space="preserve"> </w:t>
            </w:r>
            <w:r>
              <w:rPr>
                <w:sz w:val="19"/>
                <w:szCs w:val="19"/>
                <w:spacing w:val="8"/>
              </w:rPr>
              <w:t>行政强制</w:t>
            </w:r>
          </w:p>
        </w:tc>
        <w:tc>
          <w:tcPr>
            <w:tcW w:w="3746" w:type="dxa"/>
            <w:vAlign w:val="top"/>
          </w:tcPr>
          <w:p>
            <w:pPr>
              <w:pStyle w:val="TableText"/>
              <w:ind w:left="111" w:right="39" w:firstLine="6"/>
              <w:spacing w:before="62" w:line="307" w:lineRule="auto"/>
              <w:tabs>
                <w:tab w:val="left" w:pos="3700"/>
              </w:tabs>
              <w:jc w:val="both"/>
              <w:rPr>
                <w:sz w:val="19"/>
                <w:szCs w:val="19"/>
              </w:rPr>
            </w:pPr>
            <w:r>
              <w:rPr>
                <w:sz w:val="19"/>
                <w:szCs w:val="19"/>
                <w:spacing w:val="9"/>
              </w:rPr>
              <w:t>《中华人民共和国固体废物污染环境防</w:t>
            </w:r>
            <w:r>
              <w:rPr>
                <w:sz w:val="19"/>
                <w:szCs w:val="19"/>
              </w:rPr>
              <w:tab/>
            </w:r>
            <w:r>
              <w:rPr>
                <w:sz w:val="19"/>
                <w:szCs w:val="19"/>
              </w:rPr>
              <w:t xml:space="preserve"> </w:t>
            </w:r>
            <w:r>
              <w:rPr>
                <w:sz w:val="19"/>
                <w:szCs w:val="19"/>
                <w:spacing w:val="-1"/>
              </w:rPr>
              <w:t>治法》（2020</w:t>
            </w:r>
            <w:r>
              <w:rPr>
                <w:sz w:val="19"/>
                <w:szCs w:val="19"/>
                <w:spacing w:val="-22"/>
              </w:rPr>
              <w:t xml:space="preserve"> </w:t>
            </w:r>
            <w:r>
              <w:rPr>
                <w:sz w:val="19"/>
                <w:szCs w:val="19"/>
                <w:spacing w:val="-1"/>
              </w:rPr>
              <w:t>年</w:t>
            </w:r>
            <w:r>
              <w:rPr>
                <w:sz w:val="19"/>
                <w:szCs w:val="19"/>
                <w:spacing w:val="-38"/>
              </w:rPr>
              <w:t xml:space="preserve"> </w:t>
            </w:r>
            <w:r>
              <w:rPr>
                <w:sz w:val="19"/>
                <w:szCs w:val="19"/>
                <w:spacing w:val="-1"/>
              </w:rPr>
              <w:t>4</w:t>
            </w:r>
            <w:r>
              <w:rPr>
                <w:sz w:val="19"/>
                <w:szCs w:val="19"/>
                <w:spacing w:val="-31"/>
              </w:rPr>
              <w:t xml:space="preserve"> </w:t>
            </w:r>
            <w:r>
              <w:rPr>
                <w:sz w:val="19"/>
                <w:szCs w:val="19"/>
                <w:spacing w:val="-1"/>
              </w:rPr>
              <w:t>月</w:t>
            </w:r>
            <w:r>
              <w:rPr>
                <w:sz w:val="19"/>
                <w:szCs w:val="19"/>
                <w:spacing w:val="-34"/>
              </w:rPr>
              <w:t xml:space="preserve"> </w:t>
            </w:r>
            <w:r>
              <w:rPr>
                <w:sz w:val="19"/>
                <w:szCs w:val="19"/>
                <w:spacing w:val="-1"/>
              </w:rPr>
              <w:t>29 日修订，2020</w:t>
            </w:r>
            <w:r>
              <w:rPr>
                <w:sz w:val="19"/>
                <w:szCs w:val="19"/>
                <w:spacing w:val="-37"/>
              </w:rPr>
              <w:t xml:space="preserve"> </w:t>
            </w:r>
            <w:r>
              <w:rPr>
                <w:sz w:val="19"/>
                <w:szCs w:val="19"/>
                <w:spacing w:val="-1"/>
              </w:rPr>
              <w:t>年</w:t>
            </w:r>
            <w:r>
              <w:rPr>
                <w:sz w:val="19"/>
                <w:szCs w:val="19"/>
              </w:rPr>
              <w:t xml:space="preserve"> </w:t>
            </w:r>
            <w:r>
              <w:rPr>
                <w:sz w:val="19"/>
                <w:szCs w:val="19"/>
                <w:spacing w:val="3"/>
              </w:rPr>
              <w:t>9</w:t>
            </w:r>
            <w:r>
              <w:rPr>
                <w:sz w:val="19"/>
                <w:szCs w:val="19"/>
                <w:spacing w:val="-17"/>
              </w:rPr>
              <w:t xml:space="preserve"> </w:t>
            </w:r>
            <w:r>
              <w:rPr>
                <w:sz w:val="19"/>
                <w:szCs w:val="19"/>
                <w:spacing w:val="3"/>
              </w:rPr>
              <w:t>月</w:t>
            </w:r>
            <w:r>
              <w:rPr>
                <w:sz w:val="19"/>
                <w:szCs w:val="19"/>
                <w:spacing w:val="-22"/>
              </w:rPr>
              <w:t xml:space="preserve"> </w:t>
            </w:r>
            <w:r>
              <w:rPr>
                <w:sz w:val="19"/>
                <w:szCs w:val="19"/>
                <w:spacing w:val="3"/>
              </w:rPr>
              <w:t>1 日实施）第二十七条 有下列情形</w:t>
            </w:r>
            <w:r>
              <w:rPr>
                <w:sz w:val="19"/>
                <w:szCs w:val="19"/>
              </w:rPr>
              <w:t xml:space="preserve">  </w:t>
            </w:r>
            <w:r>
              <w:rPr>
                <w:sz w:val="19"/>
                <w:szCs w:val="19"/>
                <w:spacing w:val="5"/>
              </w:rPr>
              <w:t>之一，生态环境主管部门和其他负有固体</w:t>
            </w:r>
            <w:r>
              <w:rPr>
                <w:sz w:val="19"/>
                <w:szCs w:val="19"/>
                <w:spacing w:val="12"/>
              </w:rPr>
              <w:t xml:space="preserve"> </w:t>
            </w:r>
            <w:r>
              <w:rPr>
                <w:sz w:val="19"/>
                <w:szCs w:val="19"/>
                <w:spacing w:val="9"/>
              </w:rPr>
              <w:t>废物污染环境防治监督管理职责的部门，</w:t>
            </w:r>
            <w:r>
              <w:rPr>
                <w:sz w:val="19"/>
                <w:szCs w:val="19"/>
                <w:spacing w:val="6"/>
              </w:rPr>
              <w:t xml:space="preserve"> </w:t>
            </w:r>
            <w:r>
              <w:rPr>
                <w:sz w:val="19"/>
                <w:szCs w:val="19"/>
                <w:spacing w:val="5"/>
              </w:rPr>
              <w:t>可以对违法收集、贮存、运输、利用、处</w:t>
            </w:r>
            <w:r>
              <w:rPr>
                <w:sz w:val="19"/>
                <w:szCs w:val="19"/>
                <w:spacing w:val="10"/>
              </w:rPr>
              <w:t xml:space="preserve"> </w:t>
            </w:r>
            <w:r>
              <w:rPr>
                <w:sz w:val="19"/>
                <w:szCs w:val="19"/>
                <w:spacing w:val="-2"/>
              </w:rPr>
              <w:t>置的固体废物及设施、设备、场所、工具、</w:t>
            </w:r>
            <w:r>
              <w:rPr>
                <w:sz w:val="19"/>
                <w:szCs w:val="19"/>
                <w:spacing w:val="16"/>
              </w:rPr>
              <w:t xml:space="preserve"> </w:t>
            </w:r>
            <w:r>
              <w:rPr>
                <w:sz w:val="19"/>
                <w:szCs w:val="19"/>
                <w:spacing w:val="8"/>
              </w:rPr>
              <w:t>物品予以查封、扣押</w:t>
            </w:r>
            <w:r>
              <w:rPr>
                <w:sz w:val="19"/>
                <w:szCs w:val="19"/>
                <w:spacing w:val="-14"/>
              </w:rPr>
              <w:t>：（</w:t>
            </w:r>
            <w:r>
              <w:rPr>
                <w:sz w:val="19"/>
                <w:szCs w:val="19"/>
                <w:spacing w:val="8"/>
              </w:rPr>
              <w:t>一）可能造成证</w:t>
            </w:r>
            <w:r>
              <w:rPr>
                <w:sz w:val="19"/>
                <w:szCs w:val="19"/>
              </w:rPr>
              <w:t xml:space="preserve"> </w:t>
            </w:r>
            <w:r>
              <w:rPr>
                <w:sz w:val="19"/>
                <w:szCs w:val="19"/>
                <w:spacing w:val="10"/>
              </w:rPr>
              <w:t>据灭失、被隐匿或者非法转移的</w:t>
            </w:r>
            <w:r>
              <w:rPr>
                <w:sz w:val="19"/>
                <w:szCs w:val="19"/>
                <w:spacing w:val="-4"/>
              </w:rPr>
              <w:t>；（</w:t>
            </w:r>
            <w:r>
              <w:rPr>
                <w:sz w:val="19"/>
                <w:szCs w:val="19"/>
                <w:spacing w:val="10"/>
              </w:rPr>
              <w:t>二）</w:t>
            </w:r>
            <w:r>
              <w:rPr>
                <w:sz w:val="19"/>
                <w:szCs w:val="19"/>
              </w:rPr>
              <w:t xml:space="preserve"> </w:t>
            </w:r>
            <w:r>
              <w:rPr>
                <w:sz w:val="19"/>
                <w:szCs w:val="19"/>
                <w:spacing w:val="8"/>
              </w:rPr>
              <w:t>造成或者可能造成严重环境污染的。</w:t>
            </w:r>
          </w:p>
        </w:tc>
        <w:tc>
          <w:tcPr>
            <w:tcW w:w="3439" w:type="dxa"/>
            <w:vAlign w:val="top"/>
          </w:tcPr>
          <w:p>
            <w:pPr>
              <w:rPr>
                <w:rFonts w:ascii="Arial"/>
                <w:sz w:val="21"/>
              </w:rPr>
            </w:pPr>
            <w:r/>
          </w:p>
          <w:p>
            <w:pPr>
              <w:spacing w:line="241" w:lineRule="auto"/>
              <w:rPr>
                <w:rFonts w:ascii="Arial"/>
                <w:sz w:val="21"/>
              </w:rPr>
            </w:pPr>
            <w:r/>
          </w:p>
          <w:p>
            <w:pPr>
              <w:pStyle w:val="TableText"/>
              <w:ind w:left="115" w:right="128"/>
              <w:spacing w:before="62" w:line="310" w:lineRule="auto"/>
              <w:jc w:val="both"/>
              <w:rPr>
                <w:sz w:val="19"/>
                <w:szCs w:val="19"/>
              </w:rPr>
            </w:pPr>
            <w:r>
              <w:rPr>
                <w:sz w:val="19"/>
                <w:szCs w:val="19"/>
                <w:spacing w:val="9"/>
              </w:rPr>
              <w:t>可能但尚未造成环境严重污染，限期</w:t>
            </w:r>
            <w:r>
              <w:rPr>
                <w:sz w:val="19"/>
                <w:szCs w:val="19"/>
                <w:spacing w:val="4"/>
              </w:rPr>
              <w:t xml:space="preserve"> </w:t>
            </w:r>
            <w:r>
              <w:rPr>
                <w:sz w:val="19"/>
                <w:szCs w:val="19"/>
                <w:spacing w:val="9"/>
              </w:rPr>
              <w:t>内及时改正违法行为，且符合以下情</w:t>
            </w:r>
            <w:r>
              <w:rPr>
                <w:sz w:val="19"/>
                <w:szCs w:val="19"/>
                <w:spacing w:val="4"/>
              </w:rPr>
              <w:t xml:space="preserve"> </w:t>
            </w:r>
            <w:r>
              <w:rPr>
                <w:sz w:val="19"/>
                <w:szCs w:val="19"/>
                <w:spacing w:val="5"/>
              </w:rPr>
              <w:t>形之一的，不予实施查封、扣押:</w:t>
            </w:r>
            <w:r>
              <w:rPr>
                <w:sz w:val="19"/>
                <w:szCs w:val="19"/>
                <w:spacing w:val="-38"/>
              </w:rPr>
              <w:t xml:space="preserve"> </w:t>
            </w:r>
            <w:r>
              <w:rPr>
                <w:sz w:val="19"/>
                <w:szCs w:val="19"/>
                <w:spacing w:val="5"/>
              </w:rPr>
              <w:t>(1)</w:t>
            </w:r>
            <w:r>
              <w:rPr>
                <w:sz w:val="19"/>
                <w:szCs w:val="19"/>
              </w:rPr>
              <w:t xml:space="preserve"> </w:t>
            </w:r>
            <w:r>
              <w:rPr>
                <w:sz w:val="19"/>
                <w:szCs w:val="19"/>
                <w:spacing w:val="9"/>
              </w:rPr>
              <w:t>涉及固体废物属于危险废物数量小于</w:t>
            </w:r>
            <w:r>
              <w:rPr>
                <w:sz w:val="19"/>
                <w:szCs w:val="19"/>
                <w:spacing w:val="4"/>
              </w:rPr>
              <w:t xml:space="preserve"> </w:t>
            </w:r>
            <w:r>
              <w:rPr>
                <w:sz w:val="19"/>
                <w:szCs w:val="19"/>
                <w:spacing w:val="7"/>
              </w:rPr>
              <w:t>0.1</w:t>
            </w:r>
            <w:r>
              <w:rPr>
                <w:sz w:val="19"/>
                <w:szCs w:val="19"/>
                <w:spacing w:val="-21"/>
              </w:rPr>
              <w:t xml:space="preserve"> </w:t>
            </w:r>
            <w:r>
              <w:rPr>
                <w:sz w:val="19"/>
                <w:szCs w:val="19"/>
                <w:spacing w:val="7"/>
              </w:rPr>
              <w:t>吨或者危险废物独立包装小于等</w:t>
            </w:r>
            <w:r>
              <w:rPr>
                <w:sz w:val="19"/>
                <w:szCs w:val="19"/>
              </w:rPr>
              <w:t xml:space="preserve"> </w:t>
            </w:r>
            <w:r>
              <w:rPr>
                <w:sz w:val="19"/>
                <w:szCs w:val="19"/>
                <w:spacing w:val="2"/>
              </w:rPr>
              <w:t>于</w:t>
            </w:r>
            <w:r>
              <w:rPr>
                <w:sz w:val="19"/>
                <w:szCs w:val="19"/>
                <w:spacing w:val="-31"/>
              </w:rPr>
              <w:t xml:space="preserve"> </w:t>
            </w:r>
            <w:r>
              <w:rPr>
                <w:sz w:val="19"/>
                <w:szCs w:val="19"/>
                <w:spacing w:val="2"/>
              </w:rPr>
              <w:t>2</w:t>
            </w:r>
            <w:r>
              <w:rPr>
                <w:sz w:val="19"/>
                <w:szCs w:val="19"/>
                <w:spacing w:val="-38"/>
              </w:rPr>
              <w:t xml:space="preserve"> </w:t>
            </w:r>
            <w:r>
              <w:rPr>
                <w:sz w:val="19"/>
                <w:szCs w:val="19"/>
                <w:spacing w:val="2"/>
              </w:rPr>
              <w:t>个的</w:t>
            </w:r>
            <w:r>
              <w:rPr>
                <w:sz w:val="19"/>
                <w:szCs w:val="19"/>
                <w:spacing w:val="-53"/>
              </w:rPr>
              <w:t xml:space="preserve"> </w:t>
            </w:r>
            <w:r>
              <w:rPr>
                <w:sz w:val="19"/>
                <w:szCs w:val="19"/>
                <w:spacing w:val="2"/>
              </w:rPr>
              <w:t>;</w:t>
            </w:r>
            <w:r>
              <w:rPr>
                <w:sz w:val="19"/>
                <w:szCs w:val="19"/>
                <w:spacing w:val="-51"/>
              </w:rPr>
              <w:t xml:space="preserve"> </w:t>
            </w:r>
            <w:r>
              <w:rPr>
                <w:sz w:val="19"/>
                <w:szCs w:val="19"/>
                <w:spacing w:val="2"/>
              </w:rPr>
              <w:t>(2)涉及固体废物属于一般</w:t>
            </w:r>
            <w:r>
              <w:rPr>
                <w:sz w:val="19"/>
                <w:szCs w:val="19"/>
              </w:rPr>
              <w:t xml:space="preserve"> </w:t>
            </w:r>
            <w:r>
              <w:rPr>
                <w:sz w:val="19"/>
                <w:szCs w:val="19"/>
                <w:spacing w:val="6"/>
              </w:rPr>
              <w:t>工业固体废物且涉及量</w:t>
            </w:r>
            <w:r>
              <w:rPr>
                <w:sz w:val="19"/>
                <w:szCs w:val="19"/>
                <w:spacing w:val="-26"/>
              </w:rPr>
              <w:t xml:space="preserve"> </w:t>
            </w:r>
            <w:r>
              <w:rPr>
                <w:sz w:val="19"/>
                <w:szCs w:val="19"/>
                <w:spacing w:val="6"/>
              </w:rPr>
              <w:t>5</w:t>
            </w:r>
            <w:r>
              <w:rPr>
                <w:sz w:val="19"/>
                <w:szCs w:val="19"/>
                <w:spacing w:val="-28"/>
              </w:rPr>
              <w:t xml:space="preserve"> </w:t>
            </w:r>
            <w:r>
              <w:rPr>
                <w:sz w:val="19"/>
                <w:szCs w:val="19"/>
                <w:spacing w:val="6"/>
              </w:rPr>
              <w:t>吨以下的。</w:t>
            </w:r>
          </w:p>
        </w:tc>
        <w:tc>
          <w:tcPr>
            <w:tcW w:w="2399"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709"/>
              <w:spacing w:before="62" w:line="229" w:lineRule="auto"/>
              <w:rPr>
                <w:sz w:val="19"/>
                <w:szCs w:val="19"/>
              </w:rPr>
            </w:pPr>
            <w:r>
              <w:rPr>
                <w:sz w:val="19"/>
                <w:szCs w:val="19"/>
                <w:spacing w:val="7"/>
              </w:rPr>
              <w:t>查封、扣押</w:t>
            </w:r>
          </w:p>
        </w:tc>
        <w:tc>
          <w:tcPr>
            <w:tcW w:w="244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28"/>
              <w:spacing w:before="61" w:line="225" w:lineRule="auto"/>
              <w:rPr>
                <w:sz w:val="19"/>
                <w:szCs w:val="19"/>
              </w:rPr>
            </w:pPr>
            <w:r>
              <w:rPr>
                <w:sz w:val="19"/>
                <w:szCs w:val="19"/>
                <w:spacing w:val="7"/>
              </w:rPr>
              <w:t>省级,市级,县级</w:t>
            </w:r>
          </w:p>
        </w:tc>
      </w:tr>
      <w:tr>
        <w:trPr>
          <w:trHeight w:val="2913" w:hRule="atLeast"/>
        </w:trPr>
        <w:tc>
          <w:tcPr>
            <w:tcW w:w="421"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67"/>
              <w:spacing w:before="62" w:line="189" w:lineRule="auto"/>
              <w:rPr>
                <w:sz w:val="19"/>
                <w:szCs w:val="19"/>
              </w:rPr>
            </w:pPr>
            <w:r>
              <w:rPr>
                <w:sz w:val="19"/>
                <w:szCs w:val="19"/>
              </w:rPr>
              <w:t>2</w:t>
            </w:r>
          </w:p>
        </w:tc>
        <w:tc>
          <w:tcPr>
            <w:tcW w:w="1728" w:type="dxa"/>
            <w:vAlign w:val="top"/>
          </w:tcPr>
          <w:p>
            <w:pPr>
              <w:spacing w:line="324" w:lineRule="auto"/>
              <w:rPr>
                <w:rFonts w:ascii="Arial"/>
                <w:sz w:val="21"/>
              </w:rPr>
            </w:pPr>
            <w:r/>
          </w:p>
          <w:p>
            <w:pPr>
              <w:pStyle w:val="TableText"/>
              <w:ind w:left="110" w:right="107"/>
              <w:spacing w:before="62" w:line="310" w:lineRule="auto"/>
              <w:rPr>
                <w:sz w:val="19"/>
                <w:szCs w:val="19"/>
              </w:rPr>
            </w:pPr>
            <w:r>
              <w:rPr>
                <w:sz w:val="19"/>
                <w:szCs w:val="19"/>
                <w:spacing w:val="8"/>
              </w:rPr>
              <w:t>对违法排放大气</w:t>
            </w:r>
            <w:r>
              <w:rPr>
                <w:sz w:val="19"/>
                <w:szCs w:val="19"/>
                <w:spacing w:val="2"/>
              </w:rPr>
              <w:t xml:space="preserve">  </w:t>
            </w:r>
            <w:r>
              <w:rPr>
                <w:sz w:val="19"/>
                <w:szCs w:val="19"/>
                <w:spacing w:val="-2"/>
              </w:rPr>
              <w:t>污染物，造成或者</w:t>
            </w:r>
            <w:r>
              <w:rPr>
                <w:sz w:val="19"/>
                <w:szCs w:val="19"/>
              </w:rPr>
              <w:t xml:space="preserve"> </w:t>
            </w:r>
            <w:r>
              <w:rPr>
                <w:sz w:val="19"/>
                <w:szCs w:val="19"/>
                <w:spacing w:val="8"/>
              </w:rPr>
              <w:t>可能造成严重大</w:t>
            </w:r>
            <w:r>
              <w:rPr>
                <w:sz w:val="19"/>
                <w:szCs w:val="19"/>
                <w:spacing w:val="2"/>
              </w:rPr>
              <w:t xml:space="preserve">  </w:t>
            </w:r>
            <w:r>
              <w:rPr>
                <w:sz w:val="19"/>
                <w:szCs w:val="19"/>
                <w:spacing w:val="-2"/>
              </w:rPr>
              <w:t>气污染，或者有关</w:t>
            </w:r>
            <w:r>
              <w:rPr>
                <w:sz w:val="19"/>
                <w:szCs w:val="19"/>
              </w:rPr>
              <w:t xml:space="preserve"> </w:t>
            </w:r>
            <w:r>
              <w:rPr>
                <w:sz w:val="19"/>
                <w:szCs w:val="19"/>
                <w:spacing w:val="8"/>
              </w:rPr>
              <w:t>证据可能灭失或</w:t>
            </w:r>
            <w:r>
              <w:rPr>
                <w:sz w:val="19"/>
                <w:szCs w:val="19"/>
                <w:spacing w:val="2"/>
              </w:rPr>
              <w:t xml:space="preserve">  </w:t>
            </w:r>
            <w:r>
              <w:rPr>
                <w:sz w:val="19"/>
                <w:szCs w:val="19"/>
                <w:spacing w:val="8"/>
              </w:rPr>
              <w:t>者被隐匿的行政</w:t>
            </w:r>
            <w:r>
              <w:rPr>
                <w:sz w:val="19"/>
                <w:szCs w:val="19"/>
                <w:spacing w:val="2"/>
              </w:rPr>
              <w:t xml:space="preserve">  </w:t>
            </w:r>
            <w:r>
              <w:rPr>
                <w:sz w:val="19"/>
                <w:szCs w:val="19"/>
                <w:spacing w:val="5"/>
              </w:rPr>
              <w:t>强制</w:t>
            </w:r>
          </w:p>
        </w:tc>
        <w:tc>
          <w:tcPr>
            <w:tcW w:w="3746" w:type="dxa"/>
            <w:vAlign w:val="top"/>
          </w:tcPr>
          <w:p>
            <w:pPr>
              <w:pStyle w:val="TableText"/>
              <w:ind w:left="112" w:right="105" w:firstLine="6"/>
              <w:spacing w:before="68" w:line="306" w:lineRule="auto"/>
              <w:rPr>
                <w:sz w:val="19"/>
                <w:szCs w:val="19"/>
              </w:rPr>
            </w:pPr>
            <w:r>
              <w:rPr>
                <w:sz w:val="19"/>
                <w:szCs w:val="19"/>
                <w:spacing w:val="5"/>
              </w:rPr>
              <w:t>《中华人民共和国大气污染防治法》第三</w:t>
            </w:r>
            <w:r>
              <w:rPr>
                <w:sz w:val="19"/>
                <w:szCs w:val="19"/>
                <w:spacing w:val="3"/>
              </w:rPr>
              <w:t xml:space="preserve"> </w:t>
            </w:r>
            <w:r>
              <w:rPr>
                <w:sz w:val="19"/>
                <w:szCs w:val="19"/>
                <w:spacing w:val="5"/>
              </w:rPr>
              <w:t>十条：企业事业单位和其他生产经营者违</w:t>
            </w:r>
            <w:r>
              <w:rPr>
                <w:sz w:val="19"/>
                <w:szCs w:val="19"/>
                <w:spacing w:val="12"/>
              </w:rPr>
              <w:t xml:space="preserve"> </w:t>
            </w:r>
            <w:r>
              <w:rPr>
                <w:sz w:val="19"/>
                <w:szCs w:val="19"/>
                <w:spacing w:val="5"/>
              </w:rPr>
              <w:t>反法律法规规定排放大气污染物，造成或</w:t>
            </w:r>
            <w:r>
              <w:rPr>
                <w:sz w:val="19"/>
                <w:szCs w:val="19"/>
                <w:spacing w:val="12"/>
              </w:rPr>
              <w:t xml:space="preserve"> </w:t>
            </w:r>
            <w:r>
              <w:rPr>
                <w:sz w:val="19"/>
                <w:szCs w:val="19"/>
                <w:spacing w:val="5"/>
              </w:rPr>
              <w:t>者可能造成严重大气污染，或者有关证据</w:t>
            </w:r>
            <w:r>
              <w:rPr>
                <w:sz w:val="19"/>
                <w:szCs w:val="19"/>
                <w:spacing w:val="12"/>
              </w:rPr>
              <w:t xml:space="preserve"> </w:t>
            </w:r>
            <w:r>
              <w:rPr>
                <w:sz w:val="19"/>
                <w:szCs w:val="19"/>
                <w:spacing w:val="5"/>
              </w:rPr>
              <w:t>可能灭失或者被隐匿的，县级以上人民政</w:t>
            </w:r>
            <w:r>
              <w:rPr>
                <w:sz w:val="19"/>
                <w:szCs w:val="19"/>
                <w:spacing w:val="9"/>
              </w:rPr>
              <w:t xml:space="preserve"> </w:t>
            </w:r>
            <w:r>
              <w:rPr>
                <w:sz w:val="19"/>
                <w:szCs w:val="19"/>
                <w:spacing w:val="9"/>
              </w:rPr>
              <w:t>府生态环境主管部门和其他负有大气环</w:t>
            </w:r>
            <w:r>
              <w:rPr>
                <w:sz w:val="19"/>
                <w:szCs w:val="19"/>
                <w:spacing w:val="3"/>
              </w:rPr>
              <w:t xml:space="preserve">  </w:t>
            </w:r>
            <w:r>
              <w:rPr>
                <w:sz w:val="19"/>
                <w:szCs w:val="19"/>
                <w:spacing w:val="5"/>
              </w:rPr>
              <w:t>境保护监督管理职责的部门，可以对有关</w:t>
            </w:r>
            <w:r>
              <w:rPr>
                <w:sz w:val="19"/>
                <w:szCs w:val="19"/>
                <w:spacing w:val="9"/>
              </w:rPr>
              <w:t xml:space="preserve"> </w:t>
            </w:r>
            <w:r>
              <w:rPr>
                <w:sz w:val="19"/>
                <w:szCs w:val="19"/>
                <w:spacing w:val="5"/>
              </w:rPr>
              <w:t>设施、设备、物品采取查封、扣押等行政</w:t>
            </w:r>
            <w:r>
              <w:rPr>
                <w:sz w:val="19"/>
                <w:szCs w:val="19"/>
                <w:spacing w:val="9"/>
              </w:rPr>
              <w:t xml:space="preserve"> </w:t>
            </w:r>
            <w:r>
              <w:rPr>
                <w:sz w:val="19"/>
                <w:szCs w:val="19"/>
                <w:spacing w:val="6"/>
              </w:rPr>
              <w:t>强制措施。</w:t>
            </w:r>
          </w:p>
        </w:tc>
        <w:tc>
          <w:tcPr>
            <w:tcW w:w="3439" w:type="dxa"/>
            <w:vAlign w:val="top"/>
          </w:tcPr>
          <w:p>
            <w:pPr>
              <w:pStyle w:val="TableText"/>
              <w:ind w:left="114" w:right="128"/>
              <w:spacing w:before="228" w:line="304" w:lineRule="auto"/>
              <w:jc w:val="both"/>
              <w:rPr>
                <w:sz w:val="19"/>
                <w:szCs w:val="19"/>
              </w:rPr>
            </w:pPr>
            <w:r>
              <w:rPr>
                <w:sz w:val="19"/>
                <w:szCs w:val="19"/>
                <w:spacing w:val="9"/>
              </w:rPr>
              <w:t>可能但尚未造成环境严重污染，立即</w:t>
            </w:r>
            <w:r>
              <w:rPr>
                <w:sz w:val="19"/>
                <w:szCs w:val="19"/>
                <w:spacing w:val="4"/>
              </w:rPr>
              <w:t xml:space="preserve"> </w:t>
            </w:r>
            <w:r>
              <w:rPr>
                <w:sz w:val="19"/>
                <w:szCs w:val="19"/>
                <w:spacing w:val="9"/>
              </w:rPr>
              <w:t>停止违法行为，且同时满足以下条件</w:t>
            </w:r>
            <w:r>
              <w:rPr>
                <w:sz w:val="19"/>
                <w:szCs w:val="19"/>
                <w:spacing w:val="5"/>
              </w:rPr>
              <w:t xml:space="preserve"> </w:t>
            </w:r>
            <w:r>
              <w:rPr>
                <w:sz w:val="19"/>
                <w:szCs w:val="19"/>
                <w:spacing w:val="11"/>
              </w:rPr>
              <w:t>的，不予实施查封、扣押:</w:t>
            </w:r>
          </w:p>
          <w:p>
            <w:pPr>
              <w:pStyle w:val="TableText"/>
              <w:ind w:left="114" w:right="229" w:firstLine="34"/>
              <w:spacing w:before="30" w:line="271" w:lineRule="auto"/>
              <w:rPr>
                <w:sz w:val="19"/>
                <w:szCs w:val="19"/>
              </w:rPr>
            </w:pPr>
            <w:r>
              <w:rPr>
                <w:sz w:val="19"/>
                <w:szCs w:val="19"/>
                <w:spacing w:val="6"/>
              </w:rPr>
              <w:t>(1)排放的污染物不属于有毒有害物</w:t>
            </w:r>
            <w:r>
              <w:rPr>
                <w:sz w:val="19"/>
                <w:szCs w:val="19"/>
                <w:spacing w:val="7"/>
              </w:rPr>
              <w:t xml:space="preserve"> </w:t>
            </w:r>
            <w:r>
              <w:rPr>
                <w:sz w:val="19"/>
                <w:szCs w:val="19"/>
                <w:spacing w:val="20"/>
              </w:rPr>
              <w:t>质;</w:t>
            </w:r>
          </w:p>
          <w:p>
            <w:pPr>
              <w:pStyle w:val="TableText"/>
              <w:ind w:left="148"/>
              <w:spacing w:before="88" w:line="227" w:lineRule="auto"/>
              <w:rPr>
                <w:sz w:val="19"/>
                <w:szCs w:val="19"/>
              </w:rPr>
            </w:pPr>
            <w:r>
              <w:rPr>
                <w:sz w:val="19"/>
                <w:szCs w:val="19"/>
                <w:spacing w:val="6"/>
              </w:rPr>
              <w:t>(2)按相关规定已依法办理环评手续</w:t>
            </w:r>
            <w:r>
              <w:rPr>
                <w:sz w:val="19"/>
                <w:szCs w:val="19"/>
                <w:spacing w:val="-54"/>
              </w:rPr>
              <w:t xml:space="preserve"> </w:t>
            </w:r>
            <w:r>
              <w:rPr>
                <w:sz w:val="19"/>
                <w:szCs w:val="19"/>
                <w:spacing w:val="6"/>
              </w:rPr>
              <w:t>;</w:t>
            </w:r>
          </w:p>
          <w:p>
            <w:pPr>
              <w:pStyle w:val="TableText"/>
              <w:ind w:left="128" w:right="229" w:firstLine="20"/>
              <w:spacing w:before="88" w:line="271" w:lineRule="auto"/>
              <w:rPr>
                <w:sz w:val="19"/>
                <w:szCs w:val="19"/>
              </w:rPr>
            </w:pPr>
            <w:r>
              <w:rPr>
                <w:sz w:val="19"/>
                <w:szCs w:val="19"/>
                <w:spacing w:val="6"/>
              </w:rPr>
              <w:t>(3)排放污染物所在区域不属于限批</w:t>
            </w:r>
            <w:r>
              <w:rPr>
                <w:sz w:val="19"/>
                <w:szCs w:val="19"/>
                <w:spacing w:val="7"/>
              </w:rPr>
              <w:t xml:space="preserve"> </w:t>
            </w:r>
            <w:r>
              <w:rPr>
                <w:sz w:val="19"/>
                <w:szCs w:val="19"/>
                <w:spacing w:val="7"/>
              </w:rPr>
              <w:t>区、环境敏感区或特别控制区。</w:t>
            </w:r>
          </w:p>
        </w:tc>
        <w:tc>
          <w:tcPr>
            <w:tcW w:w="2399"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709"/>
              <w:spacing w:before="62" w:line="229" w:lineRule="auto"/>
              <w:rPr>
                <w:sz w:val="19"/>
                <w:szCs w:val="19"/>
              </w:rPr>
            </w:pPr>
            <w:r>
              <w:rPr>
                <w:sz w:val="19"/>
                <w:szCs w:val="19"/>
                <w:spacing w:val="7"/>
              </w:rPr>
              <w:t>查封、扣押</w:t>
            </w:r>
          </w:p>
        </w:tc>
        <w:tc>
          <w:tcPr>
            <w:tcW w:w="2443"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780"/>
              <w:spacing w:before="62" w:line="225" w:lineRule="auto"/>
              <w:rPr>
                <w:sz w:val="19"/>
                <w:szCs w:val="19"/>
              </w:rPr>
            </w:pPr>
            <w:r>
              <w:rPr>
                <w:sz w:val="19"/>
                <w:szCs w:val="19"/>
                <w:spacing w:val="6"/>
              </w:rPr>
              <w:t>省级,市级</w:t>
            </w:r>
          </w:p>
        </w:tc>
      </w:tr>
    </w:tbl>
    <w:p>
      <w:pPr>
        <w:pStyle w:val="BodyText"/>
        <w:spacing w:line="293" w:lineRule="auto"/>
        <w:rPr/>
      </w:pPr>
      <w:r/>
    </w:p>
    <w:p>
      <w:pPr>
        <w:pStyle w:val="BodyText"/>
        <w:spacing w:line="294" w:lineRule="auto"/>
        <w:rPr/>
      </w:pPr>
      <w:r/>
    </w:p>
    <w:p>
      <w:pPr>
        <w:pStyle w:val="BodyText"/>
        <w:spacing w:line="294" w:lineRule="auto"/>
        <w:rPr/>
      </w:pPr>
      <w:r/>
    </w:p>
    <w:p>
      <w:pPr>
        <w:pStyle w:val="BodyText"/>
        <w:spacing w:line="294" w:lineRule="auto"/>
        <w:rPr/>
      </w:pPr>
      <w:r/>
    </w:p>
    <w:p>
      <w:pPr>
        <w:ind w:left="6610"/>
        <w:spacing w:before="91" w:line="183"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9"/>
        </w:rPr>
        <w:t xml:space="preserve"> </w:t>
      </w:r>
      <w:r>
        <w:rPr>
          <w:rFonts w:ascii="SimSun" w:hAnsi="SimSun" w:eastAsia="SimSun" w:cs="SimSun"/>
          <w:sz w:val="28"/>
          <w:szCs w:val="28"/>
          <w:spacing w:val="-4"/>
        </w:rPr>
        <w:t>447</w:t>
      </w:r>
      <w:r>
        <w:rPr>
          <w:rFonts w:ascii="SimSun" w:hAnsi="SimSun" w:eastAsia="SimSun" w:cs="SimSun"/>
          <w:sz w:val="28"/>
          <w:szCs w:val="28"/>
          <w:spacing w:val="10"/>
        </w:rPr>
        <w:t xml:space="preserve"> </w:t>
      </w:r>
      <w:r>
        <w:rPr>
          <w:rFonts w:ascii="SimSun" w:hAnsi="SimSun" w:eastAsia="SimSun" w:cs="SimSun"/>
          <w:sz w:val="28"/>
          <w:szCs w:val="28"/>
          <w:spacing w:val="-4"/>
        </w:rPr>
        <w:t>-</w:t>
      </w:r>
    </w:p>
    <w:p>
      <w:pPr>
        <w:spacing w:line="183" w:lineRule="auto"/>
        <w:sectPr>
          <w:footerReference w:type="default" r:id="rId13"/>
          <w:pgSz w:w="16839" w:h="11905"/>
          <w:pgMar w:top="1011" w:right="1328" w:bottom="400" w:left="1328" w:header="0" w:footer="0" w:gutter="0"/>
        </w:sectPr>
        <w:rPr>
          <w:rFonts w:ascii="SimSun" w:hAnsi="SimSun" w:eastAsia="SimSun" w:cs="SimSun"/>
          <w:sz w:val="28"/>
          <w:szCs w:val="28"/>
        </w:rPr>
      </w:pPr>
    </w:p>
    <w:p>
      <w:pPr>
        <w:spacing w:before="30"/>
        <w:rPr/>
      </w:pPr>
      <w:r/>
    </w:p>
    <w:p>
      <w:pPr>
        <w:spacing w:before="30"/>
        <w:rPr/>
      </w:pPr>
      <w:r/>
    </w:p>
    <w:p>
      <w:pPr>
        <w:spacing w:before="30"/>
        <w:rPr/>
      </w:pPr>
      <w:r/>
    </w:p>
    <w:p>
      <w:pPr>
        <w:spacing w:before="30"/>
        <w:rPr/>
      </w:pPr>
      <w:r/>
    </w:p>
    <w:tbl>
      <w:tblPr>
        <w:tblStyle w:val="TableNormal"/>
        <w:tblW w:w="1417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1"/>
        <w:gridCol w:w="1728"/>
        <w:gridCol w:w="3746"/>
        <w:gridCol w:w="3439"/>
        <w:gridCol w:w="2399"/>
        <w:gridCol w:w="2443"/>
      </w:tblGrid>
      <w:tr>
        <w:trPr>
          <w:trHeight w:val="655" w:hRule="atLeast"/>
        </w:trPr>
        <w:tc>
          <w:tcPr>
            <w:tcW w:w="421" w:type="dxa"/>
            <w:vAlign w:val="top"/>
            <w:textDirection w:val="tbRlV"/>
          </w:tcPr>
          <w:p>
            <w:pPr>
              <w:ind w:left="67"/>
              <w:spacing w:before="109" w:line="217" w:lineRule="auto"/>
              <w:rPr>
                <w:rFonts w:ascii="SimHei" w:hAnsi="SimHei" w:eastAsia="SimHei" w:cs="SimHei"/>
                <w:sz w:val="19"/>
                <w:szCs w:val="19"/>
              </w:rPr>
            </w:pPr>
            <w:r>
              <w:rPr>
                <w:rFonts w:ascii="SimHei" w:hAnsi="SimHei" w:eastAsia="SimHei" w:cs="SimHei"/>
                <w:sz w:val="19"/>
                <w:szCs w:val="19"/>
                <w:b/>
                <w:bCs/>
                <w:spacing w:val="9"/>
              </w:rPr>
              <w:t>序</w:t>
            </w:r>
            <w:r>
              <w:rPr>
                <w:rFonts w:ascii="SimHei" w:hAnsi="SimHei" w:eastAsia="SimHei" w:cs="SimHei"/>
                <w:sz w:val="19"/>
                <w:szCs w:val="19"/>
                <w:spacing w:val="27"/>
                <w:w w:val="101"/>
              </w:rPr>
              <w:t xml:space="preserve"> </w:t>
            </w:r>
            <w:r>
              <w:rPr>
                <w:rFonts w:ascii="SimHei" w:hAnsi="SimHei" w:eastAsia="SimHei" w:cs="SimHei"/>
                <w:sz w:val="19"/>
                <w:szCs w:val="19"/>
                <w:b/>
                <w:bCs/>
                <w:spacing w:val="9"/>
              </w:rPr>
              <w:t>号</w:t>
            </w:r>
          </w:p>
        </w:tc>
        <w:tc>
          <w:tcPr>
            <w:tcW w:w="1728" w:type="dxa"/>
            <w:vAlign w:val="top"/>
          </w:tcPr>
          <w:p>
            <w:pPr>
              <w:ind w:left="471"/>
              <w:spacing w:before="228" w:line="230" w:lineRule="auto"/>
              <w:rPr>
                <w:rFonts w:ascii="SimHei" w:hAnsi="SimHei" w:eastAsia="SimHei" w:cs="SimHei"/>
                <w:sz w:val="19"/>
                <w:szCs w:val="19"/>
              </w:rPr>
            </w:pPr>
            <w:r>
              <w:rPr>
                <w:rFonts w:ascii="SimHei" w:hAnsi="SimHei" w:eastAsia="SimHei" w:cs="SimHei"/>
                <w:sz w:val="19"/>
                <w:szCs w:val="19"/>
                <w:b/>
                <w:bCs/>
                <w:spacing w:val="5"/>
              </w:rPr>
              <w:t>强制事项</w:t>
            </w:r>
          </w:p>
        </w:tc>
        <w:tc>
          <w:tcPr>
            <w:tcW w:w="3746" w:type="dxa"/>
            <w:vAlign w:val="top"/>
          </w:tcPr>
          <w:p>
            <w:pPr>
              <w:ind w:left="1327"/>
              <w:spacing w:before="228" w:line="230" w:lineRule="auto"/>
              <w:rPr>
                <w:rFonts w:ascii="SimHei" w:hAnsi="SimHei" w:eastAsia="SimHei" w:cs="SimHei"/>
                <w:sz w:val="19"/>
                <w:szCs w:val="19"/>
              </w:rPr>
            </w:pPr>
            <w:r>
              <w:rPr>
                <w:rFonts w:ascii="SimHei" w:hAnsi="SimHei" w:eastAsia="SimHei" w:cs="SimHei"/>
                <w:sz w:val="19"/>
                <w:szCs w:val="19"/>
                <w:b/>
                <w:bCs/>
                <w:spacing w:val="-1"/>
              </w:rPr>
              <w:t>法</w:t>
            </w:r>
            <w:r>
              <w:rPr>
                <w:rFonts w:ascii="SimHei" w:hAnsi="SimHei" w:eastAsia="SimHei" w:cs="SimHei"/>
                <w:sz w:val="19"/>
                <w:szCs w:val="19"/>
                <w:spacing w:val="12"/>
              </w:rPr>
              <w:t xml:space="preserve"> </w:t>
            </w:r>
            <w:r>
              <w:rPr>
                <w:rFonts w:ascii="SimHei" w:hAnsi="SimHei" w:eastAsia="SimHei" w:cs="SimHei"/>
                <w:sz w:val="19"/>
                <w:szCs w:val="19"/>
                <w:b/>
                <w:bCs/>
                <w:spacing w:val="-1"/>
              </w:rPr>
              <w:t>定</w:t>
            </w:r>
            <w:r>
              <w:rPr>
                <w:rFonts w:ascii="SimHei" w:hAnsi="SimHei" w:eastAsia="SimHei" w:cs="SimHei"/>
                <w:sz w:val="19"/>
                <w:szCs w:val="19"/>
                <w:spacing w:val="15"/>
              </w:rPr>
              <w:t xml:space="preserve"> </w:t>
            </w:r>
            <w:r>
              <w:rPr>
                <w:rFonts w:ascii="SimHei" w:hAnsi="SimHei" w:eastAsia="SimHei" w:cs="SimHei"/>
                <w:sz w:val="19"/>
                <w:szCs w:val="19"/>
                <w:b/>
                <w:bCs/>
                <w:spacing w:val="-1"/>
              </w:rPr>
              <w:t>依</w:t>
            </w:r>
            <w:r>
              <w:rPr>
                <w:rFonts w:ascii="SimHei" w:hAnsi="SimHei" w:eastAsia="SimHei" w:cs="SimHei"/>
                <w:sz w:val="19"/>
                <w:szCs w:val="19"/>
                <w:spacing w:val="15"/>
              </w:rPr>
              <w:t xml:space="preserve"> </w:t>
            </w:r>
            <w:r>
              <w:rPr>
                <w:rFonts w:ascii="SimHei" w:hAnsi="SimHei" w:eastAsia="SimHei" w:cs="SimHei"/>
                <w:sz w:val="19"/>
                <w:szCs w:val="19"/>
                <w:b/>
                <w:bCs/>
                <w:spacing w:val="-1"/>
              </w:rPr>
              <w:t>据</w:t>
            </w:r>
          </w:p>
        </w:tc>
        <w:tc>
          <w:tcPr>
            <w:tcW w:w="3439" w:type="dxa"/>
            <w:vAlign w:val="top"/>
          </w:tcPr>
          <w:p>
            <w:pPr>
              <w:ind w:left="1325"/>
              <w:spacing w:before="227" w:line="232" w:lineRule="auto"/>
              <w:rPr>
                <w:rFonts w:ascii="SimHei" w:hAnsi="SimHei" w:eastAsia="SimHei" w:cs="SimHei"/>
                <w:sz w:val="19"/>
                <w:szCs w:val="19"/>
              </w:rPr>
            </w:pPr>
            <w:r>
              <w:rPr>
                <w:rFonts w:ascii="SimHei" w:hAnsi="SimHei" w:eastAsia="SimHei" w:cs="SimHei"/>
                <w:sz w:val="19"/>
                <w:szCs w:val="19"/>
                <w:b/>
                <w:bCs/>
                <w:spacing w:val="5"/>
              </w:rPr>
              <w:t>适用条件</w:t>
            </w:r>
          </w:p>
        </w:tc>
        <w:tc>
          <w:tcPr>
            <w:tcW w:w="2399" w:type="dxa"/>
            <w:vAlign w:val="top"/>
          </w:tcPr>
          <w:p>
            <w:pPr>
              <w:ind w:left="810"/>
              <w:spacing w:before="227" w:line="230" w:lineRule="auto"/>
              <w:rPr>
                <w:rFonts w:ascii="SimHei" w:hAnsi="SimHei" w:eastAsia="SimHei" w:cs="SimHei"/>
                <w:sz w:val="19"/>
                <w:szCs w:val="19"/>
              </w:rPr>
            </w:pPr>
            <w:r>
              <w:rPr>
                <w:rFonts w:ascii="SimHei" w:hAnsi="SimHei" w:eastAsia="SimHei" w:cs="SimHei"/>
                <w:sz w:val="19"/>
                <w:szCs w:val="19"/>
                <w:b/>
                <w:bCs/>
                <w:spacing w:val="5"/>
              </w:rPr>
              <w:t>强制方式</w:t>
            </w:r>
          </w:p>
        </w:tc>
        <w:tc>
          <w:tcPr>
            <w:tcW w:w="2443" w:type="dxa"/>
            <w:vAlign w:val="top"/>
          </w:tcPr>
          <w:p>
            <w:pPr>
              <w:ind w:left="830"/>
              <w:spacing w:before="227" w:line="233" w:lineRule="auto"/>
              <w:rPr>
                <w:rFonts w:ascii="SimHei" w:hAnsi="SimHei" w:eastAsia="SimHei" w:cs="SimHei"/>
                <w:sz w:val="19"/>
                <w:szCs w:val="19"/>
              </w:rPr>
            </w:pPr>
            <w:r>
              <w:rPr>
                <w:rFonts w:ascii="SimHei" w:hAnsi="SimHei" w:eastAsia="SimHei" w:cs="SimHei"/>
                <w:sz w:val="19"/>
                <w:szCs w:val="19"/>
                <w:b/>
                <w:bCs/>
                <w:spacing w:val="5"/>
              </w:rPr>
              <w:t>强制权限</w:t>
            </w:r>
          </w:p>
        </w:tc>
      </w:tr>
      <w:tr>
        <w:trPr>
          <w:trHeight w:val="2587" w:hRule="atLeast"/>
        </w:trPr>
        <w:tc>
          <w:tcPr>
            <w:tcW w:w="421" w:type="dxa"/>
            <w:vAlign w:val="top"/>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pStyle w:val="TableText"/>
              <w:ind w:left="168"/>
              <w:spacing w:before="62" w:line="189" w:lineRule="auto"/>
              <w:rPr>
                <w:sz w:val="19"/>
                <w:szCs w:val="19"/>
              </w:rPr>
            </w:pPr>
            <w:r>
              <w:rPr>
                <w:sz w:val="19"/>
                <w:szCs w:val="19"/>
              </w:rPr>
              <w:t>3</w:t>
            </w:r>
          </w:p>
        </w:tc>
        <w:tc>
          <w:tcPr>
            <w:tcW w:w="1728" w:type="dxa"/>
            <w:vAlign w:val="top"/>
          </w:tcPr>
          <w:p>
            <w:pPr>
              <w:spacing w:line="321" w:lineRule="auto"/>
              <w:rPr>
                <w:rFonts w:ascii="Arial"/>
                <w:sz w:val="21"/>
              </w:rPr>
            </w:pPr>
            <w:r/>
          </w:p>
          <w:p>
            <w:pPr>
              <w:spacing w:line="322" w:lineRule="auto"/>
              <w:rPr>
                <w:rFonts w:ascii="Arial"/>
                <w:sz w:val="21"/>
              </w:rPr>
            </w:pPr>
            <w:r/>
          </w:p>
          <w:p>
            <w:pPr>
              <w:pStyle w:val="TableText"/>
              <w:ind w:left="110" w:right="220"/>
              <w:spacing w:before="62" w:line="307" w:lineRule="auto"/>
              <w:jc w:val="both"/>
              <w:rPr>
                <w:sz w:val="19"/>
                <w:szCs w:val="19"/>
              </w:rPr>
            </w:pPr>
            <w:r>
              <w:rPr>
                <w:sz w:val="19"/>
                <w:szCs w:val="19"/>
                <w:spacing w:val="8"/>
              </w:rPr>
              <w:t>对违法排放污染</w:t>
            </w:r>
            <w:r>
              <w:rPr>
                <w:sz w:val="19"/>
                <w:szCs w:val="19"/>
                <w:spacing w:val="4"/>
              </w:rPr>
              <w:t xml:space="preserve"> </w:t>
            </w:r>
            <w:r>
              <w:rPr>
                <w:sz w:val="19"/>
                <w:szCs w:val="19"/>
                <w:spacing w:val="8"/>
              </w:rPr>
              <w:t>物造成或者可能</w:t>
            </w:r>
            <w:r>
              <w:rPr>
                <w:sz w:val="19"/>
                <w:szCs w:val="19"/>
                <w:spacing w:val="4"/>
              </w:rPr>
              <w:t xml:space="preserve"> </w:t>
            </w:r>
            <w:r>
              <w:rPr>
                <w:sz w:val="19"/>
                <w:szCs w:val="19"/>
                <w:spacing w:val="8"/>
              </w:rPr>
              <w:t>造成严重污染的</w:t>
            </w:r>
            <w:r>
              <w:rPr>
                <w:sz w:val="19"/>
                <w:szCs w:val="19"/>
                <w:spacing w:val="4"/>
              </w:rPr>
              <w:t xml:space="preserve"> </w:t>
            </w:r>
            <w:r>
              <w:rPr>
                <w:sz w:val="19"/>
                <w:szCs w:val="19"/>
                <w:spacing w:val="8"/>
              </w:rPr>
              <w:t>行政强制</w:t>
            </w:r>
          </w:p>
        </w:tc>
        <w:tc>
          <w:tcPr>
            <w:tcW w:w="3746" w:type="dxa"/>
            <w:vAlign w:val="top"/>
          </w:tcPr>
          <w:p>
            <w:pPr>
              <w:pStyle w:val="TableText"/>
              <w:ind w:left="112" w:right="107" w:firstLine="6"/>
              <w:spacing w:before="222" w:line="310" w:lineRule="auto"/>
              <w:rPr>
                <w:sz w:val="19"/>
                <w:szCs w:val="19"/>
              </w:rPr>
            </w:pPr>
            <w:r>
              <w:rPr>
                <w:sz w:val="19"/>
                <w:szCs w:val="19"/>
                <w:spacing w:val="5"/>
              </w:rPr>
              <w:t>《中华人民共和国环境保护法》第二十五</w:t>
            </w:r>
            <w:r>
              <w:rPr>
                <w:sz w:val="19"/>
                <w:szCs w:val="19"/>
                <w:spacing w:val="3"/>
              </w:rPr>
              <w:t xml:space="preserve"> </w:t>
            </w:r>
            <w:r>
              <w:rPr>
                <w:sz w:val="19"/>
                <w:szCs w:val="19"/>
                <w:spacing w:val="5"/>
              </w:rPr>
              <w:t>条：企业事业单位和其他生产经营者违反</w:t>
            </w:r>
            <w:r>
              <w:rPr>
                <w:sz w:val="19"/>
                <w:szCs w:val="19"/>
                <w:spacing w:val="9"/>
              </w:rPr>
              <w:t xml:space="preserve"> </w:t>
            </w:r>
            <w:r>
              <w:rPr>
                <w:sz w:val="19"/>
                <w:szCs w:val="19"/>
                <w:spacing w:val="9"/>
              </w:rPr>
              <w:t>法律法规规定排放污染物,造成或者可能</w:t>
            </w:r>
            <w:r>
              <w:rPr>
                <w:sz w:val="19"/>
                <w:szCs w:val="19"/>
                <w:spacing w:val="3"/>
              </w:rPr>
              <w:t xml:space="preserve"> </w:t>
            </w:r>
            <w:r>
              <w:rPr>
                <w:sz w:val="19"/>
                <w:szCs w:val="19"/>
                <w:spacing w:val="9"/>
              </w:rPr>
              <w:t>造成严重污染的,县级以上人民政府环境</w:t>
            </w:r>
            <w:r>
              <w:rPr>
                <w:sz w:val="19"/>
                <w:szCs w:val="19"/>
                <w:spacing w:val="3"/>
              </w:rPr>
              <w:t xml:space="preserve"> </w:t>
            </w:r>
            <w:r>
              <w:rPr>
                <w:sz w:val="19"/>
                <w:szCs w:val="19"/>
                <w:spacing w:val="9"/>
              </w:rPr>
              <w:t>保护主管部门和其他负有环境保护监督</w:t>
            </w:r>
            <w:r>
              <w:rPr>
                <w:sz w:val="19"/>
                <w:szCs w:val="19"/>
                <w:spacing w:val="3"/>
              </w:rPr>
              <w:t xml:space="preserve">  </w:t>
            </w:r>
            <w:r>
              <w:rPr>
                <w:sz w:val="19"/>
                <w:szCs w:val="19"/>
                <w:spacing w:val="9"/>
              </w:rPr>
              <w:t>管理职责的部门,可以查封、扣押造成污</w:t>
            </w:r>
            <w:r>
              <w:rPr>
                <w:sz w:val="19"/>
                <w:szCs w:val="19"/>
                <w:spacing w:val="3"/>
              </w:rPr>
              <w:t xml:space="preserve"> </w:t>
            </w:r>
            <w:r>
              <w:rPr>
                <w:sz w:val="19"/>
                <w:szCs w:val="19"/>
                <w:spacing w:val="8"/>
              </w:rPr>
              <w:t>染物排放的设施、设备。</w:t>
            </w:r>
          </w:p>
        </w:tc>
        <w:tc>
          <w:tcPr>
            <w:tcW w:w="3439" w:type="dxa"/>
            <w:vAlign w:val="top"/>
          </w:tcPr>
          <w:p>
            <w:pPr>
              <w:pStyle w:val="TableText"/>
              <w:ind w:left="114" w:right="128"/>
              <w:spacing w:before="64" w:line="304" w:lineRule="auto"/>
              <w:jc w:val="both"/>
              <w:rPr>
                <w:sz w:val="19"/>
                <w:szCs w:val="19"/>
              </w:rPr>
            </w:pPr>
            <w:r>
              <w:rPr>
                <w:sz w:val="19"/>
                <w:szCs w:val="19"/>
                <w:spacing w:val="9"/>
              </w:rPr>
              <w:t>可能但尚未造成环境严重污染，立即</w:t>
            </w:r>
            <w:r>
              <w:rPr>
                <w:sz w:val="19"/>
                <w:szCs w:val="19"/>
                <w:spacing w:val="4"/>
              </w:rPr>
              <w:t xml:space="preserve"> </w:t>
            </w:r>
            <w:r>
              <w:rPr>
                <w:sz w:val="19"/>
                <w:szCs w:val="19"/>
                <w:spacing w:val="9"/>
              </w:rPr>
              <w:t>停止违法行为，且同时满足以下条件</w:t>
            </w:r>
            <w:r>
              <w:rPr>
                <w:sz w:val="19"/>
                <w:szCs w:val="19"/>
                <w:spacing w:val="5"/>
              </w:rPr>
              <w:t xml:space="preserve"> </w:t>
            </w:r>
            <w:r>
              <w:rPr>
                <w:sz w:val="19"/>
                <w:szCs w:val="19"/>
                <w:spacing w:val="11"/>
              </w:rPr>
              <w:t>的，不予实施查封、扣押:</w:t>
            </w:r>
          </w:p>
          <w:p>
            <w:pPr>
              <w:pStyle w:val="TableText"/>
              <w:ind w:left="114" w:right="229" w:firstLine="34"/>
              <w:spacing w:before="28" w:line="272" w:lineRule="auto"/>
              <w:rPr>
                <w:sz w:val="19"/>
                <w:szCs w:val="19"/>
              </w:rPr>
            </w:pPr>
            <w:r>
              <w:rPr>
                <w:sz w:val="19"/>
                <w:szCs w:val="19"/>
                <w:spacing w:val="6"/>
              </w:rPr>
              <w:t>(1)排放的污染物不属于有毒有害物</w:t>
            </w:r>
            <w:r>
              <w:rPr>
                <w:sz w:val="19"/>
                <w:szCs w:val="19"/>
                <w:spacing w:val="7"/>
              </w:rPr>
              <w:t xml:space="preserve"> </w:t>
            </w:r>
            <w:r>
              <w:rPr>
                <w:sz w:val="19"/>
                <w:szCs w:val="19"/>
                <w:spacing w:val="20"/>
              </w:rPr>
              <w:t>质;</w:t>
            </w:r>
          </w:p>
          <w:p>
            <w:pPr>
              <w:pStyle w:val="TableText"/>
              <w:ind w:left="148"/>
              <w:spacing w:before="88" w:line="227" w:lineRule="auto"/>
              <w:rPr>
                <w:sz w:val="19"/>
                <w:szCs w:val="19"/>
              </w:rPr>
            </w:pPr>
            <w:r>
              <w:rPr>
                <w:sz w:val="19"/>
                <w:szCs w:val="19"/>
                <w:spacing w:val="6"/>
              </w:rPr>
              <w:t>(2)按相关规定已依法办理环评手续</w:t>
            </w:r>
            <w:r>
              <w:rPr>
                <w:sz w:val="19"/>
                <w:szCs w:val="19"/>
                <w:spacing w:val="-54"/>
              </w:rPr>
              <w:t xml:space="preserve"> </w:t>
            </w:r>
            <w:r>
              <w:rPr>
                <w:sz w:val="19"/>
                <w:szCs w:val="19"/>
                <w:spacing w:val="6"/>
              </w:rPr>
              <w:t>;</w:t>
            </w:r>
          </w:p>
          <w:p>
            <w:pPr>
              <w:pStyle w:val="TableText"/>
              <w:ind w:left="128" w:right="229" w:firstLine="20"/>
              <w:spacing w:before="88" w:line="271" w:lineRule="auto"/>
              <w:rPr>
                <w:sz w:val="19"/>
                <w:szCs w:val="19"/>
              </w:rPr>
            </w:pPr>
            <w:r>
              <w:rPr>
                <w:sz w:val="19"/>
                <w:szCs w:val="19"/>
                <w:spacing w:val="6"/>
              </w:rPr>
              <w:t>(3)排放污染物所在区域不属于限批</w:t>
            </w:r>
            <w:r>
              <w:rPr>
                <w:sz w:val="19"/>
                <w:szCs w:val="19"/>
                <w:spacing w:val="7"/>
              </w:rPr>
              <w:t xml:space="preserve"> </w:t>
            </w:r>
            <w:r>
              <w:rPr>
                <w:sz w:val="19"/>
                <w:szCs w:val="19"/>
                <w:spacing w:val="8"/>
              </w:rPr>
              <w:t>区、环境敏感区或特别控制区</w:t>
            </w:r>
          </w:p>
        </w:tc>
        <w:tc>
          <w:tcPr>
            <w:tcW w:w="2399" w:type="dxa"/>
            <w:vAlign w:val="top"/>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709"/>
              <w:spacing w:before="61" w:line="229" w:lineRule="auto"/>
              <w:rPr>
                <w:sz w:val="19"/>
                <w:szCs w:val="19"/>
              </w:rPr>
            </w:pPr>
            <w:r>
              <w:rPr>
                <w:sz w:val="19"/>
                <w:szCs w:val="19"/>
                <w:spacing w:val="7"/>
              </w:rPr>
              <w:t>查封、扣押</w:t>
            </w:r>
          </w:p>
        </w:tc>
        <w:tc>
          <w:tcPr>
            <w:tcW w:w="2443" w:type="dxa"/>
            <w:vAlign w:val="top"/>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780"/>
              <w:spacing w:before="62" w:line="225" w:lineRule="auto"/>
              <w:rPr>
                <w:sz w:val="19"/>
                <w:szCs w:val="19"/>
              </w:rPr>
            </w:pPr>
            <w:r>
              <w:rPr>
                <w:sz w:val="19"/>
                <w:szCs w:val="19"/>
                <w:spacing w:val="6"/>
              </w:rPr>
              <w:t>省级,市级</w:t>
            </w:r>
          </w:p>
        </w:tc>
      </w:tr>
      <w:tr>
        <w:trPr>
          <w:trHeight w:val="2264" w:hRule="atLeast"/>
        </w:trPr>
        <w:tc>
          <w:tcPr>
            <w:tcW w:w="421"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64"/>
              <w:spacing w:before="62" w:line="189" w:lineRule="auto"/>
              <w:rPr>
                <w:sz w:val="19"/>
                <w:szCs w:val="19"/>
              </w:rPr>
            </w:pPr>
            <w:r>
              <w:rPr>
                <w:sz w:val="19"/>
                <w:szCs w:val="19"/>
              </w:rPr>
              <w:t>4</w:t>
            </w:r>
          </w:p>
        </w:tc>
        <w:tc>
          <w:tcPr>
            <w:tcW w:w="1728" w:type="dxa"/>
            <w:vAlign w:val="top"/>
          </w:tcPr>
          <w:p>
            <w:pPr>
              <w:pStyle w:val="TableText"/>
              <w:ind w:left="110" w:right="105"/>
              <w:spacing w:before="63" w:line="304" w:lineRule="auto"/>
              <w:rPr>
                <w:sz w:val="19"/>
                <w:szCs w:val="19"/>
              </w:rPr>
            </w:pPr>
            <w:r>
              <w:rPr>
                <w:sz w:val="19"/>
                <w:szCs w:val="19"/>
                <w:spacing w:val="8"/>
              </w:rPr>
              <w:t>对违法生产、销</w:t>
            </w:r>
            <w:r>
              <w:rPr>
                <w:sz w:val="19"/>
                <w:szCs w:val="19"/>
                <w:spacing w:val="2"/>
              </w:rPr>
              <w:t xml:space="preserve">  </w:t>
            </w:r>
            <w:r>
              <w:rPr>
                <w:sz w:val="19"/>
                <w:szCs w:val="19"/>
                <w:spacing w:val="-2"/>
              </w:rPr>
              <w:t>售、使用进出口的</w:t>
            </w:r>
            <w:r>
              <w:rPr>
                <w:sz w:val="19"/>
                <w:szCs w:val="19"/>
                <w:spacing w:val="2"/>
              </w:rPr>
              <w:t xml:space="preserve"> </w:t>
            </w:r>
            <w:r>
              <w:rPr>
                <w:sz w:val="19"/>
                <w:szCs w:val="19"/>
                <w:spacing w:val="8"/>
              </w:rPr>
              <w:t>消耗臭氧层物质</w:t>
            </w:r>
            <w:r>
              <w:rPr>
                <w:sz w:val="19"/>
                <w:szCs w:val="19"/>
                <w:spacing w:val="2"/>
              </w:rPr>
              <w:t xml:space="preserve">  </w:t>
            </w:r>
            <w:r>
              <w:rPr>
                <w:sz w:val="19"/>
                <w:szCs w:val="19"/>
                <w:spacing w:val="8"/>
              </w:rPr>
              <w:t>的单位及其生产</w:t>
            </w:r>
            <w:r>
              <w:rPr>
                <w:sz w:val="19"/>
                <w:szCs w:val="19"/>
                <w:spacing w:val="2"/>
              </w:rPr>
              <w:t xml:space="preserve">  </w:t>
            </w:r>
            <w:r>
              <w:rPr>
                <w:sz w:val="19"/>
                <w:szCs w:val="19"/>
                <w:spacing w:val="-2"/>
              </w:rPr>
              <w:t>设备、设施、原料</w:t>
            </w:r>
            <w:r>
              <w:rPr>
                <w:sz w:val="19"/>
                <w:szCs w:val="19"/>
              </w:rPr>
              <w:t xml:space="preserve"> </w:t>
            </w:r>
            <w:r>
              <w:rPr>
                <w:sz w:val="19"/>
                <w:szCs w:val="19"/>
                <w:spacing w:val="8"/>
              </w:rPr>
              <w:t>及产品的行政强</w:t>
            </w:r>
            <w:r>
              <w:rPr>
                <w:sz w:val="19"/>
                <w:szCs w:val="19"/>
                <w:spacing w:val="2"/>
              </w:rPr>
              <w:t xml:space="preserve">  </w:t>
            </w:r>
            <w:r>
              <w:rPr>
                <w:sz w:val="19"/>
                <w:szCs w:val="19"/>
                <w:spacing w:val="6"/>
              </w:rPr>
              <w:t>制（情节）</w:t>
            </w:r>
          </w:p>
        </w:tc>
        <w:tc>
          <w:tcPr>
            <w:tcW w:w="3746" w:type="dxa"/>
            <w:vAlign w:val="top"/>
          </w:tcPr>
          <w:p>
            <w:pPr>
              <w:pStyle w:val="TableText"/>
              <w:ind w:left="114" w:right="39" w:firstLine="4"/>
              <w:spacing w:before="63" w:line="304" w:lineRule="auto"/>
              <w:rPr>
                <w:sz w:val="19"/>
                <w:szCs w:val="19"/>
              </w:rPr>
            </w:pPr>
            <w:r>
              <w:rPr>
                <w:sz w:val="19"/>
                <w:szCs w:val="19"/>
                <w:spacing w:val="3"/>
              </w:rPr>
              <w:t>《消耗臭氧层物质管理条例》（2010</w:t>
            </w:r>
            <w:r>
              <w:rPr>
                <w:sz w:val="19"/>
                <w:szCs w:val="19"/>
                <w:spacing w:val="-25"/>
              </w:rPr>
              <w:t xml:space="preserve"> </w:t>
            </w:r>
            <w:r>
              <w:rPr>
                <w:sz w:val="19"/>
                <w:szCs w:val="19"/>
                <w:spacing w:val="3"/>
              </w:rPr>
              <w:t>年</w:t>
            </w:r>
            <w:r>
              <w:rPr>
                <w:sz w:val="19"/>
                <w:szCs w:val="19"/>
                <w:spacing w:val="-35"/>
              </w:rPr>
              <w:t xml:space="preserve"> </w:t>
            </w:r>
            <w:r>
              <w:rPr>
                <w:sz w:val="19"/>
                <w:szCs w:val="19"/>
                <w:spacing w:val="3"/>
              </w:rPr>
              <w:t>6</w:t>
            </w:r>
            <w:r>
              <w:rPr>
                <w:sz w:val="19"/>
                <w:szCs w:val="19"/>
              </w:rPr>
              <w:t xml:space="preserve"> </w:t>
            </w:r>
            <w:r>
              <w:rPr>
                <w:sz w:val="19"/>
                <w:szCs w:val="19"/>
                <w:spacing w:val="4"/>
              </w:rPr>
              <w:t>月</w:t>
            </w:r>
            <w:r>
              <w:rPr>
                <w:sz w:val="19"/>
                <w:szCs w:val="19"/>
                <w:spacing w:val="-13"/>
              </w:rPr>
              <w:t xml:space="preserve"> </w:t>
            </w:r>
            <w:r>
              <w:rPr>
                <w:sz w:val="19"/>
                <w:szCs w:val="19"/>
                <w:spacing w:val="4"/>
              </w:rPr>
              <w:t>1 日实施）第二十六条第一款第五项：</w:t>
            </w:r>
            <w:r>
              <w:rPr>
                <w:sz w:val="19"/>
                <w:szCs w:val="19"/>
              </w:rPr>
              <w:t xml:space="preserve"> </w:t>
            </w:r>
            <w:r>
              <w:rPr>
                <w:sz w:val="19"/>
                <w:szCs w:val="19"/>
                <w:spacing w:val="9"/>
              </w:rPr>
              <w:t>县级以上人民政府环境保护主管部门和</w:t>
            </w:r>
            <w:r>
              <w:rPr>
                <w:sz w:val="19"/>
                <w:szCs w:val="19"/>
                <w:spacing w:val="1"/>
              </w:rPr>
              <w:t xml:space="preserve">   </w:t>
            </w:r>
            <w:r>
              <w:rPr>
                <w:sz w:val="19"/>
                <w:szCs w:val="19"/>
                <w:spacing w:val="9"/>
              </w:rPr>
              <w:t>其他有关部门进行监督检查,有权采取下</w:t>
            </w:r>
            <w:r>
              <w:rPr>
                <w:sz w:val="19"/>
                <w:szCs w:val="19"/>
              </w:rPr>
              <w:t xml:space="preserve">  </w:t>
            </w:r>
            <w:r>
              <w:rPr>
                <w:sz w:val="19"/>
                <w:szCs w:val="19"/>
                <w:spacing w:val="1"/>
              </w:rPr>
              <w:t>列措施:</w:t>
            </w:r>
            <w:r>
              <w:rPr>
                <w:sz w:val="19"/>
                <w:szCs w:val="19"/>
                <w:spacing w:val="-45"/>
              </w:rPr>
              <w:t xml:space="preserve"> </w:t>
            </w:r>
            <w:r>
              <w:rPr>
                <w:sz w:val="19"/>
                <w:szCs w:val="19"/>
                <w:spacing w:val="1"/>
              </w:rPr>
              <w:t>(五)扣押、查封违法生产、销售、</w:t>
            </w:r>
            <w:r>
              <w:rPr>
                <w:sz w:val="19"/>
                <w:szCs w:val="19"/>
              </w:rPr>
              <w:t xml:space="preserve"> </w:t>
            </w:r>
            <w:r>
              <w:rPr>
                <w:sz w:val="19"/>
                <w:szCs w:val="19"/>
                <w:spacing w:val="5"/>
              </w:rPr>
              <w:t>使用、进出口的消耗臭氧层物质及其生产</w:t>
            </w:r>
            <w:r>
              <w:rPr>
                <w:sz w:val="19"/>
                <w:szCs w:val="19"/>
                <w:spacing w:val="10"/>
              </w:rPr>
              <w:t xml:space="preserve"> </w:t>
            </w:r>
            <w:r>
              <w:rPr>
                <w:sz w:val="19"/>
                <w:szCs w:val="19"/>
                <w:spacing w:val="8"/>
              </w:rPr>
              <w:t>设备、设施、原料及产品。</w:t>
            </w:r>
          </w:p>
        </w:tc>
        <w:tc>
          <w:tcPr>
            <w:tcW w:w="343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20" w:right="128" w:hanging="3"/>
              <w:spacing w:before="62" w:line="297" w:lineRule="auto"/>
              <w:rPr>
                <w:sz w:val="19"/>
                <w:szCs w:val="19"/>
              </w:rPr>
            </w:pPr>
            <w:r>
              <w:rPr>
                <w:sz w:val="19"/>
                <w:szCs w:val="19"/>
                <w:spacing w:val="9"/>
              </w:rPr>
              <w:t>未造成危害后果，且立即改正或者在</w:t>
            </w:r>
            <w:r>
              <w:rPr>
                <w:sz w:val="19"/>
                <w:szCs w:val="19"/>
                <w:spacing w:val="2"/>
              </w:rPr>
              <w:t xml:space="preserve"> </w:t>
            </w:r>
            <w:r>
              <w:rPr>
                <w:sz w:val="19"/>
                <w:szCs w:val="19"/>
                <w:spacing w:val="7"/>
              </w:rPr>
              <w:t>责令限期内改正</w:t>
            </w:r>
          </w:p>
        </w:tc>
        <w:tc>
          <w:tcPr>
            <w:tcW w:w="2399"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709"/>
              <w:spacing w:before="62" w:line="229" w:lineRule="auto"/>
              <w:rPr>
                <w:sz w:val="19"/>
                <w:szCs w:val="19"/>
              </w:rPr>
            </w:pPr>
            <w:r>
              <w:rPr>
                <w:sz w:val="19"/>
                <w:szCs w:val="19"/>
                <w:spacing w:val="7"/>
              </w:rPr>
              <w:t>查封、扣押</w:t>
            </w:r>
          </w:p>
        </w:tc>
        <w:tc>
          <w:tcPr>
            <w:tcW w:w="2443"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780"/>
              <w:spacing w:before="62" w:line="225" w:lineRule="auto"/>
              <w:rPr>
                <w:sz w:val="19"/>
                <w:szCs w:val="19"/>
              </w:rPr>
            </w:pPr>
            <w:r>
              <w:rPr>
                <w:sz w:val="19"/>
                <w:szCs w:val="19"/>
                <w:spacing w:val="6"/>
              </w:rPr>
              <w:t>省级,市级</w:t>
            </w:r>
          </w:p>
        </w:tc>
      </w:tr>
      <w:tr>
        <w:trPr>
          <w:trHeight w:val="1624" w:hRule="atLeast"/>
        </w:trPr>
        <w:tc>
          <w:tcPr>
            <w:tcW w:w="421" w:type="dxa"/>
            <w:vAlign w:val="top"/>
          </w:tcPr>
          <w:p>
            <w:pPr>
              <w:spacing w:line="340" w:lineRule="auto"/>
              <w:rPr>
                <w:rFonts w:ascii="Arial"/>
                <w:sz w:val="21"/>
              </w:rPr>
            </w:pPr>
            <w:r/>
          </w:p>
          <w:p>
            <w:pPr>
              <w:spacing w:line="340" w:lineRule="auto"/>
              <w:rPr>
                <w:rFonts w:ascii="Arial"/>
                <w:sz w:val="21"/>
              </w:rPr>
            </w:pPr>
            <w:r/>
          </w:p>
          <w:p>
            <w:pPr>
              <w:pStyle w:val="TableText"/>
              <w:ind w:left="168"/>
              <w:spacing w:before="62" w:line="188" w:lineRule="auto"/>
              <w:rPr>
                <w:sz w:val="19"/>
                <w:szCs w:val="19"/>
              </w:rPr>
            </w:pPr>
            <w:r>
              <w:rPr>
                <w:sz w:val="19"/>
                <w:szCs w:val="19"/>
              </w:rPr>
              <w:t>5</w:t>
            </w:r>
          </w:p>
        </w:tc>
        <w:tc>
          <w:tcPr>
            <w:tcW w:w="1728" w:type="dxa"/>
            <w:vAlign w:val="top"/>
          </w:tcPr>
          <w:p>
            <w:pPr>
              <w:pStyle w:val="TableText"/>
              <w:ind w:left="110" w:right="54"/>
              <w:spacing w:before="70" w:line="300" w:lineRule="auto"/>
              <w:rPr>
                <w:sz w:val="19"/>
                <w:szCs w:val="19"/>
              </w:rPr>
            </w:pPr>
            <w:r>
              <w:rPr>
                <w:sz w:val="19"/>
                <w:szCs w:val="19"/>
                <w:spacing w:val="-2"/>
              </w:rPr>
              <w:t>对涉嫌违反《医疗</w:t>
            </w:r>
            <w:r>
              <w:rPr>
                <w:sz w:val="19"/>
                <w:szCs w:val="19"/>
              </w:rPr>
              <w:t xml:space="preserve"> </w:t>
            </w:r>
            <w:r>
              <w:rPr>
                <w:sz w:val="19"/>
                <w:szCs w:val="19"/>
                <w:spacing w:val="-2"/>
              </w:rPr>
              <w:t>废物管理条例》规</w:t>
            </w:r>
            <w:r>
              <w:rPr>
                <w:sz w:val="19"/>
                <w:szCs w:val="19"/>
              </w:rPr>
              <w:t xml:space="preserve"> </w:t>
            </w:r>
            <w:r>
              <w:rPr>
                <w:sz w:val="19"/>
                <w:szCs w:val="19"/>
                <w:spacing w:val="4"/>
              </w:rPr>
              <w:t>定的场所、设备、 </w:t>
            </w:r>
            <w:r>
              <w:rPr>
                <w:sz w:val="19"/>
                <w:szCs w:val="19"/>
                <w:spacing w:val="8"/>
              </w:rPr>
              <w:t>运输工具和物品</w:t>
            </w:r>
            <w:r>
              <w:rPr>
                <w:sz w:val="19"/>
                <w:szCs w:val="19"/>
                <w:spacing w:val="2"/>
              </w:rPr>
              <w:t xml:space="preserve">  </w:t>
            </w:r>
            <w:r>
              <w:rPr>
                <w:sz w:val="19"/>
                <w:szCs w:val="19"/>
                <w:spacing w:val="8"/>
              </w:rPr>
              <w:t>的行政强制</w:t>
            </w:r>
          </w:p>
        </w:tc>
        <w:tc>
          <w:tcPr>
            <w:tcW w:w="3746" w:type="dxa"/>
            <w:vAlign w:val="top"/>
          </w:tcPr>
          <w:p>
            <w:pPr>
              <w:pStyle w:val="TableText"/>
              <w:ind w:left="113" w:right="107" w:firstLine="5"/>
              <w:spacing w:before="70" w:line="300" w:lineRule="auto"/>
              <w:jc w:val="both"/>
              <w:rPr>
                <w:sz w:val="19"/>
                <w:szCs w:val="19"/>
              </w:rPr>
            </w:pPr>
            <w:r>
              <w:rPr>
                <w:sz w:val="19"/>
                <w:szCs w:val="19"/>
                <w:spacing w:val="9"/>
              </w:rPr>
              <w:t>《医疗废物管理条例》第三十九条第四</w:t>
            </w:r>
            <w:r>
              <w:rPr>
                <w:sz w:val="19"/>
                <w:szCs w:val="19"/>
              </w:rPr>
              <w:t xml:space="preserve">  </w:t>
            </w:r>
            <w:r>
              <w:rPr>
                <w:sz w:val="19"/>
                <w:szCs w:val="19"/>
                <w:spacing w:val="5"/>
              </w:rPr>
              <w:t>项：卫生行政主管部门、环境保护行政主</w:t>
            </w:r>
            <w:r>
              <w:rPr>
                <w:sz w:val="19"/>
                <w:szCs w:val="19"/>
                <w:spacing w:val="8"/>
              </w:rPr>
              <w:t xml:space="preserve"> </w:t>
            </w:r>
            <w:r>
              <w:rPr>
                <w:sz w:val="19"/>
                <w:szCs w:val="19"/>
                <w:spacing w:val="9"/>
              </w:rPr>
              <w:t>管部门履行监督检查职责时,有权采取下</w:t>
            </w:r>
            <w:r>
              <w:rPr>
                <w:sz w:val="19"/>
                <w:szCs w:val="19"/>
              </w:rPr>
              <w:t xml:space="preserve"> </w:t>
            </w:r>
            <w:r>
              <w:rPr>
                <w:sz w:val="19"/>
                <w:szCs w:val="19"/>
                <w:spacing w:val="6"/>
              </w:rPr>
              <w:t>列措施:</w:t>
            </w:r>
            <w:r>
              <w:rPr>
                <w:sz w:val="19"/>
                <w:szCs w:val="19"/>
                <w:spacing w:val="-44"/>
              </w:rPr>
              <w:t xml:space="preserve"> </w:t>
            </w:r>
            <w:r>
              <w:rPr>
                <w:sz w:val="19"/>
                <w:szCs w:val="19"/>
                <w:spacing w:val="6"/>
              </w:rPr>
              <w:t>(四)查封或者暂扣涉嫌违反本条</w:t>
            </w:r>
            <w:r>
              <w:rPr>
                <w:sz w:val="19"/>
                <w:szCs w:val="19"/>
              </w:rPr>
              <w:t xml:space="preserve"> </w:t>
            </w:r>
            <w:r>
              <w:rPr>
                <w:sz w:val="19"/>
                <w:szCs w:val="19"/>
                <w:spacing w:val="6"/>
              </w:rPr>
              <w:t>例规定的场所、设备、运输工具和物品</w:t>
            </w:r>
            <w:r>
              <w:rPr>
                <w:sz w:val="19"/>
                <w:szCs w:val="19"/>
                <w:spacing w:val="-39"/>
              </w:rPr>
              <w:t xml:space="preserve"> </w:t>
            </w:r>
            <w:r>
              <w:rPr>
                <w:sz w:val="19"/>
                <w:szCs w:val="19"/>
                <w:spacing w:val="6"/>
              </w:rPr>
              <w:t>;</w:t>
            </w:r>
          </w:p>
        </w:tc>
        <w:tc>
          <w:tcPr>
            <w:tcW w:w="3439" w:type="dxa"/>
            <w:vAlign w:val="top"/>
          </w:tcPr>
          <w:p>
            <w:pPr>
              <w:spacing w:line="242" w:lineRule="auto"/>
              <w:rPr>
                <w:rFonts w:ascii="Arial"/>
                <w:sz w:val="21"/>
              </w:rPr>
            </w:pPr>
            <w:r/>
          </w:p>
          <w:p>
            <w:pPr>
              <w:spacing w:line="243" w:lineRule="auto"/>
              <w:rPr>
                <w:rFonts w:ascii="Arial"/>
                <w:sz w:val="21"/>
              </w:rPr>
            </w:pPr>
            <w:r/>
          </w:p>
          <w:p>
            <w:pPr>
              <w:pStyle w:val="TableText"/>
              <w:ind w:left="120" w:right="128" w:hanging="3"/>
              <w:spacing w:before="62" w:line="300" w:lineRule="auto"/>
              <w:rPr>
                <w:sz w:val="19"/>
                <w:szCs w:val="19"/>
              </w:rPr>
            </w:pPr>
            <w:r>
              <w:rPr>
                <w:sz w:val="19"/>
                <w:szCs w:val="19"/>
                <w:spacing w:val="9"/>
              </w:rPr>
              <w:t>未造成危害后果，且立即改正或者在</w:t>
            </w:r>
            <w:r>
              <w:rPr>
                <w:sz w:val="19"/>
                <w:szCs w:val="19"/>
                <w:spacing w:val="2"/>
              </w:rPr>
              <w:t xml:space="preserve"> </w:t>
            </w:r>
            <w:r>
              <w:rPr>
                <w:sz w:val="19"/>
                <w:szCs w:val="19"/>
                <w:spacing w:val="7"/>
              </w:rPr>
              <w:t>责令限期内改正</w:t>
            </w:r>
          </w:p>
        </w:tc>
        <w:tc>
          <w:tcPr>
            <w:tcW w:w="2399" w:type="dxa"/>
            <w:vAlign w:val="top"/>
          </w:tcPr>
          <w:p>
            <w:pPr>
              <w:spacing w:line="324" w:lineRule="auto"/>
              <w:rPr>
                <w:rFonts w:ascii="Arial"/>
                <w:sz w:val="21"/>
              </w:rPr>
            </w:pPr>
            <w:r/>
          </w:p>
          <w:p>
            <w:pPr>
              <w:spacing w:line="324" w:lineRule="auto"/>
              <w:rPr>
                <w:rFonts w:ascii="Arial"/>
                <w:sz w:val="21"/>
              </w:rPr>
            </w:pPr>
            <w:r/>
          </w:p>
          <w:p>
            <w:pPr>
              <w:pStyle w:val="TableText"/>
              <w:ind w:left="709"/>
              <w:spacing w:before="61" w:line="229" w:lineRule="auto"/>
              <w:rPr>
                <w:sz w:val="19"/>
                <w:szCs w:val="19"/>
              </w:rPr>
            </w:pPr>
            <w:r>
              <w:rPr>
                <w:sz w:val="19"/>
                <w:szCs w:val="19"/>
                <w:spacing w:val="7"/>
              </w:rPr>
              <w:t>查封、扣押</w:t>
            </w:r>
          </w:p>
        </w:tc>
        <w:tc>
          <w:tcPr>
            <w:tcW w:w="2443" w:type="dxa"/>
            <w:vAlign w:val="top"/>
          </w:tcPr>
          <w:p>
            <w:pPr>
              <w:spacing w:line="324" w:lineRule="auto"/>
              <w:rPr>
                <w:rFonts w:ascii="Arial"/>
                <w:sz w:val="21"/>
              </w:rPr>
            </w:pPr>
            <w:r/>
          </w:p>
          <w:p>
            <w:pPr>
              <w:spacing w:line="324" w:lineRule="auto"/>
              <w:rPr>
                <w:rFonts w:ascii="Arial"/>
                <w:sz w:val="21"/>
              </w:rPr>
            </w:pPr>
            <w:r/>
          </w:p>
          <w:p>
            <w:pPr>
              <w:pStyle w:val="TableText"/>
              <w:ind w:left="480"/>
              <w:spacing w:before="62" w:line="225" w:lineRule="auto"/>
              <w:rPr>
                <w:sz w:val="19"/>
                <w:szCs w:val="19"/>
              </w:rPr>
            </w:pPr>
            <w:r>
              <w:rPr>
                <w:sz w:val="19"/>
                <w:szCs w:val="19"/>
                <w:spacing w:val="7"/>
              </w:rPr>
              <w:t>省级,市级，县级</w:t>
            </w:r>
          </w:p>
        </w:tc>
      </w:tr>
    </w:tbl>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6610"/>
        <w:spacing w:before="91" w:line="183" w:lineRule="auto"/>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9"/>
        </w:rPr>
        <w:t xml:space="preserve"> </w:t>
      </w:r>
      <w:r>
        <w:rPr>
          <w:rFonts w:ascii="SimSun" w:hAnsi="SimSun" w:eastAsia="SimSun" w:cs="SimSun"/>
          <w:sz w:val="28"/>
          <w:szCs w:val="28"/>
          <w:spacing w:val="-4"/>
        </w:rPr>
        <w:t>448</w:t>
      </w:r>
      <w:r>
        <w:rPr>
          <w:rFonts w:ascii="SimSun" w:hAnsi="SimSun" w:eastAsia="SimSun" w:cs="SimSun"/>
          <w:sz w:val="28"/>
          <w:szCs w:val="28"/>
          <w:spacing w:val="10"/>
        </w:rPr>
        <w:t xml:space="preserve"> </w:t>
      </w:r>
      <w:r>
        <w:rPr>
          <w:rFonts w:ascii="SimSun" w:hAnsi="SimSun" w:eastAsia="SimSun" w:cs="SimSun"/>
          <w:sz w:val="28"/>
          <w:szCs w:val="28"/>
          <w:spacing w:val="-4"/>
        </w:rPr>
        <w:t>-</w:t>
      </w:r>
    </w:p>
    <w:p>
      <w:pPr>
        <w:spacing w:line="183" w:lineRule="auto"/>
        <w:sectPr>
          <w:pgSz w:w="16839" w:h="11905"/>
          <w:pgMar w:top="1011" w:right="1328" w:bottom="400" w:left="1328" w:header="0" w:footer="0" w:gutter="0"/>
        </w:sectPr>
        <w:rPr>
          <w:rFonts w:ascii="SimSun" w:hAnsi="SimSun" w:eastAsia="SimSun" w:cs="SimSun"/>
          <w:sz w:val="28"/>
          <w:szCs w:val="28"/>
        </w:rPr>
      </w:pP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tbl>
      <w:tblPr>
        <w:tblStyle w:val="TableNormal"/>
        <w:tblW w:w="9016"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568"/>
        <w:gridCol w:w="4448"/>
      </w:tblGrid>
      <w:tr>
        <w:trPr>
          <w:trHeight w:val="649" w:hRule="atLeast"/>
        </w:trPr>
        <w:tc>
          <w:tcPr>
            <w:tcW w:w="4568" w:type="dxa"/>
            <w:vAlign w:val="top"/>
            <w:tcBorders>
              <w:bottom w:val="single" w:color="000000" w:sz="2" w:space="0"/>
              <w:top w:val="single" w:color="000000" w:sz="2" w:space="0"/>
            </w:tcBorders>
          </w:tcPr>
          <w:p>
            <w:pPr>
              <w:ind w:left="306"/>
              <w:spacing w:before="267" w:line="213" w:lineRule="auto"/>
              <w:rPr>
                <w:rFonts w:ascii="FangSong_GB2312" w:hAnsi="FangSong_GB2312" w:eastAsia="FangSong_GB2312" w:cs="FangSong_GB2312"/>
                <w:sz w:val="28"/>
                <w:szCs w:val="28"/>
              </w:rPr>
            </w:pPr>
            <w:r>
              <w:rPr>
                <w:rFonts w:ascii="FangSong_GB2312" w:hAnsi="FangSong_GB2312" w:eastAsia="FangSong_GB2312" w:cs="FangSong_GB2312"/>
                <w:sz w:val="28"/>
                <w:szCs w:val="28"/>
                <w:spacing w:val="-3"/>
              </w:rPr>
              <w:t>河北省生态环境厅办公室</w:t>
            </w:r>
          </w:p>
        </w:tc>
        <w:tc>
          <w:tcPr>
            <w:tcW w:w="4448" w:type="dxa"/>
            <w:vAlign w:val="top"/>
            <w:tcBorders>
              <w:bottom w:val="single" w:color="000000" w:sz="2" w:space="0"/>
              <w:top w:val="single" w:color="000000" w:sz="2" w:space="0"/>
            </w:tcBorders>
          </w:tcPr>
          <w:p>
            <w:pPr>
              <w:ind w:left="1332"/>
              <w:spacing w:before="266" w:line="215" w:lineRule="auto"/>
              <w:rPr>
                <w:rFonts w:ascii="FangSong_GB2312" w:hAnsi="FangSong_GB2312" w:eastAsia="FangSong_GB2312" w:cs="FangSong_GB2312"/>
                <w:sz w:val="28"/>
                <w:szCs w:val="28"/>
              </w:rPr>
            </w:pPr>
            <w:r>
              <w:rPr>
                <w:rFonts w:ascii="FangSong_GB2312" w:hAnsi="FangSong_GB2312" w:eastAsia="FangSong_GB2312" w:cs="FangSong_GB2312"/>
                <w:sz w:val="28"/>
                <w:szCs w:val="28"/>
                <w:spacing w:val="-15"/>
              </w:rPr>
              <w:t>2024</w:t>
            </w:r>
            <w:r>
              <w:rPr>
                <w:rFonts w:ascii="FangSong_GB2312" w:hAnsi="FangSong_GB2312" w:eastAsia="FangSong_GB2312" w:cs="FangSong_GB2312"/>
                <w:sz w:val="28"/>
                <w:szCs w:val="28"/>
                <w:spacing w:val="-45"/>
              </w:rPr>
              <w:t xml:space="preserve"> </w:t>
            </w:r>
            <w:r>
              <w:rPr>
                <w:rFonts w:ascii="FangSong_GB2312" w:hAnsi="FangSong_GB2312" w:eastAsia="FangSong_GB2312" w:cs="FangSong_GB2312"/>
                <w:sz w:val="28"/>
                <w:szCs w:val="28"/>
                <w:spacing w:val="-15"/>
              </w:rPr>
              <w:t>年</w:t>
            </w:r>
            <w:r>
              <w:rPr>
                <w:rFonts w:ascii="FangSong_GB2312" w:hAnsi="FangSong_GB2312" w:eastAsia="FangSong_GB2312" w:cs="FangSong_GB2312"/>
                <w:sz w:val="28"/>
                <w:szCs w:val="28"/>
                <w:spacing w:val="-46"/>
              </w:rPr>
              <w:t xml:space="preserve"> </w:t>
            </w:r>
            <w:r>
              <w:rPr>
                <w:rFonts w:ascii="FangSong_GB2312" w:hAnsi="FangSong_GB2312" w:eastAsia="FangSong_GB2312" w:cs="FangSong_GB2312"/>
                <w:sz w:val="28"/>
                <w:szCs w:val="28"/>
                <w:spacing w:val="-15"/>
              </w:rPr>
              <w:t>7</w:t>
            </w:r>
            <w:r>
              <w:rPr>
                <w:rFonts w:ascii="FangSong_GB2312" w:hAnsi="FangSong_GB2312" w:eastAsia="FangSong_GB2312" w:cs="FangSong_GB2312"/>
                <w:sz w:val="28"/>
                <w:szCs w:val="28"/>
                <w:spacing w:val="-47"/>
              </w:rPr>
              <w:t xml:space="preserve"> </w:t>
            </w:r>
            <w:r>
              <w:rPr>
                <w:rFonts w:ascii="FangSong_GB2312" w:hAnsi="FangSong_GB2312" w:eastAsia="FangSong_GB2312" w:cs="FangSong_GB2312"/>
                <w:sz w:val="28"/>
                <w:szCs w:val="28"/>
                <w:spacing w:val="-15"/>
              </w:rPr>
              <w:t>月</w:t>
            </w:r>
            <w:r>
              <w:rPr>
                <w:rFonts w:ascii="FangSong_GB2312" w:hAnsi="FangSong_GB2312" w:eastAsia="FangSong_GB2312" w:cs="FangSong_GB2312"/>
                <w:sz w:val="28"/>
                <w:szCs w:val="28"/>
                <w:spacing w:val="-37"/>
              </w:rPr>
              <w:t xml:space="preserve"> </w:t>
            </w:r>
            <w:r>
              <w:rPr>
                <w:rFonts w:ascii="FangSong_GB2312" w:hAnsi="FangSong_GB2312" w:eastAsia="FangSong_GB2312" w:cs="FangSong_GB2312"/>
                <w:sz w:val="28"/>
                <w:szCs w:val="28"/>
                <w:spacing w:val="-15"/>
              </w:rPr>
              <w:t>31</w:t>
            </w:r>
            <w:r>
              <w:rPr>
                <w:rFonts w:ascii="FangSong_GB2312" w:hAnsi="FangSong_GB2312" w:eastAsia="FangSong_GB2312" w:cs="FangSong_GB2312"/>
                <w:sz w:val="28"/>
                <w:szCs w:val="28"/>
                <w:spacing w:val="-15"/>
              </w:rPr>
              <w:t xml:space="preserve"> </w:t>
            </w:r>
            <w:r>
              <w:rPr>
                <w:rFonts w:ascii="FangSong_GB2312" w:hAnsi="FangSong_GB2312" w:eastAsia="FangSong_GB2312" w:cs="FangSong_GB2312"/>
                <w:sz w:val="28"/>
                <w:szCs w:val="28"/>
                <w:spacing w:val="-15"/>
              </w:rPr>
              <w:t>日印发</w:t>
            </w:r>
          </w:p>
        </w:tc>
      </w:tr>
    </w:tbl>
    <w:p>
      <w:pPr>
        <w:pStyle w:val="BodyText"/>
        <w:rPr/>
      </w:pPr>
      <w:r/>
    </w:p>
    <w:sectPr>
      <w:pgSz w:w="11850" w:h="16783"/>
      <w:pgMar w:top="1426" w:right="1416" w:bottom="400" w:left="1417"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71"/>
      <w:spacing w:line="177" w:lineRule="auto"/>
      <w:rPr>
        <w:rFonts w:ascii="SimSun" w:hAnsi="SimSun" w:eastAsia="SimSun" w:cs="SimSun"/>
        <w:sz w:val="28"/>
        <w:szCs w:val="28"/>
      </w:rPr>
    </w:pPr>
    <w:r>
      <w:rPr>
        <w:rFonts w:ascii="SimSun" w:hAnsi="SimSun" w:eastAsia="SimSun" w:cs="SimSun"/>
        <w:sz w:val="28"/>
        <w:szCs w:val="28"/>
        <w:spacing w:val="-14"/>
      </w:rPr>
      <w:t>-</w:t>
    </w:r>
    <w:r>
      <w:rPr>
        <w:rFonts w:ascii="SimSun" w:hAnsi="SimSun" w:eastAsia="SimSun" w:cs="SimSun"/>
        <w:sz w:val="28"/>
        <w:szCs w:val="28"/>
        <w:spacing w:val="31"/>
      </w:rPr>
      <w:t xml:space="preserve"> </w:t>
    </w:r>
    <w:r>
      <w:rPr>
        <w:rFonts w:ascii="SimSun" w:hAnsi="SimSun" w:eastAsia="SimSun" w:cs="SimSun"/>
        <w:sz w:val="28"/>
        <w:szCs w:val="28"/>
        <w:spacing w:val="-14"/>
      </w:rPr>
      <w:t>1</w:t>
    </w:r>
    <w:r>
      <w:rPr>
        <w:rFonts w:ascii="SimSun" w:hAnsi="SimSun" w:eastAsia="SimSun" w:cs="SimSun"/>
        <w:sz w:val="28"/>
        <w:szCs w:val="28"/>
        <w:spacing w:val="9"/>
      </w:rPr>
      <w:t xml:space="preserve"> </w:t>
    </w:r>
    <w:r>
      <w:rPr>
        <w:rFonts w:ascii="SimSun" w:hAnsi="SimSun" w:eastAsia="SimSun" w:cs="SimSun"/>
        <w:sz w:val="28"/>
        <w:szCs w:val="28"/>
        <w:spacing w:val="-14"/>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8"/>
      </w:rPr>
      <w:t>111</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8"/>
      </w:rPr>
      <w:t>-</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7"/>
      </w:rPr>
      <w:t>119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129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139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149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159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169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179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189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199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176" w:lineRule="auto"/>
      <w:rPr>
        <w:rFonts w:ascii="SimSun" w:hAnsi="SimSun" w:eastAsia="SimSun" w:cs="SimSun"/>
        <w:sz w:val="28"/>
        <w:szCs w:val="28"/>
      </w:rPr>
    </w:pPr>
    <w:r>
      <w:rPr>
        <w:rFonts w:ascii="SimSun" w:hAnsi="SimSun" w:eastAsia="SimSun" w:cs="SimSun"/>
        <w:sz w:val="28"/>
        <w:szCs w:val="28"/>
        <w:spacing w:val="-8"/>
      </w:rPr>
      <w:t>-</w:t>
    </w:r>
    <w:r>
      <w:rPr>
        <w:rFonts w:ascii="SimSun" w:hAnsi="SimSun" w:eastAsia="SimSun" w:cs="SimSun"/>
        <w:sz w:val="28"/>
        <w:szCs w:val="28"/>
        <w:spacing w:val="15"/>
      </w:rPr>
      <w:t xml:space="preserve"> </w:t>
    </w:r>
    <w:r>
      <w:rPr>
        <w:rFonts w:ascii="SimSun" w:hAnsi="SimSun" w:eastAsia="SimSun" w:cs="SimSun"/>
        <w:sz w:val="28"/>
        <w:szCs w:val="28"/>
        <w:spacing w:val="-8"/>
      </w:rPr>
      <w:t>2</w:t>
    </w:r>
    <w:r>
      <w:rPr>
        <w:rFonts w:ascii="SimSun" w:hAnsi="SimSun" w:eastAsia="SimSun" w:cs="SimSun"/>
        <w:sz w:val="28"/>
        <w:szCs w:val="28"/>
        <w:spacing w:val="9"/>
      </w:rPr>
      <w:t xml:space="preserve"> </w:t>
    </w:r>
    <w:r>
      <w:rPr>
        <w:rFonts w:ascii="SimSun" w:hAnsi="SimSun" w:eastAsia="SimSun" w:cs="SimSun"/>
        <w:sz w:val="28"/>
        <w:szCs w:val="28"/>
        <w:spacing w:val="-8"/>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209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- 211</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2"/>
      </w:rPr>
      <w:t>-</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219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229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239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249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259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269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279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289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299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68"/>
      <w:spacing w:before="1" w:line="176" w:lineRule="auto"/>
      <w:rPr>
        <w:rFonts w:ascii="SimSun" w:hAnsi="SimSun" w:eastAsia="SimSun" w:cs="SimSun"/>
        <w:sz w:val="28"/>
        <w:szCs w:val="28"/>
      </w:rPr>
    </w:pPr>
    <w:r>
      <w:rPr>
        <w:rFonts w:ascii="SimSun" w:hAnsi="SimSun" w:eastAsia="SimSun" w:cs="SimSun"/>
        <w:sz w:val="28"/>
        <w:szCs w:val="28"/>
        <w:spacing w:val="-9"/>
      </w:rPr>
      <w:t>-</w:t>
    </w:r>
    <w:r>
      <w:rPr>
        <w:rFonts w:ascii="SimSun" w:hAnsi="SimSun" w:eastAsia="SimSun" w:cs="SimSun"/>
        <w:sz w:val="28"/>
        <w:szCs w:val="28"/>
        <w:spacing w:val="16"/>
      </w:rPr>
      <w:t xml:space="preserve"> </w:t>
    </w:r>
    <w:r>
      <w:rPr>
        <w:rFonts w:ascii="SimSun" w:hAnsi="SimSun" w:eastAsia="SimSun" w:cs="SimSun"/>
        <w:sz w:val="28"/>
        <w:szCs w:val="28"/>
        <w:spacing w:val="-9"/>
      </w:rPr>
      <w:t>3</w:t>
    </w:r>
    <w:r>
      <w:rPr>
        <w:rFonts w:ascii="SimSun" w:hAnsi="SimSun" w:eastAsia="SimSun" w:cs="SimSun"/>
        <w:sz w:val="28"/>
        <w:szCs w:val="28"/>
        <w:spacing w:val="9"/>
      </w:rPr>
      <w:t xml:space="preserve"> </w:t>
    </w:r>
    <w:r>
      <w:rPr>
        <w:rFonts w:ascii="SimSun" w:hAnsi="SimSun" w:eastAsia="SimSun" w:cs="SimSun"/>
        <w:sz w:val="28"/>
        <w:szCs w:val="28"/>
        <w:spacing w:val="-9"/>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309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311</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4"/>
      </w:rPr>
      <w:t>-</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319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329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339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349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359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369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379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389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3"/>
      </w:rPr>
      <w:t>399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0"/>
      </w:rPr>
      <w:t xml:space="preserve"> </w:t>
    </w:r>
    <w:r>
      <w:rPr>
        <w:rFonts w:ascii="SimSun" w:hAnsi="SimSun" w:eastAsia="SimSun" w:cs="SimSun"/>
        <w:sz w:val="28"/>
        <w:szCs w:val="28"/>
        <w:spacing w:val="-6"/>
      </w:rPr>
      <w:t>4</w:t>
    </w:r>
    <w:r>
      <w:rPr>
        <w:rFonts w:ascii="SimSun" w:hAnsi="SimSun" w:eastAsia="SimSun" w:cs="SimSun"/>
        <w:sz w:val="28"/>
        <w:szCs w:val="28"/>
        <w:spacing w:val="9"/>
      </w:rPr>
      <w:t xml:space="preserve"> </w:t>
    </w:r>
    <w:r>
      <w:rPr>
        <w:rFonts w:ascii="SimSun" w:hAnsi="SimSun" w:eastAsia="SimSun" w:cs="SimSun"/>
        <w:sz w:val="28"/>
        <w:szCs w:val="28"/>
        <w:spacing w:val="-6"/>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409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- 411</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2"/>
      </w:rPr>
      <w:t>-</w:t>
    </w:r>
  </w:p>
</w:ftr>
</file>

<file path=word/footer4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419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429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430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5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431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- 432</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- 433</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- 434</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- 435</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- 436</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4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- 437</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- 438</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- 439</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- 440</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- 441</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- 442</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- 443</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- 444</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- 445</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2"/>
      </w:rPr>
      <w:t>-</w:t>
    </w:r>
  </w:p>
</w:ftr>
</file>

<file path=word/footer4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446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3"/>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SimSun" w:hAnsi="SimSun" w:eastAsia="SimSun" w:cs="SimSun"/>
        <w:sz w:val="28"/>
        <w:szCs w:val="28"/>
      </w:rPr>
    </w:pPr>
    <w:r>
      <w:rPr>
        <w:rFonts w:ascii="SimSun" w:hAnsi="SimSun" w:eastAsia="SimSun" w:cs="SimSun"/>
        <w:sz w:val="28"/>
        <w:szCs w:val="28"/>
        <w:spacing w:val="-12"/>
      </w:rPr>
      <w:t>-</w:t>
    </w:r>
    <w:r>
      <w:rPr>
        <w:rFonts w:ascii="SimSun" w:hAnsi="SimSun" w:eastAsia="SimSun" w:cs="SimSun"/>
        <w:sz w:val="28"/>
        <w:szCs w:val="28"/>
        <w:spacing w:val="14"/>
      </w:rPr>
      <w:t xml:space="preserve"> </w:t>
    </w:r>
    <w:r>
      <w:rPr>
        <w:rFonts w:ascii="SimSun" w:hAnsi="SimSun" w:eastAsia="SimSun" w:cs="SimSun"/>
        <w:sz w:val="28"/>
        <w:szCs w:val="28"/>
        <w:spacing w:val="-11"/>
      </w:rPr>
      <w:t>5</w:t>
    </w:r>
    <w:r>
      <w:rPr>
        <w:rFonts w:ascii="SimSun" w:hAnsi="SimSun" w:eastAsia="SimSun" w:cs="SimSun"/>
        <w:sz w:val="28"/>
        <w:szCs w:val="28"/>
        <w:spacing w:val="9"/>
      </w:rPr>
      <w:t xml:space="preserve"> </w:t>
    </w:r>
    <w:r>
      <w:rPr>
        <w:rFonts w:ascii="SimSun" w:hAnsi="SimSun" w:eastAsia="SimSun" w:cs="SimSun"/>
        <w:sz w:val="28"/>
        <w:szCs w:val="28"/>
        <w:spacing w:val="-10"/>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176"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13"/>
      </w:rPr>
      <w:t xml:space="preserve"> </w:t>
    </w:r>
    <w:r>
      <w:rPr>
        <w:rFonts w:ascii="SimSun" w:hAnsi="SimSun" w:eastAsia="SimSun" w:cs="SimSun"/>
        <w:sz w:val="28"/>
        <w:szCs w:val="28"/>
        <w:spacing w:val="-7"/>
      </w:rPr>
      <w:t>6</w:t>
    </w:r>
    <w:r>
      <w:rPr>
        <w:rFonts w:ascii="SimSun" w:hAnsi="SimSun" w:eastAsia="SimSun" w:cs="SimSun"/>
        <w:sz w:val="28"/>
        <w:szCs w:val="28"/>
        <w:spacing w:val="9"/>
      </w:rPr>
      <w:t xml:space="preserve"> </w:t>
    </w:r>
    <w:r>
      <w:rPr>
        <w:rFonts w:ascii="SimSun" w:hAnsi="SimSun" w:eastAsia="SimSun" w:cs="SimSun"/>
        <w:sz w:val="28"/>
        <w:szCs w:val="28"/>
        <w:spacing w:val="-7"/>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85"/>
      <w:spacing w:line="175" w:lineRule="auto"/>
      <w:rPr>
        <w:rFonts w:ascii="SimSun" w:hAnsi="SimSun" w:eastAsia="SimSun" w:cs="SimSun"/>
        <w:sz w:val="28"/>
        <w:szCs w:val="28"/>
      </w:rPr>
    </w:pPr>
    <w:r>
      <w:rPr>
        <w:rFonts w:ascii="SimSun" w:hAnsi="SimSun" w:eastAsia="SimSun" w:cs="SimSun"/>
        <w:sz w:val="28"/>
        <w:szCs w:val="28"/>
        <w:spacing w:val="-9"/>
      </w:rPr>
      <w:t>-</w:t>
    </w:r>
    <w:r>
      <w:rPr>
        <w:rFonts w:ascii="SimSun" w:hAnsi="SimSun" w:eastAsia="SimSun" w:cs="SimSun"/>
        <w:sz w:val="28"/>
        <w:szCs w:val="28"/>
        <w:spacing w:val="16"/>
      </w:rPr>
      <w:t xml:space="preserve"> </w:t>
    </w:r>
    <w:r>
      <w:rPr>
        <w:rFonts w:ascii="SimSun" w:hAnsi="SimSun" w:eastAsia="SimSun" w:cs="SimSun"/>
        <w:sz w:val="28"/>
        <w:szCs w:val="28"/>
        <w:spacing w:val="-9"/>
      </w:rPr>
      <w:t>7</w:t>
    </w:r>
    <w:r>
      <w:rPr>
        <w:rFonts w:ascii="SimSun" w:hAnsi="SimSun" w:eastAsia="SimSun" w:cs="SimSun"/>
        <w:sz w:val="28"/>
        <w:szCs w:val="28"/>
        <w:spacing w:val="9"/>
      </w:rPr>
      <w:t xml:space="preserve"> </w:t>
    </w:r>
    <w:r>
      <w:rPr>
        <w:rFonts w:ascii="SimSun" w:hAnsi="SimSun" w:eastAsia="SimSun" w:cs="SimSun"/>
        <w:sz w:val="28"/>
        <w:szCs w:val="28"/>
        <w:spacing w:val="-9"/>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2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85"/>
      <w:spacing w:before="1" w:line="176"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10"/>
      </w:rPr>
      <w:t xml:space="preserve"> </w:t>
    </w:r>
    <w:r>
      <w:rPr>
        <w:rFonts w:ascii="SimSun" w:hAnsi="SimSun" w:eastAsia="SimSun" w:cs="SimSun"/>
        <w:sz w:val="28"/>
        <w:szCs w:val="28"/>
        <w:spacing w:val="-7"/>
      </w:rPr>
      <w:t>8</w:t>
    </w:r>
    <w:r>
      <w:rPr>
        <w:rFonts w:ascii="SimSun" w:hAnsi="SimSun" w:eastAsia="SimSun" w:cs="SimSun"/>
        <w:sz w:val="28"/>
        <w:szCs w:val="28"/>
        <w:spacing w:val="9"/>
      </w:rPr>
      <w:t xml:space="preserve"> </w:t>
    </w:r>
    <w:r>
      <w:rPr>
        <w:rFonts w:ascii="SimSun" w:hAnsi="SimSun" w:eastAsia="SimSun" w:cs="SimSun"/>
        <w:sz w:val="28"/>
        <w:szCs w:val="28"/>
        <w:spacing w:val="-7"/>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85"/>
      <w:spacing w:before="1" w:line="176"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10"/>
      </w:rPr>
      <w:t xml:space="preserve"> </w:t>
    </w:r>
    <w:r>
      <w:rPr>
        <w:rFonts w:ascii="SimSun" w:hAnsi="SimSun" w:eastAsia="SimSun" w:cs="SimSun"/>
        <w:sz w:val="28"/>
        <w:szCs w:val="28"/>
        <w:spacing w:val="-7"/>
      </w:rPr>
      <w:t>9</w:t>
    </w:r>
    <w:r>
      <w:rPr>
        <w:rFonts w:ascii="SimSun" w:hAnsi="SimSun" w:eastAsia="SimSun" w:cs="SimSun"/>
        <w:sz w:val="28"/>
        <w:szCs w:val="28"/>
        <w:spacing w:val="9"/>
      </w:rPr>
      <w:t xml:space="preserve"> </w:t>
    </w:r>
    <w:r>
      <w:rPr>
        <w:rFonts w:ascii="SimSun" w:hAnsi="SimSun" w:eastAsia="SimSun" w:cs="SimSun"/>
        <w:sz w:val="28"/>
        <w:szCs w:val="28"/>
        <w:spacing w:val="-7"/>
      </w:rPr>
      <w:t>-</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99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100</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106</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6.xml"/><Relationship Id="rId98" Type="http://schemas.openxmlformats.org/officeDocument/2006/relationships/footer" Target="footer95.xml"/><Relationship Id="rId97" Type="http://schemas.openxmlformats.org/officeDocument/2006/relationships/footer" Target="footer94.xml"/><Relationship Id="rId96" Type="http://schemas.openxmlformats.org/officeDocument/2006/relationships/footer" Target="footer93.xml"/><Relationship Id="rId95" Type="http://schemas.openxmlformats.org/officeDocument/2006/relationships/footer" Target="footer92.xml"/><Relationship Id="rId94" Type="http://schemas.openxmlformats.org/officeDocument/2006/relationships/footer" Target="footer91.xml"/><Relationship Id="rId93" Type="http://schemas.openxmlformats.org/officeDocument/2006/relationships/footer" Target="footer90.xml"/><Relationship Id="rId92" Type="http://schemas.openxmlformats.org/officeDocument/2006/relationships/footer" Target="footer89.xml"/><Relationship Id="rId91" Type="http://schemas.openxmlformats.org/officeDocument/2006/relationships/footer" Target="footer88.xml"/><Relationship Id="rId90" Type="http://schemas.openxmlformats.org/officeDocument/2006/relationships/footer" Target="footer87.xml"/><Relationship Id="rId9" Type="http://schemas.openxmlformats.org/officeDocument/2006/relationships/hyperlink" Target="https://www.66law.cn/zuiming/92_gainian.aspx" TargetMode="External"/><Relationship Id="rId89" Type="http://schemas.openxmlformats.org/officeDocument/2006/relationships/footer" Target="footer86.xml"/><Relationship Id="rId88" Type="http://schemas.openxmlformats.org/officeDocument/2006/relationships/footer" Target="footer85.xml"/><Relationship Id="rId87" Type="http://schemas.openxmlformats.org/officeDocument/2006/relationships/footer" Target="footer84.xml"/><Relationship Id="rId86" Type="http://schemas.openxmlformats.org/officeDocument/2006/relationships/footer" Target="footer83.xml"/><Relationship Id="rId85" Type="http://schemas.openxmlformats.org/officeDocument/2006/relationships/footer" Target="footer82.xml"/><Relationship Id="rId84" Type="http://schemas.openxmlformats.org/officeDocument/2006/relationships/footer" Target="footer81.xml"/><Relationship Id="rId83" Type="http://schemas.openxmlformats.org/officeDocument/2006/relationships/footer" Target="footer80.xml"/><Relationship Id="rId82" Type="http://schemas.openxmlformats.org/officeDocument/2006/relationships/footer" Target="footer79.xml"/><Relationship Id="rId81" Type="http://schemas.openxmlformats.org/officeDocument/2006/relationships/footer" Target="footer78.xml"/><Relationship Id="rId80" Type="http://schemas.openxmlformats.org/officeDocument/2006/relationships/footer" Target="footer77.xml"/><Relationship Id="rId8" Type="http://schemas.openxmlformats.org/officeDocument/2006/relationships/footer" Target="footer6.xml"/><Relationship Id="rId79" Type="http://schemas.openxmlformats.org/officeDocument/2006/relationships/footer" Target="footer76.xml"/><Relationship Id="rId78" Type="http://schemas.openxmlformats.org/officeDocument/2006/relationships/footer" Target="footer75.xml"/><Relationship Id="rId77" Type="http://schemas.openxmlformats.org/officeDocument/2006/relationships/footer" Target="footer74.xml"/><Relationship Id="rId76" Type="http://schemas.openxmlformats.org/officeDocument/2006/relationships/footer" Target="footer73.xml"/><Relationship Id="rId75" Type="http://schemas.openxmlformats.org/officeDocument/2006/relationships/footer" Target="footer72.xml"/><Relationship Id="rId74" Type="http://schemas.openxmlformats.org/officeDocument/2006/relationships/footer" Target="footer71.xml"/><Relationship Id="rId73" Type="http://schemas.openxmlformats.org/officeDocument/2006/relationships/footer" Target="footer70.xml"/><Relationship Id="rId72" Type="http://schemas.openxmlformats.org/officeDocument/2006/relationships/footer" Target="footer69.xml"/><Relationship Id="rId71" Type="http://schemas.openxmlformats.org/officeDocument/2006/relationships/footer" Target="footer68.xml"/><Relationship Id="rId70" Type="http://schemas.openxmlformats.org/officeDocument/2006/relationships/footer" Target="footer67.xml"/><Relationship Id="rId7" Type="http://schemas.openxmlformats.org/officeDocument/2006/relationships/footer" Target="footer5.xml"/><Relationship Id="rId69" Type="http://schemas.openxmlformats.org/officeDocument/2006/relationships/footer" Target="footer66.xml"/><Relationship Id="rId68" Type="http://schemas.openxmlformats.org/officeDocument/2006/relationships/footer" Target="footer65.xml"/><Relationship Id="rId67" Type="http://schemas.openxmlformats.org/officeDocument/2006/relationships/footer" Target="footer64.xml"/><Relationship Id="rId66" Type="http://schemas.openxmlformats.org/officeDocument/2006/relationships/footer" Target="footer63.xml"/><Relationship Id="rId65" Type="http://schemas.openxmlformats.org/officeDocument/2006/relationships/footer" Target="footer62.xml"/><Relationship Id="rId64" Type="http://schemas.openxmlformats.org/officeDocument/2006/relationships/footer" Target="footer61.xml"/><Relationship Id="rId63" Type="http://schemas.openxmlformats.org/officeDocument/2006/relationships/footer" Target="footer60.xml"/><Relationship Id="rId62" Type="http://schemas.openxmlformats.org/officeDocument/2006/relationships/footer" Target="footer59.xml"/><Relationship Id="rId61" Type="http://schemas.openxmlformats.org/officeDocument/2006/relationships/footer" Target="footer58.xml"/><Relationship Id="rId60" Type="http://schemas.openxmlformats.org/officeDocument/2006/relationships/footer" Target="footer57.xml"/><Relationship Id="rId6" Type="http://schemas.openxmlformats.org/officeDocument/2006/relationships/footer" Target="footer4.xml"/><Relationship Id="rId59" Type="http://schemas.openxmlformats.org/officeDocument/2006/relationships/footer" Target="footer56.xml"/><Relationship Id="rId58" Type="http://schemas.openxmlformats.org/officeDocument/2006/relationships/footer" Target="footer55.xml"/><Relationship Id="rId57" Type="http://schemas.openxmlformats.org/officeDocument/2006/relationships/footer" Target="footer54.xml"/><Relationship Id="rId56" Type="http://schemas.openxmlformats.org/officeDocument/2006/relationships/footer" Target="footer53.xml"/><Relationship Id="rId55" Type="http://schemas.openxmlformats.org/officeDocument/2006/relationships/footer" Target="footer52.xml"/><Relationship Id="rId54" Type="http://schemas.openxmlformats.org/officeDocument/2006/relationships/footer" Target="footer51.xml"/><Relationship Id="rId53" Type="http://schemas.openxmlformats.org/officeDocument/2006/relationships/footer" Target="footer50.xml"/><Relationship Id="rId52" Type="http://schemas.openxmlformats.org/officeDocument/2006/relationships/footer" Target="footer49.xml"/><Relationship Id="rId51" Type="http://schemas.openxmlformats.org/officeDocument/2006/relationships/footer" Target="footer48.xml"/><Relationship Id="rId50" Type="http://schemas.openxmlformats.org/officeDocument/2006/relationships/footer" Target="footer47.xml"/><Relationship Id="rId5" Type="http://schemas.openxmlformats.org/officeDocument/2006/relationships/footer" Target="footer3.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4" Type="http://schemas.openxmlformats.org/officeDocument/2006/relationships/fontTable" Target="fontTable.xml"/><Relationship Id="rId453" Type="http://schemas.openxmlformats.org/officeDocument/2006/relationships/styles" Target="styles.xml"/><Relationship Id="rId452" Type="http://schemas.openxmlformats.org/officeDocument/2006/relationships/settings" Target="settings.xml"/><Relationship Id="rId451" Type="http://schemas.openxmlformats.org/officeDocument/2006/relationships/footer" Target="footer439.xml"/><Relationship Id="rId450" Type="http://schemas.openxmlformats.org/officeDocument/2006/relationships/footer" Target="footer438.xml"/><Relationship Id="rId45" Type="http://schemas.openxmlformats.org/officeDocument/2006/relationships/footer" Target="footer42.xml"/><Relationship Id="rId449" Type="http://schemas.openxmlformats.org/officeDocument/2006/relationships/footer" Target="footer437.xml"/><Relationship Id="rId448" Type="http://schemas.openxmlformats.org/officeDocument/2006/relationships/footer" Target="footer436.xml"/><Relationship Id="rId447" Type="http://schemas.openxmlformats.org/officeDocument/2006/relationships/hyperlink" Target="http://law1.law-star.com/law?fn=AF61FE9E4FB1BC9B3FCFCFCC3AAD5225&amp;dbt=chl" TargetMode="External"/><Relationship Id="rId446" Type="http://schemas.openxmlformats.org/officeDocument/2006/relationships/footer" Target="footer435.xml"/><Relationship Id="rId445" Type="http://schemas.openxmlformats.org/officeDocument/2006/relationships/footer" Target="footer434.xml"/><Relationship Id="rId444" Type="http://schemas.openxmlformats.org/officeDocument/2006/relationships/footer" Target="footer433.xml"/><Relationship Id="rId443" Type="http://schemas.openxmlformats.org/officeDocument/2006/relationships/footer" Target="footer432.xml"/><Relationship Id="rId442" Type="http://schemas.openxmlformats.org/officeDocument/2006/relationships/footer" Target="footer431.xml"/><Relationship Id="rId441" Type="http://schemas.openxmlformats.org/officeDocument/2006/relationships/footer" Target="footer430.xml"/><Relationship Id="rId440" Type="http://schemas.openxmlformats.org/officeDocument/2006/relationships/footer" Target="footer429.xml"/><Relationship Id="rId44" Type="http://schemas.openxmlformats.org/officeDocument/2006/relationships/footer" Target="footer41.xml"/><Relationship Id="rId439" Type="http://schemas.openxmlformats.org/officeDocument/2006/relationships/hyperlink" Target="http://www.law-lib.com/law/law_view.asp?id=686470" TargetMode="External"/><Relationship Id="rId438" Type="http://schemas.openxmlformats.org/officeDocument/2006/relationships/footer" Target="footer428.xml"/><Relationship Id="rId437" Type="http://schemas.openxmlformats.org/officeDocument/2006/relationships/footer" Target="footer427.xml"/><Relationship Id="rId436" Type="http://schemas.openxmlformats.org/officeDocument/2006/relationships/hyperlink" Target="http://www.law-lib.com/law/law_view.asp?id=712131" TargetMode="External"/><Relationship Id="rId435" Type="http://schemas.openxmlformats.org/officeDocument/2006/relationships/footer" Target="footer426.xml"/><Relationship Id="rId434" Type="http://schemas.openxmlformats.org/officeDocument/2006/relationships/footer" Target="footer425.xml"/><Relationship Id="rId433" Type="http://schemas.openxmlformats.org/officeDocument/2006/relationships/footer" Target="footer424.xml"/><Relationship Id="rId432" Type="http://schemas.openxmlformats.org/officeDocument/2006/relationships/footer" Target="footer423.xml"/><Relationship Id="rId431" Type="http://schemas.openxmlformats.org/officeDocument/2006/relationships/footer" Target="footer422.xml"/><Relationship Id="rId430" Type="http://schemas.openxmlformats.org/officeDocument/2006/relationships/footer" Target="footer421.xml"/><Relationship Id="rId43" Type="http://schemas.openxmlformats.org/officeDocument/2006/relationships/footer" Target="footer40.xml"/><Relationship Id="rId429" Type="http://schemas.openxmlformats.org/officeDocument/2006/relationships/footer" Target="footer420.xml"/><Relationship Id="rId428" Type="http://schemas.openxmlformats.org/officeDocument/2006/relationships/footer" Target="footer419.xml"/><Relationship Id="rId427" Type="http://schemas.openxmlformats.org/officeDocument/2006/relationships/footer" Target="footer418.xml"/><Relationship Id="rId426" Type="http://schemas.openxmlformats.org/officeDocument/2006/relationships/footer" Target="footer417.xml"/><Relationship Id="rId425" Type="http://schemas.openxmlformats.org/officeDocument/2006/relationships/footer" Target="footer416.xml"/><Relationship Id="rId424" Type="http://schemas.openxmlformats.org/officeDocument/2006/relationships/footer" Target="footer415.xml"/><Relationship Id="rId423" Type="http://schemas.openxmlformats.org/officeDocument/2006/relationships/footer" Target="footer414.xml"/><Relationship Id="rId422" Type="http://schemas.openxmlformats.org/officeDocument/2006/relationships/footer" Target="footer413.xml"/><Relationship Id="rId421" Type="http://schemas.openxmlformats.org/officeDocument/2006/relationships/footer" Target="footer412.xml"/><Relationship Id="rId420" Type="http://schemas.openxmlformats.org/officeDocument/2006/relationships/footer" Target="footer411.xml"/><Relationship Id="rId42" Type="http://schemas.openxmlformats.org/officeDocument/2006/relationships/footer" Target="footer39.xml"/><Relationship Id="rId419" Type="http://schemas.openxmlformats.org/officeDocument/2006/relationships/footer" Target="footer410.xml"/><Relationship Id="rId418" Type="http://schemas.openxmlformats.org/officeDocument/2006/relationships/footer" Target="footer409.xml"/><Relationship Id="rId417" Type="http://schemas.openxmlformats.org/officeDocument/2006/relationships/footer" Target="footer408.xml"/><Relationship Id="rId416" Type="http://schemas.openxmlformats.org/officeDocument/2006/relationships/footer" Target="footer407.xml"/><Relationship Id="rId415" Type="http://schemas.openxmlformats.org/officeDocument/2006/relationships/footer" Target="footer406.xml"/><Relationship Id="rId414" Type="http://schemas.openxmlformats.org/officeDocument/2006/relationships/footer" Target="footer405.xml"/><Relationship Id="rId413" Type="http://schemas.openxmlformats.org/officeDocument/2006/relationships/footer" Target="footer404.xml"/><Relationship Id="rId412" Type="http://schemas.openxmlformats.org/officeDocument/2006/relationships/footer" Target="footer403.xml"/><Relationship Id="rId411" Type="http://schemas.openxmlformats.org/officeDocument/2006/relationships/footer" Target="footer402.xml"/><Relationship Id="rId410" Type="http://schemas.openxmlformats.org/officeDocument/2006/relationships/footer" Target="footer401.xml"/><Relationship Id="rId41" Type="http://schemas.openxmlformats.org/officeDocument/2006/relationships/footer" Target="footer38.xml"/><Relationship Id="rId409" Type="http://schemas.openxmlformats.org/officeDocument/2006/relationships/footer" Target="footer400.xml"/><Relationship Id="rId408" Type="http://schemas.openxmlformats.org/officeDocument/2006/relationships/footer" Target="footer399.xml"/><Relationship Id="rId407" Type="http://schemas.openxmlformats.org/officeDocument/2006/relationships/footer" Target="footer398.xml"/><Relationship Id="rId406" Type="http://schemas.openxmlformats.org/officeDocument/2006/relationships/footer" Target="footer397.xml"/><Relationship Id="rId405" Type="http://schemas.openxmlformats.org/officeDocument/2006/relationships/footer" Target="footer396.xml"/><Relationship Id="rId404" Type="http://schemas.openxmlformats.org/officeDocument/2006/relationships/footer" Target="footer395.xml"/><Relationship Id="rId403" Type="http://schemas.openxmlformats.org/officeDocument/2006/relationships/footer" Target="footer394.xml"/><Relationship Id="rId402" Type="http://schemas.openxmlformats.org/officeDocument/2006/relationships/footer" Target="footer393.xml"/><Relationship Id="rId401" Type="http://schemas.openxmlformats.org/officeDocument/2006/relationships/footer" Target="footer392.xml"/><Relationship Id="rId400" Type="http://schemas.openxmlformats.org/officeDocument/2006/relationships/footer" Target="footer391.xml"/><Relationship Id="rId40" Type="http://schemas.openxmlformats.org/officeDocument/2006/relationships/footer" Target="footer37.xml"/><Relationship Id="rId4" Type="http://schemas.openxmlformats.org/officeDocument/2006/relationships/image" Target="media/image2.png"/><Relationship Id="rId399" Type="http://schemas.openxmlformats.org/officeDocument/2006/relationships/footer" Target="footer390.xml"/><Relationship Id="rId398" Type="http://schemas.openxmlformats.org/officeDocument/2006/relationships/footer" Target="footer389.xml"/><Relationship Id="rId397" Type="http://schemas.openxmlformats.org/officeDocument/2006/relationships/footer" Target="footer388.xml"/><Relationship Id="rId396" Type="http://schemas.openxmlformats.org/officeDocument/2006/relationships/footer" Target="footer387.xml"/><Relationship Id="rId395" Type="http://schemas.openxmlformats.org/officeDocument/2006/relationships/footer" Target="footer386.xml"/><Relationship Id="rId394" Type="http://schemas.openxmlformats.org/officeDocument/2006/relationships/footer" Target="footer385.xml"/><Relationship Id="rId393" Type="http://schemas.openxmlformats.org/officeDocument/2006/relationships/footer" Target="footer384.xml"/><Relationship Id="rId392" Type="http://schemas.openxmlformats.org/officeDocument/2006/relationships/footer" Target="footer383.xml"/><Relationship Id="rId391" Type="http://schemas.openxmlformats.org/officeDocument/2006/relationships/footer" Target="footer382.xml"/><Relationship Id="rId390" Type="http://schemas.openxmlformats.org/officeDocument/2006/relationships/footer" Target="footer381.xml"/><Relationship Id="rId39" Type="http://schemas.openxmlformats.org/officeDocument/2006/relationships/footer" Target="footer36.xml"/><Relationship Id="rId389" Type="http://schemas.openxmlformats.org/officeDocument/2006/relationships/footer" Target="footer380.xml"/><Relationship Id="rId388" Type="http://schemas.openxmlformats.org/officeDocument/2006/relationships/footer" Target="footer379.xml"/><Relationship Id="rId387" Type="http://schemas.openxmlformats.org/officeDocument/2006/relationships/footer" Target="footer378.xml"/><Relationship Id="rId386" Type="http://schemas.openxmlformats.org/officeDocument/2006/relationships/footer" Target="footer377.xml"/><Relationship Id="rId385" Type="http://schemas.openxmlformats.org/officeDocument/2006/relationships/footer" Target="footer376.xml"/><Relationship Id="rId384" Type="http://schemas.openxmlformats.org/officeDocument/2006/relationships/footer" Target="footer375.xml"/><Relationship Id="rId383" Type="http://schemas.openxmlformats.org/officeDocument/2006/relationships/footer" Target="footer374.xml"/><Relationship Id="rId382" Type="http://schemas.openxmlformats.org/officeDocument/2006/relationships/footer" Target="footer373.xml"/><Relationship Id="rId381" Type="http://schemas.openxmlformats.org/officeDocument/2006/relationships/footer" Target="footer372.xml"/><Relationship Id="rId380" Type="http://schemas.openxmlformats.org/officeDocument/2006/relationships/footer" Target="footer371.xml"/><Relationship Id="rId38" Type="http://schemas.openxmlformats.org/officeDocument/2006/relationships/footer" Target="footer35.xml"/><Relationship Id="rId379" Type="http://schemas.openxmlformats.org/officeDocument/2006/relationships/footer" Target="footer370.xml"/><Relationship Id="rId378" Type="http://schemas.openxmlformats.org/officeDocument/2006/relationships/footer" Target="footer369.xml"/><Relationship Id="rId377" Type="http://schemas.openxmlformats.org/officeDocument/2006/relationships/footer" Target="footer368.xml"/><Relationship Id="rId376" Type="http://schemas.openxmlformats.org/officeDocument/2006/relationships/footer" Target="footer367.xml"/><Relationship Id="rId375" Type="http://schemas.openxmlformats.org/officeDocument/2006/relationships/footer" Target="footer366.xml"/><Relationship Id="rId374" Type="http://schemas.openxmlformats.org/officeDocument/2006/relationships/footer" Target="footer365.xml"/><Relationship Id="rId373" Type="http://schemas.openxmlformats.org/officeDocument/2006/relationships/footer" Target="footer364.xml"/><Relationship Id="rId372" Type="http://schemas.openxmlformats.org/officeDocument/2006/relationships/footer" Target="footer363.xml"/><Relationship Id="rId371" Type="http://schemas.openxmlformats.org/officeDocument/2006/relationships/footer" Target="footer362.xml"/><Relationship Id="rId370" Type="http://schemas.openxmlformats.org/officeDocument/2006/relationships/footer" Target="footer361.xml"/><Relationship Id="rId37" Type="http://schemas.openxmlformats.org/officeDocument/2006/relationships/footer" Target="footer34.xml"/><Relationship Id="rId369" Type="http://schemas.openxmlformats.org/officeDocument/2006/relationships/footer" Target="footer360.xml"/><Relationship Id="rId368" Type="http://schemas.openxmlformats.org/officeDocument/2006/relationships/footer" Target="footer359.xml"/><Relationship Id="rId367" Type="http://schemas.openxmlformats.org/officeDocument/2006/relationships/footer" Target="footer358.xml"/><Relationship Id="rId366" Type="http://schemas.openxmlformats.org/officeDocument/2006/relationships/footer" Target="footer357.xml"/><Relationship Id="rId365" Type="http://schemas.openxmlformats.org/officeDocument/2006/relationships/footer" Target="footer356.xml"/><Relationship Id="rId364" Type="http://schemas.openxmlformats.org/officeDocument/2006/relationships/footer" Target="footer355.xml"/><Relationship Id="rId363" Type="http://schemas.openxmlformats.org/officeDocument/2006/relationships/footer" Target="footer354.xml"/><Relationship Id="rId362" Type="http://schemas.openxmlformats.org/officeDocument/2006/relationships/footer" Target="footer353.xml"/><Relationship Id="rId361" Type="http://schemas.openxmlformats.org/officeDocument/2006/relationships/footer" Target="footer352.xml"/><Relationship Id="rId360" Type="http://schemas.openxmlformats.org/officeDocument/2006/relationships/footer" Target="footer351.xml"/><Relationship Id="rId36" Type="http://schemas.openxmlformats.org/officeDocument/2006/relationships/footer" Target="footer33.xml"/><Relationship Id="rId359" Type="http://schemas.openxmlformats.org/officeDocument/2006/relationships/footer" Target="footer350.xml"/><Relationship Id="rId358" Type="http://schemas.openxmlformats.org/officeDocument/2006/relationships/footer" Target="footer349.xml"/><Relationship Id="rId357" Type="http://schemas.openxmlformats.org/officeDocument/2006/relationships/footer" Target="footer348.xml"/><Relationship Id="rId356" Type="http://schemas.openxmlformats.org/officeDocument/2006/relationships/footer" Target="footer347.xml"/><Relationship Id="rId355" Type="http://schemas.openxmlformats.org/officeDocument/2006/relationships/footer" Target="footer346.xml"/><Relationship Id="rId354" Type="http://schemas.openxmlformats.org/officeDocument/2006/relationships/footer" Target="footer345.xml"/><Relationship Id="rId353" Type="http://schemas.openxmlformats.org/officeDocument/2006/relationships/footer" Target="footer344.xml"/><Relationship Id="rId352" Type="http://schemas.openxmlformats.org/officeDocument/2006/relationships/footer" Target="footer343.xml"/><Relationship Id="rId351" Type="http://schemas.openxmlformats.org/officeDocument/2006/relationships/footer" Target="footer342.xml"/><Relationship Id="rId350" Type="http://schemas.openxmlformats.org/officeDocument/2006/relationships/footer" Target="footer341.xml"/><Relationship Id="rId35" Type="http://schemas.openxmlformats.org/officeDocument/2006/relationships/footer" Target="footer32.xml"/><Relationship Id="rId349" Type="http://schemas.openxmlformats.org/officeDocument/2006/relationships/footer" Target="footer340.xml"/><Relationship Id="rId348" Type="http://schemas.openxmlformats.org/officeDocument/2006/relationships/footer" Target="footer339.xml"/><Relationship Id="rId347" Type="http://schemas.openxmlformats.org/officeDocument/2006/relationships/footer" Target="footer338.xml"/><Relationship Id="rId346" Type="http://schemas.openxmlformats.org/officeDocument/2006/relationships/hyperlink" Target="https://www.itslaw.com/search/lawsAndRegulations/lawAndRegulation?searchMode=lawsAndRegulations&amp;lawAndRegulationId=c26bc53c-b04e-4f36-b6be-64f4376335f8&amp;lawRegulationArticleId=1000057230" TargetMode="External"/><Relationship Id="rId345" Type="http://schemas.openxmlformats.org/officeDocument/2006/relationships/hyperlink" Target="https://www.itslaw.com/search/lawsAndRegulations/lawAndRegulation?searchMode=lawsAndRegulations&amp;lawAndRegulationId=c26bc53c-b04e-4f36-b6be-64f4376335f8&amp;lawRegulationArticleId=2383014" TargetMode="External"/><Relationship Id="rId344" Type="http://schemas.openxmlformats.org/officeDocument/2006/relationships/footer" Target="footer337.xml"/><Relationship Id="rId343" Type="http://schemas.openxmlformats.org/officeDocument/2006/relationships/footer" Target="footer336.xml"/><Relationship Id="rId342" Type="http://schemas.openxmlformats.org/officeDocument/2006/relationships/footer" Target="footer335.xml"/><Relationship Id="rId341" Type="http://schemas.openxmlformats.org/officeDocument/2006/relationships/footer" Target="footer334.xml"/><Relationship Id="rId340" Type="http://schemas.openxmlformats.org/officeDocument/2006/relationships/hyperlink" Target="https://www.itslaw.com/search/lawsAndRegulations/lawAndRegulation?searchMode=lawsAndRegulations&amp;lawAndRegulationId=b9ffe1f5-7332-460e-af2a-4c0fbd03209d&amp;lawRegulationArticleId=1000208419" TargetMode="External"/><Relationship Id="rId34" Type="http://schemas.openxmlformats.org/officeDocument/2006/relationships/footer" Target="footer31.xml"/><Relationship Id="rId339" Type="http://schemas.openxmlformats.org/officeDocument/2006/relationships/footer" Target="footer333.xml"/><Relationship Id="rId338" Type="http://schemas.openxmlformats.org/officeDocument/2006/relationships/footer" Target="footer332.xml"/><Relationship Id="rId337" Type="http://schemas.openxmlformats.org/officeDocument/2006/relationships/footer" Target="footer331.xml"/><Relationship Id="rId336" Type="http://schemas.openxmlformats.org/officeDocument/2006/relationships/footer" Target="footer330.xml"/><Relationship Id="rId335" Type="http://schemas.openxmlformats.org/officeDocument/2006/relationships/footer" Target="footer329.xml"/><Relationship Id="rId334" Type="http://schemas.openxmlformats.org/officeDocument/2006/relationships/footer" Target="footer328.xml"/><Relationship Id="rId333" Type="http://schemas.openxmlformats.org/officeDocument/2006/relationships/footer" Target="footer327.xml"/><Relationship Id="rId332" Type="http://schemas.openxmlformats.org/officeDocument/2006/relationships/footer" Target="footer326.xml"/><Relationship Id="rId331" Type="http://schemas.openxmlformats.org/officeDocument/2006/relationships/hyperlink" Target="https://www.law-star.com/detail?rjs8=C325161FB543D5EF21E490D5010273FD" TargetMode="External"/><Relationship Id="rId330" Type="http://schemas.openxmlformats.org/officeDocument/2006/relationships/footer" Target="footer325.xml"/><Relationship Id="rId33" Type="http://schemas.openxmlformats.org/officeDocument/2006/relationships/footer" Target="footer30.xml"/><Relationship Id="rId329" Type="http://schemas.openxmlformats.org/officeDocument/2006/relationships/footer" Target="footer324.xml"/><Relationship Id="rId328" Type="http://schemas.openxmlformats.org/officeDocument/2006/relationships/hyperlink" Target="https://www.itslaw.com/search/lawsAndRegulations/lawAndRegulation?searchMode=lawsAndRegulations&amp;lawAndRegulationId=b9ffe1f5-7332-460e-af2a-4c0fbd03209d&amp;lawRegulationArticleId=1000208437" TargetMode="External"/><Relationship Id="rId327" Type="http://schemas.openxmlformats.org/officeDocument/2006/relationships/hyperlink" Target="https://www.itslaw.com/search/lawsAndRegulations/lawAndRegulation?searchMode=lawsAndRegulations&amp;lawAndRegulationId=b9ffe1f5-7332-460e-af2a-4c0fbd03209d&amp;lawRegulationArticleId=2384554" TargetMode="External"/><Relationship Id="rId326" Type="http://schemas.openxmlformats.org/officeDocument/2006/relationships/footer" Target="footer323.xml"/><Relationship Id="rId325" Type="http://schemas.openxmlformats.org/officeDocument/2006/relationships/footer" Target="footer322.xml"/><Relationship Id="rId324" Type="http://schemas.openxmlformats.org/officeDocument/2006/relationships/footer" Target="footer321.xml"/><Relationship Id="rId323" Type="http://schemas.openxmlformats.org/officeDocument/2006/relationships/footer" Target="footer320.xml"/><Relationship Id="rId322" Type="http://schemas.openxmlformats.org/officeDocument/2006/relationships/footer" Target="footer319.xml"/><Relationship Id="rId321" Type="http://schemas.openxmlformats.org/officeDocument/2006/relationships/footer" Target="footer318.xml"/><Relationship Id="rId320" Type="http://schemas.openxmlformats.org/officeDocument/2006/relationships/footer" Target="footer317.xml"/><Relationship Id="rId32" Type="http://schemas.openxmlformats.org/officeDocument/2006/relationships/footer" Target="footer29.xml"/><Relationship Id="rId319" Type="http://schemas.openxmlformats.org/officeDocument/2006/relationships/footer" Target="footer316.xml"/><Relationship Id="rId318" Type="http://schemas.openxmlformats.org/officeDocument/2006/relationships/footer" Target="footer315.xml"/><Relationship Id="rId317" Type="http://schemas.openxmlformats.org/officeDocument/2006/relationships/footer" Target="footer314.xml"/><Relationship Id="rId316" Type="http://schemas.openxmlformats.org/officeDocument/2006/relationships/footer" Target="footer313.xml"/><Relationship Id="rId315" Type="http://schemas.openxmlformats.org/officeDocument/2006/relationships/footer" Target="footer312.xml"/><Relationship Id="rId314" Type="http://schemas.openxmlformats.org/officeDocument/2006/relationships/footer" Target="footer311.xml"/><Relationship Id="rId313" Type="http://schemas.openxmlformats.org/officeDocument/2006/relationships/footer" Target="footer310.xml"/><Relationship Id="rId312" Type="http://schemas.openxmlformats.org/officeDocument/2006/relationships/footer" Target="footer309.xml"/><Relationship Id="rId311" Type="http://schemas.openxmlformats.org/officeDocument/2006/relationships/footer" Target="footer308.xml"/><Relationship Id="rId310" Type="http://schemas.openxmlformats.org/officeDocument/2006/relationships/footer" Target="footer307.xml"/><Relationship Id="rId31" Type="http://schemas.openxmlformats.org/officeDocument/2006/relationships/footer" Target="footer28.xml"/><Relationship Id="rId309" Type="http://schemas.openxmlformats.org/officeDocument/2006/relationships/footer" Target="footer306.xml"/><Relationship Id="rId308" Type="http://schemas.openxmlformats.org/officeDocument/2006/relationships/footer" Target="footer305.xml"/><Relationship Id="rId307" Type="http://schemas.openxmlformats.org/officeDocument/2006/relationships/footer" Target="footer304.xml"/><Relationship Id="rId306" Type="http://schemas.openxmlformats.org/officeDocument/2006/relationships/footer" Target="footer303.xml"/><Relationship Id="rId305" Type="http://schemas.openxmlformats.org/officeDocument/2006/relationships/footer" Target="footer302.xml"/><Relationship Id="rId304" Type="http://schemas.openxmlformats.org/officeDocument/2006/relationships/footer" Target="footer301.xml"/><Relationship Id="rId303" Type="http://schemas.openxmlformats.org/officeDocument/2006/relationships/footer" Target="footer300.xml"/><Relationship Id="rId302" Type="http://schemas.openxmlformats.org/officeDocument/2006/relationships/footer" Target="footer299.xml"/><Relationship Id="rId301" Type="http://schemas.openxmlformats.org/officeDocument/2006/relationships/footer" Target="footer298.xml"/><Relationship Id="rId300" Type="http://schemas.openxmlformats.org/officeDocument/2006/relationships/footer" Target="footer297.xml"/><Relationship Id="rId30" Type="http://schemas.openxmlformats.org/officeDocument/2006/relationships/footer" Target="footer27.xml"/><Relationship Id="rId3" Type="http://schemas.openxmlformats.org/officeDocument/2006/relationships/footer" Target="footer2.xml"/><Relationship Id="rId299" Type="http://schemas.openxmlformats.org/officeDocument/2006/relationships/footer" Target="footer296.xml"/><Relationship Id="rId298" Type="http://schemas.openxmlformats.org/officeDocument/2006/relationships/footer" Target="footer295.xml"/><Relationship Id="rId297" Type="http://schemas.openxmlformats.org/officeDocument/2006/relationships/footer" Target="footer294.xml"/><Relationship Id="rId296" Type="http://schemas.openxmlformats.org/officeDocument/2006/relationships/footer" Target="footer293.xml"/><Relationship Id="rId295" Type="http://schemas.openxmlformats.org/officeDocument/2006/relationships/footer" Target="footer292.xml"/><Relationship Id="rId294" Type="http://schemas.openxmlformats.org/officeDocument/2006/relationships/footer" Target="footer291.xml"/><Relationship Id="rId293" Type="http://schemas.openxmlformats.org/officeDocument/2006/relationships/footer" Target="footer290.xml"/><Relationship Id="rId292" Type="http://schemas.openxmlformats.org/officeDocument/2006/relationships/footer" Target="footer289.xml"/><Relationship Id="rId291" Type="http://schemas.openxmlformats.org/officeDocument/2006/relationships/footer" Target="footer288.xml"/><Relationship Id="rId290" Type="http://schemas.openxmlformats.org/officeDocument/2006/relationships/footer" Target="footer287.xml"/><Relationship Id="rId29" Type="http://schemas.openxmlformats.org/officeDocument/2006/relationships/footer" Target="footer26.xml"/><Relationship Id="rId289" Type="http://schemas.openxmlformats.org/officeDocument/2006/relationships/footer" Target="footer286.xml"/><Relationship Id="rId288" Type="http://schemas.openxmlformats.org/officeDocument/2006/relationships/footer" Target="footer285.xml"/><Relationship Id="rId287" Type="http://schemas.openxmlformats.org/officeDocument/2006/relationships/footer" Target="footer284.xml"/><Relationship Id="rId286" Type="http://schemas.openxmlformats.org/officeDocument/2006/relationships/footer" Target="footer283.xml"/><Relationship Id="rId285" Type="http://schemas.openxmlformats.org/officeDocument/2006/relationships/footer" Target="footer282.xml"/><Relationship Id="rId284" Type="http://schemas.openxmlformats.org/officeDocument/2006/relationships/footer" Target="footer281.xml"/><Relationship Id="rId283" Type="http://schemas.openxmlformats.org/officeDocument/2006/relationships/footer" Target="footer280.xml"/><Relationship Id="rId282" Type="http://schemas.openxmlformats.org/officeDocument/2006/relationships/footer" Target="footer279.xml"/><Relationship Id="rId281" Type="http://schemas.openxmlformats.org/officeDocument/2006/relationships/footer" Target="footer278.xml"/><Relationship Id="rId280" Type="http://schemas.openxmlformats.org/officeDocument/2006/relationships/footer" Target="footer277.xml"/><Relationship Id="rId28" Type="http://schemas.openxmlformats.org/officeDocument/2006/relationships/footer" Target="footer25.xml"/><Relationship Id="rId279" Type="http://schemas.openxmlformats.org/officeDocument/2006/relationships/footer" Target="footer276.xml"/><Relationship Id="rId278" Type="http://schemas.openxmlformats.org/officeDocument/2006/relationships/footer" Target="footer275.xml"/><Relationship Id="rId277" Type="http://schemas.openxmlformats.org/officeDocument/2006/relationships/footer" Target="footer274.xml"/><Relationship Id="rId276" Type="http://schemas.openxmlformats.org/officeDocument/2006/relationships/footer" Target="footer273.xml"/><Relationship Id="rId275" Type="http://schemas.openxmlformats.org/officeDocument/2006/relationships/footer" Target="footer272.xml"/><Relationship Id="rId274" Type="http://schemas.openxmlformats.org/officeDocument/2006/relationships/footer" Target="footer271.xml"/><Relationship Id="rId273" Type="http://schemas.openxmlformats.org/officeDocument/2006/relationships/footer" Target="footer270.xml"/><Relationship Id="rId272" Type="http://schemas.openxmlformats.org/officeDocument/2006/relationships/footer" Target="footer269.xml"/><Relationship Id="rId271" Type="http://schemas.openxmlformats.org/officeDocument/2006/relationships/footer" Target="footer268.xml"/><Relationship Id="rId270" Type="http://schemas.openxmlformats.org/officeDocument/2006/relationships/footer" Target="footer267.xml"/><Relationship Id="rId27" Type="http://schemas.openxmlformats.org/officeDocument/2006/relationships/footer" Target="footer24.xml"/><Relationship Id="rId269" Type="http://schemas.openxmlformats.org/officeDocument/2006/relationships/footer" Target="footer266.xml"/><Relationship Id="rId268" Type="http://schemas.openxmlformats.org/officeDocument/2006/relationships/footer" Target="footer265.xml"/><Relationship Id="rId267" Type="http://schemas.openxmlformats.org/officeDocument/2006/relationships/footer" Target="footer264.xml"/><Relationship Id="rId266" Type="http://schemas.openxmlformats.org/officeDocument/2006/relationships/footer" Target="footer263.xml"/><Relationship Id="rId265" Type="http://schemas.openxmlformats.org/officeDocument/2006/relationships/footer" Target="footer262.xml"/><Relationship Id="rId264" Type="http://schemas.openxmlformats.org/officeDocument/2006/relationships/footer" Target="footer261.xml"/><Relationship Id="rId263" Type="http://schemas.openxmlformats.org/officeDocument/2006/relationships/footer" Target="footer260.xml"/><Relationship Id="rId262" Type="http://schemas.openxmlformats.org/officeDocument/2006/relationships/footer" Target="footer259.xml"/><Relationship Id="rId261" Type="http://schemas.openxmlformats.org/officeDocument/2006/relationships/footer" Target="footer258.xml"/><Relationship Id="rId260" Type="http://schemas.openxmlformats.org/officeDocument/2006/relationships/footer" Target="footer257.xml"/><Relationship Id="rId26" Type="http://schemas.openxmlformats.org/officeDocument/2006/relationships/footer" Target="footer23.xml"/><Relationship Id="rId259" Type="http://schemas.openxmlformats.org/officeDocument/2006/relationships/footer" Target="footer256.xml"/><Relationship Id="rId258" Type="http://schemas.openxmlformats.org/officeDocument/2006/relationships/footer" Target="footer255.xml"/><Relationship Id="rId257" Type="http://schemas.openxmlformats.org/officeDocument/2006/relationships/footer" Target="footer254.xml"/><Relationship Id="rId256" Type="http://schemas.openxmlformats.org/officeDocument/2006/relationships/footer" Target="footer253.xml"/><Relationship Id="rId255" Type="http://schemas.openxmlformats.org/officeDocument/2006/relationships/footer" Target="footer252.xml"/><Relationship Id="rId254" Type="http://schemas.openxmlformats.org/officeDocument/2006/relationships/footer" Target="footer251.xml"/><Relationship Id="rId253" Type="http://schemas.openxmlformats.org/officeDocument/2006/relationships/footer" Target="footer250.xml"/><Relationship Id="rId252" Type="http://schemas.openxmlformats.org/officeDocument/2006/relationships/footer" Target="footer249.xml"/><Relationship Id="rId251" Type="http://schemas.openxmlformats.org/officeDocument/2006/relationships/footer" Target="footer248.xml"/><Relationship Id="rId250" Type="http://schemas.openxmlformats.org/officeDocument/2006/relationships/footer" Target="footer247.xml"/><Relationship Id="rId25" Type="http://schemas.openxmlformats.org/officeDocument/2006/relationships/footer" Target="footer22.xml"/><Relationship Id="rId249" Type="http://schemas.openxmlformats.org/officeDocument/2006/relationships/footer" Target="footer246.xml"/><Relationship Id="rId248" Type="http://schemas.openxmlformats.org/officeDocument/2006/relationships/footer" Target="footer245.xml"/><Relationship Id="rId247" Type="http://schemas.openxmlformats.org/officeDocument/2006/relationships/footer" Target="footer244.xml"/><Relationship Id="rId246" Type="http://schemas.openxmlformats.org/officeDocument/2006/relationships/footer" Target="footer243.xml"/><Relationship Id="rId245" Type="http://schemas.openxmlformats.org/officeDocument/2006/relationships/footer" Target="footer242.xml"/><Relationship Id="rId244" Type="http://schemas.openxmlformats.org/officeDocument/2006/relationships/footer" Target="footer241.xml"/><Relationship Id="rId243" Type="http://schemas.openxmlformats.org/officeDocument/2006/relationships/footer" Target="footer240.xml"/><Relationship Id="rId242" Type="http://schemas.openxmlformats.org/officeDocument/2006/relationships/footer" Target="footer239.xml"/><Relationship Id="rId241" Type="http://schemas.openxmlformats.org/officeDocument/2006/relationships/footer" Target="footer238.xml"/><Relationship Id="rId240" Type="http://schemas.openxmlformats.org/officeDocument/2006/relationships/footer" Target="footer237.xml"/><Relationship Id="rId24" Type="http://schemas.openxmlformats.org/officeDocument/2006/relationships/footer" Target="footer21.xml"/><Relationship Id="rId239" Type="http://schemas.openxmlformats.org/officeDocument/2006/relationships/footer" Target="footer236.xml"/><Relationship Id="rId238" Type="http://schemas.openxmlformats.org/officeDocument/2006/relationships/footer" Target="footer235.xml"/><Relationship Id="rId237" Type="http://schemas.openxmlformats.org/officeDocument/2006/relationships/footer" Target="footer234.xml"/><Relationship Id="rId236" Type="http://schemas.openxmlformats.org/officeDocument/2006/relationships/footer" Target="footer233.xml"/><Relationship Id="rId235" Type="http://schemas.openxmlformats.org/officeDocument/2006/relationships/footer" Target="footer232.xml"/><Relationship Id="rId234" Type="http://schemas.openxmlformats.org/officeDocument/2006/relationships/footer" Target="footer231.xml"/><Relationship Id="rId233" Type="http://schemas.openxmlformats.org/officeDocument/2006/relationships/footer" Target="footer230.xml"/><Relationship Id="rId232" Type="http://schemas.openxmlformats.org/officeDocument/2006/relationships/footer" Target="footer229.xml"/><Relationship Id="rId231" Type="http://schemas.openxmlformats.org/officeDocument/2006/relationships/footer" Target="footer228.xml"/><Relationship Id="rId230" Type="http://schemas.openxmlformats.org/officeDocument/2006/relationships/footer" Target="footer227.xml"/><Relationship Id="rId23" Type="http://schemas.openxmlformats.org/officeDocument/2006/relationships/footer" Target="footer20.xml"/><Relationship Id="rId229" Type="http://schemas.openxmlformats.org/officeDocument/2006/relationships/footer" Target="footer226.xml"/><Relationship Id="rId228" Type="http://schemas.openxmlformats.org/officeDocument/2006/relationships/footer" Target="footer225.xml"/><Relationship Id="rId227" Type="http://schemas.openxmlformats.org/officeDocument/2006/relationships/footer" Target="footer224.xml"/><Relationship Id="rId226" Type="http://schemas.openxmlformats.org/officeDocument/2006/relationships/footer" Target="footer223.xml"/><Relationship Id="rId225" Type="http://schemas.openxmlformats.org/officeDocument/2006/relationships/footer" Target="footer222.xml"/><Relationship Id="rId224" Type="http://schemas.openxmlformats.org/officeDocument/2006/relationships/footer" Target="footer221.xml"/><Relationship Id="rId223" Type="http://schemas.openxmlformats.org/officeDocument/2006/relationships/footer" Target="footer220.xml"/><Relationship Id="rId222" Type="http://schemas.openxmlformats.org/officeDocument/2006/relationships/footer" Target="footer219.xml"/><Relationship Id="rId221" Type="http://schemas.openxmlformats.org/officeDocument/2006/relationships/footer" Target="footer218.xml"/><Relationship Id="rId220" Type="http://schemas.openxmlformats.org/officeDocument/2006/relationships/footer" Target="footer217.xml"/><Relationship Id="rId22" Type="http://schemas.openxmlformats.org/officeDocument/2006/relationships/footer" Target="footer19.xml"/><Relationship Id="rId219" Type="http://schemas.openxmlformats.org/officeDocument/2006/relationships/footer" Target="footer216.xml"/><Relationship Id="rId218" Type="http://schemas.openxmlformats.org/officeDocument/2006/relationships/footer" Target="footer215.xml"/><Relationship Id="rId217" Type="http://schemas.openxmlformats.org/officeDocument/2006/relationships/footer" Target="footer214.xml"/><Relationship Id="rId216" Type="http://schemas.openxmlformats.org/officeDocument/2006/relationships/footer" Target="footer213.xml"/><Relationship Id="rId215" Type="http://schemas.openxmlformats.org/officeDocument/2006/relationships/footer" Target="footer212.xml"/><Relationship Id="rId214" Type="http://schemas.openxmlformats.org/officeDocument/2006/relationships/footer" Target="footer211.xml"/><Relationship Id="rId213" Type="http://schemas.openxmlformats.org/officeDocument/2006/relationships/footer" Target="footer210.xml"/><Relationship Id="rId212" Type="http://schemas.openxmlformats.org/officeDocument/2006/relationships/footer" Target="footer209.xml"/><Relationship Id="rId211" Type="http://schemas.openxmlformats.org/officeDocument/2006/relationships/footer" Target="footer208.xml"/><Relationship Id="rId210" Type="http://schemas.openxmlformats.org/officeDocument/2006/relationships/footer" Target="footer207.xml"/><Relationship Id="rId21" Type="http://schemas.openxmlformats.org/officeDocument/2006/relationships/footer" Target="footer18.xml"/><Relationship Id="rId209" Type="http://schemas.openxmlformats.org/officeDocument/2006/relationships/footer" Target="footer206.xml"/><Relationship Id="rId208" Type="http://schemas.openxmlformats.org/officeDocument/2006/relationships/footer" Target="footer205.xml"/><Relationship Id="rId207" Type="http://schemas.openxmlformats.org/officeDocument/2006/relationships/footer" Target="footer204.xml"/><Relationship Id="rId206" Type="http://schemas.openxmlformats.org/officeDocument/2006/relationships/footer" Target="footer203.xml"/><Relationship Id="rId205" Type="http://schemas.openxmlformats.org/officeDocument/2006/relationships/footer" Target="footer202.xml"/><Relationship Id="rId204" Type="http://schemas.openxmlformats.org/officeDocument/2006/relationships/footer" Target="footer201.xml"/><Relationship Id="rId203" Type="http://schemas.openxmlformats.org/officeDocument/2006/relationships/footer" Target="footer200.xml"/><Relationship Id="rId202" Type="http://schemas.openxmlformats.org/officeDocument/2006/relationships/footer" Target="footer199.xml"/><Relationship Id="rId201" Type="http://schemas.openxmlformats.org/officeDocument/2006/relationships/footer" Target="footer198.xml"/><Relationship Id="rId200" Type="http://schemas.openxmlformats.org/officeDocument/2006/relationships/footer" Target="footer197.xml"/><Relationship Id="rId20" Type="http://schemas.openxmlformats.org/officeDocument/2006/relationships/footer" Target="footer17.xml"/><Relationship Id="rId2" Type="http://schemas.openxmlformats.org/officeDocument/2006/relationships/image" Target="media/image1.png"/><Relationship Id="rId199" Type="http://schemas.openxmlformats.org/officeDocument/2006/relationships/footer" Target="footer196.xml"/><Relationship Id="rId198" Type="http://schemas.openxmlformats.org/officeDocument/2006/relationships/footer" Target="footer195.xml"/><Relationship Id="rId197" Type="http://schemas.openxmlformats.org/officeDocument/2006/relationships/footer" Target="footer194.xml"/><Relationship Id="rId196" Type="http://schemas.openxmlformats.org/officeDocument/2006/relationships/footer" Target="footer193.xml"/><Relationship Id="rId195" Type="http://schemas.openxmlformats.org/officeDocument/2006/relationships/footer" Target="footer192.xml"/><Relationship Id="rId194" Type="http://schemas.openxmlformats.org/officeDocument/2006/relationships/footer" Target="footer191.xml"/><Relationship Id="rId193" Type="http://schemas.openxmlformats.org/officeDocument/2006/relationships/footer" Target="footer190.xml"/><Relationship Id="rId192" Type="http://schemas.openxmlformats.org/officeDocument/2006/relationships/footer" Target="footer189.xml"/><Relationship Id="rId191" Type="http://schemas.openxmlformats.org/officeDocument/2006/relationships/footer" Target="footer188.xml"/><Relationship Id="rId190" Type="http://schemas.openxmlformats.org/officeDocument/2006/relationships/footer" Target="footer187.xml"/><Relationship Id="rId19" Type="http://schemas.openxmlformats.org/officeDocument/2006/relationships/footer" Target="footer16.xml"/><Relationship Id="rId189" Type="http://schemas.openxmlformats.org/officeDocument/2006/relationships/footer" Target="footer186.xml"/><Relationship Id="rId188" Type="http://schemas.openxmlformats.org/officeDocument/2006/relationships/footer" Target="footer185.xml"/><Relationship Id="rId187" Type="http://schemas.openxmlformats.org/officeDocument/2006/relationships/footer" Target="footer184.xml"/><Relationship Id="rId186" Type="http://schemas.openxmlformats.org/officeDocument/2006/relationships/footer" Target="footer183.xml"/><Relationship Id="rId185" Type="http://schemas.openxmlformats.org/officeDocument/2006/relationships/footer" Target="footer182.xml"/><Relationship Id="rId184" Type="http://schemas.openxmlformats.org/officeDocument/2006/relationships/footer" Target="footer181.xml"/><Relationship Id="rId183" Type="http://schemas.openxmlformats.org/officeDocument/2006/relationships/footer" Target="footer180.xml"/><Relationship Id="rId182" Type="http://schemas.openxmlformats.org/officeDocument/2006/relationships/footer" Target="footer179.xml"/><Relationship Id="rId181" Type="http://schemas.openxmlformats.org/officeDocument/2006/relationships/footer" Target="footer178.xml"/><Relationship Id="rId180" Type="http://schemas.openxmlformats.org/officeDocument/2006/relationships/footer" Target="footer177.xml"/><Relationship Id="rId18" Type="http://schemas.openxmlformats.org/officeDocument/2006/relationships/footer" Target="footer15.xml"/><Relationship Id="rId179" Type="http://schemas.openxmlformats.org/officeDocument/2006/relationships/footer" Target="footer176.xml"/><Relationship Id="rId178" Type="http://schemas.openxmlformats.org/officeDocument/2006/relationships/footer" Target="footer175.xml"/><Relationship Id="rId177" Type="http://schemas.openxmlformats.org/officeDocument/2006/relationships/footer" Target="footer174.xml"/><Relationship Id="rId176" Type="http://schemas.openxmlformats.org/officeDocument/2006/relationships/footer" Target="footer173.xml"/><Relationship Id="rId175" Type="http://schemas.openxmlformats.org/officeDocument/2006/relationships/footer" Target="footer172.xml"/><Relationship Id="rId174" Type="http://schemas.openxmlformats.org/officeDocument/2006/relationships/footer" Target="footer171.xml"/><Relationship Id="rId173" Type="http://schemas.openxmlformats.org/officeDocument/2006/relationships/footer" Target="footer170.xml"/><Relationship Id="rId172" Type="http://schemas.openxmlformats.org/officeDocument/2006/relationships/footer" Target="footer169.xml"/><Relationship Id="rId171" Type="http://schemas.openxmlformats.org/officeDocument/2006/relationships/footer" Target="footer168.xml"/><Relationship Id="rId170" Type="http://schemas.openxmlformats.org/officeDocument/2006/relationships/footer" Target="footer167.xml"/><Relationship Id="rId17" Type="http://schemas.openxmlformats.org/officeDocument/2006/relationships/footer" Target="footer14.xml"/><Relationship Id="rId169" Type="http://schemas.openxmlformats.org/officeDocument/2006/relationships/footer" Target="footer166.xml"/><Relationship Id="rId168" Type="http://schemas.openxmlformats.org/officeDocument/2006/relationships/footer" Target="footer165.xml"/><Relationship Id="rId167" Type="http://schemas.openxmlformats.org/officeDocument/2006/relationships/footer" Target="footer164.xml"/><Relationship Id="rId166" Type="http://schemas.openxmlformats.org/officeDocument/2006/relationships/footer" Target="footer163.xml"/><Relationship Id="rId165" Type="http://schemas.openxmlformats.org/officeDocument/2006/relationships/footer" Target="footer162.xml"/><Relationship Id="rId164" Type="http://schemas.openxmlformats.org/officeDocument/2006/relationships/footer" Target="footer161.xml"/><Relationship Id="rId163" Type="http://schemas.openxmlformats.org/officeDocument/2006/relationships/footer" Target="footer160.xml"/><Relationship Id="rId162" Type="http://schemas.openxmlformats.org/officeDocument/2006/relationships/footer" Target="footer159.xml"/><Relationship Id="rId161" Type="http://schemas.openxmlformats.org/officeDocument/2006/relationships/footer" Target="footer158.xml"/><Relationship Id="rId160" Type="http://schemas.openxmlformats.org/officeDocument/2006/relationships/footer" Target="footer157.xml"/><Relationship Id="rId16" Type="http://schemas.openxmlformats.org/officeDocument/2006/relationships/footer" Target="footer13.xml"/><Relationship Id="rId159" Type="http://schemas.openxmlformats.org/officeDocument/2006/relationships/footer" Target="footer156.xml"/><Relationship Id="rId158" Type="http://schemas.openxmlformats.org/officeDocument/2006/relationships/footer" Target="footer155.xml"/><Relationship Id="rId157" Type="http://schemas.openxmlformats.org/officeDocument/2006/relationships/footer" Target="footer154.xml"/><Relationship Id="rId156" Type="http://schemas.openxmlformats.org/officeDocument/2006/relationships/footer" Target="footer153.xml"/><Relationship Id="rId155" Type="http://schemas.openxmlformats.org/officeDocument/2006/relationships/footer" Target="footer152.xml"/><Relationship Id="rId154" Type="http://schemas.openxmlformats.org/officeDocument/2006/relationships/footer" Target="footer151.xml"/><Relationship Id="rId153" Type="http://schemas.openxmlformats.org/officeDocument/2006/relationships/footer" Target="footer150.xml"/><Relationship Id="rId152" Type="http://schemas.openxmlformats.org/officeDocument/2006/relationships/footer" Target="footer149.xml"/><Relationship Id="rId151" Type="http://schemas.openxmlformats.org/officeDocument/2006/relationships/footer" Target="footer148.xml"/><Relationship Id="rId150" Type="http://schemas.openxmlformats.org/officeDocument/2006/relationships/footer" Target="footer147.xml"/><Relationship Id="rId15" Type="http://schemas.openxmlformats.org/officeDocument/2006/relationships/footer" Target="footer12.xml"/><Relationship Id="rId149" Type="http://schemas.openxmlformats.org/officeDocument/2006/relationships/footer" Target="footer146.xml"/><Relationship Id="rId148" Type="http://schemas.openxmlformats.org/officeDocument/2006/relationships/footer" Target="footer145.xml"/><Relationship Id="rId147" Type="http://schemas.openxmlformats.org/officeDocument/2006/relationships/footer" Target="footer144.xml"/><Relationship Id="rId146" Type="http://schemas.openxmlformats.org/officeDocument/2006/relationships/footer" Target="footer143.xml"/><Relationship Id="rId145" Type="http://schemas.openxmlformats.org/officeDocument/2006/relationships/footer" Target="footer142.xml"/><Relationship Id="rId144" Type="http://schemas.openxmlformats.org/officeDocument/2006/relationships/footer" Target="footer141.xml"/><Relationship Id="rId143" Type="http://schemas.openxmlformats.org/officeDocument/2006/relationships/footer" Target="footer140.xml"/><Relationship Id="rId142" Type="http://schemas.openxmlformats.org/officeDocument/2006/relationships/footer" Target="footer139.xml"/><Relationship Id="rId141" Type="http://schemas.openxmlformats.org/officeDocument/2006/relationships/footer" Target="footer138.xml"/><Relationship Id="rId140" Type="http://schemas.openxmlformats.org/officeDocument/2006/relationships/footer" Target="footer137.xml"/><Relationship Id="rId14" Type="http://schemas.openxmlformats.org/officeDocument/2006/relationships/footer" Target="footer11.xml"/><Relationship Id="rId139" Type="http://schemas.openxmlformats.org/officeDocument/2006/relationships/footer" Target="footer136.xml"/><Relationship Id="rId138" Type="http://schemas.openxmlformats.org/officeDocument/2006/relationships/footer" Target="footer135.xml"/><Relationship Id="rId137" Type="http://schemas.openxmlformats.org/officeDocument/2006/relationships/footer" Target="footer134.xml"/><Relationship Id="rId136" Type="http://schemas.openxmlformats.org/officeDocument/2006/relationships/footer" Target="footer133.xml"/><Relationship Id="rId135" Type="http://schemas.openxmlformats.org/officeDocument/2006/relationships/footer" Target="footer132.xml"/><Relationship Id="rId134" Type="http://schemas.openxmlformats.org/officeDocument/2006/relationships/footer" Target="footer131.xml"/><Relationship Id="rId133" Type="http://schemas.openxmlformats.org/officeDocument/2006/relationships/footer" Target="footer130.xml"/><Relationship Id="rId132" Type="http://schemas.openxmlformats.org/officeDocument/2006/relationships/footer" Target="footer129.xml"/><Relationship Id="rId131" Type="http://schemas.openxmlformats.org/officeDocument/2006/relationships/footer" Target="footer128.xml"/><Relationship Id="rId130" Type="http://schemas.openxmlformats.org/officeDocument/2006/relationships/footer" Target="footer127.xml"/><Relationship Id="rId13" Type="http://schemas.openxmlformats.org/officeDocument/2006/relationships/footer" Target="footer10.xml"/><Relationship Id="rId129" Type="http://schemas.openxmlformats.org/officeDocument/2006/relationships/footer" Target="footer126.xml"/><Relationship Id="rId128" Type="http://schemas.openxmlformats.org/officeDocument/2006/relationships/footer" Target="footer125.xml"/><Relationship Id="rId127" Type="http://schemas.openxmlformats.org/officeDocument/2006/relationships/footer" Target="footer124.xml"/><Relationship Id="rId126" Type="http://schemas.openxmlformats.org/officeDocument/2006/relationships/footer" Target="footer123.xml"/><Relationship Id="rId125" Type="http://schemas.openxmlformats.org/officeDocument/2006/relationships/footer" Target="footer122.xml"/><Relationship Id="rId124" Type="http://schemas.openxmlformats.org/officeDocument/2006/relationships/footer" Target="footer121.xml"/><Relationship Id="rId123" Type="http://schemas.openxmlformats.org/officeDocument/2006/relationships/footer" Target="footer120.xml"/><Relationship Id="rId122" Type="http://schemas.openxmlformats.org/officeDocument/2006/relationships/footer" Target="footer119.xml"/><Relationship Id="rId121" Type="http://schemas.openxmlformats.org/officeDocument/2006/relationships/footer" Target="footer118.xml"/><Relationship Id="rId120" Type="http://schemas.openxmlformats.org/officeDocument/2006/relationships/footer" Target="footer117.xml"/><Relationship Id="rId12" Type="http://schemas.openxmlformats.org/officeDocument/2006/relationships/footer" Target="footer9.xml"/><Relationship Id="rId119" Type="http://schemas.openxmlformats.org/officeDocument/2006/relationships/footer" Target="footer116.xml"/><Relationship Id="rId118" Type="http://schemas.openxmlformats.org/officeDocument/2006/relationships/footer" Target="footer115.xml"/><Relationship Id="rId117" Type="http://schemas.openxmlformats.org/officeDocument/2006/relationships/footer" Target="footer114.xml"/><Relationship Id="rId116" Type="http://schemas.openxmlformats.org/officeDocument/2006/relationships/footer" Target="footer113.xml"/><Relationship Id="rId115" Type="http://schemas.openxmlformats.org/officeDocument/2006/relationships/footer" Target="footer112.xml"/><Relationship Id="rId114" Type="http://schemas.openxmlformats.org/officeDocument/2006/relationships/footer" Target="footer111.xml"/><Relationship Id="rId113" Type="http://schemas.openxmlformats.org/officeDocument/2006/relationships/footer" Target="footer110.xml"/><Relationship Id="rId112" Type="http://schemas.openxmlformats.org/officeDocument/2006/relationships/footer" Target="footer109.xml"/><Relationship Id="rId111" Type="http://schemas.openxmlformats.org/officeDocument/2006/relationships/footer" Target="footer108.xml"/><Relationship Id="rId110" Type="http://schemas.openxmlformats.org/officeDocument/2006/relationships/footer" Target="footer107.xml"/><Relationship Id="rId11" Type="http://schemas.openxmlformats.org/officeDocument/2006/relationships/footer" Target="footer8.xml"/><Relationship Id="rId109" Type="http://schemas.openxmlformats.org/officeDocument/2006/relationships/footer" Target="footer106.xml"/><Relationship Id="rId108" Type="http://schemas.openxmlformats.org/officeDocument/2006/relationships/footer" Target="footer105.xml"/><Relationship Id="rId107" Type="http://schemas.openxmlformats.org/officeDocument/2006/relationships/footer" Target="footer104.xml"/><Relationship Id="rId106" Type="http://schemas.openxmlformats.org/officeDocument/2006/relationships/footer" Target="footer103.xml"/><Relationship Id="rId105" Type="http://schemas.openxmlformats.org/officeDocument/2006/relationships/footer" Target="footer102.xml"/><Relationship Id="rId104" Type="http://schemas.openxmlformats.org/officeDocument/2006/relationships/footer" Target="footer101.xml"/><Relationship Id="rId103" Type="http://schemas.openxmlformats.org/officeDocument/2006/relationships/footer" Target="footer100.xml"/><Relationship Id="rId102" Type="http://schemas.openxmlformats.org/officeDocument/2006/relationships/footer" Target="footer99.xml"/><Relationship Id="rId101" Type="http://schemas.openxmlformats.org/officeDocument/2006/relationships/footer" Target="footer98.xml"/><Relationship Id="rId100" Type="http://schemas.openxmlformats.org/officeDocument/2006/relationships/footer" Target="footer97.xml"/><Relationship Id="rId10" Type="http://schemas.openxmlformats.org/officeDocument/2006/relationships/footer" Target="footer7.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2024-08-13T17:33:32Z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2025-04-23T17:59:28</vt:filetime>
  </property>
</Properties>
</file>