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A8A1C">
      <w:pPr>
        <w:adjustRightInd w:val="0"/>
        <w:snapToGrid w:val="0"/>
        <w:spacing w:line="600" w:lineRule="exact"/>
        <w:jc w:val="both"/>
        <w:rPr>
          <w:rFonts w:hint="eastAsia" w:ascii="方正小标宋_GBK" w:hAnsi="方正小标宋_GBK" w:eastAsia="方正小标宋_GBK" w:cs="方正小标宋_GBK"/>
          <w:sz w:val="44"/>
          <w:szCs w:val="24"/>
        </w:rPr>
      </w:pPr>
      <w:r>
        <w:rPr>
          <w:rFonts w:hint="eastAsia" w:ascii="方正小标宋_GBK" w:hAnsi="方正小标宋_GBK" w:eastAsia="方正小标宋_GBK" w:cs="方正小标宋_GBK"/>
          <w:sz w:val="44"/>
          <w:szCs w:val="24"/>
        </w:rPr>
        <w:t>馆陶县屋顶分布式光伏可接入容量信息公开</w:t>
      </w:r>
    </w:p>
    <w:p w14:paraId="18714819">
      <w:pPr>
        <w:adjustRightInd w:val="0"/>
        <w:snapToGrid w:val="0"/>
        <w:spacing w:line="600" w:lineRule="exact"/>
        <w:jc w:val="center"/>
        <w:rPr>
          <w:rFonts w:hint="eastAsia" w:ascii="方正小标宋_GBK" w:hAnsi="方正小标宋_GBK" w:eastAsia="方正小标宋_GBK" w:cs="方正小标宋_GBK"/>
          <w:sz w:val="44"/>
          <w:szCs w:val="24"/>
        </w:rPr>
      </w:pPr>
    </w:p>
    <w:p w14:paraId="0221E485">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eastAsia" w:ascii="方正仿宋_GBK" w:hAnsi="方正仿宋_GBK" w:eastAsia="方正仿宋_GBK"/>
          <w:szCs w:val="22"/>
          <w:lang w:eastAsia="zh-CN"/>
        </w:rPr>
      </w:pPr>
      <w:r>
        <w:rPr>
          <w:rFonts w:hint="eastAsia" w:ascii="方正仿宋_GBK" w:hAnsi="方正仿宋_GBK" w:eastAsia="方正仿宋_GBK"/>
          <w:szCs w:val="22"/>
        </w:rPr>
        <w:t>为科学统筹推动分布式光伏建设，促进分布式光伏就近消纳，保障电力系统安全稳定运行和可靠供应，根据《河北省发展和改革委员会关于加强屋顶分布式光伏发电管理有关事项的通知》（冀发改能源[2022]1243号）要求，</w:t>
      </w:r>
      <w:r>
        <w:rPr>
          <w:rFonts w:hint="eastAsia" w:ascii="方正仿宋_GBK" w:hAnsi="方正仿宋_GBK" w:eastAsia="方正仿宋_GBK"/>
          <w:szCs w:val="22"/>
          <w:lang w:val="en-US" w:eastAsia="zh-CN"/>
        </w:rPr>
        <w:t>现将2026年三季度</w:t>
      </w:r>
      <w:r>
        <w:rPr>
          <w:rFonts w:hint="eastAsia" w:ascii="方正仿宋_GBK" w:hAnsi="方正仿宋_GBK" w:eastAsia="方正仿宋_GBK"/>
          <w:szCs w:val="22"/>
        </w:rPr>
        <w:t>县域内220千伏变电站屋顶分布式光伏可接入容量公示如下</w:t>
      </w:r>
      <w:r>
        <w:rPr>
          <w:rFonts w:hint="eastAsia" w:ascii="方正仿宋_GBK" w:hAnsi="方正仿宋_GBK" w:eastAsia="方正仿宋_GBK"/>
          <w:szCs w:val="22"/>
          <w:lang w:eastAsia="zh-CN"/>
        </w:rPr>
        <w:t>：</w:t>
      </w:r>
    </w:p>
    <w:p w14:paraId="6F6C66A3">
      <w:pPr>
        <w:keepNext w:val="0"/>
        <w:keepLines w:val="0"/>
        <w:pageBreakBefore w:val="0"/>
        <w:widowControl w:val="0"/>
        <w:kinsoku/>
        <w:wordWrap/>
        <w:overflowPunct/>
        <w:topLinePunct w:val="0"/>
        <w:autoSpaceDE/>
        <w:autoSpaceDN/>
        <w:bidi w:val="0"/>
        <w:adjustRightInd/>
        <w:snapToGrid/>
        <w:spacing w:beforeLines="0" w:afterLines="0"/>
        <w:ind w:firstLine="320" w:firstLineChars="200"/>
        <w:jc w:val="left"/>
        <w:textAlignment w:val="auto"/>
        <w:rPr>
          <w:rFonts w:hint="eastAsia" w:ascii="方正仿宋_GBK" w:hAnsi="方正仿宋_GBK" w:eastAsia="方正仿宋_GBK"/>
          <w:sz w:val="16"/>
          <w:szCs w:val="16"/>
          <w:lang w:eastAsia="zh-CN"/>
        </w:rPr>
      </w:pPr>
    </w:p>
    <w:p w14:paraId="1048EAE6">
      <w:pPr>
        <w:jc w:val="center"/>
        <w:rPr>
          <w:rFonts w:hint="default"/>
          <w:lang w:val="en-US" w:eastAsia="zh-CN"/>
        </w:rPr>
      </w:pPr>
      <w:r>
        <w:rPr>
          <w:rFonts w:hint="eastAsia" w:asciiTheme="majorEastAsia" w:hAnsiTheme="majorEastAsia" w:eastAsiaTheme="majorEastAsia" w:cstheme="majorEastAsia"/>
          <w:b/>
          <w:bCs/>
          <w:sz w:val="28"/>
          <w:szCs w:val="28"/>
          <w:lang w:val="en-US" w:eastAsia="zh-CN"/>
        </w:rPr>
        <w:t>馆陶县2026年三季度县域分布式光伏可开放容量公示表</w:t>
      </w:r>
    </w:p>
    <w:tbl>
      <w:tblPr>
        <w:tblStyle w:val="2"/>
        <w:tblW w:w="10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4"/>
        <w:gridCol w:w="969"/>
        <w:gridCol w:w="1524"/>
        <w:gridCol w:w="1548"/>
        <w:gridCol w:w="1272"/>
        <w:gridCol w:w="1764"/>
        <w:gridCol w:w="1236"/>
        <w:gridCol w:w="1011"/>
      </w:tblGrid>
      <w:tr w14:paraId="33B9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1F8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986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县域</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C13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已接入分布式光伏项目容量（MW）</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EAB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在途分布式光伏项目容量（MW）</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299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县域可开放并网容量（MW）</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A81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考虑在途项目后县域可开放容量（MW）</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74F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评估等级（仅考虑在途项目）</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8CF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14:paraId="7332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59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93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馆陶</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CC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147.99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63D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5.47 </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DC5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23.89 </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B0ED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18.43 </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ED4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F5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532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09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C55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1.按照《分布式电源接入电力系统承载力评估导则（DL/T 2041-2025）》，可开放并网容量指评估时刻（本季度为2026年7月1日），除已并网的分布式电源外，电力系统可新增并网接入的分布式电源装机规模。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2.因暂无渠道获取准确的已备案分布式电源项目数据，暂不开展可开放备案容量测算。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3.考虑在途项目后可开放容量，指评估时刻（本季度为2026年7月1日）除已并网及已受理但尚未并网的分布式电源外，电力系统可新增受理的分布式电源装机规模。</w:t>
            </w:r>
          </w:p>
        </w:tc>
      </w:tr>
      <w:tr w14:paraId="687C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09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17A39">
            <w:pPr>
              <w:jc w:val="left"/>
              <w:rPr>
                <w:rFonts w:hint="eastAsia" w:ascii="宋体" w:hAnsi="宋体" w:eastAsia="宋体" w:cs="宋体"/>
                <w:i w:val="0"/>
                <w:color w:val="000000"/>
                <w:sz w:val="22"/>
                <w:szCs w:val="22"/>
                <w:u w:val="none"/>
              </w:rPr>
            </w:pPr>
          </w:p>
        </w:tc>
      </w:tr>
      <w:tr w14:paraId="7AC9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09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7E89D">
            <w:pPr>
              <w:jc w:val="left"/>
              <w:rPr>
                <w:rFonts w:hint="eastAsia" w:ascii="宋体" w:hAnsi="宋体" w:eastAsia="宋体" w:cs="宋体"/>
                <w:i w:val="0"/>
                <w:color w:val="000000"/>
                <w:sz w:val="22"/>
                <w:szCs w:val="22"/>
                <w:u w:val="none"/>
              </w:rPr>
            </w:pPr>
          </w:p>
        </w:tc>
      </w:tr>
      <w:tr w14:paraId="65C4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09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C9E65">
            <w:pPr>
              <w:jc w:val="left"/>
              <w:rPr>
                <w:rFonts w:hint="eastAsia" w:ascii="宋体" w:hAnsi="宋体" w:eastAsia="宋体" w:cs="宋体"/>
                <w:i w:val="0"/>
                <w:color w:val="000000"/>
                <w:sz w:val="22"/>
                <w:szCs w:val="22"/>
                <w:u w:val="none"/>
              </w:rPr>
            </w:pPr>
          </w:p>
        </w:tc>
      </w:tr>
      <w:tr w14:paraId="356B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09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3FA78">
            <w:pPr>
              <w:jc w:val="left"/>
              <w:rPr>
                <w:rFonts w:hint="eastAsia" w:ascii="宋体" w:hAnsi="宋体" w:eastAsia="宋体" w:cs="宋体"/>
                <w:i w:val="0"/>
                <w:color w:val="000000"/>
                <w:sz w:val="22"/>
                <w:szCs w:val="22"/>
                <w:u w:val="none"/>
              </w:rPr>
            </w:pPr>
          </w:p>
        </w:tc>
      </w:tr>
      <w:tr w14:paraId="0998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009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3F8AF">
            <w:pPr>
              <w:jc w:val="left"/>
              <w:rPr>
                <w:rFonts w:hint="eastAsia" w:ascii="宋体" w:hAnsi="宋体" w:eastAsia="宋体" w:cs="宋体"/>
                <w:i w:val="0"/>
                <w:color w:val="000000"/>
                <w:sz w:val="22"/>
                <w:szCs w:val="22"/>
                <w:u w:val="none"/>
              </w:rPr>
            </w:pPr>
          </w:p>
        </w:tc>
      </w:tr>
    </w:tbl>
    <w:p w14:paraId="742D68FA">
      <w:pPr>
        <w:jc w:val="both"/>
        <w:rPr>
          <w:rFonts w:hint="default"/>
          <w:lang w:val="en-US" w:eastAsia="zh-CN"/>
        </w:rPr>
      </w:pPr>
    </w:p>
    <w:p w14:paraId="7EC7FE9B">
      <w:pPr>
        <w:jc w:val="both"/>
        <w:rPr>
          <w:rFonts w:hint="default"/>
          <w:lang w:val="en-US" w:eastAsia="zh-CN"/>
        </w:rPr>
      </w:pPr>
    </w:p>
    <w:p w14:paraId="6E2EAD6F">
      <w:pPr>
        <w:jc w:val="both"/>
        <w:rPr>
          <w:rFonts w:hint="default"/>
          <w:lang w:val="en-US" w:eastAsia="zh-CN"/>
        </w:rPr>
      </w:pPr>
    </w:p>
    <w:p w14:paraId="2497B83F">
      <w:pPr>
        <w:jc w:val="both"/>
        <w:rPr>
          <w:rFonts w:hint="default"/>
          <w:lang w:val="en-US" w:eastAsia="zh-CN"/>
        </w:rPr>
        <w:sectPr>
          <w:pgSz w:w="11906" w:h="16838"/>
          <w:pgMar w:top="1440" w:right="1689" w:bottom="1440" w:left="1689" w:header="851" w:footer="992" w:gutter="0"/>
          <w:pgBorders>
            <w:top w:val="none" w:sz="0" w:space="0"/>
            <w:left w:val="none" w:sz="0" w:space="0"/>
            <w:bottom w:val="none" w:sz="0" w:space="0"/>
            <w:right w:val="none" w:sz="0" w:space="0"/>
          </w:pgBorders>
          <w:cols w:space="425" w:num="1"/>
          <w:docGrid w:type="lines" w:linePitch="312" w:charSpace="0"/>
        </w:sectPr>
      </w:pPr>
    </w:p>
    <w:p w14:paraId="49627DCF">
      <w:pPr>
        <w:jc w:val="center"/>
        <w:rPr>
          <w:rFonts w:hint="default" w:asciiTheme="majorEastAsia" w:hAnsiTheme="majorEastAsia" w:eastAsiaTheme="majorEastAsia" w:cstheme="majorEastAsia"/>
          <w:b/>
          <w:bCs/>
          <w:sz w:val="28"/>
          <w:szCs w:val="28"/>
          <w:lang w:val="en-US" w:eastAsia="zh-CN"/>
        </w:rPr>
      </w:pPr>
    </w:p>
    <w:p w14:paraId="7F393B8B">
      <w:pPr>
        <w:jc w:val="center"/>
        <w:rPr>
          <w:rFonts w:hint="default" w:asciiTheme="majorEastAsia" w:hAnsiTheme="majorEastAsia" w:eastAsiaTheme="majorEastAsia" w:cstheme="majorEastAsia"/>
          <w:b/>
          <w:bCs/>
          <w:sz w:val="28"/>
          <w:szCs w:val="28"/>
          <w:lang w:val="en-US" w:eastAsia="zh-CN"/>
        </w:rPr>
      </w:pPr>
      <w:r>
        <w:rPr>
          <w:rFonts w:hint="default" w:asciiTheme="majorEastAsia" w:hAnsiTheme="majorEastAsia" w:eastAsiaTheme="majorEastAsia" w:cstheme="majorEastAsia"/>
          <w:b/>
          <w:bCs/>
          <w:sz w:val="28"/>
          <w:szCs w:val="28"/>
          <w:lang w:val="en-US" w:eastAsia="zh-CN"/>
        </w:rPr>
        <w:t>馆陶县2026年三季度220千伏主变分布式光伏可开放容量公示表</w:t>
      </w:r>
    </w:p>
    <w:tbl>
      <w:tblPr>
        <w:tblStyle w:val="2"/>
        <w:tblW w:w="16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1"/>
        <w:gridCol w:w="804"/>
        <w:gridCol w:w="1416"/>
        <w:gridCol w:w="7608"/>
        <w:gridCol w:w="1068"/>
        <w:gridCol w:w="1164"/>
        <w:gridCol w:w="912"/>
        <w:gridCol w:w="1020"/>
        <w:gridCol w:w="912"/>
        <w:gridCol w:w="604"/>
      </w:tblGrid>
      <w:tr w14:paraId="6F82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990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299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县域</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A01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乡镇/街道</w:t>
            </w:r>
          </w:p>
        </w:tc>
        <w:tc>
          <w:tcPr>
            <w:tcW w:w="76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A9012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所带村/街道</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B30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供电220千伏变电站</w:t>
            </w:r>
          </w:p>
        </w:tc>
        <w:tc>
          <w:tcPr>
            <w:tcW w:w="116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5802E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该县域供电220千伏主变名称</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7E9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可开放并网容量（MW）</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033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考虑在途项目后可开放容量（MW）</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0B5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评估等级（仅考虑在途项目）</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EA39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14:paraId="41E5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80" w:hRule="atLeast"/>
          <w:jc w:val="center"/>
        </w:trPr>
        <w:tc>
          <w:tcPr>
            <w:tcW w:w="571" w:type="dxa"/>
            <w:vMerge w:val="restar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14:paraId="3D0DED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698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馆陶</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A6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馆陶镇、魏僧寨镇、柴堡镇、房寨镇、路桥乡、徐村乡、寿山寺镇</w:t>
            </w:r>
          </w:p>
        </w:tc>
        <w:tc>
          <w:tcPr>
            <w:tcW w:w="7608"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0CDC9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陶镇（陶南村、陶西村、陶北村、后刘庄村、后徐庄村、安静村、吕庄村、吝村、社里堡村、东宝村、车疃村、许路疃村、北马固村、中马固村、东苏村、谭庄村、杨庄村、西苏村、尚沿村、赵沿村、李沿村、鲍沿村、刘沿村、郑沿村、姜沿村、闫沿村、李庄村、大刘庄村、孙庄村、刘路疃村、南马固村）,魏僧寨镇（安雷寨村、任门寨村、周庄村、赵官寨村、高庄村、十里店村、闫寨村、吴庄村、高雷寨村、东魏僧寨村、西魏僧寨村、张庄村、滩上村、肖村、马栏厂村、史庄村、丁圈村、南榆林村、刘圈村、铺上村、申街西村、申街东村、前符渡村、后符渡村、王草厂村、范草厂村、陈庄村、杨草厂村、山材村、孙雷寨村、王雷寨村）,柴堡镇（柴堡东村、柴堡西村、柴堡南村、柴堡北村、王二庄村、武张屯村、闫张屯村、邢张屯村、马张屯村、西刘庄村、要庄村、前罗头村、后罗头村、林北村、八义庄村、前刘堡村、樊堡村、匣庄村、郭马堡村、韩马堡村、宋马堡村、西孔堡村、刘村、西苏堡村、北肖寨村、齐堡村、东苏堡村、后刘堡村、柴庄村、前曹堡村、后曹堡村、前胡堡村、后胡堡村、天河村、申林村、北阳堡村、西家庄村、马店村、后市庄村、前市庄东村、东孔堡村、前市庄西村、牛张屯村、东广才村、西富庄村、萧屯村、中富庄村、东富庄村、东刘庄村）,房寨镇（伴导村、东浒演村、西浒演村、王寨村）,路桥乡（花园村、清杨城村、陈路桥村、李路桥村、刘路桥村、北曹庄村、南曹庄村、潘庄村、太平庄村、刘庄村、张官寨村、平堡村、蔺寨村、木官庄村、铁佛堡村、丝窝寨村、满谷营村、北榆林村、果子园村、宋尔庄村、本司寨村、郑黄营村、刘黄营村、王桃园村、高桃园村、刘桃园村、安桃园村、侯庄村、油寨村、王二厢村、大寺堡村、梭庄村、马寨村、自新寨村、庄科村、蔡口村、前时玉村、后时玉村、蒋庄村）,徐村乡（南徐村、东徐村、后许庄东村、后许庄西村、芦头村、郭辛庄村、前许庄村、河套村、郭庄村、前李八寨村、后李八寨村、冀浅村、马头南村、马头中村、马头北村、颜窝头村、马窝头村、康庄村、北韩庄村、东马兰村、西马兰村、营盘村、西厂村、东厂村、毛圈村）,寿山寺镇（浅口村、北董固村、拐寨村、西董固村、翟庄村、塔头村、南董固村、沿庄村、南辛头村、陈范庄村、韩范庄村、武范庄村、蔡范庄村、张高庄村、武高庄村、古高庄村、韩高庄村、息元村、西宝村、寿北村、寿南村、寿东村、常儿寨村、南郑村、北郑村、南肖寨村、东朱庄村、西朱庄村、前宁堡村、法寺村）</w:t>
            </w:r>
            <w:bookmarkStart w:id="0" w:name="_GoBack"/>
            <w:r>
              <w:rPr>
                <w:rFonts w:hint="eastAsia" w:ascii="宋体" w:hAnsi="宋体" w:eastAsia="宋体" w:cs="宋体"/>
                <w:i w:val="0"/>
                <w:color w:val="auto"/>
                <w:kern w:val="0"/>
                <w:sz w:val="22"/>
                <w:szCs w:val="22"/>
                <w:u w:val="none"/>
                <w:lang w:val="en-US" w:eastAsia="zh-CN" w:bidi="ar"/>
              </w:rPr>
              <w:t>。房寨镇（房寨南村、房寨北村、北拐渠东村、北拐渠西村、郝前街村、郝后街村、桥口村、屯里村、韩庄村、闫庄村、王徘徊头村、韩徘徊头村、罗徘徊头村、河寨一村、河寨二村、河寨三村、河寨四村、河寨五村、王庄村、西孟良寨村、东孟良寨村、孩寨村、中孟良寨村、郭徘徊头村）,寿山寺镇（东庄固村、庄固东村、庄固西村、麻呼寨村、后宁堡村）无可开放容量。</w:t>
            </w:r>
            <w:bookmarkEnd w:id="0"/>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FF3E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220千伏馆陶站</w:t>
            </w:r>
          </w:p>
        </w:tc>
        <w:tc>
          <w:tcPr>
            <w:tcW w:w="1164"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F39F9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220kV馆陶站#2主变</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257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23.83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6359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18.43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80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99A8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61C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20" w:hRule="atLeast"/>
          <w:jc w:val="center"/>
        </w:trPr>
        <w:tc>
          <w:tcPr>
            <w:tcW w:w="571" w:type="dxa"/>
            <w:vMerge w:val="continue"/>
            <w:tcBorders>
              <w:top w:val="single" w:color="000000"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14:paraId="3EA4AB6F">
            <w:pPr>
              <w:jc w:val="center"/>
              <w:rPr>
                <w:rFonts w:hint="eastAsia" w:ascii="宋体" w:hAnsi="宋体" w:eastAsia="宋体" w:cs="宋体"/>
                <w:i w:val="0"/>
                <w:color w:val="000000"/>
                <w:sz w:val="22"/>
                <w:szCs w:val="22"/>
                <w:u w:val="none"/>
              </w:rPr>
            </w:pPr>
          </w:p>
        </w:tc>
        <w:tc>
          <w:tcPr>
            <w:tcW w:w="804"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14:paraId="5F7373E1">
            <w:pPr>
              <w:jc w:val="center"/>
              <w:rPr>
                <w:rFonts w:hint="eastAsia" w:ascii="宋体" w:hAnsi="宋体" w:eastAsia="宋体" w:cs="宋体"/>
                <w:i w:val="0"/>
                <w:color w:val="000000"/>
                <w:sz w:val="22"/>
                <w:szCs w:val="22"/>
                <w:u w:val="none"/>
              </w:rPr>
            </w:pPr>
          </w:p>
        </w:tc>
        <w:tc>
          <w:tcPr>
            <w:tcW w:w="1416"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30AAB78F">
            <w:pPr>
              <w:jc w:val="center"/>
              <w:rPr>
                <w:rFonts w:hint="eastAsia" w:ascii="宋体" w:hAnsi="宋体" w:eastAsia="宋体" w:cs="宋体"/>
                <w:i w:val="0"/>
                <w:color w:val="000000"/>
                <w:sz w:val="22"/>
                <w:szCs w:val="22"/>
                <w:u w:val="none"/>
              </w:rPr>
            </w:pPr>
          </w:p>
        </w:tc>
        <w:tc>
          <w:tcPr>
            <w:tcW w:w="7608" w:type="dxa"/>
            <w:vMerge w:val="continue"/>
            <w:tcBorders>
              <w:top w:val="single" w:color="000000" w:sz="4" w:space="0"/>
              <w:left w:val="single" w:color="000000" w:sz="4" w:space="0"/>
              <w:bottom w:val="single" w:color="auto" w:sz="4" w:space="0"/>
              <w:right w:val="nil"/>
            </w:tcBorders>
            <w:shd w:val="clear" w:color="auto" w:fill="auto"/>
            <w:tcMar>
              <w:top w:w="12" w:type="dxa"/>
              <w:left w:w="12" w:type="dxa"/>
              <w:right w:w="12" w:type="dxa"/>
            </w:tcMar>
            <w:vAlign w:val="center"/>
          </w:tcPr>
          <w:p w14:paraId="52B434F9">
            <w:pPr>
              <w:jc w:val="center"/>
              <w:rPr>
                <w:rFonts w:hint="eastAsia" w:ascii="宋体" w:hAnsi="宋体" w:eastAsia="宋体" w:cs="宋体"/>
                <w:i w:val="0"/>
                <w:color w:val="000000"/>
                <w:sz w:val="22"/>
                <w:szCs w:val="22"/>
                <w:u w:val="none"/>
              </w:rPr>
            </w:pPr>
          </w:p>
        </w:tc>
        <w:tc>
          <w:tcPr>
            <w:tcW w:w="106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14:paraId="0D8F37BD">
            <w:pPr>
              <w:jc w:val="center"/>
              <w:rPr>
                <w:rFonts w:hint="eastAsia" w:ascii="宋体" w:hAnsi="宋体" w:eastAsia="宋体" w:cs="宋体"/>
                <w:i w:val="0"/>
                <w:color w:val="000000"/>
                <w:sz w:val="22"/>
                <w:szCs w:val="22"/>
                <w:u w:val="none"/>
              </w:rPr>
            </w:pPr>
          </w:p>
        </w:tc>
        <w:tc>
          <w:tcPr>
            <w:tcW w:w="1164" w:type="dxa"/>
            <w:tcBorders>
              <w:top w:val="single" w:color="000000" w:sz="4" w:space="0"/>
              <w:left w:val="nil"/>
              <w:bottom w:val="single" w:color="auto" w:sz="4" w:space="0"/>
              <w:right w:val="single" w:color="000000" w:sz="4" w:space="0"/>
            </w:tcBorders>
            <w:shd w:val="clear" w:color="auto" w:fill="auto"/>
            <w:noWrap/>
            <w:tcMar>
              <w:top w:w="12" w:type="dxa"/>
              <w:left w:w="12" w:type="dxa"/>
              <w:right w:w="12" w:type="dxa"/>
            </w:tcMar>
            <w:vAlign w:val="center"/>
          </w:tcPr>
          <w:p w14:paraId="6B27A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220kV馆陶站#3主变</w:t>
            </w:r>
          </w:p>
        </w:tc>
        <w:tc>
          <w:tcPr>
            <w:tcW w:w="91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42126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18.43 </w:t>
            </w:r>
          </w:p>
        </w:tc>
        <w:tc>
          <w:tcPr>
            <w:tcW w:w="102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76D546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18.43 </w:t>
            </w:r>
          </w:p>
        </w:tc>
        <w:tc>
          <w:tcPr>
            <w:tcW w:w="91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544FD2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w:t>
            </w:r>
          </w:p>
        </w:tc>
        <w:tc>
          <w:tcPr>
            <w:tcW w:w="60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0CA34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E4D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jc w:val="center"/>
        </w:trPr>
        <w:tc>
          <w:tcPr>
            <w:tcW w:w="57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69003C">
            <w:pPr>
              <w:jc w:val="center"/>
              <w:rPr>
                <w:rFonts w:hint="eastAsia" w:ascii="宋体" w:hAnsi="宋体" w:eastAsia="宋体" w:cs="宋体"/>
                <w:i w:val="0"/>
                <w:color w:val="000000"/>
                <w:sz w:val="22"/>
                <w:szCs w:val="22"/>
                <w:u w:val="none"/>
              </w:rPr>
            </w:pPr>
          </w:p>
        </w:tc>
        <w:tc>
          <w:tcPr>
            <w:tcW w:w="804"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54074852">
            <w:pPr>
              <w:jc w:val="center"/>
              <w:rPr>
                <w:rFonts w:hint="eastAsia" w:ascii="宋体" w:hAnsi="宋体" w:eastAsia="宋体" w:cs="宋体"/>
                <w:i w:val="0"/>
                <w:color w:val="000000"/>
                <w:sz w:val="22"/>
                <w:szCs w:val="22"/>
                <w:u w:val="none"/>
              </w:rPr>
            </w:pPr>
          </w:p>
        </w:tc>
        <w:tc>
          <w:tcPr>
            <w:tcW w:w="141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8BCD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王桥镇</w:t>
            </w:r>
          </w:p>
        </w:tc>
        <w:tc>
          <w:tcPr>
            <w:tcW w:w="760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D3C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桥镇（王桥村、李桥村、郝庄村、后姚庄村、前姚庄村、李井寨村、董井寨村、冯井寨村、张井寨村、赵庄村、罗庄村、郭庄村、吉固庵村、西芦里村、东芦里村、路庄村、徐万仓村、刘齐固村、王齐固村、梁齐固村、姚齐固村、赵齐固村、南孙店东村、南孙店西村、北孙店东村、北孙店西村、鸭窝村、西盘村、东盘村、平庄村、安庄村、北留庄东村、北留庄西村、贾庄村、和尚寨村、旺庄村、西留庄北村、南留庄村、西留庄南村）。</w:t>
            </w:r>
          </w:p>
        </w:tc>
        <w:tc>
          <w:tcPr>
            <w:tcW w:w="1068"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5DE4D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220千伏申桥站</w:t>
            </w:r>
          </w:p>
        </w:tc>
        <w:tc>
          <w:tcPr>
            <w:tcW w:w="1164"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582D93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220kV申桥站#2主变</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ACEF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5.59 </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859C4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5.53 </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28DCB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w:t>
            </w:r>
          </w:p>
        </w:tc>
        <w:tc>
          <w:tcPr>
            <w:tcW w:w="6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D666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F8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57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1A18D5B">
            <w:pPr>
              <w:jc w:val="center"/>
              <w:rPr>
                <w:rFonts w:hint="eastAsia" w:ascii="宋体" w:hAnsi="宋体" w:eastAsia="宋体" w:cs="宋体"/>
                <w:i w:val="0"/>
                <w:color w:val="000000"/>
                <w:sz w:val="22"/>
                <w:szCs w:val="22"/>
                <w:u w:val="none"/>
              </w:rPr>
            </w:pPr>
          </w:p>
        </w:tc>
        <w:tc>
          <w:tcPr>
            <w:tcW w:w="804"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59099C3">
            <w:pPr>
              <w:jc w:val="center"/>
              <w:rPr>
                <w:rFonts w:hint="eastAsia" w:ascii="宋体" w:hAnsi="宋体" w:eastAsia="宋体" w:cs="宋体"/>
                <w:i w:val="0"/>
                <w:color w:val="000000"/>
                <w:sz w:val="22"/>
                <w:szCs w:val="22"/>
                <w:u w:val="none"/>
              </w:rPr>
            </w:pPr>
          </w:p>
        </w:tc>
        <w:tc>
          <w:tcPr>
            <w:tcW w:w="141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16660D4">
            <w:pPr>
              <w:jc w:val="center"/>
              <w:rPr>
                <w:rFonts w:hint="eastAsia" w:ascii="宋体" w:hAnsi="宋体" w:eastAsia="宋体" w:cs="宋体"/>
                <w:i w:val="0"/>
                <w:color w:val="000000"/>
                <w:sz w:val="22"/>
                <w:szCs w:val="22"/>
                <w:u w:val="none"/>
              </w:rPr>
            </w:pPr>
          </w:p>
        </w:tc>
        <w:tc>
          <w:tcPr>
            <w:tcW w:w="760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4B98A7">
            <w:pPr>
              <w:jc w:val="center"/>
              <w:rPr>
                <w:rFonts w:hint="eastAsia" w:ascii="宋体" w:hAnsi="宋体" w:eastAsia="宋体" w:cs="宋体"/>
                <w:i w:val="0"/>
                <w:color w:val="000000"/>
                <w:sz w:val="22"/>
                <w:szCs w:val="22"/>
                <w:u w:val="none"/>
              </w:rPr>
            </w:pPr>
          </w:p>
        </w:tc>
        <w:tc>
          <w:tcPr>
            <w:tcW w:w="106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013E0839">
            <w:pPr>
              <w:jc w:val="center"/>
              <w:rPr>
                <w:rFonts w:hint="eastAsia" w:ascii="宋体" w:hAnsi="宋体" w:eastAsia="宋体" w:cs="宋体"/>
                <w:i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14:paraId="428DC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220kV申桥站#3主变</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0314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5.62 </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4810F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5.62 </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B9D6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w:t>
            </w:r>
          </w:p>
        </w:tc>
        <w:tc>
          <w:tcPr>
            <w:tcW w:w="6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68EE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C2F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jc w:val="center"/>
        </w:trPr>
        <w:tc>
          <w:tcPr>
            <w:tcW w:w="16079"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4BC5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1.按照《分布式电源接入电力系统承载力评估导则（DL/T 2041-2025）》，可开放并网容量指评估时刻（本季度为2026年7月1日），除已并网的分布式电源外，电力系统可新增并网接入的分布式电源装机规模。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2.因暂无渠道获取准确的已备案分布式电源项目数据，暂不开展可开放备案容量测算。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3.考虑在途项目后可开放容量，指评估时刻（本季度为2026年7月1日）除已并网及已受理但尚未并网的分布式电源外，电力系统可新增受理的分布式电源装机规模。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4.110千伏及以下主配变可开放容量请至所在辖区供电所或营业厅咨询。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5.可开放容量约束遵循下级服从上级的原则，本县所有220千伏主变供电区域新增的分布式电源并网容量总和不应超过本县考虑在途项目后的县域可开放容量。</w:t>
            </w:r>
          </w:p>
        </w:tc>
      </w:tr>
    </w:tbl>
    <w:p w14:paraId="61BC2E30">
      <w:pPr>
        <w:jc w:val="left"/>
        <w:rPr>
          <w:rFonts w:hint="default" w:asciiTheme="majorEastAsia" w:hAnsiTheme="majorEastAsia" w:eastAsiaTheme="majorEastAsia" w:cstheme="majorEastAsia"/>
          <w:b/>
          <w:bCs/>
          <w:sz w:val="28"/>
          <w:szCs w:val="28"/>
          <w:lang w:val="en-US" w:eastAsia="zh-CN"/>
        </w:rPr>
      </w:pPr>
    </w:p>
    <w:sectPr>
      <w:pgSz w:w="16838" w:h="11906" w:orient="landscape"/>
      <w:pgMar w:top="1689" w:right="1440" w:bottom="1689" w:left="1440" w:header="851" w:footer="992" w:gutter="0"/>
      <w:pgBorders>
        <w:top w:val="none" w:sz="0" w:space="0"/>
        <w:left w:val="none" w:sz="0" w:space="0"/>
        <w:bottom w:val="none" w:sz="0" w:space="0"/>
        <w:right w:val="none" w:sz="0" w:space="0"/>
      </w:pgBorders>
      <w:cols w:space="0" w:num="1"/>
      <w:rtlGutter w:val="0"/>
      <w:docGrid w:type="lines" w:linePitch="4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22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ODdjNzI5MmUxNTQzZTMxZDE1Y2YxY2VkNmFjZjIifQ=="/>
  </w:docVars>
  <w:rsids>
    <w:rsidRoot w:val="00172A27"/>
    <w:rsid w:val="00EE75B6"/>
    <w:rsid w:val="02AA18ED"/>
    <w:rsid w:val="0486101A"/>
    <w:rsid w:val="05981A1F"/>
    <w:rsid w:val="07675439"/>
    <w:rsid w:val="07E05078"/>
    <w:rsid w:val="07EC4E0D"/>
    <w:rsid w:val="093C6EDF"/>
    <w:rsid w:val="0A314591"/>
    <w:rsid w:val="0A7A69BF"/>
    <w:rsid w:val="0BF921E6"/>
    <w:rsid w:val="0C367495"/>
    <w:rsid w:val="0D862CF3"/>
    <w:rsid w:val="0DD477F0"/>
    <w:rsid w:val="0F360080"/>
    <w:rsid w:val="0FB7228C"/>
    <w:rsid w:val="104D2C68"/>
    <w:rsid w:val="13E322A1"/>
    <w:rsid w:val="14945BEF"/>
    <w:rsid w:val="161E7F82"/>
    <w:rsid w:val="1629715B"/>
    <w:rsid w:val="17200451"/>
    <w:rsid w:val="1E2145A8"/>
    <w:rsid w:val="1F1F46F6"/>
    <w:rsid w:val="1F3015CB"/>
    <w:rsid w:val="1FF46C8A"/>
    <w:rsid w:val="20B010F8"/>
    <w:rsid w:val="228040FB"/>
    <w:rsid w:val="24867A6D"/>
    <w:rsid w:val="24B30161"/>
    <w:rsid w:val="273F54A2"/>
    <w:rsid w:val="281A3FD0"/>
    <w:rsid w:val="2A365BFC"/>
    <w:rsid w:val="2CA33A35"/>
    <w:rsid w:val="2E1056A1"/>
    <w:rsid w:val="2E7B7BBF"/>
    <w:rsid w:val="2F206873"/>
    <w:rsid w:val="2F9E0F75"/>
    <w:rsid w:val="321A3D8D"/>
    <w:rsid w:val="32F408AF"/>
    <w:rsid w:val="38343FEC"/>
    <w:rsid w:val="389E0EAA"/>
    <w:rsid w:val="38BA5F59"/>
    <w:rsid w:val="3A7D5055"/>
    <w:rsid w:val="3DEA0E5B"/>
    <w:rsid w:val="3E2272F5"/>
    <w:rsid w:val="41991639"/>
    <w:rsid w:val="41E646FA"/>
    <w:rsid w:val="429D6066"/>
    <w:rsid w:val="43B82556"/>
    <w:rsid w:val="4804072B"/>
    <w:rsid w:val="48DF7766"/>
    <w:rsid w:val="493812BE"/>
    <w:rsid w:val="49803BA8"/>
    <w:rsid w:val="49C3750E"/>
    <w:rsid w:val="49EF4EBE"/>
    <w:rsid w:val="4A2F7928"/>
    <w:rsid w:val="4CF92FB2"/>
    <w:rsid w:val="4D6C1893"/>
    <w:rsid w:val="4D9D68F3"/>
    <w:rsid w:val="4E450F5B"/>
    <w:rsid w:val="4F4B5CA4"/>
    <w:rsid w:val="509110A0"/>
    <w:rsid w:val="50E35958"/>
    <w:rsid w:val="52E9310C"/>
    <w:rsid w:val="53613A90"/>
    <w:rsid w:val="542E31F1"/>
    <w:rsid w:val="563C5839"/>
    <w:rsid w:val="5871559D"/>
    <w:rsid w:val="587F1000"/>
    <w:rsid w:val="590C2FBC"/>
    <w:rsid w:val="5B70430D"/>
    <w:rsid w:val="5BD9412B"/>
    <w:rsid w:val="5E13414A"/>
    <w:rsid w:val="5E362EE7"/>
    <w:rsid w:val="5EF43B45"/>
    <w:rsid w:val="5F3A512C"/>
    <w:rsid w:val="5FB93906"/>
    <w:rsid w:val="635377C7"/>
    <w:rsid w:val="64615E3A"/>
    <w:rsid w:val="685206DB"/>
    <w:rsid w:val="68BE27A2"/>
    <w:rsid w:val="6A131F6A"/>
    <w:rsid w:val="6A1E24C3"/>
    <w:rsid w:val="713D42A0"/>
    <w:rsid w:val="714A08C3"/>
    <w:rsid w:val="722B4F44"/>
    <w:rsid w:val="751F3496"/>
    <w:rsid w:val="75F4491C"/>
    <w:rsid w:val="760C0EF7"/>
    <w:rsid w:val="7B48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2"/>
      <w:szCs w:val="22"/>
      <w:u w:val="none"/>
    </w:rPr>
  </w:style>
  <w:style w:type="character" w:customStyle="1" w:styleId="5">
    <w:name w:val="font11"/>
    <w:basedOn w:val="3"/>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2307</Words>
  <Characters>2455</Characters>
  <Paragraphs>62</Paragraphs>
  <TotalTime>316</TotalTime>
  <ScaleCrop>false</ScaleCrop>
  <LinksUpToDate>false</LinksUpToDate>
  <CharactersWithSpaces>2471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2023-04-10T02:02:00Z</dcterms:created>
  <dc:creator>初见</dc:creator>
  <cp:lastModifiedBy>马</cp:lastModifiedBy>
  <cp:lastPrinted>2026-07-14T07:50:00Z</cp:lastPrinted>
  <dcterms:modified xsi:type="dcterms:W3CDTF">2026-07-15T08:31:46Z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0545555C87DF458CA5FA391FACE97777_11</vt:lpwstr>
  </property>
  <property fmtid="{D5CDD505-2E9C-101B-9397-08002B2CF9AE}" pid="4" name="KSOTemplateDocerSaveRecord">
    <vt:lpwstr>eyJoZGlkIjoiNjFlODVkNTBiYmU0ZjhjMDE0MjkxMjU2Y2Q3Yjk2ODUiLCJ1c2VySWQiOiI1MTA5ODUzNjUifQ==</vt:lpwstr>
  </property>
</Properties>
</file>