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250" w:afterLines="80" w:line="460" w:lineRule="exact"/>
        <w:jc w:val="center"/>
        <w:rPr>
          <w:rFonts w:ascii="方正小标宋简体" w:hAnsi="方正小标宋简体" w:eastAsia="方正小标宋简体" w:cs="方正小标宋简体"/>
          <w:color w:val="auto"/>
          <w:sz w:val="36"/>
          <w:szCs w:val="36"/>
          <w:highlight w:val="none"/>
        </w:rPr>
      </w:pPr>
      <w:r>
        <w:rPr>
          <w:rFonts w:hint="eastAsia" w:ascii="方正小标宋简体" w:hAnsi="方正小标宋简体" w:eastAsia="方正小标宋简体" w:cs="方正小标宋简体"/>
          <w:color w:val="auto"/>
          <w:sz w:val="36"/>
          <w:szCs w:val="36"/>
          <w:highlight w:val="none"/>
        </w:rPr>
        <w:t>违反《机动车修理业、报废机动车回收业治安管理办法》处罚裁量基准</w:t>
      </w:r>
    </w:p>
    <w:tbl>
      <w:tblPr>
        <w:tblStyle w:val="2"/>
        <w:tblW w:w="74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1800"/>
        <w:gridCol w:w="2415"/>
        <w:gridCol w:w="2085"/>
        <w:gridCol w:w="11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3" w:hRule="atLeast"/>
          <w:tblHeader/>
        </w:trPr>
        <w:tc>
          <w:tcPr>
            <w:tcW w:w="1800" w:type="dxa"/>
            <w:tcBorders>
              <w:tl2br w:val="nil"/>
              <w:tr2bl w:val="nil"/>
            </w:tcBorders>
            <w:shd w:val="clear" w:color="auto" w:fill="auto"/>
            <w:vAlign w:val="center"/>
          </w:tcPr>
          <w:p>
            <w:pPr>
              <w:widowControl/>
              <w:spacing w:line="320" w:lineRule="exact"/>
              <w:jc w:val="center"/>
              <w:textAlignment w:val="top"/>
              <w:rPr>
                <w:rFonts w:hint="eastAsia" w:asciiTheme="majorEastAsia" w:hAnsiTheme="majorEastAsia" w:eastAsiaTheme="majorEastAsia" w:cstheme="majorEastAsia"/>
                <w:b/>
                <w:bCs/>
                <w:color w:val="auto"/>
                <w:kern w:val="0"/>
                <w:szCs w:val="21"/>
                <w:highlight w:val="none"/>
                <w:lang w:bidi="ar"/>
              </w:rPr>
            </w:pPr>
            <w:bookmarkStart w:id="0" w:name="_GoBack"/>
            <w:bookmarkEnd w:id="0"/>
            <w:r>
              <w:rPr>
                <w:rFonts w:hint="eastAsia" w:asciiTheme="majorEastAsia" w:hAnsiTheme="majorEastAsia" w:eastAsiaTheme="majorEastAsia" w:cstheme="majorEastAsia"/>
                <w:b/>
                <w:bCs/>
                <w:color w:val="auto"/>
                <w:kern w:val="0"/>
                <w:szCs w:val="21"/>
                <w:highlight w:val="none"/>
                <w:lang w:bidi="ar"/>
              </w:rPr>
              <w:t>违法行为</w:t>
            </w:r>
          </w:p>
        </w:tc>
        <w:tc>
          <w:tcPr>
            <w:tcW w:w="2415" w:type="dxa"/>
            <w:tcBorders>
              <w:tl2br w:val="nil"/>
              <w:tr2bl w:val="nil"/>
            </w:tcBorders>
            <w:shd w:val="clear" w:color="auto" w:fill="auto"/>
            <w:vAlign w:val="center"/>
          </w:tcPr>
          <w:p>
            <w:pPr>
              <w:widowControl/>
              <w:spacing w:line="320" w:lineRule="exact"/>
              <w:jc w:val="center"/>
              <w:textAlignment w:val="top"/>
              <w:rPr>
                <w:rFonts w:hint="eastAsia" w:asciiTheme="majorEastAsia" w:hAnsiTheme="majorEastAsia" w:eastAsiaTheme="majorEastAsia" w:cstheme="majorEastAsia"/>
                <w:b/>
                <w:bCs/>
                <w:color w:val="auto"/>
                <w:kern w:val="0"/>
                <w:szCs w:val="21"/>
                <w:highlight w:val="none"/>
                <w:lang w:bidi="ar"/>
              </w:rPr>
            </w:pPr>
            <w:r>
              <w:rPr>
                <w:rFonts w:hint="eastAsia" w:asciiTheme="majorEastAsia" w:hAnsiTheme="majorEastAsia" w:eastAsiaTheme="majorEastAsia" w:cstheme="majorEastAsia"/>
                <w:b/>
                <w:bCs/>
                <w:color w:val="auto"/>
                <w:kern w:val="0"/>
                <w:szCs w:val="21"/>
                <w:highlight w:val="none"/>
                <w:lang w:bidi="ar"/>
              </w:rPr>
              <w:t>法律依据</w:t>
            </w:r>
          </w:p>
        </w:tc>
        <w:tc>
          <w:tcPr>
            <w:tcW w:w="2085" w:type="dxa"/>
            <w:tcBorders>
              <w:tl2br w:val="nil"/>
              <w:tr2bl w:val="nil"/>
            </w:tcBorders>
            <w:shd w:val="clear" w:color="auto" w:fill="auto"/>
            <w:vAlign w:val="center"/>
          </w:tcPr>
          <w:p>
            <w:pPr>
              <w:widowControl/>
              <w:spacing w:line="320" w:lineRule="exact"/>
              <w:jc w:val="center"/>
              <w:textAlignment w:val="top"/>
              <w:rPr>
                <w:rFonts w:hint="eastAsia" w:asciiTheme="majorEastAsia" w:hAnsiTheme="majorEastAsia" w:eastAsiaTheme="majorEastAsia" w:cstheme="majorEastAsia"/>
                <w:b/>
                <w:bCs/>
                <w:color w:val="auto"/>
                <w:kern w:val="0"/>
                <w:szCs w:val="21"/>
                <w:highlight w:val="none"/>
                <w:lang w:bidi="ar"/>
              </w:rPr>
            </w:pPr>
            <w:r>
              <w:rPr>
                <w:rFonts w:hint="eastAsia" w:asciiTheme="majorEastAsia" w:hAnsiTheme="majorEastAsia" w:eastAsiaTheme="majorEastAsia" w:cstheme="majorEastAsia"/>
                <w:b/>
                <w:bCs/>
                <w:color w:val="auto"/>
                <w:kern w:val="0"/>
                <w:szCs w:val="21"/>
                <w:highlight w:val="none"/>
                <w:lang w:bidi="ar"/>
              </w:rPr>
              <w:t>违法情节</w:t>
            </w:r>
          </w:p>
        </w:tc>
        <w:tc>
          <w:tcPr>
            <w:tcW w:w="1183" w:type="dxa"/>
            <w:tcBorders>
              <w:tl2br w:val="nil"/>
              <w:tr2bl w:val="nil"/>
            </w:tcBorders>
            <w:shd w:val="clear" w:color="auto" w:fill="auto"/>
            <w:vAlign w:val="center"/>
          </w:tcPr>
          <w:p>
            <w:pPr>
              <w:widowControl/>
              <w:spacing w:line="320" w:lineRule="exact"/>
              <w:jc w:val="center"/>
              <w:textAlignment w:val="top"/>
              <w:rPr>
                <w:rFonts w:hint="eastAsia" w:asciiTheme="majorEastAsia" w:hAnsiTheme="majorEastAsia" w:eastAsiaTheme="majorEastAsia" w:cstheme="majorEastAsia"/>
                <w:b/>
                <w:bCs/>
                <w:color w:val="auto"/>
                <w:kern w:val="0"/>
                <w:szCs w:val="21"/>
                <w:highlight w:val="none"/>
                <w:lang w:bidi="ar"/>
              </w:rPr>
            </w:pPr>
            <w:r>
              <w:rPr>
                <w:rFonts w:hint="eastAsia" w:asciiTheme="majorEastAsia" w:hAnsiTheme="majorEastAsia" w:eastAsiaTheme="majorEastAsia" w:cstheme="majorEastAsia"/>
                <w:b/>
                <w:bCs/>
                <w:color w:val="auto"/>
                <w:kern w:val="0"/>
                <w:szCs w:val="21"/>
                <w:highlight w:val="none"/>
                <w:lang w:bidi="ar"/>
              </w:rPr>
              <w:t>裁量基准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12" w:hRule="atLeast"/>
        </w:trPr>
        <w:tc>
          <w:tcPr>
            <w:tcW w:w="1800" w:type="dxa"/>
            <w:vMerge w:val="restart"/>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承修机动车或回收报废机动车不按规定如实登记</w:t>
            </w:r>
          </w:p>
        </w:tc>
        <w:tc>
          <w:tcPr>
            <w:tcW w:w="2415" w:type="dxa"/>
            <w:vMerge w:val="restart"/>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第十四条  承修机动车或回收报废机动车不按规定如实登记的，对机动车修理企业和个体工商户处500元以上3000元以下罚款；对报废机动车回收企业按照《废旧金属收购业治安管理办法》第十三条第五项规定处罚。</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 xml:space="preserve">    对前款机动车修理企业和报废机动车回收企业直接负责的主管人员和其他直接责任人员处警告或500元以下罚款。</w:t>
            </w:r>
            <w:r>
              <w:rPr>
                <w:rFonts w:hint="eastAsia" w:ascii="Times New Roman" w:hAnsi="Times New Roman" w:eastAsia="方正书宋简体" w:cs="Times New Roman"/>
                <w:color w:val="auto"/>
                <w:kern w:val="0"/>
                <w:szCs w:val="21"/>
                <w:highlight w:val="none"/>
                <w:lang w:bidi="ar"/>
              </w:rPr>
              <w:br w:type="textWrapping"/>
            </w:r>
          </w:p>
          <w:p>
            <w:pPr>
              <w:widowControl/>
              <w:spacing w:line="320" w:lineRule="exact"/>
              <w:textAlignment w:val="top"/>
              <w:rPr>
                <w:rFonts w:hint="eastAsia" w:ascii="Times New Roman" w:hAnsi="Times New Roman" w:eastAsia="方正书宋简体" w:cs="Times New Roman"/>
                <w:color w:val="auto"/>
                <w:kern w:val="0"/>
                <w:szCs w:val="21"/>
                <w:highlight w:val="none"/>
                <w:lang w:val="en-US" w:eastAsia="zh-CN" w:bidi="ar"/>
              </w:rPr>
            </w:pPr>
            <w:r>
              <w:rPr>
                <w:rFonts w:hint="eastAsia" w:ascii="Times New Roman" w:hAnsi="Times New Roman" w:eastAsia="方正书宋简体" w:cs="Times New Roman"/>
                <w:color w:val="auto"/>
                <w:kern w:val="0"/>
                <w:szCs w:val="21"/>
                <w:highlight w:val="none"/>
                <w:lang w:bidi="ar"/>
              </w:rPr>
              <w:t>《废旧金属收购业治安管理办法》第十三条第一款</w:t>
            </w:r>
            <w:r>
              <w:rPr>
                <w:rFonts w:hint="eastAsia" w:ascii="Times New Roman" w:hAnsi="Times New Roman" w:eastAsia="方正书宋简体" w:cs="Times New Roman"/>
                <w:color w:val="auto"/>
                <w:kern w:val="0"/>
                <w:szCs w:val="21"/>
                <w:highlight w:val="none"/>
                <w:lang w:val="en-US" w:eastAsia="zh-CN" w:bidi="ar"/>
              </w:rPr>
              <w:t xml:space="preserve"> </w:t>
            </w:r>
          </w:p>
          <w:p>
            <w:pPr>
              <w:widowControl/>
              <w:spacing w:line="320" w:lineRule="exact"/>
              <w:ind w:firstLine="420" w:firstLineChars="200"/>
              <w:textAlignment w:val="top"/>
              <w:rPr>
                <w:rFonts w:hint="eastAsia" w:ascii="Times New Roman" w:hAnsi="Times New Roman" w:eastAsia="方正书宋简体" w:cs="Times New Roman"/>
                <w:color w:val="auto"/>
                <w:kern w:val="0"/>
                <w:szCs w:val="21"/>
                <w:highlight w:val="none"/>
                <w:lang w:val="en-US" w:eastAsia="zh-CN" w:bidi="ar"/>
              </w:rPr>
            </w:pPr>
            <w:r>
              <w:rPr>
                <w:rFonts w:hint="eastAsia" w:ascii="Times New Roman" w:hAnsi="Times New Roman" w:eastAsia="方正书宋简体" w:cs="Times New Roman"/>
                <w:color w:val="auto"/>
                <w:kern w:val="0"/>
                <w:szCs w:val="21"/>
                <w:highlight w:val="none"/>
                <w:lang w:val="en-US" w:eastAsia="zh-CN" w:bidi="ar"/>
              </w:rPr>
              <w:t>有下列情形之一的，由公安机关给予相应处罚：</w:t>
            </w:r>
          </w:p>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（五）违反本办法第八条规定，收购生产性废旧金属时未如实登记的，视情节轻重，处以2000元以上5000元以下的罚款、责令停业整顿或者吊销特种行业许可证；</w:t>
            </w:r>
          </w:p>
        </w:tc>
        <w:tc>
          <w:tcPr>
            <w:tcW w:w="2085" w:type="dxa"/>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不按规定如实登记机动车1辆</w:t>
            </w:r>
          </w:p>
        </w:tc>
        <w:tc>
          <w:tcPr>
            <w:tcW w:w="1183" w:type="dxa"/>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对机动车修理企业和个体工商户处500元以上1000元以下罚款；对报废机动车回收企业按照《废旧金属收购业治安管理办法》第十三条第一款第</w:t>
            </w:r>
            <w:r>
              <w:rPr>
                <w:rFonts w:hint="eastAsia" w:ascii="Times New Roman" w:hAnsi="Times New Roman" w:eastAsia="方正书宋简体" w:cs="Times New Roman"/>
                <w:color w:val="auto"/>
                <w:kern w:val="0"/>
                <w:szCs w:val="21"/>
                <w:highlight w:val="none"/>
                <w:lang w:eastAsia="zh-CN" w:bidi="ar"/>
              </w:rPr>
              <w:t>五</w:t>
            </w:r>
            <w:r>
              <w:rPr>
                <w:rFonts w:hint="eastAsia" w:ascii="Times New Roman" w:hAnsi="Times New Roman" w:eastAsia="方正书宋简体" w:cs="Times New Roman"/>
                <w:color w:val="auto"/>
                <w:kern w:val="0"/>
                <w:szCs w:val="21"/>
                <w:highlight w:val="none"/>
                <w:lang w:bidi="ar"/>
              </w:rPr>
              <w:t>项规定处罚。</w:t>
            </w:r>
          </w:p>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对前款机动车修理企业和报废机动车回收企业直接负责的主管人员和其他直接责任人员处警告或500元以下罚款。</w:t>
            </w:r>
          </w:p>
          <w:p>
            <w:pPr>
              <w:widowControl/>
              <w:spacing w:line="32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28" w:hRule="atLeast"/>
        </w:trPr>
        <w:tc>
          <w:tcPr>
            <w:tcW w:w="1800"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2415"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2085" w:type="dxa"/>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不按规定如实登记机动车2辆</w:t>
            </w:r>
          </w:p>
        </w:tc>
        <w:tc>
          <w:tcPr>
            <w:tcW w:w="1183" w:type="dxa"/>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对机动车修理企业和个体工商户处1000元以上2000元以下罚款；对报废机动车回收企业按照《废旧金属收购业治安管理办法》第十三条第一款第</w:t>
            </w:r>
            <w:r>
              <w:rPr>
                <w:rFonts w:hint="eastAsia" w:ascii="Times New Roman" w:hAnsi="Times New Roman" w:eastAsia="方正书宋简体" w:cs="Times New Roman"/>
                <w:color w:val="auto"/>
                <w:kern w:val="0"/>
                <w:szCs w:val="21"/>
                <w:highlight w:val="none"/>
                <w:lang w:eastAsia="zh-CN" w:bidi="ar"/>
              </w:rPr>
              <w:t>五</w:t>
            </w:r>
            <w:r>
              <w:rPr>
                <w:rFonts w:hint="eastAsia" w:ascii="Times New Roman" w:hAnsi="Times New Roman" w:eastAsia="方正书宋简体" w:cs="Times New Roman"/>
                <w:color w:val="auto"/>
                <w:kern w:val="0"/>
                <w:szCs w:val="21"/>
                <w:highlight w:val="none"/>
                <w:lang w:bidi="ar"/>
              </w:rPr>
              <w:t>项规定处罚。</w:t>
            </w:r>
          </w:p>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对前款机动车修理企业和报废机动车回收企业直接负责的主管人员和其他直接责任人员处警告或500元以下罚款。</w:t>
            </w:r>
          </w:p>
          <w:p>
            <w:pPr>
              <w:widowControl/>
              <w:spacing w:line="32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28" w:hRule="atLeast"/>
        </w:trPr>
        <w:tc>
          <w:tcPr>
            <w:tcW w:w="1800"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2415"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2085" w:type="dxa"/>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1、两年内曾违反此规定；</w:t>
            </w:r>
          </w:p>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2、不按规定如实登记机动车3辆以上；</w:t>
            </w:r>
          </w:p>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3、重大安保期间不按规定登记；</w:t>
            </w:r>
          </w:p>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4、政治中心区、安保重点区域不按规定登记；</w:t>
            </w:r>
          </w:p>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5、形成社会热点或造成不良影响。</w:t>
            </w:r>
          </w:p>
        </w:tc>
        <w:tc>
          <w:tcPr>
            <w:tcW w:w="1183" w:type="dxa"/>
            <w:tcBorders>
              <w:tl2br w:val="nil"/>
              <w:tr2bl w:val="nil"/>
            </w:tcBorders>
            <w:shd w:val="clear" w:color="auto" w:fill="auto"/>
          </w:tcPr>
          <w:tbl>
            <w:tblPr>
              <w:tblStyle w:val="2"/>
              <w:tblW w:w="11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11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28" w:hRule="atLeast"/>
              </w:trPr>
              <w:tc>
                <w:tcPr>
                  <w:tcW w:w="1183" w:type="dxa"/>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对机动车修理企业和个体工商户处2000元以上3000元以下罚款；对报废机动车回收企业按照《废旧金属收购业治安管理办法》第十三条第一款第</w:t>
                  </w:r>
                  <w:r>
                    <w:rPr>
                      <w:rFonts w:hint="eastAsia" w:ascii="Times New Roman" w:hAnsi="Times New Roman" w:eastAsia="方正书宋简体" w:cs="Times New Roman"/>
                      <w:color w:val="auto"/>
                      <w:kern w:val="0"/>
                      <w:szCs w:val="21"/>
                      <w:highlight w:val="none"/>
                      <w:lang w:eastAsia="zh-CN" w:bidi="ar"/>
                    </w:rPr>
                    <w:t>五</w:t>
                  </w:r>
                  <w:r>
                    <w:rPr>
                      <w:rFonts w:hint="eastAsia" w:ascii="Times New Roman" w:hAnsi="Times New Roman" w:eastAsia="方正书宋简体" w:cs="Times New Roman"/>
                      <w:color w:val="auto"/>
                      <w:kern w:val="0"/>
                      <w:szCs w:val="21"/>
                      <w:highlight w:val="none"/>
                      <w:lang w:bidi="ar"/>
                    </w:rPr>
                    <w:t>项规定处罚。</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对前款机动车修理企业和报废机动车回收企业直接负责的主管人员和其他直接责任人员处警告或500元以下罚款。</w:t>
                  </w:r>
                </w:p>
                <w:p>
                  <w:pPr>
                    <w:widowControl/>
                    <w:spacing w:line="320" w:lineRule="exact"/>
                    <w:textAlignment w:val="top"/>
                    <w:rPr>
                      <w:rFonts w:ascii="Times New Roman" w:hAnsi="Times New Roman" w:eastAsia="方正书宋简体" w:cs="Times New Roman"/>
                      <w:color w:val="auto"/>
                      <w:kern w:val="0"/>
                      <w:szCs w:val="21"/>
                      <w:highlight w:val="none"/>
                      <w:lang w:bidi="ar"/>
                    </w:rPr>
                  </w:pPr>
                </w:p>
              </w:tc>
            </w:tr>
          </w:tbl>
          <w:p>
            <w:pPr>
              <w:widowControl/>
              <w:spacing w:line="32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20" w:hRule="atLeast"/>
        </w:trPr>
        <w:tc>
          <w:tcPr>
            <w:tcW w:w="1800" w:type="dxa"/>
            <w:vMerge w:val="restart"/>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1、承修无公安交通管理部门出具的车辆变更、改装审批证明更换发动机、车身（架）、改装车型、改变车身颜色的车辆；明知是交通肇事逃逸车辆未向公安机关报告而修理；</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2、回收无报废证明的机动车。</w:t>
            </w:r>
          </w:p>
        </w:tc>
        <w:tc>
          <w:tcPr>
            <w:tcW w:w="2415" w:type="dxa"/>
            <w:vMerge w:val="restart"/>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第十六条  承修无公安交通管理部门出具的车辆变更、改装审批证明更换发动机、车身（架）、改装车型、改变车身颜色的车辆或明知是交通肇事逃逸车辆未向公安机关报告而修理的，对机动车修理企业和个体工商户处5000元以上3万元以下罚款；回收无报废证明的机动车的，对报废机动车回收企业处5000元以上3万元以下罚款。</w:t>
            </w:r>
          </w:p>
          <w:p>
            <w:pPr>
              <w:widowControl/>
              <w:spacing w:line="320" w:lineRule="exact"/>
              <w:ind w:firstLine="420" w:firstLineChars="200"/>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对前款机动车修理企业和报废机动车回收企业直接负责的主管人员和其他直接责任人员处警告或2000元以下罚款。</w:t>
            </w:r>
          </w:p>
        </w:tc>
        <w:tc>
          <w:tcPr>
            <w:tcW w:w="2085" w:type="dxa"/>
            <w:vMerge w:val="restart"/>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一般情况下</w:t>
            </w:r>
          </w:p>
        </w:tc>
        <w:tc>
          <w:tcPr>
            <w:tcW w:w="1183" w:type="dxa"/>
            <w:vMerge w:val="restart"/>
            <w:tcBorders>
              <w:tl2br w:val="nil"/>
              <w:tr2bl w:val="nil"/>
            </w:tcBorders>
            <w:shd w:val="clear" w:color="auto" w:fill="auto"/>
          </w:tcPr>
          <w:p>
            <w:pPr>
              <w:widowControl/>
              <w:spacing w:line="320" w:lineRule="exact"/>
              <w:textAlignment w:val="top"/>
              <w:rPr>
                <w:rFonts w:hint="eastAsia" w:ascii="Times New Roman" w:hAnsi="Times New Roman" w:eastAsia="方正书宋简体" w:cs="Times New Roman"/>
                <w:color w:val="auto"/>
                <w:kern w:val="0"/>
                <w:szCs w:val="21"/>
                <w:highlight w:val="none"/>
                <w:lang w:eastAsia="zh-CN" w:bidi="ar"/>
              </w:rPr>
            </w:pPr>
            <w:r>
              <w:rPr>
                <w:rFonts w:hint="eastAsia" w:ascii="Times New Roman" w:hAnsi="Times New Roman" w:eastAsia="方正书宋简体" w:cs="Times New Roman"/>
                <w:color w:val="auto"/>
                <w:kern w:val="0"/>
                <w:szCs w:val="21"/>
                <w:highlight w:val="none"/>
                <w:lang w:bidi="ar"/>
              </w:rPr>
              <w:t>对机动车修理企业和个体工商户处5000元以上1万元以下罚款；回收无报废证明的机动车的，对报废机动车回收企业处5000元以上1万元以下罚款</w:t>
            </w:r>
            <w:r>
              <w:rPr>
                <w:rFonts w:hint="eastAsia" w:ascii="Times New Roman" w:hAnsi="Times New Roman" w:eastAsia="方正书宋简体" w:cs="Times New Roman"/>
                <w:color w:val="auto"/>
                <w:kern w:val="0"/>
                <w:szCs w:val="21"/>
                <w:highlight w:val="none"/>
                <w:lang w:eastAsia="zh-CN" w:bidi="ar"/>
              </w:rPr>
              <w:t>。</w:t>
            </w:r>
          </w:p>
          <w:p>
            <w:pPr>
              <w:widowControl/>
              <w:spacing w:line="320" w:lineRule="exact"/>
              <w:textAlignment w:val="top"/>
              <w:rPr>
                <w:rFonts w:hint="eastAsia" w:ascii="Times New Roman" w:hAnsi="Times New Roman" w:eastAsia="方正书宋简体" w:cs="Times New Roman"/>
                <w:color w:val="auto"/>
                <w:kern w:val="0"/>
                <w:szCs w:val="21"/>
                <w:highlight w:val="none"/>
                <w:lang w:eastAsia="zh-CN" w:bidi="ar"/>
              </w:rPr>
            </w:pPr>
          </w:p>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对</w:t>
            </w:r>
            <w:r>
              <w:rPr>
                <w:rFonts w:hint="eastAsia" w:ascii="Times New Roman" w:hAnsi="Times New Roman" w:eastAsia="方正书宋简体" w:cs="Times New Roman"/>
                <w:color w:val="auto"/>
                <w:kern w:val="0"/>
                <w:szCs w:val="21"/>
                <w:highlight w:val="none"/>
                <w:lang w:eastAsia="zh-CN" w:bidi="ar"/>
              </w:rPr>
              <w:t>前款</w:t>
            </w:r>
            <w:r>
              <w:rPr>
                <w:rFonts w:hint="eastAsia" w:ascii="Times New Roman" w:hAnsi="Times New Roman" w:eastAsia="方正书宋简体" w:cs="Times New Roman"/>
                <w:color w:val="auto"/>
                <w:kern w:val="0"/>
                <w:szCs w:val="21"/>
                <w:highlight w:val="none"/>
                <w:lang w:bidi="ar"/>
              </w:rPr>
              <w:t>机动车修理企业和报废机动车回收企业直接负责的主管人员和其他直接责任人员处警告或1000元以下罚款。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20" w:hRule="atLeast"/>
        </w:trPr>
        <w:tc>
          <w:tcPr>
            <w:tcW w:w="1800"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2415"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2085"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1183"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20" w:hRule="atLeast"/>
        </w:trPr>
        <w:tc>
          <w:tcPr>
            <w:tcW w:w="1800"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2415"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2085"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1183"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20" w:hRule="atLeast"/>
        </w:trPr>
        <w:tc>
          <w:tcPr>
            <w:tcW w:w="1800"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2415"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2085"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1183"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20" w:hRule="atLeast"/>
        </w:trPr>
        <w:tc>
          <w:tcPr>
            <w:tcW w:w="1800"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2415"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2085"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1183"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20" w:hRule="atLeast"/>
        </w:trPr>
        <w:tc>
          <w:tcPr>
            <w:tcW w:w="1800"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2415"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2085"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1183"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20" w:hRule="atLeast"/>
        </w:trPr>
        <w:tc>
          <w:tcPr>
            <w:tcW w:w="1800"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2415"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2085"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1183"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591" w:hRule="atLeast"/>
        </w:trPr>
        <w:tc>
          <w:tcPr>
            <w:tcW w:w="1800"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2415"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2085"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1183"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1" w:hRule="atLeast"/>
        </w:trPr>
        <w:tc>
          <w:tcPr>
            <w:tcW w:w="1800"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2415"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2085"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1183"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7588" w:hRule="atLeast"/>
        </w:trPr>
        <w:tc>
          <w:tcPr>
            <w:tcW w:w="1800"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2415" w:type="dxa"/>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2085" w:type="dxa"/>
            <w:tcBorders>
              <w:tl2br w:val="nil"/>
              <w:tr2bl w:val="nil"/>
            </w:tcBorders>
            <w:shd w:val="clear" w:color="auto" w:fill="auto"/>
          </w:tcPr>
          <w:p>
            <w:pPr>
              <w:widowControl/>
              <w:numPr>
                <w:ilvl w:val="0"/>
                <w:numId w:val="1"/>
              </w:numPr>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多次实施该种违法行为；</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2、两年内因同类违法行为受过处罚；</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3、造成危害后果或者社会影响；</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4、其他情节严重</w:t>
            </w:r>
            <w:r>
              <w:rPr>
                <w:rFonts w:hint="eastAsia" w:ascii="Times New Roman" w:hAnsi="Times New Roman" w:eastAsia="方正书宋简体" w:cs="Times New Roman"/>
                <w:color w:val="auto"/>
                <w:kern w:val="0"/>
                <w:szCs w:val="21"/>
                <w:highlight w:val="none"/>
                <w:lang w:eastAsia="zh-CN" w:bidi="ar"/>
              </w:rPr>
              <w:t>情形</w:t>
            </w:r>
            <w:r>
              <w:rPr>
                <w:rFonts w:hint="eastAsia" w:ascii="Times New Roman" w:hAnsi="Times New Roman" w:eastAsia="方正书宋简体" w:cs="Times New Roman"/>
                <w:color w:val="auto"/>
                <w:kern w:val="0"/>
                <w:szCs w:val="21"/>
                <w:highlight w:val="none"/>
                <w:lang w:bidi="ar"/>
              </w:rPr>
              <w:t>。</w:t>
            </w:r>
          </w:p>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1183" w:type="dxa"/>
            <w:tcBorders>
              <w:tl2br w:val="nil"/>
              <w:tr2bl w:val="nil"/>
            </w:tcBorders>
            <w:shd w:val="clear" w:color="auto" w:fill="auto"/>
          </w:tcPr>
          <w:p>
            <w:pPr>
              <w:widowControl/>
              <w:spacing w:line="320" w:lineRule="exact"/>
              <w:textAlignment w:val="top"/>
              <w:rPr>
                <w:rFonts w:hint="eastAsia" w:ascii="Times New Roman" w:hAnsi="Times New Roman" w:eastAsia="方正书宋简体" w:cs="Times New Roman"/>
                <w:color w:val="auto"/>
                <w:kern w:val="0"/>
                <w:szCs w:val="21"/>
                <w:highlight w:val="none"/>
                <w:lang w:eastAsia="zh-CN" w:bidi="ar"/>
              </w:rPr>
            </w:pPr>
            <w:r>
              <w:rPr>
                <w:rFonts w:hint="eastAsia" w:ascii="Times New Roman" w:hAnsi="Times New Roman" w:eastAsia="方正书宋简体" w:cs="Times New Roman"/>
                <w:color w:val="auto"/>
                <w:kern w:val="0"/>
                <w:szCs w:val="21"/>
                <w:highlight w:val="none"/>
                <w:lang w:bidi="ar"/>
              </w:rPr>
              <w:t>对机动车修理企业和个体工商户处1万元以上3万元以下罚款；回收无报废证明的机动车的，对报废机动车回收企业处1万元以上3万元以下罚款</w:t>
            </w:r>
            <w:r>
              <w:rPr>
                <w:rFonts w:hint="eastAsia" w:ascii="Times New Roman" w:hAnsi="Times New Roman" w:eastAsia="方正书宋简体" w:cs="Times New Roman"/>
                <w:color w:val="auto"/>
                <w:kern w:val="0"/>
                <w:szCs w:val="21"/>
                <w:highlight w:val="none"/>
                <w:lang w:eastAsia="zh-CN" w:bidi="ar"/>
              </w:rPr>
              <w:t>。</w:t>
            </w:r>
          </w:p>
          <w:p>
            <w:pPr>
              <w:widowControl/>
              <w:spacing w:line="320" w:lineRule="exact"/>
              <w:textAlignment w:val="top"/>
              <w:rPr>
                <w:rFonts w:hint="eastAsia" w:ascii="Times New Roman" w:hAnsi="Times New Roman" w:eastAsia="方正书宋简体" w:cs="Times New Roman"/>
                <w:color w:val="auto"/>
                <w:kern w:val="0"/>
                <w:szCs w:val="21"/>
                <w:highlight w:val="none"/>
                <w:lang w:eastAsia="zh-CN" w:bidi="ar"/>
              </w:rPr>
            </w:pPr>
          </w:p>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对</w:t>
            </w:r>
            <w:r>
              <w:rPr>
                <w:rFonts w:hint="eastAsia" w:ascii="Times New Roman" w:hAnsi="Times New Roman" w:eastAsia="方正书宋简体" w:cs="Times New Roman"/>
                <w:color w:val="auto"/>
                <w:kern w:val="0"/>
                <w:szCs w:val="21"/>
                <w:highlight w:val="none"/>
                <w:lang w:eastAsia="zh-CN" w:bidi="ar"/>
              </w:rPr>
              <w:t>前款</w:t>
            </w:r>
            <w:r>
              <w:rPr>
                <w:rFonts w:hint="eastAsia" w:ascii="Times New Roman" w:hAnsi="Times New Roman" w:eastAsia="方正书宋简体" w:cs="Times New Roman"/>
                <w:color w:val="auto"/>
                <w:kern w:val="0"/>
                <w:szCs w:val="21"/>
                <w:highlight w:val="none"/>
                <w:lang w:bidi="ar"/>
              </w:rPr>
              <w:t>机动车修理企业和报废机动车回收企业直接负责的主管人员和其他直接责任人员处1000元以上2000元以下罚款。</w:t>
            </w:r>
          </w:p>
          <w:p>
            <w:pPr>
              <w:widowControl/>
              <w:spacing w:line="320" w:lineRule="exact"/>
              <w:textAlignment w:val="top"/>
              <w:rPr>
                <w:rFonts w:ascii="Times New Roman" w:hAnsi="Times New Roman" w:eastAsia="方正书宋简体" w:cs="Times New Roman"/>
                <w:color w:val="auto"/>
                <w:kern w:val="0"/>
                <w:szCs w:val="21"/>
                <w:highlight w:val="none"/>
                <w:lang w:bidi="ar"/>
              </w:rPr>
            </w:pPr>
          </w:p>
          <w:p>
            <w:pPr>
              <w:widowControl/>
              <w:spacing w:line="320" w:lineRule="exact"/>
              <w:textAlignment w:val="top"/>
              <w:rPr>
                <w:rFonts w:ascii="Times New Roman" w:hAnsi="Times New Roman" w:eastAsia="方正书宋简体" w:cs="Times New Roman"/>
                <w:color w:val="auto"/>
                <w:kern w:val="0"/>
                <w:szCs w:val="21"/>
                <w:highlight w:val="none"/>
                <w:lang w:bidi="ar"/>
              </w:rPr>
            </w:pPr>
          </w:p>
          <w:p>
            <w:pPr>
              <w:widowControl/>
              <w:spacing w:line="320" w:lineRule="exact"/>
              <w:textAlignment w:val="top"/>
              <w:rPr>
                <w:rFonts w:ascii="Times New Roman" w:hAnsi="Times New Roman" w:eastAsia="方正书宋简体" w:cs="Times New Roman"/>
                <w:color w:val="auto"/>
                <w:kern w:val="0"/>
                <w:szCs w:val="21"/>
                <w:highlight w:val="none"/>
                <w:lang w:bidi="ar"/>
              </w:rPr>
            </w:pPr>
          </w:p>
          <w:p>
            <w:pPr>
              <w:widowControl/>
              <w:spacing w:line="320" w:lineRule="exact"/>
              <w:textAlignment w:val="top"/>
              <w:rPr>
                <w:rFonts w:ascii="Times New Roman" w:hAnsi="Times New Roman" w:eastAsia="方正书宋简体" w:cs="Times New Roman"/>
                <w:color w:val="auto"/>
                <w:kern w:val="0"/>
                <w:szCs w:val="21"/>
                <w:highlight w:val="none"/>
                <w:lang w:bidi="ar"/>
              </w:rPr>
            </w:pPr>
          </w:p>
          <w:p>
            <w:pPr>
              <w:widowControl/>
              <w:spacing w:line="320" w:lineRule="exact"/>
              <w:textAlignment w:val="top"/>
              <w:rPr>
                <w:rFonts w:ascii="Times New Roman" w:hAnsi="Times New Roman" w:eastAsia="方正书宋简体" w:cs="Times New Roman"/>
                <w:color w:val="auto"/>
                <w:kern w:val="0"/>
                <w:szCs w:val="21"/>
                <w:highlight w:val="none"/>
                <w:lang w:bidi="ar"/>
              </w:rPr>
            </w:pPr>
          </w:p>
          <w:p>
            <w:pPr>
              <w:widowControl/>
              <w:spacing w:line="320" w:lineRule="exact"/>
              <w:textAlignment w:val="top"/>
              <w:rPr>
                <w:rFonts w:ascii="Times New Roman" w:hAnsi="Times New Roman" w:eastAsia="方正书宋简体" w:cs="Times New Roman"/>
                <w:color w:val="auto"/>
                <w:kern w:val="0"/>
                <w:szCs w:val="21"/>
                <w:highlight w:val="none"/>
                <w:lang w:bidi="ar"/>
              </w:rPr>
            </w:pPr>
          </w:p>
          <w:p>
            <w:pPr>
              <w:widowControl/>
              <w:spacing w:line="320" w:lineRule="exact"/>
              <w:textAlignment w:val="top"/>
              <w:rPr>
                <w:rFonts w:ascii="Times New Roman" w:hAnsi="Times New Roman" w:eastAsia="方正书宋简体" w:cs="Times New Roman"/>
                <w:color w:val="auto"/>
                <w:kern w:val="0"/>
                <w:szCs w:val="21"/>
                <w:highlight w:val="none"/>
                <w:lang w:bidi="ar"/>
              </w:rPr>
            </w:pPr>
          </w:p>
          <w:p>
            <w:pPr>
              <w:widowControl/>
              <w:spacing w:line="320" w:lineRule="exact"/>
              <w:textAlignment w:val="top"/>
              <w:rPr>
                <w:rFonts w:ascii="Times New Roman" w:hAnsi="Times New Roman" w:eastAsia="方正书宋简体" w:cs="Times New Roman"/>
                <w:color w:val="auto"/>
                <w:kern w:val="0"/>
                <w:szCs w:val="21"/>
                <w:highlight w:val="none"/>
                <w:lang w:bidi="ar"/>
              </w:rPr>
            </w:pPr>
          </w:p>
          <w:p>
            <w:pPr>
              <w:widowControl/>
              <w:spacing w:line="320" w:lineRule="exact"/>
              <w:textAlignment w:val="top"/>
              <w:rPr>
                <w:rFonts w:ascii="Times New Roman" w:hAnsi="Times New Roman" w:eastAsia="方正书宋简体" w:cs="Times New Roman"/>
                <w:color w:val="auto"/>
                <w:kern w:val="0"/>
                <w:szCs w:val="21"/>
                <w:highlight w:val="none"/>
                <w:lang w:bidi="ar"/>
              </w:rPr>
            </w:pPr>
          </w:p>
          <w:p>
            <w:pPr>
              <w:widowControl/>
              <w:spacing w:line="320" w:lineRule="exact"/>
              <w:textAlignment w:val="top"/>
              <w:rPr>
                <w:rFonts w:ascii="Times New Roman" w:hAnsi="Times New Roman" w:eastAsia="方正书宋简体" w:cs="Times New Roman"/>
                <w:color w:val="auto"/>
                <w:kern w:val="0"/>
                <w:szCs w:val="21"/>
                <w:highlight w:val="none"/>
                <w:lang w:bidi="ar"/>
              </w:rPr>
            </w:pPr>
          </w:p>
          <w:p>
            <w:pPr>
              <w:widowControl/>
              <w:spacing w:line="32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12" w:hRule="atLeast"/>
        </w:trPr>
        <w:tc>
          <w:tcPr>
            <w:tcW w:w="1800" w:type="dxa"/>
            <w:vMerge w:val="restart"/>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机动车修理企业和个体工商户更改发动机号码、车架号码。</w:t>
            </w:r>
          </w:p>
        </w:tc>
        <w:tc>
          <w:tcPr>
            <w:tcW w:w="2415" w:type="dxa"/>
            <w:vMerge w:val="restart"/>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第十七条  对更改发动机号码、车架号码的机动车修理企业和个体工商户，处5000元以上3万元以下罚款；对机动车修理企业和报废机动车回收企业直接负责的主管人员和其他直接责任人员处警告或2000元以下罚款；构成犯罪的依法追究刑事责任。</w:t>
            </w:r>
          </w:p>
        </w:tc>
        <w:tc>
          <w:tcPr>
            <w:tcW w:w="2085" w:type="dxa"/>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一般情况下</w:t>
            </w:r>
          </w:p>
        </w:tc>
        <w:tc>
          <w:tcPr>
            <w:tcW w:w="1183" w:type="dxa"/>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对机动车修理企业和个体工商户处5000元以上1万元以下罚款；对机动车修理企业和报废机动车回收企业直接负责的主管人员和其他直接责任人员处警告或1000元以下罚款。</w:t>
            </w:r>
          </w:p>
          <w:p>
            <w:pPr>
              <w:widowControl/>
              <w:spacing w:line="320" w:lineRule="exact"/>
              <w:textAlignment w:val="top"/>
              <w:rPr>
                <w:rFonts w:ascii="Times New Roman" w:hAnsi="Times New Roman" w:eastAsia="方正书宋简体" w:cs="Times New Roman"/>
                <w:color w:val="auto"/>
                <w:kern w:val="0"/>
                <w:szCs w:val="21"/>
                <w:highlight w:val="none"/>
                <w:lang w:bidi="ar"/>
              </w:rPr>
            </w:pPr>
          </w:p>
          <w:p>
            <w:pPr>
              <w:widowControl/>
              <w:spacing w:line="32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12" w:hRule="atLeast"/>
        </w:trPr>
        <w:tc>
          <w:tcPr>
            <w:tcW w:w="1800"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2415"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2085" w:type="dxa"/>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1、多次出现该种违法行为；</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2、两年内因同类违法行为受过处罚；</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3、造成危害后果或者社会影响；</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4、其他情节严重情形。</w:t>
            </w:r>
          </w:p>
        </w:tc>
        <w:tc>
          <w:tcPr>
            <w:tcW w:w="1183" w:type="dxa"/>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对机动车修理企业和个体工商户处1万元以上3万元以下罚款；对机动车修理企业和报废机动车回收企业直接负责的主管人员和其他直接责任人员处1000元以上2000元以下罚款。</w:t>
            </w:r>
          </w:p>
          <w:p>
            <w:pPr>
              <w:widowControl/>
              <w:spacing w:line="320" w:lineRule="exact"/>
              <w:textAlignment w:val="top"/>
              <w:rPr>
                <w:rFonts w:ascii="Times New Roman" w:hAnsi="Times New Roman" w:eastAsia="方正书宋简体" w:cs="Times New Roman"/>
                <w:color w:val="auto"/>
                <w:kern w:val="0"/>
                <w:szCs w:val="21"/>
                <w:highlight w:val="none"/>
                <w:lang w:bidi="ar"/>
              </w:rPr>
            </w:pPr>
          </w:p>
          <w:p>
            <w:pPr>
              <w:widowControl/>
              <w:spacing w:line="32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20" w:hRule="atLeast"/>
        </w:trPr>
        <w:tc>
          <w:tcPr>
            <w:tcW w:w="1800" w:type="dxa"/>
            <w:vMerge w:val="restart"/>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机动车修理企业和个体工商户回收报废机动车</w:t>
            </w:r>
          </w:p>
        </w:tc>
        <w:tc>
          <w:tcPr>
            <w:tcW w:w="2415" w:type="dxa"/>
            <w:vMerge w:val="restart"/>
            <w:tcBorders>
              <w:tl2br w:val="nil"/>
              <w:tr2bl w:val="nil"/>
            </w:tcBorders>
            <w:shd w:val="clear" w:color="auto" w:fill="auto"/>
          </w:tcPr>
          <w:p>
            <w:pPr>
              <w:widowControl/>
              <w:numPr>
                <w:ilvl w:val="0"/>
                <w:numId w:val="2"/>
              </w:numPr>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 xml:space="preserve"> 对机动车修理企业和个体工商户回收报废机动车的，按照《废旧金属收购业治安管理办法》第十三条第一项规定没收非法回收的报废机动车及非法所得，可以并处5000元以上1万元以下罚款。</w:t>
            </w:r>
          </w:p>
          <w:p>
            <w:pPr>
              <w:widowControl/>
              <w:numPr>
                <w:ilvl w:val="0"/>
                <w:numId w:val="0"/>
              </w:numPr>
              <w:spacing w:line="320" w:lineRule="exact"/>
              <w:jc w:val="both"/>
              <w:textAlignment w:val="top"/>
              <w:rPr>
                <w:rFonts w:hint="eastAsia" w:ascii="Times New Roman" w:hAnsi="Times New Roman" w:eastAsia="方正书宋简体" w:cs="Times New Roman"/>
                <w:color w:val="auto"/>
                <w:kern w:val="0"/>
                <w:szCs w:val="21"/>
                <w:highlight w:val="none"/>
                <w:lang w:bidi="ar"/>
              </w:rPr>
            </w:pPr>
          </w:p>
          <w:p>
            <w:pPr>
              <w:widowControl/>
              <w:spacing w:line="320" w:lineRule="exact"/>
              <w:textAlignment w:val="top"/>
              <w:rPr>
                <w:rFonts w:hint="eastAsia"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《废旧金属收购业治安管理办法》第十三条第一款</w:t>
            </w:r>
          </w:p>
          <w:p>
            <w:pPr>
              <w:widowControl/>
              <w:spacing w:line="320" w:lineRule="exact"/>
              <w:textAlignment w:val="top"/>
              <w:rPr>
                <w:rFonts w:hint="eastAsia" w:ascii="Times New Roman" w:hAnsi="Times New Roman" w:eastAsia="方正书宋简体" w:cs="Times New Roman"/>
                <w:color w:val="auto"/>
                <w:kern w:val="0"/>
                <w:szCs w:val="21"/>
                <w:highlight w:val="none"/>
                <w:lang w:val="en-US" w:eastAsia="zh-CN" w:bidi="ar"/>
              </w:rPr>
            </w:pPr>
            <w:r>
              <w:rPr>
                <w:rFonts w:hint="eastAsia" w:ascii="Times New Roman" w:hAnsi="Times New Roman" w:eastAsia="方正书宋简体" w:cs="Times New Roman"/>
                <w:color w:val="auto"/>
                <w:kern w:val="0"/>
                <w:szCs w:val="21"/>
                <w:highlight w:val="none"/>
                <w:lang w:val="en-US" w:eastAsia="zh-CN" w:bidi="ar"/>
              </w:rPr>
              <w:t xml:space="preserve">  有下列情形之一的，由公安机关给予相应处罚：</w:t>
            </w:r>
          </w:p>
          <w:p>
            <w:pPr>
              <w:widowControl/>
              <w:numPr>
                <w:ilvl w:val="0"/>
                <w:numId w:val="3"/>
              </w:numPr>
              <w:spacing w:line="320" w:lineRule="exact"/>
              <w:jc w:val="both"/>
              <w:textAlignment w:val="top"/>
              <w:rPr>
                <w:rFonts w:hint="eastAsia" w:ascii="Times New Roman" w:hAnsi="Times New Roman" w:eastAsia="方正书宋简体" w:cs="Times New Roman"/>
                <w:color w:val="auto"/>
                <w:kern w:val="0"/>
                <w:szCs w:val="21"/>
                <w:highlight w:val="none"/>
                <w:lang w:val="en-US" w:eastAsia="zh-CN" w:bidi="ar"/>
              </w:rPr>
            </w:pPr>
            <w:r>
              <w:rPr>
                <w:rFonts w:hint="eastAsia" w:ascii="Times New Roman" w:hAnsi="Times New Roman" w:eastAsia="方正书宋简体" w:cs="Times New Roman"/>
                <w:color w:val="auto"/>
                <w:kern w:val="0"/>
                <w:szCs w:val="21"/>
                <w:highlight w:val="none"/>
                <w:lang w:bidi="ar"/>
              </w:rPr>
              <w:t>违反本办法第</w:t>
            </w:r>
            <w:r>
              <w:rPr>
                <w:rFonts w:hint="eastAsia" w:ascii="Times New Roman" w:hAnsi="Times New Roman" w:eastAsia="方正书宋简体" w:cs="Times New Roman"/>
                <w:color w:val="auto"/>
                <w:kern w:val="0"/>
                <w:szCs w:val="21"/>
                <w:highlight w:val="none"/>
                <w:lang w:eastAsia="zh-CN" w:bidi="ar"/>
              </w:rPr>
              <w:t>四</w:t>
            </w:r>
            <w:r>
              <w:rPr>
                <w:rFonts w:hint="eastAsia" w:ascii="Times New Roman" w:hAnsi="Times New Roman" w:eastAsia="方正书宋简体" w:cs="Times New Roman"/>
                <w:color w:val="auto"/>
                <w:kern w:val="0"/>
                <w:szCs w:val="21"/>
                <w:highlight w:val="none"/>
                <w:lang w:bidi="ar"/>
              </w:rPr>
              <w:t>条</w:t>
            </w:r>
            <w:r>
              <w:rPr>
                <w:rFonts w:hint="eastAsia" w:ascii="Times New Roman" w:hAnsi="Times New Roman" w:eastAsia="方正书宋简体" w:cs="Times New Roman"/>
                <w:color w:val="auto"/>
                <w:kern w:val="0"/>
                <w:szCs w:val="21"/>
                <w:highlight w:val="none"/>
                <w:lang w:eastAsia="zh-CN" w:bidi="ar"/>
              </w:rPr>
              <w:t>第一款</w:t>
            </w:r>
            <w:r>
              <w:rPr>
                <w:rFonts w:hint="eastAsia" w:ascii="Times New Roman" w:hAnsi="Times New Roman" w:eastAsia="方正书宋简体" w:cs="Times New Roman"/>
                <w:color w:val="auto"/>
                <w:kern w:val="0"/>
                <w:szCs w:val="21"/>
                <w:highlight w:val="none"/>
                <w:lang w:bidi="ar"/>
              </w:rPr>
              <w:t>规定，</w:t>
            </w:r>
            <w:r>
              <w:rPr>
                <w:rFonts w:hint="eastAsia" w:ascii="Times New Roman" w:hAnsi="Times New Roman" w:eastAsia="方正书宋简体" w:cs="Times New Roman"/>
                <w:color w:val="auto"/>
                <w:kern w:val="0"/>
                <w:szCs w:val="21"/>
                <w:highlight w:val="none"/>
                <w:lang w:eastAsia="zh-CN" w:bidi="ar"/>
              </w:rPr>
              <w:t>未领取特种行业许可证收购生产性废旧金属的，予以取缔，没收非法收购的物品及非法所得，可以并处</w:t>
            </w:r>
            <w:r>
              <w:rPr>
                <w:rFonts w:hint="eastAsia" w:ascii="Times New Roman" w:hAnsi="Times New Roman" w:eastAsia="方正书宋简体" w:cs="Times New Roman"/>
                <w:color w:val="auto"/>
                <w:kern w:val="0"/>
                <w:szCs w:val="21"/>
                <w:highlight w:val="none"/>
                <w:lang w:val="en-US" w:eastAsia="zh-CN" w:bidi="ar"/>
              </w:rPr>
              <w:t>5000元以上1万元以下罚款。</w:t>
            </w:r>
          </w:p>
          <w:p>
            <w:pPr>
              <w:widowControl/>
              <w:numPr>
                <w:ilvl w:val="0"/>
                <w:numId w:val="0"/>
              </w:numPr>
              <w:spacing w:line="320" w:lineRule="exact"/>
              <w:jc w:val="both"/>
              <w:textAlignment w:val="top"/>
              <w:rPr>
                <w:rFonts w:hint="eastAsia" w:ascii="Times New Roman" w:hAnsi="Times New Roman" w:eastAsia="方正书宋简体" w:cs="Times New Roman"/>
                <w:color w:val="auto"/>
                <w:kern w:val="0"/>
                <w:szCs w:val="21"/>
                <w:highlight w:val="none"/>
                <w:lang w:val="en-US" w:eastAsia="zh-CN" w:bidi="ar"/>
              </w:rPr>
            </w:pPr>
          </w:p>
          <w:p>
            <w:pPr>
              <w:widowControl/>
              <w:numPr>
                <w:ilvl w:val="0"/>
                <w:numId w:val="0"/>
              </w:numPr>
              <w:spacing w:line="320" w:lineRule="exact"/>
              <w:jc w:val="both"/>
              <w:textAlignment w:val="top"/>
              <w:rPr>
                <w:rFonts w:hint="eastAsia" w:ascii="Times New Roman" w:hAnsi="Times New Roman" w:eastAsia="方正书宋简体" w:cs="Times New Roman"/>
                <w:color w:val="auto"/>
                <w:kern w:val="0"/>
                <w:szCs w:val="21"/>
                <w:highlight w:val="none"/>
                <w:lang w:val="en-US" w:eastAsia="zh-CN" w:bidi="ar"/>
              </w:rPr>
            </w:pPr>
          </w:p>
          <w:p>
            <w:pPr>
              <w:widowControl/>
              <w:numPr>
                <w:ilvl w:val="0"/>
                <w:numId w:val="0"/>
              </w:numPr>
              <w:spacing w:line="320" w:lineRule="exact"/>
              <w:jc w:val="both"/>
              <w:textAlignment w:val="top"/>
              <w:rPr>
                <w:rFonts w:hint="eastAsia" w:ascii="Times New Roman" w:hAnsi="Times New Roman" w:eastAsia="方正书宋简体" w:cs="Times New Roman"/>
                <w:color w:val="auto"/>
                <w:kern w:val="0"/>
                <w:szCs w:val="21"/>
                <w:highlight w:val="none"/>
                <w:lang w:val="en-US" w:eastAsia="zh-CN" w:bidi="ar"/>
              </w:rPr>
            </w:pPr>
          </w:p>
          <w:p>
            <w:pPr>
              <w:widowControl/>
              <w:numPr>
                <w:ilvl w:val="0"/>
                <w:numId w:val="0"/>
              </w:numPr>
              <w:spacing w:line="320" w:lineRule="exact"/>
              <w:jc w:val="both"/>
              <w:textAlignment w:val="top"/>
              <w:rPr>
                <w:rFonts w:hint="eastAsia" w:ascii="Times New Roman" w:hAnsi="Times New Roman" w:eastAsia="方正书宋简体" w:cs="Times New Roman"/>
                <w:color w:val="auto"/>
                <w:kern w:val="0"/>
                <w:szCs w:val="21"/>
                <w:highlight w:val="none"/>
                <w:lang w:val="en-US" w:eastAsia="zh-CN" w:bidi="ar"/>
              </w:rPr>
            </w:pPr>
          </w:p>
          <w:p>
            <w:pPr>
              <w:widowControl/>
              <w:numPr>
                <w:ilvl w:val="0"/>
                <w:numId w:val="0"/>
              </w:numPr>
              <w:spacing w:line="320" w:lineRule="exact"/>
              <w:jc w:val="both"/>
              <w:textAlignment w:val="top"/>
              <w:rPr>
                <w:rFonts w:hint="eastAsia" w:ascii="Times New Roman" w:hAnsi="Times New Roman" w:eastAsia="方正书宋简体" w:cs="Times New Roman"/>
                <w:color w:val="auto"/>
                <w:kern w:val="0"/>
                <w:szCs w:val="21"/>
                <w:highlight w:val="none"/>
                <w:lang w:val="en-US" w:eastAsia="zh-CN" w:bidi="ar"/>
              </w:rPr>
            </w:pPr>
          </w:p>
          <w:p>
            <w:pPr>
              <w:widowControl/>
              <w:numPr>
                <w:ilvl w:val="0"/>
                <w:numId w:val="0"/>
              </w:numPr>
              <w:spacing w:line="320" w:lineRule="exact"/>
              <w:jc w:val="both"/>
              <w:textAlignment w:val="top"/>
              <w:rPr>
                <w:rFonts w:hint="eastAsia" w:ascii="Times New Roman" w:hAnsi="Times New Roman" w:eastAsia="方正书宋简体" w:cs="Times New Roman"/>
                <w:color w:val="auto"/>
                <w:kern w:val="0"/>
                <w:szCs w:val="21"/>
                <w:highlight w:val="none"/>
                <w:lang w:val="en-US" w:eastAsia="zh-CN" w:bidi="ar"/>
              </w:rPr>
            </w:pPr>
          </w:p>
          <w:p>
            <w:pPr>
              <w:widowControl/>
              <w:numPr>
                <w:ilvl w:val="0"/>
                <w:numId w:val="0"/>
              </w:numPr>
              <w:spacing w:line="320" w:lineRule="exact"/>
              <w:jc w:val="both"/>
              <w:textAlignment w:val="top"/>
              <w:rPr>
                <w:rFonts w:hint="eastAsia" w:ascii="Times New Roman" w:hAnsi="Times New Roman" w:eastAsia="方正书宋简体" w:cs="Times New Roman"/>
                <w:color w:val="auto"/>
                <w:kern w:val="0"/>
                <w:szCs w:val="21"/>
                <w:highlight w:val="none"/>
                <w:lang w:val="en-US" w:eastAsia="zh-CN" w:bidi="ar"/>
              </w:rPr>
            </w:pPr>
          </w:p>
          <w:p>
            <w:pPr>
              <w:widowControl/>
              <w:numPr>
                <w:ilvl w:val="0"/>
                <w:numId w:val="0"/>
              </w:numPr>
              <w:spacing w:line="320" w:lineRule="exact"/>
              <w:jc w:val="both"/>
              <w:textAlignment w:val="top"/>
              <w:rPr>
                <w:rFonts w:hint="eastAsia" w:ascii="Times New Roman" w:hAnsi="Times New Roman" w:eastAsia="方正书宋简体" w:cs="Times New Roman"/>
                <w:color w:val="auto"/>
                <w:kern w:val="0"/>
                <w:szCs w:val="21"/>
                <w:highlight w:val="none"/>
                <w:lang w:val="en-US" w:eastAsia="zh-CN" w:bidi="ar"/>
              </w:rPr>
            </w:pPr>
          </w:p>
          <w:p>
            <w:pPr>
              <w:widowControl/>
              <w:numPr>
                <w:ilvl w:val="0"/>
                <w:numId w:val="0"/>
              </w:numPr>
              <w:spacing w:line="320" w:lineRule="exact"/>
              <w:jc w:val="both"/>
              <w:textAlignment w:val="top"/>
              <w:rPr>
                <w:rFonts w:hint="eastAsia" w:ascii="Times New Roman" w:hAnsi="Times New Roman" w:eastAsia="方正书宋简体" w:cs="Times New Roman"/>
                <w:color w:val="auto"/>
                <w:kern w:val="0"/>
                <w:szCs w:val="21"/>
                <w:highlight w:val="none"/>
                <w:lang w:val="en-US" w:eastAsia="zh-CN" w:bidi="ar"/>
              </w:rPr>
            </w:pPr>
          </w:p>
          <w:p>
            <w:pPr>
              <w:widowControl/>
              <w:numPr>
                <w:ilvl w:val="0"/>
                <w:numId w:val="0"/>
              </w:numPr>
              <w:spacing w:line="320" w:lineRule="exact"/>
              <w:jc w:val="both"/>
              <w:textAlignment w:val="top"/>
              <w:rPr>
                <w:rFonts w:hint="eastAsia" w:ascii="Times New Roman" w:hAnsi="Times New Roman" w:eastAsia="方正书宋简体" w:cs="Times New Roman"/>
                <w:color w:val="auto"/>
                <w:kern w:val="0"/>
                <w:szCs w:val="21"/>
                <w:highlight w:val="none"/>
                <w:lang w:val="en-US" w:eastAsia="zh-CN" w:bidi="ar"/>
              </w:rPr>
            </w:pPr>
          </w:p>
          <w:p>
            <w:pPr>
              <w:widowControl/>
              <w:numPr>
                <w:ilvl w:val="0"/>
                <w:numId w:val="0"/>
              </w:numPr>
              <w:spacing w:line="320" w:lineRule="exact"/>
              <w:jc w:val="both"/>
              <w:textAlignment w:val="top"/>
              <w:rPr>
                <w:rFonts w:hint="eastAsia" w:ascii="Times New Roman" w:hAnsi="Times New Roman" w:eastAsia="方正书宋简体" w:cs="Times New Roman"/>
                <w:color w:val="auto"/>
                <w:kern w:val="0"/>
                <w:szCs w:val="21"/>
                <w:highlight w:val="none"/>
                <w:lang w:val="en-US" w:eastAsia="zh-CN" w:bidi="ar"/>
              </w:rPr>
            </w:pPr>
          </w:p>
          <w:p>
            <w:pPr>
              <w:widowControl/>
              <w:numPr>
                <w:ilvl w:val="0"/>
                <w:numId w:val="0"/>
              </w:numPr>
              <w:spacing w:line="320" w:lineRule="exact"/>
              <w:jc w:val="both"/>
              <w:textAlignment w:val="top"/>
              <w:rPr>
                <w:rFonts w:hint="eastAsia" w:ascii="Times New Roman" w:hAnsi="Times New Roman" w:eastAsia="方正书宋简体" w:cs="Times New Roman"/>
                <w:color w:val="auto"/>
                <w:kern w:val="0"/>
                <w:szCs w:val="21"/>
                <w:highlight w:val="none"/>
                <w:lang w:val="en-US" w:eastAsia="zh-CN" w:bidi="ar"/>
              </w:rPr>
            </w:pPr>
          </w:p>
          <w:p>
            <w:pPr>
              <w:widowControl/>
              <w:numPr>
                <w:ilvl w:val="0"/>
                <w:numId w:val="0"/>
              </w:numPr>
              <w:spacing w:line="320" w:lineRule="exact"/>
              <w:jc w:val="both"/>
              <w:textAlignment w:val="top"/>
              <w:rPr>
                <w:rFonts w:hint="eastAsia" w:ascii="Times New Roman" w:hAnsi="Times New Roman" w:eastAsia="方正书宋简体" w:cs="Times New Roman"/>
                <w:color w:val="auto"/>
                <w:kern w:val="0"/>
                <w:szCs w:val="21"/>
                <w:highlight w:val="none"/>
                <w:lang w:val="en-US" w:eastAsia="zh-CN" w:bidi="ar"/>
              </w:rPr>
            </w:pPr>
          </w:p>
          <w:p>
            <w:pPr>
              <w:widowControl/>
              <w:numPr>
                <w:ilvl w:val="0"/>
                <w:numId w:val="0"/>
              </w:numPr>
              <w:spacing w:line="320" w:lineRule="exact"/>
              <w:jc w:val="both"/>
              <w:textAlignment w:val="top"/>
              <w:rPr>
                <w:rFonts w:hint="eastAsia" w:ascii="Times New Roman" w:hAnsi="Times New Roman" w:eastAsia="方正书宋简体" w:cs="Times New Roman"/>
                <w:color w:val="auto"/>
                <w:kern w:val="0"/>
                <w:szCs w:val="21"/>
                <w:highlight w:val="none"/>
                <w:lang w:val="en-US" w:eastAsia="zh-CN" w:bidi="ar"/>
              </w:rPr>
            </w:pPr>
          </w:p>
          <w:p>
            <w:pPr>
              <w:widowControl/>
              <w:numPr>
                <w:ilvl w:val="0"/>
                <w:numId w:val="0"/>
              </w:numPr>
              <w:spacing w:line="320" w:lineRule="exact"/>
              <w:jc w:val="both"/>
              <w:textAlignment w:val="top"/>
              <w:rPr>
                <w:rFonts w:hint="eastAsia" w:ascii="Times New Roman" w:hAnsi="Times New Roman" w:eastAsia="方正书宋简体" w:cs="Times New Roman"/>
                <w:color w:val="auto"/>
                <w:kern w:val="0"/>
                <w:szCs w:val="21"/>
                <w:highlight w:val="none"/>
                <w:lang w:val="en-US" w:eastAsia="zh-CN" w:bidi="ar"/>
              </w:rPr>
            </w:pPr>
          </w:p>
        </w:tc>
        <w:tc>
          <w:tcPr>
            <w:tcW w:w="2085" w:type="dxa"/>
            <w:vMerge w:val="restart"/>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不需</w:t>
            </w:r>
            <w:r>
              <w:rPr>
                <w:rFonts w:hint="eastAsia" w:ascii="Times New Roman" w:hAnsi="Times New Roman" w:eastAsia="方正书宋简体" w:cs="Times New Roman"/>
                <w:color w:val="auto"/>
                <w:kern w:val="0"/>
                <w:szCs w:val="21"/>
                <w:highlight w:val="none"/>
                <w:lang w:eastAsia="zh-CN" w:bidi="ar"/>
              </w:rPr>
              <w:t>另行</w:t>
            </w:r>
            <w:r>
              <w:rPr>
                <w:rFonts w:hint="eastAsia" w:ascii="Times New Roman" w:hAnsi="Times New Roman" w:eastAsia="方正书宋简体" w:cs="Times New Roman"/>
                <w:color w:val="auto"/>
                <w:kern w:val="0"/>
                <w:szCs w:val="21"/>
                <w:highlight w:val="none"/>
                <w:lang w:bidi="ar"/>
              </w:rPr>
              <w:t>分阶</w:t>
            </w:r>
          </w:p>
        </w:tc>
        <w:tc>
          <w:tcPr>
            <w:tcW w:w="1183" w:type="dxa"/>
            <w:vMerge w:val="restart"/>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没收非法回收的报废机动车及非法所得，可以并处5000元以上1万元以下罚款。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05" w:hRule="atLeast"/>
        </w:trPr>
        <w:tc>
          <w:tcPr>
            <w:tcW w:w="1800"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2415"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2085"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c>
          <w:tcPr>
            <w:tcW w:w="1183" w:type="dxa"/>
            <w:vMerge w:val="continue"/>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519" w:hRule="atLeast"/>
        </w:trPr>
        <w:tc>
          <w:tcPr>
            <w:tcW w:w="1800" w:type="dxa"/>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非法拼（组）装汽车、摩托车。</w:t>
            </w:r>
          </w:p>
        </w:tc>
        <w:tc>
          <w:tcPr>
            <w:tcW w:w="2415" w:type="dxa"/>
            <w:tcBorders>
              <w:tl2br w:val="nil"/>
              <w:tr2bl w:val="nil"/>
            </w:tcBorders>
            <w:shd w:val="clear" w:color="auto" w:fill="auto"/>
          </w:tcPr>
          <w:p>
            <w:pPr>
              <w:widowControl/>
              <w:numPr>
                <w:ilvl w:val="0"/>
                <w:numId w:val="2"/>
              </w:numPr>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 xml:space="preserve"> 非法拼（组）装汽车、摩托车的，按照国务院批准的《关于禁止非法拼（组）装汽车、摩托车的通告》的规定处理。</w:t>
            </w:r>
          </w:p>
          <w:p>
            <w:pPr>
              <w:widowControl/>
              <w:spacing w:line="320" w:lineRule="exact"/>
              <w:textAlignment w:val="top"/>
              <w:rPr>
                <w:rFonts w:ascii="Times New Roman" w:hAnsi="Times New Roman" w:eastAsia="方正书宋简体" w:cs="Times New Roman"/>
                <w:color w:val="auto"/>
                <w:kern w:val="0"/>
                <w:szCs w:val="21"/>
                <w:highlight w:val="none"/>
                <w:lang w:bidi="ar"/>
              </w:rPr>
            </w:pPr>
          </w:p>
          <w:p>
            <w:pPr>
              <w:widowControl/>
              <w:spacing w:line="320" w:lineRule="exact"/>
              <w:textAlignment w:val="top"/>
              <w:rPr>
                <w:rFonts w:hint="eastAsia"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《关于禁止非法拼（组）装汽车、摩托车的通告》</w:t>
            </w:r>
            <w:r>
              <w:rPr>
                <w:rFonts w:hint="eastAsia" w:ascii="Times New Roman" w:hAnsi="Times New Roman" w:eastAsia="方正书宋简体" w:cs="Times New Roman"/>
                <w:color w:val="auto"/>
                <w:kern w:val="0"/>
                <w:szCs w:val="21"/>
                <w:highlight w:val="none"/>
                <w:lang w:eastAsia="zh-CN" w:bidi="ar"/>
              </w:rPr>
              <w:t>第三条</w:t>
            </w:r>
            <w:r>
              <w:rPr>
                <w:rFonts w:hint="eastAsia" w:ascii="Times New Roman" w:hAnsi="Times New Roman" w:eastAsia="方正书宋简体" w:cs="Times New Roman"/>
                <w:color w:val="auto"/>
                <w:kern w:val="0"/>
                <w:szCs w:val="21"/>
                <w:highlight w:val="none"/>
                <w:lang w:val="en-US" w:eastAsia="zh-CN" w:bidi="ar"/>
              </w:rPr>
              <w:t xml:space="preserve">  </w:t>
            </w:r>
            <w:r>
              <w:rPr>
                <w:rFonts w:hint="eastAsia" w:ascii="Times New Roman" w:hAnsi="Times New Roman" w:eastAsia="方正书宋简体" w:cs="Times New Roman"/>
                <w:color w:val="auto"/>
                <w:kern w:val="0"/>
                <w:szCs w:val="21"/>
                <w:highlight w:val="none"/>
                <w:lang w:bidi="ar"/>
              </w:rPr>
              <w:t>对非法拼（组）装车辆的行为，工商行政管理机关、公安机关、海关依据各自的职责没收销货款、未销售的车辆及进口件。</w:t>
            </w:r>
          </w:p>
          <w:p>
            <w:pPr>
              <w:widowControl/>
              <w:spacing w:line="320" w:lineRule="exact"/>
              <w:textAlignment w:val="top"/>
              <w:rPr>
                <w:rFonts w:hint="eastAsia" w:ascii="Times New Roman" w:hAnsi="Times New Roman" w:eastAsia="方正书宋简体" w:cs="Times New Roman"/>
                <w:color w:val="auto"/>
                <w:kern w:val="0"/>
                <w:szCs w:val="21"/>
                <w:highlight w:val="none"/>
                <w:lang w:bidi="ar"/>
              </w:rPr>
            </w:pPr>
          </w:p>
          <w:p>
            <w:pPr>
              <w:widowControl/>
              <w:numPr>
                <w:ilvl w:val="0"/>
                <w:numId w:val="0"/>
              </w:numPr>
              <w:spacing w:line="320" w:lineRule="exact"/>
              <w:textAlignment w:val="top"/>
              <w:rPr>
                <w:rFonts w:hint="eastAsia"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val="en-US" w:eastAsia="zh-CN" w:bidi="ar"/>
              </w:rPr>
              <w:t xml:space="preserve">第五条  </w:t>
            </w:r>
            <w:r>
              <w:rPr>
                <w:rFonts w:hint="eastAsia" w:ascii="Times New Roman" w:hAnsi="Times New Roman" w:eastAsia="方正书宋简体" w:cs="Times New Roman"/>
                <w:color w:val="auto"/>
                <w:kern w:val="0"/>
                <w:szCs w:val="21"/>
                <w:highlight w:val="none"/>
                <w:lang w:bidi="ar"/>
              </w:rPr>
              <w:t>公安交通管理部门对非法拼（组）装的车辆（依法罚没处理的除外），一律不予核发牌证，并予以没收。</w:t>
            </w:r>
          </w:p>
          <w:p>
            <w:pPr>
              <w:widowControl/>
              <w:numPr>
                <w:ilvl w:val="0"/>
                <w:numId w:val="0"/>
              </w:numPr>
              <w:spacing w:line="320" w:lineRule="exact"/>
              <w:jc w:val="both"/>
              <w:textAlignment w:val="top"/>
              <w:rPr>
                <w:rFonts w:hint="eastAsia" w:ascii="Times New Roman" w:hAnsi="Times New Roman" w:eastAsia="方正书宋简体" w:cs="Times New Roman"/>
                <w:color w:val="auto"/>
                <w:kern w:val="0"/>
                <w:szCs w:val="21"/>
                <w:highlight w:val="none"/>
                <w:lang w:bidi="ar"/>
              </w:rPr>
            </w:pPr>
          </w:p>
          <w:p>
            <w:pPr>
              <w:widowControl/>
              <w:numPr>
                <w:ilvl w:val="0"/>
                <w:numId w:val="0"/>
              </w:numPr>
              <w:spacing w:line="320" w:lineRule="exact"/>
              <w:jc w:val="both"/>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eastAsia="zh-CN" w:bidi="ar"/>
              </w:rPr>
              <w:t>第六条</w:t>
            </w:r>
            <w:r>
              <w:rPr>
                <w:rFonts w:hint="eastAsia" w:ascii="Times New Roman" w:hAnsi="Times New Roman" w:eastAsia="方正书宋简体" w:cs="Times New Roman"/>
                <w:color w:val="auto"/>
                <w:kern w:val="0"/>
                <w:szCs w:val="21"/>
                <w:highlight w:val="none"/>
                <w:lang w:val="en-US" w:eastAsia="zh-CN" w:bidi="ar"/>
              </w:rPr>
              <w:t xml:space="preserve">  </w:t>
            </w:r>
            <w:r>
              <w:rPr>
                <w:rFonts w:hint="eastAsia" w:ascii="Times New Roman" w:hAnsi="Times New Roman" w:eastAsia="方正书宋简体" w:cs="Times New Roman"/>
                <w:color w:val="auto"/>
                <w:kern w:val="0"/>
                <w:szCs w:val="21"/>
                <w:highlight w:val="none"/>
                <w:lang w:bidi="ar"/>
              </w:rPr>
              <w:t>对利用国产汽车、摩托车总成、零部件非法拼（组）装车辆的行为，将另行规定处理办法。</w:t>
            </w:r>
          </w:p>
          <w:p>
            <w:pPr>
              <w:widowControl/>
              <w:numPr>
                <w:ilvl w:val="0"/>
                <w:numId w:val="0"/>
              </w:numPr>
              <w:spacing w:line="320" w:lineRule="exact"/>
              <w:textAlignment w:val="top"/>
              <w:rPr>
                <w:rFonts w:hint="eastAsia" w:ascii="Times New Roman" w:hAnsi="Times New Roman" w:eastAsia="方正书宋简体" w:cs="Times New Roman"/>
                <w:color w:val="auto"/>
                <w:kern w:val="0"/>
                <w:szCs w:val="21"/>
                <w:highlight w:val="none"/>
                <w:lang w:bidi="ar"/>
              </w:rPr>
            </w:pPr>
          </w:p>
          <w:p>
            <w:pPr>
              <w:widowControl/>
              <w:numPr>
                <w:ilvl w:val="0"/>
                <w:numId w:val="0"/>
              </w:numPr>
              <w:spacing w:line="320" w:lineRule="exact"/>
              <w:textAlignment w:val="top"/>
              <w:rPr>
                <w:rFonts w:hint="eastAsia"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eastAsia="zh-CN" w:bidi="ar"/>
              </w:rPr>
              <w:t>第七条</w:t>
            </w:r>
            <w:r>
              <w:rPr>
                <w:rFonts w:hint="eastAsia" w:ascii="Times New Roman" w:hAnsi="Times New Roman" w:eastAsia="方正书宋简体" w:cs="Times New Roman"/>
                <w:color w:val="auto"/>
                <w:kern w:val="0"/>
                <w:szCs w:val="21"/>
                <w:highlight w:val="none"/>
                <w:lang w:val="en-US" w:eastAsia="zh-CN" w:bidi="ar"/>
              </w:rPr>
              <w:t xml:space="preserve">  </w:t>
            </w:r>
            <w:r>
              <w:rPr>
                <w:rFonts w:hint="eastAsia" w:ascii="Times New Roman" w:hAnsi="Times New Roman" w:eastAsia="方正书宋简体" w:cs="Times New Roman"/>
                <w:color w:val="auto"/>
                <w:kern w:val="0"/>
                <w:szCs w:val="21"/>
                <w:highlight w:val="none"/>
                <w:lang w:bidi="ar"/>
              </w:rPr>
              <w:t>对违反本通告，情节严重，构成犯罪的，依法移送司法机关追究其刑事责任。</w:t>
            </w:r>
          </w:p>
          <w:p>
            <w:pPr>
              <w:widowControl/>
              <w:numPr>
                <w:ilvl w:val="0"/>
                <w:numId w:val="0"/>
              </w:numPr>
              <w:spacing w:line="320" w:lineRule="exact"/>
              <w:jc w:val="both"/>
              <w:textAlignment w:val="top"/>
              <w:rPr>
                <w:rFonts w:hint="eastAsia" w:ascii="Times New Roman" w:hAnsi="Times New Roman" w:eastAsia="方正书宋简体" w:cs="Times New Roman"/>
                <w:color w:val="auto"/>
                <w:kern w:val="0"/>
                <w:szCs w:val="21"/>
                <w:highlight w:val="none"/>
                <w:lang w:bidi="ar"/>
              </w:rPr>
            </w:pPr>
          </w:p>
          <w:p>
            <w:pPr>
              <w:widowControl/>
              <w:numPr>
                <w:ilvl w:val="0"/>
                <w:numId w:val="0"/>
              </w:numPr>
              <w:spacing w:line="320" w:lineRule="exact"/>
              <w:jc w:val="both"/>
              <w:textAlignment w:val="top"/>
              <w:rPr>
                <w:rFonts w:hint="eastAsia" w:ascii="Times New Roman" w:hAnsi="Times New Roman" w:eastAsia="方正书宋简体" w:cs="Times New Roman"/>
                <w:color w:val="auto"/>
                <w:kern w:val="0"/>
                <w:szCs w:val="21"/>
                <w:highlight w:val="none"/>
                <w:lang w:bidi="ar"/>
              </w:rPr>
            </w:pPr>
          </w:p>
          <w:p>
            <w:pPr>
              <w:widowControl/>
              <w:numPr>
                <w:ilvl w:val="0"/>
                <w:numId w:val="0"/>
              </w:numPr>
              <w:spacing w:line="320" w:lineRule="exact"/>
              <w:jc w:val="both"/>
              <w:textAlignment w:val="top"/>
              <w:rPr>
                <w:rFonts w:hint="eastAsia" w:ascii="Times New Roman" w:hAnsi="Times New Roman" w:eastAsia="方正书宋简体" w:cs="Times New Roman"/>
                <w:color w:val="auto"/>
                <w:kern w:val="0"/>
                <w:szCs w:val="21"/>
                <w:highlight w:val="none"/>
                <w:lang w:bidi="ar"/>
              </w:rPr>
            </w:pPr>
          </w:p>
          <w:p>
            <w:pPr>
              <w:widowControl/>
              <w:numPr>
                <w:ilvl w:val="0"/>
                <w:numId w:val="0"/>
              </w:numPr>
              <w:spacing w:line="320" w:lineRule="exact"/>
              <w:jc w:val="both"/>
              <w:textAlignment w:val="top"/>
              <w:rPr>
                <w:rFonts w:hint="eastAsia" w:ascii="Times New Roman" w:hAnsi="Times New Roman" w:eastAsia="方正书宋简体" w:cs="Times New Roman"/>
                <w:color w:val="auto"/>
                <w:kern w:val="0"/>
                <w:szCs w:val="21"/>
                <w:highlight w:val="none"/>
                <w:lang w:bidi="ar"/>
              </w:rPr>
            </w:pPr>
          </w:p>
          <w:p>
            <w:pPr>
              <w:widowControl/>
              <w:numPr>
                <w:ilvl w:val="0"/>
                <w:numId w:val="0"/>
              </w:numPr>
              <w:spacing w:line="320" w:lineRule="exact"/>
              <w:jc w:val="both"/>
              <w:textAlignment w:val="top"/>
              <w:rPr>
                <w:rFonts w:hint="eastAsia" w:ascii="Times New Roman" w:hAnsi="Times New Roman" w:eastAsia="方正书宋简体" w:cs="Times New Roman"/>
                <w:color w:val="auto"/>
                <w:kern w:val="0"/>
                <w:szCs w:val="21"/>
                <w:highlight w:val="none"/>
                <w:lang w:bidi="ar"/>
              </w:rPr>
            </w:pPr>
          </w:p>
          <w:p>
            <w:pPr>
              <w:widowControl/>
              <w:numPr>
                <w:ilvl w:val="0"/>
                <w:numId w:val="0"/>
              </w:numPr>
              <w:spacing w:line="320" w:lineRule="exact"/>
              <w:jc w:val="both"/>
              <w:textAlignment w:val="top"/>
              <w:rPr>
                <w:rFonts w:hint="eastAsia" w:ascii="Times New Roman" w:hAnsi="Times New Roman" w:eastAsia="方正书宋简体" w:cs="Times New Roman"/>
                <w:color w:val="auto"/>
                <w:kern w:val="0"/>
                <w:szCs w:val="21"/>
                <w:highlight w:val="none"/>
                <w:lang w:bidi="ar"/>
              </w:rPr>
            </w:pPr>
          </w:p>
        </w:tc>
        <w:tc>
          <w:tcPr>
            <w:tcW w:w="2085" w:type="dxa"/>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不需</w:t>
            </w:r>
            <w:r>
              <w:rPr>
                <w:rFonts w:hint="eastAsia" w:ascii="Times New Roman" w:hAnsi="Times New Roman" w:eastAsia="方正书宋简体" w:cs="Times New Roman"/>
                <w:color w:val="auto"/>
                <w:kern w:val="0"/>
                <w:szCs w:val="21"/>
                <w:highlight w:val="none"/>
                <w:lang w:val="en-US" w:eastAsia="zh-CN" w:bidi="ar"/>
              </w:rPr>
              <w:t>另行</w:t>
            </w:r>
            <w:r>
              <w:rPr>
                <w:rFonts w:hint="eastAsia" w:ascii="Times New Roman" w:hAnsi="Times New Roman" w:eastAsia="方正书宋简体" w:cs="Times New Roman"/>
                <w:color w:val="auto"/>
                <w:kern w:val="0"/>
                <w:szCs w:val="21"/>
                <w:highlight w:val="none"/>
                <w:lang w:bidi="ar"/>
              </w:rPr>
              <w:t>分阶</w:t>
            </w:r>
          </w:p>
        </w:tc>
        <w:tc>
          <w:tcPr>
            <w:tcW w:w="1183" w:type="dxa"/>
            <w:tcBorders>
              <w:tl2br w:val="nil"/>
              <w:tr2bl w:val="nil"/>
            </w:tcBorders>
            <w:shd w:val="clear" w:color="auto" w:fill="auto"/>
          </w:tcPr>
          <w:p>
            <w:pPr>
              <w:widowControl/>
              <w:spacing w:line="32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按照国务院批准的《关于禁止非法拼（组）装汽车、摩托车的通告》的规定处理。</w:t>
            </w:r>
          </w:p>
          <w:p>
            <w:pPr>
              <w:widowControl/>
              <w:spacing w:line="320" w:lineRule="exact"/>
              <w:textAlignment w:val="top"/>
              <w:rPr>
                <w:rFonts w:ascii="Times New Roman" w:hAnsi="Times New Roman" w:eastAsia="方正书宋简体" w:cs="Times New Roman"/>
                <w:color w:val="auto"/>
                <w:kern w:val="0"/>
                <w:szCs w:val="21"/>
                <w:highlight w:val="none"/>
                <w:lang w:bidi="ar"/>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仿宋_GB2312"/>
    <w:panose1 w:val="03000509000000000000"/>
    <w:charset w:val="86"/>
    <w:family w:val="auto"/>
    <w:pitch w:val="default"/>
    <w:sig w:usb0="00000000" w:usb1="00000000" w:usb2="00000000" w:usb3="00000000" w:csb0="00040000" w:csb1="00000000"/>
  </w:font>
  <w:font w:name="方正书宋简体">
    <w:altName w:val="宋体"/>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64919E"/>
    <w:multiLevelType w:val="singleLevel"/>
    <w:tmpl w:val="6364919E"/>
    <w:lvl w:ilvl="0" w:tentative="0">
      <w:start w:val="1"/>
      <w:numFmt w:val="decimal"/>
      <w:suff w:val="nothing"/>
      <w:lvlText w:val="%1、"/>
      <w:lvlJc w:val="left"/>
    </w:lvl>
  </w:abstractNum>
  <w:abstractNum w:abstractNumId="1">
    <w:nsid w:val="636D0A37"/>
    <w:multiLevelType w:val="singleLevel"/>
    <w:tmpl w:val="636D0A37"/>
    <w:lvl w:ilvl="0" w:tentative="0">
      <w:start w:val="18"/>
      <w:numFmt w:val="chineseCounting"/>
      <w:suff w:val="space"/>
      <w:lvlText w:val="第%1条"/>
      <w:lvlJc w:val="left"/>
    </w:lvl>
  </w:abstractNum>
  <w:abstractNum w:abstractNumId="2">
    <w:nsid w:val="646C3A68"/>
    <w:multiLevelType w:val="singleLevel"/>
    <w:tmpl w:val="646C3A68"/>
    <w:lvl w:ilvl="0" w:tentative="0">
      <w:start w:val="1"/>
      <w:numFmt w:val="chineseCounting"/>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zOWIyZjRkYmM5MzVkNzU5NTM2OTg2MjI1YmViZDEifQ=="/>
  </w:docVars>
  <w:rsids>
    <w:rsidRoot w:val="5BE51E5E"/>
    <w:rsid w:val="43230C70"/>
    <w:rsid w:val="5BE51E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2024-05-13T07:47:00Z</dcterms:created>
  <dc:creator>Administrator</dc:creator>
  <cp:lastModifiedBy>Administrator</cp:lastModifiedBy>
  <dcterms:modified xsi:type="dcterms:W3CDTF">2024-05-13T12:11:25Z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B8F8F3C7338C4D81B4DFB33F26A87679_11</vt:lpwstr>
  </property>
</Properties>
</file>