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50" w:afterLines="80" w:line="460" w:lineRule="exact"/>
        <w:jc w:val="center"/>
        <w:rPr>
          <w:rFonts w:ascii="方正小标宋简体" w:hAnsi="方正小标宋简体" w:eastAsia="方正小标宋简体" w:cs="方正小标宋简体"/>
          <w:color w:val="auto"/>
          <w:sz w:val="36"/>
          <w:szCs w:val="36"/>
          <w:highlight w:val="none"/>
        </w:rPr>
      </w:pPr>
      <w:r>
        <w:rPr>
          <w:rFonts w:hint="eastAsia" w:ascii="方正小标宋简体" w:hAnsi="方正小标宋简体" w:eastAsia="方正小标宋简体" w:cs="方正小标宋简体"/>
          <w:color w:val="auto"/>
          <w:sz w:val="36"/>
          <w:szCs w:val="36"/>
          <w:highlight w:val="none"/>
        </w:rPr>
        <w:t>违反《典当管理办法》处罚裁量基准</w:t>
      </w:r>
    </w:p>
    <w:tbl>
      <w:tblPr>
        <w:tblStyle w:val="2"/>
        <w:tblW w:w="74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800"/>
        <w:gridCol w:w="2400"/>
        <w:gridCol w:w="2085"/>
        <w:gridCol w:w="11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blHeader/>
        </w:trPr>
        <w:tc>
          <w:tcPr>
            <w:tcW w:w="1800" w:type="dxa"/>
            <w:tcBorders>
              <w:tl2br w:val="nil"/>
              <w:tr2bl w:val="nil"/>
            </w:tcBorders>
            <w:shd w:val="clear" w:color="auto" w:fill="auto"/>
            <w:vAlign w:val="center"/>
          </w:tcPr>
          <w:p>
            <w:pPr>
              <w:widowControl/>
              <w:spacing w:line="320" w:lineRule="exact"/>
              <w:jc w:val="center"/>
              <w:textAlignment w:val="top"/>
              <w:rPr>
                <w:rFonts w:hint="eastAsia" w:asciiTheme="majorEastAsia" w:hAnsiTheme="majorEastAsia" w:eastAsiaTheme="majorEastAsia" w:cstheme="majorEastAsia"/>
                <w:b/>
                <w:bCs/>
                <w:color w:val="auto"/>
                <w:kern w:val="0"/>
                <w:szCs w:val="21"/>
                <w:highlight w:val="none"/>
                <w:lang w:bidi="ar"/>
              </w:rPr>
            </w:pPr>
            <w:bookmarkStart w:id="0" w:name="_GoBack"/>
            <w:bookmarkEnd w:id="0"/>
            <w:r>
              <w:rPr>
                <w:rFonts w:hint="eastAsia" w:asciiTheme="majorEastAsia" w:hAnsiTheme="majorEastAsia" w:eastAsiaTheme="majorEastAsia" w:cstheme="majorEastAsia"/>
                <w:b/>
                <w:bCs/>
                <w:color w:val="auto"/>
                <w:kern w:val="0"/>
                <w:szCs w:val="21"/>
                <w:highlight w:val="none"/>
                <w:lang w:bidi="ar"/>
              </w:rPr>
              <w:t>违法行为</w:t>
            </w:r>
          </w:p>
        </w:tc>
        <w:tc>
          <w:tcPr>
            <w:tcW w:w="2400" w:type="dxa"/>
            <w:tcBorders>
              <w:tl2br w:val="nil"/>
              <w:tr2bl w:val="nil"/>
            </w:tcBorders>
            <w:shd w:val="clear" w:color="auto" w:fill="auto"/>
            <w:vAlign w:val="center"/>
          </w:tcPr>
          <w:p>
            <w:pPr>
              <w:widowControl/>
              <w:spacing w:line="32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法律依据</w:t>
            </w:r>
          </w:p>
        </w:tc>
        <w:tc>
          <w:tcPr>
            <w:tcW w:w="2085" w:type="dxa"/>
            <w:tcBorders>
              <w:tl2br w:val="nil"/>
              <w:tr2bl w:val="nil"/>
            </w:tcBorders>
            <w:shd w:val="clear" w:color="auto" w:fill="auto"/>
            <w:vAlign w:val="center"/>
          </w:tcPr>
          <w:p>
            <w:pPr>
              <w:widowControl/>
              <w:spacing w:line="32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违法情节</w:t>
            </w:r>
          </w:p>
        </w:tc>
        <w:tc>
          <w:tcPr>
            <w:tcW w:w="1193" w:type="dxa"/>
            <w:tcBorders>
              <w:tl2br w:val="nil"/>
              <w:tr2bl w:val="nil"/>
            </w:tcBorders>
            <w:shd w:val="clear" w:color="auto" w:fill="auto"/>
            <w:vAlign w:val="center"/>
          </w:tcPr>
          <w:p>
            <w:pPr>
              <w:widowControl/>
              <w:spacing w:line="32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0" w:hRule="atLeast"/>
        </w:trPr>
        <w:tc>
          <w:tcPr>
            <w:tcW w:w="1800" w:type="dxa"/>
            <w:vMerge w:val="restart"/>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典当行不得收当下列财物：</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1、依法被查封、扣押或者已经被采取其他保全措施的财产；</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2、赃物和来源不明的物品；</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3、易燃、易爆、剧毒、放射性物品及其容器；</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4、管制刀具，枪支、弹药，军、警用标志、制式服装和器械；</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5、国家机关公文、印章及其管理的财物；</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6、国家机关核发的除物权证书以外的证照及有效身份证件；</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7、当户没有所有权或者未能依法取得处分权的财产；</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8、法律、法规及国家有关规定禁止流通的自然资源或者其他财物。</w:t>
            </w: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00" w:type="dxa"/>
            <w:vMerge w:val="restart"/>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 xml:space="preserve">第六十三条  典当行违反本办法第二十七条规定的，由县级以上人民政府公安机关责令改正，并处5000元以上3万元以下罚款；构成犯罪的，依法追究刑事责任。 </w:t>
            </w:r>
          </w:p>
        </w:tc>
        <w:tc>
          <w:tcPr>
            <w:tcW w:w="2085" w:type="dxa"/>
            <w:vMerge w:val="restart"/>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一般情况下</w:t>
            </w:r>
          </w:p>
        </w:tc>
        <w:tc>
          <w:tcPr>
            <w:tcW w:w="1193" w:type="dxa"/>
            <w:vMerge w:val="restart"/>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责令改正，并处5000元以上1万元以下罚款。</w:t>
            </w: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0" w:hRule="atLeast"/>
        </w:trPr>
        <w:tc>
          <w:tcPr>
            <w:tcW w:w="18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8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1193"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0" w:hRule="atLeast"/>
        </w:trPr>
        <w:tc>
          <w:tcPr>
            <w:tcW w:w="18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8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1193"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79" w:hRule="atLeast"/>
        </w:trPr>
        <w:tc>
          <w:tcPr>
            <w:tcW w:w="18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8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1193"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0" w:hRule="atLeast"/>
        </w:trPr>
        <w:tc>
          <w:tcPr>
            <w:tcW w:w="18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85" w:type="dxa"/>
            <w:vMerge w:val="restart"/>
            <w:tcBorders>
              <w:tl2br w:val="nil"/>
              <w:tr2bl w:val="nil"/>
            </w:tcBorders>
            <w:shd w:val="clear" w:color="auto" w:fill="auto"/>
          </w:tcPr>
          <w:p>
            <w:pPr>
              <w:widowControl/>
              <w:numPr>
                <w:ilvl w:val="0"/>
                <w:numId w:val="1"/>
              </w:numPr>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收当多件禁收财物；</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2、出现该种违法行为；</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3、两年内因同类违法行为受过处罚；</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4、造成危害后果或者社会影响；</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5、其他情节严重情形的。</w:t>
            </w: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1193" w:type="dxa"/>
            <w:vMerge w:val="restart"/>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责令改正，并处1万元以上3万元以下罚款。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0" w:hRule="atLeast"/>
        </w:trPr>
        <w:tc>
          <w:tcPr>
            <w:tcW w:w="18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8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1193"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0" w:hRule="atLeast"/>
        </w:trPr>
        <w:tc>
          <w:tcPr>
            <w:tcW w:w="18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8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1193"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0" w:hRule="atLeast"/>
        </w:trPr>
        <w:tc>
          <w:tcPr>
            <w:tcW w:w="18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8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1193"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0" w:hRule="atLeast"/>
        </w:trPr>
        <w:tc>
          <w:tcPr>
            <w:tcW w:w="18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8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1193"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0" w:hRule="atLeast"/>
        </w:trPr>
        <w:tc>
          <w:tcPr>
            <w:tcW w:w="18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8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1193"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052" w:hRule="atLeast"/>
        </w:trPr>
        <w:tc>
          <w:tcPr>
            <w:tcW w:w="18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8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1193"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223" w:hRule="atLeast"/>
        </w:trPr>
        <w:tc>
          <w:tcPr>
            <w:tcW w:w="1800" w:type="dxa"/>
            <w:tcBorders>
              <w:tl2br w:val="nil"/>
              <w:tr2bl w:val="nil"/>
            </w:tcBorders>
            <w:shd w:val="clear" w:color="auto" w:fill="auto"/>
          </w:tcPr>
          <w:p>
            <w:pPr>
              <w:widowControl/>
              <w:numPr>
                <w:ilvl w:val="0"/>
                <w:numId w:val="2"/>
              </w:numPr>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未查验当户应当出具的相关证明文件；</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2、未如实记录、统计质押当物和当户信息，并按照所在地县级以上人民政府公安机关的要求报送备查。</w:t>
            </w: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00"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第六十五条  典当行违反本办法第三十五条第三款或者第五十一条规定的，由县级以上人民政府公安机关责令改正，并处200元以上1000元以下罚款。</w:t>
            </w:r>
          </w:p>
        </w:tc>
        <w:tc>
          <w:tcPr>
            <w:tcW w:w="2085"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不需分阶</w:t>
            </w:r>
          </w:p>
        </w:tc>
        <w:tc>
          <w:tcPr>
            <w:tcW w:w="1193"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由县级以上人民政府公安机关责令改正，并处200元以上1000元以下罚款。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230" w:hRule="atLeast"/>
        </w:trPr>
        <w:tc>
          <w:tcPr>
            <w:tcW w:w="1800" w:type="dxa"/>
            <w:vMerge w:val="restart"/>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发现公安机关通报协查的人员或者赃物以及本办法第二十七条所列其他财物，未立即向公安机关报告有关情况的</w:t>
            </w:r>
          </w:p>
        </w:tc>
        <w:tc>
          <w:tcPr>
            <w:tcW w:w="2400" w:type="dxa"/>
            <w:vMerge w:val="restart"/>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第六十六条  典当行违反本办法第五十二条规定的，由县级以上人民政府公安机关责令改正，并处2000元以上1万元以下罚款；造成严重后果或者屡教不改的，处5000元以上3万元以下罚款。</w:t>
            </w: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第五十二条  典当行发现公安机关通报协查的人员或者赃物以及本办法第二十七条所列其他财物，未立即向公安机关报告有关情况。</w:t>
            </w: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宋体" w:hAnsi="宋体" w:eastAsia="宋体" w:cs="宋体"/>
                <w:color w:val="auto"/>
                <w:szCs w:val="21"/>
                <w:highlight w:val="none"/>
                <w:shd w:val="clear" w:color="auto" w:fill="FFFFFF"/>
              </w:rPr>
            </w:pPr>
            <w:r>
              <w:rPr>
                <w:rFonts w:hint="eastAsia" w:ascii="Times New Roman" w:hAnsi="Times New Roman" w:eastAsia="方正书宋简体" w:cs="Times New Roman"/>
                <w:color w:val="auto"/>
                <w:kern w:val="0"/>
                <w:szCs w:val="21"/>
                <w:highlight w:val="none"/>
                <w:lang w:bidi="ar"/>
              </w:rPr>
              <w:t xml:space="preserve">第二十七条  </w:t>
            </w:r>
            <w:r>
              <w:rPr>
                <w:rFonts w:hint="eastAsia" w:ascii="宋体" w:hAnsi="宋体" w:eastAsia="宋体" w:cs="宋体"/>
                <w:color w:val="auto"/>
                <w:szCs w:val="21"/>
                <w:highlight w:val="none"/>
                <w:shd w:val="clear" w:color="auto" w:fill="FFFFFF"/>
              </w:rPr>
              <w:t>典当行不得收当以下财物：</w:t>
            </w:r>
            <w:r>
              <w:rPr>
                <w:rFonts w:hint="eastAsia" w:ascii="宋体" w:hAnsi="宋体" w:eastAsia="宋体" w:cs="宋体"/>
                <w:color w:val="auto"/>
                <w:szCs w:val="21"/>
                <w:highlight w:val="none"/>
                <w:shd w:val="clear" w:color="auto" w:fill="FFFFFF"/>
              </w:rPr>
              <w:br w:type="textWrapping"/>
            </w:r>
            <w:r>
              <w:rPr>
                <w:rFonts w:hint="eastAsia" w:ascii="宋体" w:hAnsi="宋体" w:eastAsia="宋体" w:cs="宋体"/>
                <w:color w:val="auto"/>
                <w:szCs w:val="21"/>
                <w:highlight w:val="none"/>
                <w:shd w:val="clear" w:color="auto" w:fill="FFFFFF"/>
              </w:rPr>
              <w:t>（一）依法被查封、扣押或者已经被采取其他保全措施的财产；</w:t>
            </w:r>
            <w:r>
              <w:rPr>
                <w:rFonts w:hint="eastAsia" w:ascii="宋体" w:hAnsi="宋体" w:eastAsia="宋体" w:cs="宋体"/>
                <w:color w:val="auto"/>
                <w:szCs w:val="21"/>
                <w:highlight w:val="none"/>
                <w:shd w:val="clear" w:color="auto" w:fill="FFFFFF"/>
              </w:rPr>
              <w:br w:type="textWrapping"/>
            </w:r>
            <w:r>
              <w:rPr>
                <w:rFonts w:hint="eastAsia" w:ascii="宋体" w:hAnsi="宋体" w:eastAsia="宋体" w:cs="宋体"/>
                <w:color w:val="auto"/>
                <w:szCs w:val="21"/>
                <w:highlight w:val="none"/>
                <w:shd w:val="clear" w:color="auto" w:fill="FFFFFF"/>
              </w:rPr>
              <w:t>（二）赃物和来源不明的物品；</w:t>
            </w:r>
            <w:r>
              <w:rPr>
                <w:rFonts w:hint="eastAsia" w:ascii="宋体" w:hAnsi="宋体" w:eastAsia="宋体" w:cs="宋体"/>
                <w:color w:val="auto"/>
                <w:szCs w:val="21"/>
                <w:highlight w:val="none"/>
                <w:shd w:val="clear" w:color="auto" w:fill="FFFFFF"/>
              </w:rPr>
              <w:br w:type="textWrapping"/>
            </w:r>
            <w:r>
              <w:rPr>
                <w:rFonts w:hint="eastAsia" w:ascii="宋体" w:hAnsi="宋体" w:eastAsia="宋体" w:cs="宋体"/>
                <w:color w:val="auto"/>
                <w:szCs w:val="21"/>
                <w:highlight w:val="none"/>
                <w:shd w:val="clear" w:color="auto" w:fill="FFFFFF"/>
              </w:rPr>
              <w:t>（三）易燃、易爆、剧毒、放射性物品及其容器；</w:t>
            </w:r>
            <w:r>
              <w:rPr>
                <w:rFonts w:hint="eastAsia" w:ascii="宋体" w:hAnsi="宋体" w:eastAsia="宋体" w:cs="宋体"/>
                <w:color w:val="auto"/>
                <w:szCs w:val="21"/>
                <w:highlight w:val="none"/>
                <w:shd w:val="clear" w:color="auto" w:fill="FFFFFF"/>
              </w:rPr>
              <w:br w:type="textWrapping"/>
            </w:r>
            <w:r>
              <w:rPr>
                <w:rFonts w:hint="eastAsia" w:ascii="宋体" w:hAnsi="宋体" w:eastAsia="宋体" w:cs="宋体"/>
                <w:color w:val="auto"/>
                <w:szCs w:val="21"/>
                <w:highlight w:val="none"/>
                <w:shd w:val="clear" w:color="auto" w:fill="FFFFFF"/>
              </w:rPr>
              <w:t>（四）管制刀具，枪支、弹药，军、警用标志、制式服装和器械；</w:t>
            </w:r>
            <w:r>
              <w:rPr>
                <w:rFonts w:hint="eastAsia" w:ascii="宋体" w:hAnsi="宋体" w:eastAsia="宋体" w:cs="宋体"/>
                <w:color w:val="auto"/>
                <w:szCs w:val="21"/>
                <w:highlight w:val="none"/>
                <w:shd w:val="clear" w:color="auto" w:fill="FFFFFF"/>
              </w:rPr>
              <w:br w:type="textWrapping"/>
            </w:r>
            <w:r>
              <w:rPr>
                <w:rFonts w:hint="eastAsia" w:ascii="宋体" w:hAnsi="宋体" w:eastAsia="宋体" w:cs="宋体"/>
                <w:color w:val="auto"/>
                <w:szCs w:val="21"/>
                <w:highlight w:val="none"/>
                <w:shd w:val="clear" w:color="auto" w:fill="FFFFFF"/>
              </w:rPr>
              <w:t>（五）国家机关公文、印章及其管理的财物；</w:t>
            </w:r>
            <w:r>
              <w:rPr>
                <w:rFonts w:hint="eastAsia" w:ascii="宋体" w:hAnsi="宋体" w:eastAsia="宋体" w:cs="宋体"/>
                <w:color w:val="auto"/>
                <w:szCs w:val="21"/>
                <w:highlight w:val="none"/>
                <w:shd w:val="clear" w:color="auto" w:fill="FFFFFF"/>
              </w:rPr>
              <w:br w:type="textWrapping"/>
            </w:r>
            <w:r>
              <w:rPr>
                <w:rFonts w:hint="eastAsia" w:ascii="宋体" w:hAnsi="宋体" w:eastAsia="宋体" w:cs="宋体"/>
                <w:color w:val="auto"/>
                <w:szCs w:val="21"/>
                <w:highlight w:val="none"/>
                <w:shd w:val="clear" w:color="auto" w:fill="FFFFFF"/>
              </w:rPr>
              <w:t>（六）国家机关核发的除物权证书以外的证照及有效身份证件；</w:t>
            </w:r>
            <w:r>
              <w:rPr>
                <w:rFonts w:hint="eastAsia" w:ascii="宋体" w:hAnsi="宋体" w:eastAsia="宋体" w:cs="宋体"/>
                <w:color w:val="auto"/>
                <w:szCs w:val="21"/>
                <w:highlight w:val="none"/>
                <w:shd w:val="clear" w:color="auto" w:fill="FFFFFF"/>
              </w:rPr>
              <w:br w:type="textWrapping"/>
            </w:r>
            <w:r>
              <w:rPr>
                <w:rFonts w:hint="eastAsia" w:ascii="宋体" w:hAnsi="宋体" w:eastAsia="宋体" w:cs="宋体"/>
                <w:color w:val="auto"/>
                <w:szCs w:val="21"/>
                <w:highlight w:val="none"/>
                <w:shd w:val="clear" w:color="auto" w:fill="FFFFFF"/>
              </w:rPr>
              <w:t>（七）当户没有所有权或者未能依法取得处分权的财产；</w:t>
            </w:r>
            <w:r>
              <w:rPr>
                <w:rFonts w:hint="eastAsia" w:ascii="宋体" w:hAnsi="宋体" w:eastAsia="宋体" w:cs="宋体"/>
                <w:color w:val="auto"/>
                <w:szCs w:val="21"/>
                <w:highlight w:val="none"/>
                <w:shd w:val="clear" w:color="auto" w:fill="FFFFFF"/>
              </w:rPr>
              <w:br w:type="textWrapping"/>
            </w:r>
            <w:r>
              <w:rPr>
                <w:rFonts w:hint="eastAsia" w:ascii="宋体" w:hAnsi="宋体" w:eastAsia="宋体" w:cs="宋体"/>
                <w:color w:val="auto"/>
                <w:szCs w:val="21"/>
                <w:highlight w:val="none"/>
                <w:shd w:val="clear" w:color="auto" w:fill="FFFFFF"/>
              </w:rPr>
              <w:t>（八）法律、法规及国家有关规定禁止流通的自然资源或者其他财物。</w:t>
            </w:r>
          </w:p>
          <w:p>
            <w:pPr>
              <w:widowControl/>
              <w:spacing w:line="320" w:lineRule="exact"/>
              <w:textAlignment w:val="top"/>
              <w:rPr>
                <w:rFonts w:ascii="宋体" w:hAnsi="宋体" w:eastAsia="宋体" w:cs="宋体"/>
                <w:color w:val="auto"/>
                <w:szCs w:val="21"/>
                <w:highlight w:val="none"/>
                <w:shd w:val="clear" w:color="auto" w:fill="FFFFFF"/>
              </w:rPr>
            </w:pPr>
          </w:p>
          <w:p>
            <w:pPr>
              <w:widowControl/>
              <w:spacing w:line="320" w:lineRule="exact"/>
              <w:textAlignment w:val="top"/>
              <w:rPr>
                <w:rFonts w:ascii="宋体" w:hAnsi="宋体" w:eastAsia="宋体" w:cs="宋体"/>
                <w:color w:val="auto"/>
                <w:szCs w:val="21"/>
                <w:highlight w:val="none"/>
                <w:shd w:val="clear" w:color="auto" w:fill="FFFFFF"/>
              </w:rPr>
            </w:pPr>
          </w:p>
        </w:tc>
        <w:tc>
          <w:tcPr>
            <w:tcW w:w="2085"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一般情况</w:t>
            </w:r>
          </w:p>
        </w:tc>
        <w:tc>
          <w:tcPr>
            <w:tcW w:w="1193"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由县级以上人民政府公安机关责令改正，并处2000元以上1万元以下罚款。</w:t>
            </w: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010" w:hRule="atLeast"/>
        </w:trPr>
        <w:tc>
          <w:tcPr>
            <w:tcW w:w="18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85" w:type="dxa"/>
            <w:tcBorders>
              <w:tl2br w:val="nil"/>
              <w:tr2bl w:val="nil"/>
            </w:tcBorders>
            <w:shd w:val="clear" w:color="auto" w:fill="auto"/>
          </w:tcPr>
          <w:p>
            <w:pPr>
              <w:widowControl/>
              <w:numPr>
                <w:ilvl w:val="0"/>
                <w:numId w:val="3"/>
              </w:numPr>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未向公安机关报告，造成赃物、来源不明的物品损毁、无法追回的；</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2、不报告，并在公安机关调查时仍不如实反映情况的。</w:t>
            </w:r>
          </w:p>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1193"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处5000元以上2万元以下罚款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5" w:hRule="atLeast"/>
        </w:trPr>
        <w:tc>
          <w:tcPr>
            <w:tcW w:w="18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85"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1、发现是公安机关通报协查的人员不报告，导致犯罪嫌疑人逃脱并实施违法犯罪活动的；</w:t>
            </w:r>
          </w:p>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2、不报告，并阻挠他人报告的；</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3、其他严重情形。</w:t>
            </w:r>
            <w:r>
              <w:rPr>
                <w:rFonts w:hint="eastAsia" w:ascii="Times New Roman" w:hAnsi="Times New Roman" w:eastAsia="方正书宋简体" w:cs="Times New Roman"/>
                <w:color w:val="auto"/>
                <w:kern w:val="0"/>
                <w:szCs w:val="21"/>
                <w:highlight w:val="none"/>
                <w:lang w:bidi="ar"/>
              </w:rPr>
              <w:br w:type="textWrapping"/>
            </w:r>
          </w:p>
        </w:tc>
        <w:tc>
          <w:tcPr>
            <w:tcW w:w="1193"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处2万元以上3万元以下罚款</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3000509000000000000"/>
    <w:charset w:val="86"/>
    <w:family w:val="auto"/>
    <w:pitch w:val="default"/>
    <w:sig w:usb0="00000000" w:usb1="00000000" w:usb2="0000000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6CCAA8"/>
    <w:multiLevelType w:val="singleLevel"/>
    <w:tmpl w:val="636CCAA8"/>
    <w:lvl w:ilvl="0" w:tentative="0">
      <w:start w:val="1"/>
      <w:numFmt w:val="decimal"/>
      <w:suff w:val="nothing"/>
      <w:lvlText w:val="%1、"/>
      <w:lvlJc w:val="left"/>
    </w:lvl>
  </w:abstractNum>
  <w:abstractNum w:abstractNumId="1">
    <w:nsid w:val="636CCADD"/>
    <w:multiLevelType w:val="singleLevel"/>
    <w:tmpl w:val="636CCADD"/>
    <w:lvl w:ilvl="0" w:tentative="0">
      <w:start w:val="1"/>
      <w:numFmt w:val="decimal"/>
      <w:suff w:val="nothing"/>
      <w:lvlText w:val="%1、"/>
      <w:lvlJc w:val="left"/>
    </w:lvl>
  </w:abstractNum>
  <w:abstractNum w:abstractNumId="2">
    <w:nsid w:val="636CCD11"/>
    <w:multiLevelType w:val="singleLevel"/>
    <w:tmpl w:val="636CCD11"/>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zOWIyZjRkYmM5MzVkNzU5NTM2OTg2MjI1YmViZDEifQ=="/>
  </w:docVars>
  <w:rsids>
    <w:rsidRoot w:val="66C3137C"/>
    <w:rsid w:val="120E2BD6"/>
    <w:rsid w:val="66C31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2024-05-13T07:46:00Z</dcterms:created>
  <dc:creator>Administrator</dc:creator>
  <cp:lastModifiedBy>Administrator</cp:lastModifiedBy>
  <dcterms:modified xsi:type="dcterms:W3CDTF">2024-05-13T12:10:32Z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663F8A1E16694E4BBD73682E2CE90A47_11</vt:lpwstr>
  </property>
</Properties>
</file>