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50" w:afterLines="80" w:line="460" w:lineRule="exact"/>
        <w:jc w:val="center"/>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违反《娱乐场所管理条例》处罚裁量基准</w:t>
      </w:r>
    </w:p>
    <w:tbl>
      <w:tblPr>
        <w:tblStyle w:val="2"/>
        <w:tblW w:w="75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00"/>
        <w:gridCol w:w="2355"/>
        <w:gridCol w:w="21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5" w:hRule="atLeast"/>
          <w:tblHeader/>
        </w:trPr>
        <w:tc>
          <w:tcPr>
            <w:tcW w:w="1800"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b/>
                <w:bCs/>
                <w:color w:val="auto"/>
                <w:kern w:val="0"/>
                <w:szCs w:val="21"/>
                <w:highlight w:val="none"/>
                <w:lang w:bidi="ar"/>
              </w:rPr>
            </w:pPr>
            <w:bookmarkStart w:id="0" w:name="_GoBack"/>
            <w:bookmarkEnd w:id="0"/>
            <w:r>
              <w:rPr>
                <w:rFonts w:hint="eastAsia" w:asciiTheme="majorEastAsia" w:hAnsiTheme="majorEastAsia" w:eastAsiaTheme="majorEastAsia" w:cstheme="majorEastAsia"/>
                <w:b/>
                <w:bCs/>
                <w:color w:val="auto"/>
                <w:kern w:val="0"/>
                <w:szCs w:val="21"/>
                <w:highlight w:val="none"/>
                <w:lang w:bidi="ar"/>
              </w:rPr>
              <w:t>违法行为</w:t>
            </w:r>
          </w:p>
        </w:tc>
        <w:tc>
          <w:tcPr>
            <w:tcW w:w="2355"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100"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违法情节</w:t>
            </w:r>
          </w:p>
        </w:tc>
        <w:tc>
          <w:tcPr>
            <w:tcW w:w="1245"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0" w:type="dxa"/>
            <w:vMerge w:val="restart"/>
            <w:tcBorders>
              <w:tl2br w:val="nil"/>
              <w:tr2bl w:val="nil"/>
            </w:tcBorders>
            <w:shd w:val="clear" w:color="auto" w:fill="auto"/>
            <w:vAlign w:val="center"/>
          </w:tcPr>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娱乐场所及其从业人员实施或为进入娱乐场所的人员实施以下行为提供条件的：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1、贩卖、提供毒品，或者组织、强迫、教唆、引诱、欺骗、容留他人吸食、注射毒品；</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2、组织、强迫、引诱、容留、介绍他人卖淫、嫖娼；</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3、制作、贩卖、传播淫秽物品；</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4、提供或者从事以营利为目的的陪侍；</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5、赌博；</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6、从事邪教、迷信活动；</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7、其他违法犯罪行为。</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tc>
        <w:tc>
          <w:tcPr>
            <w:tcW w:w="235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第四十三条  娱乐场所实施本条例第十四条禁止行为的，由县级公安部门没收违法所得和非法财物，责令停业整顿3个月至6个月；情节严重的，由原发证机关吊销娱乐经营许可证，对直接负责的主管人员和其他直接责任人员处1万元以上2万元以下的罚款。</w:t>
            </w:r>
          </w:p>
        </w:tc>
        <w:tc>
          <w:tcPr>
            <w:tcW w:w="2100"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一般情况下</w:t>
            </w:r>
          </w:p>
        </w:tc>
        <w:tc>
          <w:tcPr>
            <w:tcW w:w="124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没收违法所得和非法财物，责令停业整顿3个月至4个月。</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932"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1、两年内因同类违法行为受到2次以上处罚；</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2、造成严重后果；</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3、其他情节严重情形。</w:t>
            </w:r>
          </w:p>
        </w:tc>
        <w:tc>
          <w:tcPr>
            <w:tcW w:w="124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没收违法所得和非法财物，责令停业整顿5个月至6个月。</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05"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105" w:hRule="atLeast"/>
        </w:trPr>
        <w:tc>
          <w:tcPr>
            <w:tcW w:w="1800"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照明设施、包厢、包间的设置以及门窗的使用不符合本条例规定。</w:t>
            </w: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tc>
        <w:tc>
          <w:tcPr>
            <w:tcW w:w="2355"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第四十四条  娱乐场所违反本条例规定，</w:t>
            </w:r>
            <w:r>
              <w:rPr>
                <w:rFonts w:hint="eastAsia" w:asciiTheme="minorEastAsia" w:hAnsiTheme="minorEastAsia" w:cstheme="minorEastAsia"/>
                <w:color w:val="auto"/>
                <w:szCs w:val="21"/>
                <w:highlight w:val="none"/>
                <w:lang w:eastAsia="zh-CN"/>
              </w:rPr>
              <w:t>有下列情形之一的</w:t>
            </w:r>
            <w:r>
              <w:rPr>
                <w:rFonts w:hint="eastAsia" w:asciiTheme="minorEastAsia" w:hAnsiTheme="minorEastAsia" w:cstheme="minorEastAsia"/>
                <w:color w:val="auto"/>
                <w:szCs w:val="21"/>
                <w:highlight w:val="none"/>
              </w:rPr>
              <w:t>，由县级公安部门责令改正，给予警告；情节严重的，责令停业整顿1个月至3个月：</w:t>
            </w:r>
          </w:p>
          <w:p>
            <w:pPr>
              <w:widowControl/>
              <w:numPr>
                <w:ilvl w:val="0"/>
                <w:numId w:val="1"/>
              </w:numPr>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照明设施、包厢、包间的设置以及门窗的使用不符合本条例规定的；</w:t>
            </w: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一般情况下</w:t>
            </w:r>
          </w:p>
        </w:tc>
        <w:tc>
          <w:tcPr>
            <w:tcW w:w="1245"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责令改正，给予警告。</w:t>
            </w: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28"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1、多处硬件不符合规定；</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2、造成严重后果；</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3、其他情节严重情形。</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tcBorders>
              <w:tl2br w:val="nil"/>
              <w:tr2bl w:val="nil"/>
            </w:tcBorders>
            <w:shd w:val="clear" w:color="auto" w:fill="auto"/>
          </w:tcPr>
          <w:p>
            <w:pPr>
              <w:widowControl/>
              <w:spacing w:line="300" w:lineRule="exact"/>
              <w:textAlignment w:val="top"/>
              <w:rPr>
                <w:rFonts w:ascii="Times New Roman" w:hAnsi="Times New Roman" w:cs="Times New Roman"/>
                <w:color w:val="auto"/>
                <w:kern w:val="0"/>
                <w:szCs w:val="21"/>
                <w:highlight w:val="none"/>
                <w:lang w:bidi="ar"/>
              </w:rPr>
            </w:pPr>
            <w:r>
              <w:rPr>
                <w:rFonts w:hint="eastAsia" w:asciiTheme="minorEastAsia" w:hAnsiTheme="minorEastAsia" w:cstheme="minorEastAsia"/>
                <w:color w:val="auto"/>
                <w:szCs w:val="21"/>
                <w:highlight w:val="none"/>
              </w:rPr>
              <w:t>责令停业整顿1个月至3个月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865" w:hRule="atLeast"/>
        </w:trPr>
        <w:tc>
          <w:tcPr>
            <w:tcW w:w="1800"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未按照本条例规定安装闭路电视监控设备或者中断使用</w:t>
            </w: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tc>
        <w:tc>
          <w:tcPr>
            <w:tcW w:w="2355"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第四十四条  娱乐场所违反本条例规定，</w:t>
            </w:r>
            <w:r>
              <w:rPr>
                <w:rFonts w:hint="eastAsia" w:asciiTheme="minorEastAsia" w:hAnsiTheme="minorEastAsia" w:cstheme="minorEastAsia"/>
                <w:color w:val="auto"/>
                <w:szCs w:val="21"/>
                <w:highlight w:val="none"/>
                <w:lang w:eastAsia="zh-CN"/>
              </w:rPr>
              <w:t>有下列情形之一的</w:t>
            </w:r>
            <w:r>
              <w:rPr>
                <w:rFonts w:hint="eastAsia" w:asciiTheme="minorEastAsia" w:hAnsiTheme="minorEastAsia" w:cstheme="minorEastAsia"/>
                <w:color w:val="auto"/>
                <w:szCs w:val="21"/>
                <w:highlight w:val="none"/>
              </w:rPr>
              <w:t>，由县级公安部门责令改正，给予警告；情节严重的，责令停业整顿1个月至3个月：</w:t>
            </w:r>
          </w:p>
          <w:p>
            <w:pPr>
              <w:widowControl/>
              <w:numPr>
                <w:ilvl w:val="0"/>
                <w:numId w:val="1"/>
              </w:numPr>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未按照本条例规定安装闭路电视监控设备或者中断使用的；</w:t>
            </w: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一般情况下</w:t>
            </w:r>
          </w:p>
        </w:tc>
        <w:tc>
          <w:tcPr>
            <w:tcW w:w="1245"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由县级公安部门责令改正，给予警告。</w:t>
            </w:r>
          </w:p>
          <w:p>
            <w:pPr>
              <w:widowControl/>
              <w:spacing w:line="300" w:lineRule="exact"/>
              <w:textAlignment w:val="top"/>
              <w:rPr>
                <w:rFonts w:asciiTheme="minorEastAsia" w:hAnsiTheme="minorEastAsia" w:cs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28"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1、长时间未安装或中断使用；</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2、造成严重后果；</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3、其他情节严重情形。</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tcBorders>
              <w:tl2br w:val="nil"/>
              <w:tr2bl w:val="nil"/>
            </w:tcBorders>
            <w:shd w:val="clear" w:color="auto" w:fill="auto"/>
          </w:tcPr>
          <w:p>
            <w:pPr>
              <w:widowControl/>
              <w:spacing w:line="300" w:lineRule="exact"/>
              <w:textAlignment w:val="top"/>
              <w:rPr>
                <w:rFonts w:ascii="Times New Roman" w:hAnsi="Times New Roman" w:cs="Times New Roman"/>
                <w:color w:val="auto"/>
                <w:kern w:val="0"/>
                <w:szCs w:val="21"/>
                <w:highlight w:val="none"/>
                <w:lang w:bidi="ar"/>
              </w:rPr>
            </w:pPr>
            <w:r>
              <w:rPr>
                <w:rFonts w:hint="eastAsia" w:asciiTheme="minorEastAsia" w:hAnsiTheme="minorEastAsia" w:cstheme="minorEastAsia"/>
                <w:color w:val="auto"/>
                <w:szCs w:val="21"/>
                <w:highlight w:val="none"/>
              </w:rPr>
              <w:t>责令停业整顿1个月至3个月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25" w:hRule="atLeast"/>
        </w:trPr>
        <w:tc>
          <w:tcPr>
            <w:tcW w:w="1800"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未按照本条例规定留存监控录像资料或者删改监控录像资料</w:t>
            </w: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tc>
        <w:tc>
          <w:tcPr>
            <w:tcW w:w="2355"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第四十四条  娱乐场所违反本条例规定，</w:t>
            </w:r>
            <w:r>
              <w:rPr>
                <w:rFonts w:hint="eastAsia" w:asciiTheme="minorEastAsia" w:hAnsiTheme="minorEastAsia" w:cstheme="minorEastAsia"/>
                <w:color w:val="auto"/>
                <w:szCs w:val="21"/>
                <w:highlight w:val="none"/>
                <w:lang w:eastAsia="zh-CN"/>
              </w:rPr>
              <w:t>有下列情形之一的</w:t>
            </w:r>
            <w:r>
              <w:rPr>
                <w:rFonts w:hint="eastAsia" w:asciiTheme="minorEastAsia" w:hAnsiTheme="minorEastAsia" w:cstheme="minorEastAsia"/>
                <w:color w:val="auto"/>
                <w:szCs w:val="21"/>
                <w:highlight w:val="none"/>
              </w:rPr>
              <w:t>，由县级公安部门责令改正，给予警告；情节严重的，责令停业整顿1个月至3个月：</w:t>
            </w:r>
          </w:p>
          <w:p>
            <w:pPr>
              <w:widowControl/>
              <w:numPr>
                <w:ilvl w:val="0"/>
                <w:numId w:val="1"/>
              </w:numPr>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未按照本条例规定留存监控录像资料或者删改监控录像资料的；</w:t>
            </w: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一般情况下</w:t>
            </w:r>
          </w:p>
        </w:tc>
        <w:tc>
          <w:tcPr>
            <w:tcW w:w="1245"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责令改正，给予警告。</w:t>
            </w: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28"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1、长时间未留存监控录像或删改录像资料；</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2、造成严重后果；</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3、其他情节严重情形。</w:t>
            </w:r>
          </w:p>
        </w:tc>
        <w:tc>
          <w:tcPr>
            <w:tcW w:w="1245" w:type="dxa"/>
            <w:tcBorders>
              <w:tl2br w:val="nil"/>
              <w:tr2bl w:val="nil"/>
            </w:tcBorders>
            <w:shd w:val="clear" w:color="auto" w:fill="auto"/>
          </w:tcPr>
          <w:p>
            <w:pPr>
              <w:widowControl/>
              <w:spacing w:line="300" w:lineRule="exact"/>
              <w:textAlignment w:val="top"/>
              <w:rPr>
                <w:rFonts w:ascii="Times New Roman" w:hAnsi="Times New Roman" w:cs="Times New Roman"/>
                <w:color w:val="auto"/>
                <w:kern w:val="0"/>
                <w:szCs w:val="21"/>
                <w:highlight w:val="none"/>
                <w:lang w:bidi="ar"/>
              </w:rPr>
            </w:pPr>
            <w:r>
              <w:rPr>
                <w:rFonts w:hint="eastAsia" w:asciiTheme="minorEastAsia" w:hAnsiTheme="minorEastAsia" w:cstheme="minorEastAsia"/>
                <w:color w:val="auto"/>
                <w:szCs w:val="21"/>
                <w:highlight w:val="none"/>
              </w:rPr>
              <w:t>责令停业整顿1个月至3个月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28" w:hRule="atLeast"/>
        </w:trPr>
        <w:tc>
          <w:tcPr>
            <w:tcW w:w="1800"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未按照本条例规定配备安全检查设备或者未对进入营业场所的人员进行安全检查</w:t>
            </w: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tc>
        <w:tc>
          <w:tcPr>
            <w:tcW w:w="2355"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第四十四条  娱乐场所违反本条例规定，</w:t>
            </w:r>
            <w:r>
              <w:rPr>
                <w:rFonts w:hint="eastAsia" w:asciiTheme="minorEastAsia" w:hAnsiTheme="minorEastAsia" w:cstheme="minorEastAsia"/>
                <w:color w:val="auto"/>
                <w:szCs w:val="21"/>
                <w:highlight w:val="none"/>
                <w:lang w:eastAsia="zh-CN"/>
              </w:rPr>
              <w:t>有下列情形之一的</w:t>
            </w:r>
            <w:r>
              <w:rPr>
                <w:rFonts w:hint="eastAsia" w:asciiTheme="minorEastAsia" w:hAnsiTheme="minorEastAsia" w:cstheme="minorEastAsia"/>
                <w:color w:val="auto"/>
                <w:szCs w:val="21"/>
                <w:highlight w:val="none"/>
              </w:rPr>
              <w:t>，由县级公安部门责令改正，给予警告；情节严重的，责令停业整顿1个月至3个月：</w:t>
            </w:r>
          </w:p>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（四）未按照本条例规定配备安全检查设备或者未对进入营业场所的人员进行安全检查的；</w:t>
            </w: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一般情况下</w:t>
            </w:r>
          </w:p>
        </w:tc>
        <w:tc>
          <w:tcPr>
            <w:tcW w:w="1245"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责令改正，给予警告。</w:t>
            </w: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28"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1、长时间未配备检查设备或未对多人进入营业场所进行安检；</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2、造成严重后果；</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3、其他情节严重情形。</w:t>
            </w:r>
          </w:p>
        </w:tc>
        <w:tc>
          <w:tcPr>
            <w:tcW w:w="1245" w:type="dxa"/>
            <w:tcBorders>
              <w:tl2br w:val="nil"/>
              <w:tr2bl w:val="nil"/>
            </w:tcBorders>
            <w:shd w:val="clear" w:color="auto" w:fill="auto"/>
          </w:tcPr>
          <w:p>
            <w:pPr>
              <w:widowControl/>
              <w:spacing w:line="300" w:lineRule="exact"/>
              <w:textAlignment w:val="top"/>
              <w:rPr>
                <w:rFonts w:ascii="Times New Roman" w:hAnsi="Times New Roman" w:cs="Times New Roman"/>
                <w:color w:val="auto"/>
                <w:kern w:val="0"/>
                <w:szCs w:val="21"/>
                <w:highlight w:val="none"/>
                <w:lang w:bidi="ar"/>
              </w:rPr>
            </w:pPr>
            <w:r>
              <w:rPr>
                <w:rFonts w:hint="eastAsia" w:asciiTheme="minorEastAsia" w:hAnsiTheme="minorEastAsia" w:cstheme="minorEastAsia"/>
                <w:color w:val="auto"/>
                <w:szCs w:val="21"/>
                <w:highlight w:val="none"/>
              </w:rPr>
              <w:t>责令停业整顿1个月至3个月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80" w:hRule="atLeast"/>
        </w:trPr>
        <w:tc>
          <w:tcPr>
            <w:tcW w:w="1800" w:type="dxa"/>
            <w:vMerge w:val="restart"/>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未按照本条例规定配备保安人员</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第四十四条  娱乐场所违反本条例规定，</w:t>
            </w:r>
            <w:r>
              <w:rPr>
                <w:rFonts w:hint="eastAsia" w:asciiTheme="minorEastAsia" w:hAnsiTheme="minorEastAsia" w:cstheme="minorEastAsia"/>
                <w:color w:val="auto"/>
                <w:szCs w:val="21"/>
                <w:highlight w:val="none"/>
                <w:lang w:eastAsia="zh-CN"/>
              </w:rPr>
              <w:t>有下列情形之一的</w:t>
            </w:r>
            <w:r>
              <w:rPr>
                <w:rFonts w:hint="eastAsia" w:asciiTheme="minorEastAsia" w:hAnsiTheme="minorEastAsia" w:cstheme="minorEastAsia"/>
                <w:color w:val="auto"/>
                <w:szCs w:val="21"/>
                <w:highlight w:val="none"/>
              </w:rPr>
              <w:t>，由县级公安部门责令改正，给予警告；情节严重的，责令停业整顿1个月至3个月：</w:t>
            </w:r>
          </w:p>
          <w:p>
            <w:pPr>
              <w:widowControl/>
              <w:numPr>
                <w:ilvl w:val="0"/>
                <w:numId w:val="2"/>
              </w:numPr>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未按照本条例规定配备保安人员的。</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一般情况下</w:t>
            </w:r>
          </w:p>
        </w:tc>
        <w:tc>
          <w:tcPr>
            <w:tcW w:w="1245"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责令改正，给予警告。</w:t>
            </w:r>
          </w:p>
          <w:p>
            <w:pPr>
              <w:widowControl/>
              <w:spacing w:line="300" w:lineRule="exact"/>
              <w:textAlignment w:val="top"/>
              <w:rPr>
                <w:rFonts w:asciiTheme="minorEastAsia" w:hAnsiTheme="minorEastAsia" w:cs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97"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1、缺少数超过应配备人数20%；</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2、造成严重后果；</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3、其他情节严重情形。</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tcBorders>
              <w:tl2br w:val="nil"/>
              <w:tr2bl w:val="nil"/>
            </w:tcBorders>
            <w:shd w:val="clear" w:color="auto" w:fill="auto"/>
          </w:tcPr>
          <w:p>
            <w:pPr>
              <w:widowControl/>
              <w:spacing w:line="300" w:lineRule="exact"/>
              <w:textAlignment w:val="top"/>
              <w:rPr>
                <w:rFonts w:ascii="Times New Roman" w:hAnsi="Times New Roman" w:cs="Times New Roman"/>
                <w:color w:val="auto"/>
                <w:kern w:val="0"/>
                <w:szCs w:val="21"/>
                <w:highlight w:val="none"/>
                <w:lang w:bidi="ar"/>
              </w:rPr>
            </w:pPr>
            <w:r>
              <w:rPr>
                <w:rFonts w:hint="eastAsia" w:asciiTheme="minorEastAsia" w:hAnsiTheme="minorEastAsia" w:cstheme="minorEastAsia"/>
                <w:color w:val="auto"/>
                <w:szCs w:val="21"/>
                <w:highlight w:val="none"/>
              </w:rPr>
              <w:t>责令停业整顿1个月至3个月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72" w:hRule="atLeast"/>
        </w:trPr>
        <w:tc>
          <w:tcPr>
            <w:tcW w:w="1800"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设置具有赌博功能的电子游戏机机型、机种、电路板等游戏设施设备。</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br w:type="textWrapping"/>
            </w:r>
          </w:p>
        </w:tc>
        <w:tc>
          <w:tcPr>
            <w:tcW w:w="235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第四十五条  娱乐场所违反本条例规定，</w:t>
            </w:r>
            <w:r>
              <w:rPr>
                <w:rFonts w:hint="eastAsia" w:ascii="Times New Roman" w:hAnsi="Times New Roman" w:eastAsia="方正书宋简体" w:cs="Times New Roman"/>
                <w:color w:val="auto"/>
                <w:kern w:val="0"/>
                <w:szCs w:val="21"/>
                <w:highlight w:val="none"/>
                <w:lang w:eastAsia="zh-CN" w:bidi="ar"/>
              </w:rPr>
              <w:t>有下列情形之一的</w:t>
            </w:r>
            <w:r>
              <w:rPr>
                <w:rFonts w:hint="eastAsia" w:ascii="Times New Roman" w:hAnsi="Times New Roman" w:eastAsia="方正书宋简体" w:cs="Times New Roman"/>
                <w:color w:val="auto"/>
                <w:kern w:val="0"/>
                <w:szCs w:val="21"/>
                <w:highlight w:val="none"/>
                <w:lang w:bidi="ar"/>
              </w:rPr>
              <w:t>，由县级公安部门没收违法所得和非法财物，并处违法所得2倍以上5倍以下的罚款；没有违法所得或者违法所得不足1万元的，并处2万元以上5万元以下的罚款；情节严重的，责令停业整顿1个月至3个月：</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（一）设置具有赌博功能的电子游戏机机型、机种、电路板等游戏设施设备的；</w:t>
            </w:r>
            <w:r>
              <w:rPr>
                <w:rFonts w:hint="eastAsia" w:ascii="Times New Roman" w:hAnsi="Times New Roman" w:eastAsia="方正书宋简体" w:cs="Times New Roman"/>
                <w:color w:val="auto"/>
                <w:kern w:val="0"/>
                <w:szCs w:val="21"/>
                <w:highlight w:val="none"/>
                <w:lang w:bidi="ar"/>
              </w:rPr>
              <w:br w:type="textWrapping"/>
            </w: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设置具有赌博功能的游戏设施设备5台及以下</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没收违法所得和非法财物，并处违法所得2倍以上3倍以下的罚款；没有违法所得或者违法所得不足1万元的，并处2万元以上3万元以下的罚款。</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74"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设置具有赌博功能的游戏设施设备5台以上10台及以下</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没收违法所得和非法财物，并处违法所得3倍以上5倍以下的罚款；没有违法所得或者违法所得不足1万元的，并处3万元以上5万元以下的罚款。</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1、设置具有赌博功能的游戏设施设备10台以上；</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2、1年内因同类违法行为受过两次以上公安行政处罚；</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3、拒不改正；</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4、造成严重后果；</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5、其他情节严重情形。</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责令停业整顿1个月至3个月</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4" w:hRule="atLeast"/>
        </w:trPr>
        <w:tc>
          <w:tcPr>
            <w:tcW w:w="1800"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以现金、有价证券作为奖品，或者回购奖品。</w:t>
            </w:r>
          </w:p>
        </w:tc>
        <w:tc>
          <w:tcPr>
            <w:tcW w:w="235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第四十五条  娱乐场所违反本条例规定，</w:t>
            </w:r>
            <w:r>
              <w:rPr>
                <w:rFonts w:hint="eastAsia" w:ascii="Times New Roman" w:hAnsi="Times New Roman" w:eastAsia="方正书宋简体" w:cs="Times New Roman"/>
                <w:color w:val="auto"/>
                <w:kern w:val="0"/>
                <w:szCs w:val="21"/>
                <w:highlight w:val="none"/>
                <w:lang w:eastAsia="zh-CN" w:bidi="ar"/>
              </w:rPr>
              <w:t>有下列情形之一的</w:t>
            </w:r>
            <w:r>
              <w:rPr>
                <w:rFonts w:hint="eastAsia" w:ascii="Times New Roman" w:hAnsi="Times New Roman" w:eastAsia="方正书宋简体" w:cs="Times New Roman"/>
                <w:color w:val="auto"/>
                <w:kern w:val="0"/>
                <w:szCs w:val="21"/>
                <w:highlight w:val="none"/>
                <w:lang w:bidi="ar"/>
              </w:rPr>
              <w:t>，由县级公安部门没收违法所得和非法财物，并处违法所得2倍以上5倍以下的罚款；没有违法所得或者违法所得不足1万元的，并处2万元以上5万元以下的罚款；情节严重的，责令停业整顿1个月至3个月：</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（二）以现金、有价证券作为奖品，或者回购奖品的。</w:t>
            </w:r>
          </w:p>
        </w:tc>
        <w:tc>
          <w:tcPr>
            <w:tcW w:w="2100"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以现金、有价证券作为奖品，或者回购奖品，累计金额不足5000元。</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 xml:space="preserve"> </w:t>
            </w:r>
          </w:p>
        </w:tc>
        <w:tc>
          <w:tcPr>
            <w:tcW w:w="124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没收违法所得和非法财物，并处违法所得2倍以上3倍以下的罚款；没有违法所得或者违法所得不足1万元的，并处2万元以上3万元以下罚款。</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4"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4"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4"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4"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4"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01"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4"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以现金、有价证券作为奖品或者回购奖品，累计金额5000元以上。</w:t>
            </w:r>
          </w:p>
        </w:tc>
        <w:tc>
          <w:tcPr>
            <w:tcW w:w="1245" w:type="dxa"/>
            <w:vMerge w:val="restart"/>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没收违法所得和非法财物，并处违法所得3倍以上5倍以下的罚款；没有违法所得或者违法所得不足1万元的，并处3万元以上5万元以下罚款。</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4"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906"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18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以下情形，属于“情节严重”： </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1、1年内因同类违法行为受过两次以上公安行政处罚；</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2、拒不改正；</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3、造成严重后果；</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4、其他情节严重情形。</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责令停业整顿1个月至3个月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965" w:hRule="exact"/>
        </w:trPr>
        <w:tc>
          <w:tcPr>
            <w:tcW w:w="18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娱乐场所指使、纵容从业人员侵害消费者人身权利。</w:t>
            </w:r>
          </w:p>
        </w:tc>
        <w:tc>
          <w:tcPr>
            <w:tcW w:w="2355" w:type="dxa"/>
            <w:tcBorders>
              <w:tl2br w:val="nil"/>
              <w:tr2bl w:val="nil"/>
            </w:tcBorders>
            <w:shd w:val="clear" w:color="auto" w:fill="auto"/>
          </w:tcPr>
          <w:p>
            <w:pPr>
              <w:widowControl/>
              <w:spacing w:line="300" w:lineRule="exact"/>
              <w:textAlignment w:val="top"/>
              <w:rPr>
                <w:rFonts w:hint="eastAsia" w:ascii="Times New Roman" w:hAnsi="Times New Roman" w:eastAsia="方正书宋简体" w:cs="Times New Roman"/>
                <w:color w:val="auto"/>
                <w:kern w:val="0"/>
                <w:szCs w:val="21"/>
                <w:highlight w:val="none"/>
                <w:lang w:val="en-US" w:eastAsia="zh-CN" w:bidi="ar"/>
              </w:rPr>
            </w:pPr>
            <w:r>
              <w:rPr>
                <w:rFonts w:hint="eastAsia" w:ascii="Times New Roman" w:hAnsi="Times New Roman" w:eastAsia="方正书宋简体" w:cs="Times New Roman"/>
                <w:color w:val="auto"/>
                <w:kern w:val="0"/>
                <w:szCs w:val="21"/>
                <w:highlight w:val="none"/>
                <w:lang w:bidi="ar"/>
              </w:rPr>
              <w:t>第四十六条  娱乐场所指使、纵容从业人员侵害消费者人身权利的，应当依法承担民事责任，并由县级公安部门责令停业整顿1个月至3个月</w:t>
            </w:r>
            <w:r>
              <w:rPr>
                <w:rFonts w:hint="eastAsia" w:ascii="Times New Roman" w:hAnsi="Times New Roman" w:eastAsia="方正书宋简体" w:cs="Times New Roman"/>
                <w:color w:val="auto"/>
                <w:kern w:val="0"/>
                <w:szCs w:val="21"/>
                <w:highlight w:val="none"/>
                <w:lang w:val="en-US" w:eastAsia="zh-CN" w:bidi="ar"/>
              </w:rPr>
              <w:t>；造成严重后果的，由原发证机关吊销娱乐经营许可证。</w:t>
            </w:r>
          </w:p>
          <w:p>
            <w:pPr>
              <w:widowControl/>
              <w:spacing w:line="300" w:lineRule="exact"/>
              <w:textAlignment w:val="top"/>
              <w:rPr>
                <w:rFonts w:hint="eastAsia" w:ascii="Times New Roman" w:hAnsi="Times New Roman" w:eastAsia="方正书宋简体" w:cs="Times New Roman"/>
                <w:color w:val="auto"/>
                <w:kern w:val="0"/>
                <w:szCs w:val="21"/>
                <w:highlight w:val="none"/>
                <w:lang w:val="en-US" w:eastAsia="zh-CN" w:bidi="ar"/>
              </w:rPr>
            </w:pPr>
          </w:p>
          <w:p>
            <w:pPr>
              <w:widowControl/>
              <w:spacing w:line="300" w:lineRule="exact"/>
              <w:textAlignment w:val="top"/>
              <w:rPr>
                <w:rFonts w:hint="eastAsia" w:ascii="Times New Roman" w:hAnsi="Times New Roman" w:eastAsia="方正书宋简体" w:cs="Times New Roman"/>
                <w:color w:val="auto"/>
                <w:kern w:val="0"/>
                <w:szCs w:val="21"/>
                <w:highlight w:val="none"/>
                <w:lang w:val="en-US" w:eastAsia="zh-CN" w:bidi="ar"/>
              </w:rPr>
            </w:pPr>
          </w:p>
          <w:p>
            <w:pPr>
              <w:widowControl/>
              <w:spacing w:line="300" w:lineRule="exact"/>
              <w:textAlignment w:val="top"/>
              <w:rPr>
                <w:rFonts w:hint="eastAsia" w:ascii="Times New Roman" w:hAnsi="Times New Roman" w:eastAsia="方正书宋简体" w:cs="Times New Roman"/>
                <w:color w:val="auto"/>
                <w:kern w:val="0"/>
                <w:szCs w:val="21"/>
                <w:highlight w:val="none"/>
                <w:lang w:val="en-US" w:eastAsia="zh-CN" w:bidi="ar"/>
              </w:rPr>
            </w:pPr>
          </w:p>
          <w:p>
            <w:pPr>
              <w:widowControl/>
              <w:spacing w:line="300" w:lineRule="exact"/>
              <w:textAlignment w:val="top"/>
              <w:rPr>
                <w:rFonts w:hint="eastAsia" w:ascii="Times New Roman" w:hAnsi="Times New Roman" w:eastAsia="方正书宋简体" w:cs="Times New Roman"/>
                <w:color w:val="auto"/>
                <w:kern w:val="0"/>
                <w:szCs w:val="21"/>
                <w:highlight w:val="none"/>
                <w:lang w:bidi="ar"/>
              </w:rPr>
            </w:pPr>
          </w:p>
          <w:p>
            <w:pPr>
              <w:widowControl/>
              <w:spacing w:line="300" w:lineRule="exact"/>
              <w:textAlignment w:val="top"/>
              <w:rPr>
                <w:rFonts w:hint="eastAsia" w:ascii="Times New Roman" w:hAnsi="Times New Roman" w:eastAsia="方正书宋简体" w:cs="Times New Roman"/>
                <w:color w:val="auto"/>
                <w:kern w:val="0"/>
                <w:szCs w:val="21"/>
                <w:highlight w:val="none"/>
                <w:lang w:bidi="ar"/>
              </w:rPr>
            </w:pPr>
          </w:p>
        </w:tc>
        <w:tc>
          <w:tcPr>
            <w:tcW w:w="2100" w:type="dxa"/>
            <w:tcBorders>
              <w:tl2br w:val="nil"/>
              <w:tr2bl w:val="nil"/>
            </w:tcBorders>
            <w:shd w:val="clear" w:color="auto" w:fill="auto"/>
          </w:tcPr>
          <w:p>
            <w:pPr>
              <w:widowControl/>
              <w:spacing w:line="300" w:lineRule="exact"/>
              <w:textAlignment w:val="top"/>
              <w:rPr>
                <w:rFonts w:hint="eastAsia"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不需分阶</w:t>
            </w:r>
          </w:p>
        </w:tc>
        <w:tc>
          <w:tcPr>
            <w:tcW w:w="124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责令停业整顿1个月至3个月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67" w:hRule="atLeast"/>
        </w:trPr>
        <w:tc>
          <w:tcPr>
            <w:tcW w:w="18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娱乐场所取得营业执照后，未按照本条例规定向公安部门备案。</w:t>
            </w:r>
          </w:p>
        </w:tc>
        <w:tc>
          <w:tcPr>
            <w:tcW w:w="23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第四十七条  娱乐场所取得营业执照后，未按照本条例规定向公安部门备案的，由县级公安部门责令改正，给予警告。</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不需分阶</w:t>
            </w:r>
          </w:p>
        </w:tc>
        <w:tc>
          <w:tcPr>
            <w:tcW w:w="124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责令改正，给予警告。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110" w:hRule="atLeast"/>
        </w:trPr>
        <w:tc>
          <w:tcPr>
            <w:tcW w:w="1800" w:type="dxa"/>
            <w:vMerge w:val="restart"/>
            <w:tcBorders>
              <w:tl2br w:val="nil"/>
              <w:tr2bl w:val="nil"/>
            </w:tcBorders>
            <w:shd w:val="clear" w:color="auto" w:fill="auto"/>
            <w:vAlign w:val="center"/>
          </w:tcPr>
          <w:p>
            <w:pPr>
              <w:widowControl/>
              <w:numPr>
                <w:ilvl w:val="0"/>
                <w:numId w:val="3"/>
              </w:numPr>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未按照本条例规定建立从业人员名簿、营业日志；</w:t>
            </w:r>
          </w:p>
          <w:p>
            <w:pPr>
              <w:widowControl/>
              <w:numPr>
                <w:ilvl w:val="0"/>
                <w:numId w:val="3"/>
              </w:numPr>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发现违法犯罪行为未按照本条例规定报告的。</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第五十条  娱乐场所未按照本条例规定建立从业人员名簿、营业日志，或者</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发现违法犯罪行为未按照本条例规定报告的，由县级人民政府文化主管部门、县级公安部门依据法定职权责令改正，给予警告；情节严重的，责令停业整顿1个月至3个月。</w:t>
            </w: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一般情况下</w:t>
            </w:r>
          </w:p>
        </w:tc>
        <w:tc>
          <w:tcPr>
            <w:tcW w:w="124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责令改正，给予警告。</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110" w:hRule="atLeast"/>
        </w:trPr>
        <w:tc>
          <w:tcPr>
            <w:tcW w:w="1800" w:type="dxa"/>
            <w:vMerge w:val="continue"/>
            <w:tcBorders>
              <w:tl2br w:val="nil"/>
              <w:tr2bl w:val="nil"/>
            </w:tcBorders>
            <w:shd w:val="clear" w:color="auto" w:fill="auto"/>
            <w:vAlign w:val="center"/>
          </w:tcPr>
          <w:p>
            <w:pPr>
              <w:widowControl/>
              <w:spacing w:line="300" w:lineRule="exact"/>
              <w:textAlignment w:val="top"/>
              <w:rPr>
                <w:color w:val="auto"/>
                <w:highlight w:val="none"/>
              </w:rPr>
            </w:pPr>
          </w:p>
        </w:tc>
        <w:tc>
          <w:tcPr>
            <w:tcW w:w="2355" w:type="dxa"/>
            <w:vMerge w:val="continue"/>
            <w:tcBorders>
              <w:tl2br w:val="nil"/>
              <w:tr2bl w:val="nil"/>
            </w:tcBorders>
            <w:shd w:val="clear" w:color="auto" w:fill="auto"/>
          </w:tcPr>
          <w:p>
            <w:pPr>
              <w:widowControl/>
              <w:spacing w:line="300" w:lineRule="exact"/>
              <w:textAlignment w:val="top"/>
              <w:rPr>
                <w:color w:val="auto"/>
                <w:highlight w:val="none"/>
              </w:rPr>
            </w:pP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以下情形，属于“情节严重”： </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1、两年内因同类违法行为受过2次以上处罚的；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2、拒不改正；</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3、造成严重后果；</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4、其他情节严重情形。</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责令停业整顿1个月至3个月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0"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娱乐场所未按照本条例规定悬挂警示标志、未成年人禁入或者限入标志。</w:t>
            </w:r>
          </w:p>
        </w:tc>
        <w:tc>
          <w:tcPr>
            <w:tcW w:w="235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第五十一条  娱乐场所未按照本条例规定悬挂警示标志、未成年人禁入或者限入标志的，由县级人民政府文化主管部门、县级公安部门依据法定职权责令改正，给予警告。</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不需分阶</w:t>
            </w:r>
          </w:p>
        </w:tc>
        <w:tc>
          <w:tcPr>
            <w:tcW w:w="124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责令改正，给予警告。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198" w:hRule="atLeast"/>
        </w:trPr>
        <w:tc>
          <w:tcPr>
            <w:tcW w:w="180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100"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45"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69" w:hRule="atLeast"/>
        </w:trPr>
        <w:tc>
          <w:tcPr>
            <w:tcW w:w="18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娱乐场所因违反本条例规定，2年内被处以3次警告或者罚款又有违反本条例的行为应受行政处罚。</w:t>
            </w:r>
          </w:p>
        </w:tc>
        <w:tc>
          <w:tcPr>
            <w:tcW w:w="2355" w:type="dxa"/>
            <w:tcBorders>
              <w:tl2br w:val="nil"/>
              <w:tr2bl w:val="nil"/>
            </w:tcBorders>
            <w:shd w:val="clear" w:color="auto" w:fill="auto"/>
          </w:tcPr>
          <w:p>
            <w:pPr>
              <w:widowControl/>
              <w:spacing w:line="300" w:lineRule="exact"/>
              <w:textAlignment w:val="top"/>
              <w:rPr>
                <w:rFonts w:hint="eastAsia" w:ascii="Times New Roman" w:hAnsi="Times New Roman" w:eastAsia="方正书宋简体" w:cs="Times New Roman"/>
                <w:color w:val="auto"/>
                <w:kern w:val="0"/>
                <w:szCs w:val="21"/>
                <w:highlight w:val="none"/>
                <w:lang w:val="en-US" w:eastAsia="zh-CN" w:bidi="ar"/>
              </w:rPr>
            </w:pPr>
            <w:r>
              <w:rPr>
                <w:rFonts w:hint="eastAsia" w:ascii="Times New Roman" w:hAnsi="Times New Roman" w:eastAsia="方正书宋简体" w:cs="Times New Roman"/>
                <w:color w:val="auto"/>
                <w:kern w:val="0"/>
                <w:szCs w:val="21"/>
                <w:highlight w:val="none"/>
                <w:lang w:bidi="ar"/>
              </w:rPr>
              <w:t>第五十三条第三款  娱乐场所因违反本条例规定，2年内被处以3次警告或者罚款又有违反本条例的行为应受行政处罚的，由县级人民政府文化主管部门、县级公安部门依据法定职权责令停业整顿3个月至6个月</w:t>
            </w:r>
            <w:r>
              <w:rPr>
                <w:rFonts w:hint="eastAsia" w:ascii="Times New Roman" w:hAnsi="Times New Roman" w:eastAsia="方正书宋简体" w:cs="Times New Roman"/>
                <w:color w:val="auto"/>
                <w:kern w:val="0"/>
                <w:szCs w:val="21"/>
                <w:highlight w:val="none"/>
                <w:lang w:eastAsia="zh-CN" w:bidi="ar"/>
              </w:rPr>
              <w:t>；</w:t>
            </w:r>
            <w:r>
              <w:rPr>
                <w:rFonts w:hint="eastAsia" w:ascii="Times New Roman" w:hAnsi="Times New Roman" w:eastAsia="方正书宋简体" w:cs="Times New Roman"/>
                <w:color w:val="auto"/>
                <w:kern w:val="0"/>
                <w:szCs w:val="21"/>
                <w:highlight w:val="none"/>
                <w:lang w:val="en-US" w:eastAsia="zh-CN" w:bidi="ar"/>
              </w:rPr>
              <w:t>2年内被2次责令停业整顿又有违反本条例的行为应受行政处罚的，由原发证机关吊销娱乐经营许可证。</w:t>
            </w:r>
          </w:p>
          <w:p>
            <w:pPr>
              <w:widowControl/>
              <w:spacing w:line="300" w:lineRule="exact"/>
              <w:textAlignment w:val="top"/>
              <w:rPr>
                <w:rFonts w:hint="eastAsia" w:ascii="Times New Roman" w:hAnsi="Times New Roman" w:eastAsia="方正书宋简体" w:cs="Times New Roman"/>
                <w:color w:val="auto"/>
                <w:kern w:val="0"/>
                <w:szCs w:val="21"/>
                <w:highlight w:val="none"/>
                <w:lang w:val="en-US" w:eastAsia="zh-CN" w:bidi="ar"/>
              </w:rPr>
            </w:pPr>
          </w:p>
          <w:p>
            <w:pPr>
              <w:widowControl/>
              <w:spacing w:line="300" w:lineRule="exact"/>
              <w:textAlignment w:val="top"/>
              <w:rPr>
                <w:rFonts w:hint="eastAsia" w:ascii="Times New Roman" w:hAnsi="Times New Roman" w:eastAsia="方正书宋简体" w:cs="Times New Roman"/>
                <w:color w:val="auto"/>
                <w:kern w:val="0"/>
                <w:szCs w:val="21"/>
                <w:highlight w:val="none"/>
                <w:lang w:val="en-US" w:eastAsia="zh-CN" w:bidi="ar"/>
              </w:rPr>
            </w:pPr>
          </w:p>
          <w:p>
            <w:pPr>
              <w:widowControl/>
              <w:spacing w:line="300" w:lineRule="exact"/>
              <w:textAlignment w:val="top"/>
              <w:rPr>
                <w:rFonts w:hint="eastAsia" w:ascii="Times New Roman" w:hAnsi="Times New Roman" w:eastAsia="方正书宋简体" w:cs="Times New Roman"/>
                <w:color w:val="auto"/>
                <w:kern w:val="0"/>
                <w:szCs w:val="21"/>
                <w:highlight w:val="none"/>
                <w:lang w:val="en-US" w:eastAsia="zh-CN" w:bidi="ar"/>
              </w:rPr>
            </w:pPr>
          </w:p>
          <w:p>
            <w:pPr>
              <w:widowControl/>
              <w:spacing w:line="300" w:lineRule="exact"/>
              <w:textAlignment w:val="top"/>
              <w:rPr>
                <w:rFonts w:hint="eastAsia" w:ascii="Times New Roman" w:hAnsi="Times New Roman" w:eastAsia="方正书宋简体" w:cs="Times New Roman"/>
                <w:color w:val="auto"/>
                <w:kern w:val="0"/>
                <w:szCs w:val="21"/>
                <w:highlight w:val="none"/>
                <w:lang w:val="en-US" w:eastAsia="zh-CN" w:bidi="ar"/>
              </w:rPr>
            </w:pPr>
          </w:p>
        </w:tc>
        <w:tc>
          <w:tcPr>
            <w:tcW w:w="210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不需分阶</w:t>
            </w:r>
          </w:p>
        </w:tc>
        <w:tc>
          <w:tcPr>
            <w:tcW w:w="124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责令停业整顿3个月至6个月</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6CA7A7"/>
    <w:multiLevelType w:val="singleLevel"/>
    <w:tmpl w:val="636CA7A7"/>
    <w:lvl w:ilvl="0" w:tentative="0">
      <w:start w:val="1"/>
      <w:numFmt w:val="chineseCounting"/>
      <w:suff w:val="nothing"/>
      <w:lvlText w:val="（%1）"/>
      <w:lvlJc w:val="left"/>
    </w:lvl>
  </w:abstractNum>
  <w:abstractNum w:abstractNumId="1">
    <w:nsid w:val="636CB185"/>
    <w:multiLevelType w:val="singleLevel"/>
    <w:tmpl w:val="636CB185"/>
    <w:lvl w:ilvl="0" w:tentative="0">
      <w:start w:val="5"/>
      <w:numFmt w:val="chineseCounting"/>
      <w:suff w:val="nothing"/>
      <w:lvlText w:val="（%1）"/>
      <w:lvlJc w:val="left"/>
    </w:lvl>
  </w:abstractNum>
  <w:abstractNum w:abstractNumId="2">
    <w:nsid w:val="636CB46D"/>
    <w:multiLevelType w:val="singleLevel"/>
    <w:tmpl w:val="636CB46D"/>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5C4435DE"/>
    <w:rsid w:val="5C4435DE"/>
    <w:rsid w:val="71215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2024-05-13T07:45:00Z</dcterms:created>
  <dc:creator>Administrator</dc:creator>
  <cp:lastModifiedBy>Administrator</cp:lastModifiedBy>
  <dcterms:modified xsi:type="dcterms:W3CDTF">2024-05-13T12:09:35Z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861232CDBF424675B5C2B26459E4D3C2_11</vt:lpwstr>
  </property>
</Properties>
</file>