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250" w:afterLines="80" w:line="460" w:lineRule="exact"/>
        <w:jc w:val="center"/>
        <w:rPr>
          <w:rFonts w:ascii="方正小标宋简体" w:hAnsi="方正小标宋简体" w:eastAsia="方正小标宋简体" w:cs="方正小标宋简体"/>
          <w:color w:val="auto"/>
          <w:sz w:val="36"/>
          <w:szCs w:val="36"/>
          <w:highlight w:val="none"/>
        </w:rPr>
      </w:pPr>
      <w:r>
        <w:rPr>
          <w:rFonts w:hint="eastAsia" w:ascii="方正小标宋简体" w:hAnsi="方正小标宋简体" w:eastAsia="方正小标宋简体" w:cs="方正小标宋简体"/>
          <w:color w:val="auto"/>
          <w:sz w:val="36"/>
          <w:szCs w:val="36"/>
          <w:highlight w:val="none"/>
        </w:rPr>
        <w:t>违反《保安培训机构管理办法》处罚裁量基准</w:t>
      </w:r>
    </w:p>
    <w:tbl>
      <w:tblPr>
        <w:tblStyle w:val="2"/>
        <w:tblW w:w="748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Grid>
        <w:gridCol w:w="1830"/>
        <w:gridCol w:w="2355"/>
        <w:gridCol w:w="2100"/>
        <w:gridCol w:w="119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3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bookmarkStart w:id="0" w:name="_GoBack"/>
            <w:bookmarkEnd w:id="0"/>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9" w:type="dxa"/>
            <w:tcBorders>
              <w:tl2br w:val="nil"/>
              <w:tr2bl w:val="nil"/>
            </w:tcBorders>
            <w:shd w:val="clear" w:color="auto" w:fill="auto"/>
            <w:vAlign w:val="center"/>
          </w:tcPr>
          <w:p>
            <w:pPr>
              <w:widowControl/>
              <w:spacing w:line="300" w:lineRule="exact"/>
              <w:jc w:val="center"/>
              <w:textAlignment w:val="top"/>
              <w:rPr>
                <w:rFonts w:hint="eastAsia"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049"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保安培训机构未根据法律、法规和公安部制定的保安员培训大纲、保安员国家职业标准，制定培训内容和培训计划，并报所在地省级人民政府公安机关备案。</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第三十三条第一款  保安培训机构违反本办法第十条、第十五条或者第二十条规定的，由设区的市级人民政府公安机关处以5000元以上3万元以下罚款，并责令限期改正。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第十五条第一款  保安培训机构应当根据法律、法规和公安部制定的保安员培训大纲、保安员国家职业标准，制定培训内容和培训计划，并报所在地省级人民政府公安机关备案。</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处以5000元以上1万元以下罚款，并责令限期改正。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3"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两年内曾违反此规定</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处以1万元以上3万元以下罚款，并责令限期改正。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35"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保安培训机构传授依法由公安机关、国家安全机关、检查机关专有的侦查技术、手段。</w:t>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第三十三条第一款  保安培训机构违反本办法第十条、第十五条或者第二十条规定的，由设区的市级人民政府公安机关处以5000元以上3万元以下罚款，并责令限期改正。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numPr>
                <w:ilvl w:val="0"/>
                <w:numId w:val="1"/>
              </w:numPr>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第二款  保安培训机构不得传授依法由公安机关、国家安全机关、检查机关专有的侦查技术、手段。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处以5000元以上1万元以下罚款，并责令限期改正。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35" w:hRule="atLeast"/>
          <w:tblHeader/>
        </w:trPr>
        <w:tc>
          <w:tcPr>
            <w:tcW w:w="1830" w:type="dxa"/>
            <w:vMerge w:val="continue"/>
            <w:tcBorders>
              <w:tl2br w:val="nil"/>
              <w:tr2bl w:val="nil"/>
            </w:tcBorders>
            <w:shd w:val="clear" w:color="auto" w:fill="auto"/>
          </w:tcPr>
          <w:p>
            <w:pPr>
              <w:widowControl/>
              <w:spacing w:line="300" w:lineRule="exact"/>
              <w:jc w:val="left"/>
              <w:textAlignment w:val="top"/>
              <w:rPr>
                <w:color w:val="auto"/>
                <w:highlight w:val="none"/>
              </w:rPr>
            </w:pPr>
          </w:p>
        </w:tc>
        <w:tc>
          <w:tcPr>
            <w:tcW w:w="2355" w:type="dxa"/>
            <w:vMerge w:val="continue"/>
            <w:tcBorders>
              <w:tl2br w:val="nil"/>
              <w:tr2bl w:val="nil"/>
            </w:tcBorders>
            <w:shd w:val="clear" w:color="auto" w:fill="auto"/>
          </w:tcPr>
          <w:p>
            <w:pPr>
              <w:widowControl/>
              <w:spacing w:line="300" w:lineRule="exact"/>
              <w:jc w:val="left"/>
              <w:textAlignment w:val="top"/>
              <w:rPr>
                <w:color w:val="auto"/>
                <w:highlight w:val="none"/>
              </w:rPr>
            </w:pPr>
          </w:p>
        </w:tc>
        <w:tc>
          <w:tcPr>
            <w:tcW w:w="2100" w:type="dxa"/>
            <w:tcBorders>
              <w:tl2br w:val="nil"/>
              <w:tr2bl w:val="nil"/>
            </w:tcBorders>
            <w:shd w:val="clear" w:color="auto" w:fill="auto"/>
          </w:tcPr>
          <w:p>
            <w:pPr>
              <w:widowControl/>
              <w:spacing w:line="300" w:lineRule="exact"/>
              <w:jc w:val="left"/>
              <w:textAlignment w:val="top"/>
              <w:rPr>
                <w:color w:val="auto"/>
                <w:highlight w:val="none"/>
              </w:rPr>
            </w:pPr>
            <w:r>
              <w:rPr>
                <w:rFonts w:hint="eastAsia" w:asciiTheme="majorEastAsia" w:hAnsiTheme="majorEastAsia" w:eastAsiaTheme="majorEastAsia" w:cstheme="majorEastAsia"/>
                <w:color w:val="auto"/>
                <w:kern w:val="0"/>
                <w:szCs w:val="21"/>
                <w:highlight w:val="none"/>
                <w:lang w:bidi="ar"/>
              </w:rPr>
              <w:t>两年内曾违反此规定</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处以1万元以上3万元以下罚款，并责令限期改正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7" w:hRule="atLeast"/>
          <w:tblHeader/>
        </w:trPr>
        <w:tc>
          <w:tcPr>
            <w:tcW w:w="1830" w:type="dxa"/>
            <w:tcBorders>
              <w:tl2br w:val="nil"/>
              <w:tr2bl w:val="nil"/>
            </w:tcBorders>
            <w:shd w:val="clear" w:color="auto" w:fill="auto"/>
          </w:tcPr>
          <w:p>
            <w:pPr>
              <w:widowControl/>
              <w:spacing w:line="300" w:lineRule="exact"/>
              <w:jc w:val="center"/>
              <w:textAlignment w:val="top"/>
              <w:rPr>
                <w:b/>
                <w:bCs/>
                <w:color w:val="auto"/>
                <w:highlight w:val="none"/>
              </w:rPr>
            </w:pPr>
            <w:r>
              <w:rPr>
                <w:rFonts w:hint="eastAsia"/>
                <w:b/>
                <w:bCs/>
                <w:color w:val="auto"/>
                <w:highlight w:val="none"/>
              </w:rPr>
              <w:t>违法行为</w:t>
            </w:r>
          </w:p>
        </w:tc>
        <w:tc>
          <w:tcPr>
            <w:tcW w:w="2355"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9"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66"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保安培训机构未按照学员培训费的一定比例，设置学员权益保障金。</w:t>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第三十三条第二款  保安培训机构违法本办法第二十二条规定的，由设区的市级人民政府公安机关处以5000元以上3万元以下罚款，并责令退还学员全部学费；构成违反治安管理行为的，依法予以治安管理处罚；构成犯罪的，依法追究刑事责任。</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第二十二条  保安培训机构应当按照学员培训费的一定比例，设置学员权益保障金。培训规模在500人以下的，保障金总额不少于30万元；培训规模在500人以上的，保障金总额不少于50万。</w:t>
            </w: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处以5000元以上1万元以下罚款，并责令退还学员全部学费；构成违反治安管理行为的，依法予以治安管理处罚；构成犯罪的，依法追究刑事责任。</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1866"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两年内曾违反此规定</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处以1万元以上3万元以下罚款，并责令退还学员全部学费；构成违反治安管理行为的，依法予以治安管理处罚；构成犯罪的，依法追究刑事责任。</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blHeader/>
        </w:trPr>
        <w:tc>
          <w:tcPr>
            <w:tcW w:w="183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保安培训机构未根据培训内容和培训计划，对学员进行两个月以上且不少于264课时培训。</w:t>
            </w:r>
          </w:p>
        </w:tc>
        <w:tc>
          <w:tcPr>
            <w:tcW w:w="2355"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第三十四条第一款  保安培训机构违反本办法第十三条或者第十六条第一款规定的，由设区的市级人民政府公安机关责令限期改正。</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numPr>
                <w:ilvl w:val="0"/>
                <w:numId w:val="2"/>
              </w:numPr>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 xml:space="preserve"> 保安培训机构应当根据培训内容和培训计划，对学员进行两个月以上且不少于264课时的培训。</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不需分阶</w:t>
            </w:r>
          </w:p>
          <w:p>
            <w:pPr>
              <w:rPr>
                <w:color w:val="auto"/>
                <w:highlight w:val="none"/>
              </w:rPr>
            </w:pPr>
          </w:p>
          <w:p>
            <w:pPr>
              <w:rPr>
                <w:color w:val="auto"/>
                <w:highlight w:val="none"/>
              </w:rPr>
            </w:pPr>
          </w:p>
          <w:p>
            <w:pPr>
              <w:rPr>
                <w:color w:val="auto"/>
                <w:highlight w:val="none"/>
              </w:rPr>
            </w:pPr>
          </w:p>
          <w:p>
            <w:pPr>
              <w:rPr>
                <w:color w:val="auto"/>
                <w:highlight w:val="none"/>
              </w:rPr>
            </w:pPr>
          </w:p>
          <w:p>
            <w:pPr>
              <w:jc w:val="center"/>
              <w:rPr>
                <w:color w:val="auto"/>
                <w:highlight w:val="none"/>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90" w:hRule="atLeast"/>
          <w:tblHeader/>
        </w:trPr>
        <w:tc>
          <w:tcPr>
            <w:tcW w:w="183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tcPr>
          <w:p>
            <w:pPr>
              <w:jc w:val="center"/>
              <w:rPr>
                <w:b/>
                <w:bCs/>
                <w:color w:val="auto"/>
                <w:highlight w:val="none"/>
              </w:rPr>
            </w:pPr>
            <w:r>
              <w:rPr>
                <w:rFonts w:hint="eastAsia"/>
                <w:b/>
                <w:bCs/>
                <w:color w:val="auto"/>
                <w:highlight w:val="none"/>
              </w:rPr>
              <w:t>违法情节</w:t>
            </w:r>
          </w:p>
        </w:tc>
        <w:tc>
          <w:tcPr>
            <w:tcW w:w="1199"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464"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1、保安培训机构学员实习时间超过培训时间三分之一；</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2、保安培训机构向社会提供保安服务或者以实习等名义变相提供保安服务。</w:t>
            </w:r>
            <w:r>
              <w:rPr>
                <w:rFonts w:hint="eastAsia" w:asciiTheme="majorEastAsia" w:hAnsiTheme="majorEastAsia" w:eastAsiaTheme="majorEastAsia" w:cstheme="majorEastAsia"/>
                <w:color w:val="auto"/>
                <w:kern w:val="0"/>
                <w:szCs w:val="21"/>
                <w:highlight w:val="none"/>
                <w:lang w:bidi="ar"/>
              </w:rPr>
              <w:br w:type="textWrapping"/>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第三十五条  保安培训机构违反本办法第十四条、第十七条、第十八条、第十九条或者第二十一规定的，由设区的市级人民政府公安机关责令保安培训机构限期改正；逾期不改正的，处以2000元以上1万元以下罚款。</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第十四条  保安培训机构学员实习时间不得超过培训时间的三分之一。</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 xml:space="preserve">  保安培训机构向社会提供保安服务或者以实习等名义变相提供保安服务。</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594"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逾期不改正</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635"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1、保安培训机构未建立健全学员档案管理制度，对学员成绩、考核鉴定等基本信息实行计算机管理。学员文书档案未保存至学员毕业离校后的第</w:t>
            </w:r>
            <w:r>
              <w:rPr>
                <w:rFonts w:hint="eastAsia" w:asciiTheme="majorEastAsia" w:hAnsiTheme="majorEastAsia" w:eastAsiaTheme="majorEastAsia" w:cstheme="majorEastAsia"/>
                <w:color w:val="auto"/>
                <w:kern w:val="0"/>
                <w:szCs w:val="21"/>
                <w:highlight w:val="none"/>
                <w:lang w:val="en-US" w:eastAsia="zh-CN" w:bidi="ar"/>
              </w:rPr>
              <w:t>5</w:t>
            </w:r>
            <w:r>
              <w:rPr>
                <w:rFonts w:hint="eastAsia" w:asciiTheme="majorEastAsia" w:hAnsiTheme="majorEastAsia" w:eastAsiaTheme="majorEastAsia" w:cstheme="majorEastAsia"/>
                <w:color w:val="auto"/>
                <w:kern w:val="0"/>
                <w:szCs w:val="21"/>
                <w:highlight w:val="none"/>
                <w:lang w:bidi="ar"/>
              </w:rPr>
              <w:t>年年底；</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2、保安培训机构未将学员、师资人员文书档案及电子文档报所在地设区的市级人民政府公安机关备案。</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第三十五条  保安培训机构违反本办法第十四条、第十七条、第十八条、第十九条或者第二十一规定的，由设区的市级人民政府公安机关责令保安培训机构限期改正；逾期不改正的，处以2000元以上1万元以下罚款。</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第十七条  保安培训机构应当建立健全学员档案管理制度，对学员成绩、考核鉴定等基本信息实行计算机管理。学员文书档案应当保存至学员毕业离校后的第5年年底。</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保安培训机构应当将学员、师资人员文书档案及电子文档报所在地设区的市级人民政府公安机关备案。</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830"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逾期不改正</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07" w:hRule="atLeast"/>
          <w:tblHeader/>
        </w:trPr>
        <w:tc>
          <w:tcPr>
            <w:tcW w:w="183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9"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6"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保安培训机构收取培训费标准，未经省级人民政府公安机关商同级价格主管部门核准，并向社会公布。</w:t>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第三十五条  保安培训机构违反本办法第十四条、第十七条、第十八条、第十九条或者第二十一规定的，由设区的市级人民政府公安机关责令保安培训机构限期改正；逾期不改正的，处以2000元以上1万元以下罚款。</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numPr>
                <w:ilvl w:val="0"/>
                <w:numId w:val="3"/>
              </w:numPr>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 xml:space="preserve"> 保安培训机构收取培训费标准，由省级人民政府公安机关商同级价格主管部门核准，并向社会公布。</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286"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逾期不改正</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310"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1、保安培训机构在学员入学时未与学员签订规范的培训合同，明确双方权利义务，如实告知可能存在的就业风险；</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2、保安培训合同式样未报保安培训机构所在地设区的市级人民政府公安机关备案。</w:t>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第三十五条  保安培训机构违反本办法第十四条、第十七条、第十八条、第十九条或者第二十一规定的，由设区的市级人民政府公安机关责令保安培训机构限期改正；逾期不改正的，处以2000元以上1万元以下罚款。</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numPr>
                <w:ilvl w:val="0"/>
                <w:numId w:val="3"/>
              </w:numPr>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 xml:space="preserve"> 保安培训机构应当在学员入学时与学员签订规范的培训合同，明确双方权利义务，如实告知可能存在的就业风险。保安培训合同式样应当报保安培训机构所在地设区的市级人民政府公安机关备案。</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375" w:hRule="atLeast"/>
          <w:tblHeader/>
        </w:trPr>
        <w:tc>
          <w:tcPr>
            <w:tcW w:w="1830" w:type="dxa"/>
            <w:vMerge w:val="continue"/>
            <w:tcBorders>
              <w:tl2br w:val="nil"/>
              <w:tr2bl w:val="nil"/>
            </w:tcBorders>
            <w:shd w:val="clear" w:color="auto" w:fill="auto"/>
          </w:tcPr>
          <w:p>
            <w:pPr>
              <w:widowControl/>
              <w:spacing w:line="300" w:lineRule="exact"/>
              <w:jc w:val="left"/>
              <w:textAlignment w:val="top"/>
              <w:rPr>
                <w:color w:val="auto"/>
                <w:highlight w:val="none"/>
              </w:rPr>
            </w:pPr>
          </w:p>
        </w:tc>
        <w:tc>
          <w:tcPr>
            <w:tcW w:w="2355" w:type="dxa"/>
            <w:vMerge w:val="continue"/>
            <w:tcBorders>
              <w:tl2br w:val="nil"/>
              <w:tr2bl w:val="nil"/>
            </w:tcBorders>
            <w:shd w:val="clear" w:color="auto" w:fill="auto"/>
          </w:tcPr>
          <w:p>
            <w:pPr>
              <w:widowControl/>
              <w:spacing w:line="300" w:lineRule="exact"/>
              <w:jc w:val="left"/>
              <w:textAlignment w:val="top"/>
              <w:rPr>
                <w:color w:val="auto"/>
                <w:highlight w:val="none"/>
              </w:rPr>
            </w:pPr>
          </w:p>
        </w:tc>
        <w:tc>
          <w:tcPr>
            <w:tcW w:w="2100" w:type="dxa"/>
            <w:tcBorders>
              <w:tl2br w:val="nil"/>
              <w:tr2bl w:val="nil"/>
            </w:tcBorders>
            <w:shd w:val="clear" w:color="auto" w:fill="auto"/>
          </w:tcPr>
          <w:p>
            <w:pPr>
              <w:widowControl/>
              <w:spacing w:line="300" w:lineRule="exact"/>
              <w:jc w:val="left"/>
              <w:textAlignment w:val="top"/>
              <w:rPr>
                <w:color w:val="auto"/>
                <w:highlight w:val="none"/>
              </w:rPr>
            </w:pPr>
            <w:r>
              <w:rPr>
                <w:rFonts w:hint="eastAsia" w:asciiTheme="majorEastAsia" w:hAnsiTheme="majorEastAsia" w:eastAsiaTheme="majorEastAsia" w:cstheme="majorEastAsia"/>
                <w:color w:val="auto"/>
                <w:kern w:val="0"/>
                <w:szCs w:val="21"/>
                <w:highlight w:val="none"/>
                <w:lang w:bidi="ar"/>
              </w:rPr>
              <w:t>逾期不改正</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处以2000元以上1万元以下罚款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290" w:hRule="atLeast"/>
          <w:tblHeader/>
        </w:trPr>
        <w:tc>
          <w:tcPr>
            <w:tcW w:w="183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违法行为</w:t>
            </w:r>
          </w:p>
        </w:tc>
        <w:tc>
          <w:tcPr>
            <w:tcW w:w="2355"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法律依据</w:t>
            </w:r>
          </w:p>
        </w:tc>
        <w:tc>
          <w:tcPr>
            <w:tcW w:w="2100"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违法情节</w:t>
            </w:r>
          </w:p>
        </w:tc>
        <w:tc>
          <w:tcPr>
            <w:tcW w:w="1199" w:type="dxa"/>
            <w:tcBorders>
              <w:tl2br w:val="nil"/>
              <w:tr2bl w:val="nil"/>
            </w:tcBorders>
            <w:shd w:val="clear" w:color="auto" w:fill="auto"/>
          </w:tcPr>
          <w:p>
            <w:pPr>
              <w:widowControl/>
              <w:spacing w:line="300" w:lineRule="exact"/>
              <w:jc w:val="center"/>
              <w:textAlignment w:val="top"/>
              <w:rPr>
                <w:rFonts w:asciiTheme="majorEastAsia" w:hAnsiTheme="majorEastAsia" w:eastAsiaTheme="majorEastAsia" w:cstheme="majorEastAsia"/>
                <w:b/>
                <w:bCs/>
                <w:color w:val="auto"/>
                <w:kern w:val="0"/>
                <w:szCs w:val="21"/>
                <w:highlight w:val="none"/>
                <w:lang w:bidi="ar"/>
              </w:rPr>
            </w:pPr>
            <w:r>
              <w:rPr>
                <w:rFonts w:hint="eastAsia" w:asciiTheme="majorEastAsia" w:hAnsiTheme="majorEastAsia" w:eastAsiaTheme="majorEastAsia" w:cstheme="majorEastAsia"/>
                <w:b/>
                <w:bCs/>
                <w:color w:val="auto"/>
                <w:kern w:val="0"/>
                <w:szCs w:val="21"/>
                <w:highlight w:val="none"/>
                <w:lang w:bidi="ar"/>
              </w:rPr>
              <w:t>裁量基准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4996" w:hRule="atLeast"/>
          <w:tblHeader/>
        </w:trPr>
        <w:tc>
          <w:tcPr>
            <w:tcW w:w="1830"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保安培训机构未依法发布招生广告，夸大事实或者以安排工作等名义诱骗学员入学。</w:t>
            </w:r>
          </w:p>
        </w:tc>
        <w:tc>
          <w:tcPr>
            <w:tcW w:w="2355" w:type="dxa"/>
            <w:vMerge w:val="restart"/>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第三十五条  保安培训机构违反本办法第十四条、第十七条、第十八条、第十九条或者第二十一规定的，由设区的市级人民政府公安机关责令保安培训机构限期改正；逾期不改正的，处以</w:t>
            </w:r>
            <w:r>
              <w:rPr>
                <w:rFonts w:hint="eastAsia" w:asciiTheme="majorEastAsia" w:hAnsiTheme="majorEastAsia" w:eastAsiaTheme="majorEastAsia" w:cstheme="majorEastAsia"/>
                <w:color w:val="auto"/>
                <w:kern w:val="0"/>
                <w:szCs w:val="21"/>
                <w:highlight w:val="none"/>
                <w:lang w:val="en-US" w:eastAsia="zh-CN" w:bidi="ar"/>
              </w:rPr>
              <w:t>2000</w:t>
            </w:r>
            <w:r>
              <w:rPr>
                <w:rFonts w:hint="eastAsia" w:asciiTheme="majorEastAsia" w:hAnsiTheme="majorEastAsia" w:eastAsiaTheme="majorEastAsia" w:cstheme="majorEastAsia"/>
                <w:color w:val="auto"/>
                <w:kern w:val="0"/>
                <w:szCs w:val="21"/>
                <w:highlight w:val="none"/>
                <w:lang w:bidi="ar"/>
              </w:rPr>
              <w:t>元以上</w:t>
            </w:r>
            <w:r>
              <w:rPr>
                <w:rFonts w:hint="eastAsia" w:asciiTheme="majorEastAsia" w:hAnsiTheme="majorEastAsia" w:eastAsiaTheme="majorEastAsia" w:cstheme="majorEastAsia"/>
                <w:color w:val="auto"/>
                <w:kern w:val="0"/>
                <w:szCs w:val="21"/>
                <w:highlight w:val="none"/>
                <w:lang w:val="en-US" w:eastAsia="zh-CN" w:bidi="ar"/>
              </w:rPr>
              <w:t>1</w:t>
            </w:r>
            <w:r>
              <w:rPr>
                <w:rFonts w:hint="eastAsia" w:asciiTheme="majorEastAsia" w:hAnsiTheme="majorEastAsia" w:eastAsiaTheme="majorEastAsia" w:cstheme="majorEastAsia"/>
                <w:color w:val="auto"/>
                <w:kern w:val="0"/>
                <w:szCs w:val="21"/>
                <w:highlight w:val="none"/>
                <w:lang w:bidi="ar"/>
              </w:rPr>
              <w:t>万元以下罚款。</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第二十一条  保安培训机构应当依法发布招生广告，不得夸大事实或者以安排工作等名义诱骗学员入学。</w:t>
            </w: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一般情况</w:t>
            </w:r>
          </w:p>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责令限期改正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rPr>
          <w:trHeight w:val="6613" w:hRule="atLeast"/>
          <w:tblHeader/>
        </w:trPr>
        <w:tc>
          <w:tcPr>
            <w:tcW w:w="1830"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355" w:type="dxa"/>
            <w:vMerge w:val="continue"/>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p>
        </w:tc>
        <w:tc>
          <w:tcPr>
            <w:tcW w:w="2100"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逾期不改正</w:t>
            </w:r>
          </w:p>
        </w:tc>
        <w:tc>
          <w:tcPr>
            <w:tcW w:w="1199" w:type="dxa"/>
            <w:tcBorders>
              <w:tl2br w:val="nil"/>
              <w:tr2bl w:val="nil"/>
            </w:tcBorders>
            <w:shd w:val="clear" w:color="auto" w:fill="auto"/>
          </w:tcPr>
          <w:p>
            <w:pPr>
              <w:widowControl/>
              <w:spacing w:line="300" w:lineRule="exact"/>
              <w:jc w:val="left"/>
              <w:textAlignment w:val="top"/>
              <w:rPr>
                <w:rFonts w:asciiTheme="majorEastAsia" w:hAnsiTheme="majorEastAsia" w:eastAsiaTheme="majorEastAsia" w:cstheme="majorEastAsia"/>
                <w:color w:val="auto"/>
                <w:kern w:val="0"/>
                <w:szCs w:val="21"/>
                <w:highlight w:val="none"/>
                <w:lang w:bidi="ar"/>
              </w:rPr>
            </w:pPr>
            <w:r>
              <w:rPr>
                <w:rFonts w:hint="eastAsia" w:asciiTheme="majorEastAsia" w:hAnsiTheme="majorEastAsia" w:eastAsiaTheme="majorEastAsia" w:cstheme="majorEastAsia"/>
                <w:color w:val="auto"/>
                <w:kern w:val="0"/>
                <w:szCs w:val="21"/>
                <w:highlight w:val="none"/>
                <w:lang w:bidi="ar"/>
              </w:rPr>
              <w:t>处以2000元以上1万元以下罚款</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6BB5C1"/>
    <w:multiLevelType w:val="singleLevel"/>
    <w:tmpl w:val="636BB5C1"/>
    <w:lvl w:ilvl="0" w:tentative="0">
      <w:start w:val="15"/>
      <w:numFmt w:val="chineseCounting"/>
      <w:suff w:val="nothing"/>
      <w:lvlText w:val="第%1条"/>
      <w:lvlJc w:val="left"/>
    </w:lvl>
  </w:abstractNum>
  <w:abstractNum w:abstractNumId="1">
    <w:nsid w:val="636BB8B5"/>
    <w:multiLevelType w:val="singleLevel"/>
    <w:tmpl w:val="636BB8B5"/>
    <w:lvl w:ilvl="0" w:tentative="0">
      <w:start w:val="13"/>
      <w:numFmt w:val="chineseCounting"/>
      <w:suff w:val="space"/>
      <w:lvlText w:val="第%1条"/>
      <w:lvlJc w:val="left"/>
    </w:lvl>
  </w:abstractNum>
  <w:abstractNum w:abstractNumId="2">
    <w:nsid w:val="636C9B2A"/>
    <w:multiLevelType w:val="singleLevel"/>
    <w:tmpl w:val="636C9B2A"/>
    <w:lvl w:ilvl="0" w:tentative="0">
      <w:start w:val="18"/>
      <w:numFmt w:val="chineseCounting"/>
      <w:suff w:val="space"/>
      <w:lvlText w:val="第%1条"/>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zOWIyZjRkYmM5MzVkNzU5NTM2OTg2MjI1YmViZDEifQ=="/>
  </w:docVars>
  <w:rsids>
    <w:rsidRoot w:val="192360DB"/>
    <w:rsid w:val="179B0BA5"/>
    <w:rsid w:val="192360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2024-05-13T07:45:00Z</dcterms:created>
  <dc:creator>Administrator</dc:creator>
  <cp:lastModifiedBy>Administrator</cp:lastModifiedBy>
  <dcterms:modified xsi:type="dcterms:W3CDTF">2024-05-13T12:08:57Z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B1B0107933324053B34EAA18FFC0CC72_11</vt:lpwstr>
  </property>
</Properties>
</file>