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50" w:afterLines="80" w:line="460" w:lineRule="exact"/>
        <w:jc w:val="center"/>
        <w:rPr>
          <w:rFonts w:ascii="方正小标宋简体" w:hAnsi="方正小标宋简体" w:eastAsia="方正小标宋简体" w:cs="方正小标宋简体"/>
          <w:color w:val="auto"/>
          <w:sz w:val="32"/>
          <w:szCs w:val="32"/>
          <w:highlight w:val="none"/>
        </w:rPr>
      </w:pPr>
      <w:r>
        <w:rPr>
          <w:rFonts w:hint="eastAsia" w:ascii="方正小标宋简体" w:hAnsi="方正小标宋简体" w:eastAsia="方正小标宋简体" w:cs="方正小标宋简体"/>
          <w:color w:val="auto"/>
          <w:sz w:val="32"/>
          <w:szCs w:val="32"/>
          <w:highlight w:val="none"/>
        </w:rPr>
        <w:t>违反《公安机关实施保安服务管理条例办法》处罚裁量基准</w:t>
      </w:r>
    </w:p>
    <w:tbl>
      <w:tblPr>
        <w:tblStyle w:val="3"/>
        <w:tblW w:w="748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853"/>
        <w:gridCol w:w="2340"/>
        <w:gridCol w:w="2055"/>
        <w:gridCol w:w="12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5" w:hRule="atLeast"/>
          <w:tblHeader/>
        </w:trPr>
        <w:tc>
          <w:tcPr>
            <w:tcW w:w="1853" w:type="dxa"/>
            <w:tcBorders>
              <w:tl2br w:val="nil"/>
              <w:tr2bl w:val="nil"/>
            </w:tcBorders>
            <w:shd w:val="clear" w:color="auto" w:fill="auto"/>
            <w:vAlign w:val="center"/>
          </w:tcPr>
          <w:p>
            <w:pPr>
              <w:widowControl/>
              <w:spacing w:line="300" w:lineRule="exact"/>
              <w:jc w:val="center"/>
              <w:textAlignment w:val="top"/>
              <w:rPr>
                <w:rFonts w:hint="eastAsia" w:asciiTheme="majorEastAsia" w:hAnsiTheme="majorEastAsia" w:eastAsiaTheme="majorEastAsia" w:cstheme="majorEastAsia"/>
                <w:color w:val="auto"/>
                <w:kern w:val="0"/>
                <w:szCs w:val="21"/>
                <w:highlight w:val="none"/>
                <w:lang w:bidi="ar"/>
              </w:rPr>
            </w:pPr>
            <w:bookmarkStart w:id="0" w:name="_GoBack"/>
            <w:bookmarkEnd w:id="0"/>
            <w:r>
              <w:rPr>
                <w:rFonts w:hint="eastAsia" w:asciiTheme="majorEastAsia" w:hAnsiTheme="majorEastAsia" w:eastAsiaTheme="majorEastAsia" w:cstheme="majorEastAsia"/>
                <w:b/>
                <w:bCs/>
                <w:color w:val="auto"/>
                <w:kern w:val="0"/>
                <w:szCs w:val="21"/>
                <w:highlight w:val="none"/>
                <w:lang w:bidi="ar"/>
              </w:rPr>
              <w:t>违法行为</w:t>
            </w:r>
          </w:p>
        </w:tc>
        <w:tc>
          <w:tcPr>
            <w:tcW w:w="2340" w:type="dxa"/>
            <w:tcBorders>
              <w:tl2br w:val="nil"/>
              <w:tr2bl w:val="nil"/>
            </w:tcBorders>
            <w:shd w:val="clear" w:color="auto" w:fill="auto"/>
            <w:vAlign w:val="center"/>
          </w:tcPr>
          <w:p>
            <w:pPr>
              <w:widowControl/>
              <w:spacing w:line="300" w:lineRule="exact"/>
              <w:jc w:val="center"/>
              <w:textAlignment w:val="top"/>
              <w:rPr>
                <w:rFonts w:hint="eastAsia"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法律依据</w:t>
            </w:r>
          </w:p>
        </w:tc>
        <w:tc>
          <w:tcPr>
            <w:tcW w:w="2055" w:type="dxa"/>
            <w:tcBorders>
              <w:tl2br w:val="nil"/>
              <w:tr2bl w:val="nil"/>
            </w:tcBorders>
            <w:shd w:val="clear" w:color="auto" w:fill="auto"/>
            <w:vAlign w:val="center"/>
          </w:tcPr>
          <w:p>
            <w:pPr>
              <w:widowControl/>
              <w:spacing w:line="300" w:lineRule="exact"/>
              <w:jc w:val="center"/>
              <w:textAlignment w:val="top"/>
              <w:rPr>
                <w:rFonts w:hint="eastAsia"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违法情节</w:t>
            </w:r>
          </w:p>
        </w:tc>
        <w:tc>
          <w:tcPr>
            <w:tcW w:w="1236" w:type="dxa"/>
            <w:tcBorders>
              <w:tl2br w:val="nil"/>
              <w:tr2bl w:val="nil"/>
            </w:tcBorders>
            <w:shd w:val="clear" w:color="auto" w:fill="auto"/>
            <w:vAlign w:val="center"/>
          </w:tcPr>
          <w:p>
            <w:pPr>
              <w:widowControl/>
              <w:spacing w:line="300" w:lineRule="exact"/>
              <w:jc w:val="center"/>
              <w:textAlignment w:val="top"/>
              <w:rPr>
                <w:rFonts w:hint="eastAsia"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3" w:hRule="atLeast"/>
        </w:trPr>
        <w:tc>
          <w:tcPr>
            <w:tcW w:w="1853"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1、泄露在保安服务中获知的国家秘密。</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2、指使、纵容保安员阻碍依法执行公务、参与追索债务、采用暴力或者以暴力相威胁的手段处置纠纷。</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3、其他严重违法犯罪行为。</w:t>
            </w:r>
          </w:p>
        </w:tc>
        <w:tc>
          <w:tcPr>
            <w:tcW w:w="2340"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第四十五条第一款  保安服务公司有以下情形之一，造成严重后果的，除依照《条例》第四十三条规定处罚外，发证公安机关可以依据《中华人民共和国治安管理处罚法》第五十四条第三款的规定，吊销保安服务许可证：</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（一）泄露在保安服务中获知的国家秘密；</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（二）指使、纵容保安员阻碍依法执行公务、参与追索债务、采用暴力或者以暴力相威胁的手段处置纠纷；</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（三）其他严重违法犯罪行为。</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《保安服务管理条例》第四十三条  保安从业单位</w:t>
            </w:r>
            <w:r>
              <w:rPr>
                <w:rFonts w:hint="eastAsia" w:ascii="Times New Roman" w:hAnsi="Times New Roman" w:eastAsia="方正书宋简体" w:cs="Times New Roman"/>
                <w:color w:val="auto"/>
                <w:kern w:val="0"/>
                <w:szCs w:val="21"/>
                <w:highlight w:val="none"/>
                <w:lang w:eastAsia="zh-CN" w:bidi="ar"/>
              </w:rPr>
              <w:t>有下列情形之一的</w:t>
            </w:r>
            <w:r>
              <w:rPr>
                <w:rFonts w:hint="eastAsia" w:ascii="Times New Roman" w:hAnsi="Times New Roman" w:eastAsia="方正书宋简体" w:cs="Times New Roman"/>
                <w:color w:val="auto"/>
                <w:kern w:val="0"/>
                <w:szCs w:val="21"/>
                <w:highlight w:val="none"/>
                <w:lang w:bidi="ar"/>
              </w:rPr>
              <w:t>，责令限期改正，处</w:t>
            </w:r>
            <w:r>
              <w:rPr>
                <w:rFonts w:ascii="Times New Roman" w:hAnsi="Times New Roman" w:eastAsia="方正书宋简体" w:cs="Times New Roman"/>
                <w:color w:val="auto"/>
                <w:kern w:val="0"/>
                <w:szCs w:val="21"/>
                <w:highlight w:val="none"/>
                <w:lang w:bidi="ar"/>
              </w:rPr>
              <w:t>2</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10</w:t>
            </w:r>
            <w:r>
              <w:rPr>
                <w:rFonts w:hint="eastAsia" w:ascii="Times New Roman" w:hAnsi="Times New Roman" w:eastAsia="方正书宋简体" w:cs="Times New Roman"/>
                <w:color w:val="auto"/>
                <w:kern w:val="0"/>
                <w:szCs w:val="21"/>
                <w:highlight w:val="none"/>
                <w:lang w:bidi="ar"/>
              </w:rPr>
              <w:t>万元以下的罚款；违反治安管理的，依法给予治安管理处罚；构成犯罪的，依法追究直接负责的主管人员和其他直接责任人员的刑事责任：</w:t>
            </w:r>
          </w:p>
          <w:p>
            <w:pPr>
              <w:widowControl/>
              <w:spacing w:line="300" w:lineRule="exact"/>
              <w:textAlignment w:val="top"/>
              <w:rPr>
                <w:rFonts w:asciiTheme="minorEastAsia" w:hAnsiTheme="minorEastAsia" w:cstheme="minorEastAsia"/>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《中华人民共和国治安管理处罚法》</w:t>
            </w:r>
            <w:r>
              <w:rPr>
                <w:rFonts w:hint="eastAsia" w:asciiTheme="minorEastAsia" w:hAnsiTheme="minorEastAsia" w:cstheme="minorEastAsia"/>
                <w:color w:val="auto"/>
                <w:kern w:val="0"/>
                <w:szCs w:val="21"/>
                <w:highlight w:val="none"/>
                <w:lang w:bidi="ar"/>
              </w:rPr>
              <w:t>第五十四条第三款  取得公安机关许可的经营者，违反国家有关管理规定，情节严重的，公安机关可以吊销许可证。</w:t>
            </w:r>
          </w:p>
        </w:tc>
        <w:tc>
          <w:tcPr>
            <w:tcW w:w="2055"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不需另行分阶</w:t>
            </w:r>
          </w:p>
        </w:tc>
        <w:tc>
          <w:tcPr>
            <w:tcW w:w="1236"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除依照《条例》第四十三条规定处罚外，发证公安机关可以依据《中华人民共和国治安管理处罚法》第五十四条第三款的规定，吊销保安服务许可证。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253" w:hRule="atLeast"/>
        </w:trPr>
        <w:tc>
          <w:tcPr>
            <w:tcW w:w="1853"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40"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5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36"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1487" w:hRule="atLeast"/>
        </w:trPr>
        <w:tc>
          <w:tcPr>
            <w:tcW w:w="1853"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保安培训单位以培训为名进行诈骗等违法犯罪活动</w:t>
            </w:r>
          </w:p>
        </w:tc>
        <w:tc>
          <w:tcPr>
            <w:tcW w:w="2340"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第四十五条第</w:t>
            </w:r>
            <w:r>
              <w:rPr>
                <w:rFonts w:hint="eastAsia" w:ascii="Times New Roman" w:hAnsi="Times New Roman" w:eastAsia="方正书宋简体" w:cs="Times New Roman"/>
                <w:color w:val="auto"/>
                <w:kern w:val="0"/>
                <w:szCs w:val="21"/>
                <w:highlight w:val="none"/>
                <w:lang w:val="en-US" w:eastAsia="zh-CN" w:bidi="ar"/>
              </w:rPr>
              <w:t>二</w:t>
            </w:r>
            <w:r>
              <w:rPr>
                <w:rFonts w:hint="eastAsia" w:ascii="Times New Roman" w:hAnsi="Times New Roman" w:eastAsia="方正书宋简体" w:cs="Times New Roman"/>
                <w:color w:val="auto"/>
                <w:kern w:val="0"/>
                <w:szCs w:val="21"/>
                <w:highlight w:val="none"/>
                <w:lang w:bidi="ar"/>
              </w:rPr>
              <w:t>款 保安培训单位以培训为名进行诈骗等违法犯罪活动，情节严重的，公安机关可以依前款规定，吊销保安培训许可证。</w:t>
            </w:r>
          </w:p>
        </w:tc>
        <w:tc>
          <w:tcPr>
            <w:tcW w:w="2055" w:type="dxa"/>
            <w:tcBorders>
              <w:tl2br w:val="nil"/>
              <w:tr2bl w:val="nil"/>
            </w:tcBorders>
            <w:shd w:val="clear" w:color="auto" w:fill="auto"/>
          </w:tcPr>
          <w:p>
            <w:pPr>
              <w:widowControl/>
              <w:spacing w:line="300" w:lineRule="exact"/>
              <w:textAlignment w:val="top"/>
              <w:rPr>
                <w:rFonts w:hint="default" w:ascii="Times New Roman" w:hAnsi="Times New Roman" w:eastAsia="方正书宋简体" w:cs="Times New Roman"/>
                <w:color w:val="auto"/>
                <w:kern w:val="0"/>
                <w:szCs w:val="21"/>
                <w:highlight w:val="none"/>
                <w:lang w:val="en-US" w:eastAsia="zh-CN" w:bidi="ar"/>
              </w:rPr>
            </w:pPr>
            <w:r>
              <w:rPr>
                <w:rFonts w:hint="eastAsia" w:ascii="Times New Roman" w:hAnsi="Times New Roman" w:eastAsia="方正书宋简体" w:cs="Times New Roman"/>
                <w:color w:val="auto"/>
                <w:kern w:val="0"/>
                <w:szCs w:val="21"/>
                <w:highlight w:val="none"/>
                <w:lang w:val="en-US" w:eastAsia="zh-CN" w:bidi="ar"/>
              </w:rPr>
              <w:t>不需另行分阶</w:t>
            </w:r>
          </w:p>
        </w:tc>
        <w:tc>
          <w:tcPr>
            <w:tcW w:w="1236" w:type="dxa"/>
            <w:tcBorders>
              <w:tl2br w:val="nil"/>
              <w:tr2bl w:val="nil"/>
            </w:tcBorders>
            <w:shd w:val="clear" w:color="auto" w:fill="auto"/>
          </w:tcPr>
          <w:p>
            <w:pPr>
              <w:widowControl/>
              <w:spacing w:line="300" w:lineRule="exact"/>
              <w:textAlignment w:val="top"/>
              <w:rPr>
                <w:rFonts w:hint="default" w:ascii="Times New Roman" w:hAnsi="Times New Roman" w:eastAsia="方正书宋简体" w:cs="Times New Roman"/>
                <w:color w:val="auto"/>
                <w:kern w:val="0"/>
                <w:szCs w:val="21"/>
                <w:highlight w:val="none"/>
                <w:lang w:val="en-US" w:eastAsia="zh-CN" w:bidi="ar"/>
              </w:rPr>
            </w:pPr>
            <w:r>
              <w:rPr>
                <w:rFonts w:hint="eastAsia" w:ascii="Times New Roman" w:hAnsi="Times New Roman" w:eastAsia="方正书宋简体" w:cs="Times New Roman"/>
                <w:color w:val="auto"/>
                <w:kern w:val="0"/>
                <w:szCs w:val="21"/>
                <w:highlight w:val="none"/>
                <w:lang w:val="en-US" w:eastAsia="zh-CN" w:bidi="ar"/>
              </w:rPr>
              <w:t>除对</w:t>
            </w:r>
            <w:r>
              <w:rPr>
                <w:rFonts w:hint="eastAsia" w:ascii="Times New Roman" w:hAnsi="Times New Roman" w:eastAsia="方正书宋简体" w:cs="Times New Roman"/>
                <w:color w:val="auto"/>
                <w:kern w:val="0"/>
                <w:szCs w:val="21"/>
                <w:highlight w:val="none"/>
                <w:lang w:bidi="ar"/>
              </w:rPr>
              <w:t>诈骗等违法犯罪活动</w:t>
            </w:r>
            <w:r>
              <w:rPr>
                <w:rFonts w:hint="eastAsia" w:ascii="Times New Roman" w:hAnsi="Times New Roman" w:eastAsia="方正书宋简体" w:cs="Times New Roman"/>
                <w:color w:val="auto"/>
                <w:kern w:val="0"/>
                <w:szCs w:val="21"/>
                <w:highlight w:val="none"/>
                <w:lang w:val="en-US" w:eastAsia="zh-CN" w:bidi="ar"/>
              </w:rPr>
              <w:t>依法处罚外，</w:t>
            </w:r>
            <w:r>
              <w:rPr>
                <w:rFonts w:hint="eastAsia" w:ascii="Times New Roman" w:hAnsi="Times New Roman" w:eastAsia="方正书宋简体" w:cs="Times New Roman"/>
                <w:color w:val="auto"/>
                <w:kern w:val="0"/>
                <w:szCs w:val="21"/>
                <w:highlight w:val="none"/>
                <w:lang w:bidi="ar"/>
              </w:rPr>
              <w:t>情节严重的，公安机关可以依前款规定，吊销保安培训许可证。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1565" w:hRule="atLeast"/>
        </w:trPr>
        <w:tc>
          <w:tcPr>
            <w:tcW w:w="1853" w:type="dxa"/>
            <w:tcBorders>
              <w:tl2br w:val="nil"/>
              <w:tr2bl w:val="nil"/>
            </w:tcBorders>
            <w:shd w:val="clear" w:color="auto" w:fill="auto"/>
          </w:tcPr>
          <w:p>
            <w:pPr>
              <w:widowControl/>
              <w:numPr>
                <w:ilvl w:val="0"/>
                <w:numId w:val="1"/>
              </w:numPr>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设区的市级以上地方人民政府确定的关系国家安全、涉及国家密码等治安保卫重点单位聘请外商投资的保安服务公司提供保安服务。</w:t>
            </w:r>
          </w:p>
          <w:p>
            <w:pPr>
              <w:widowControl/>
              <w:numPr>
                <w:ilvl w:val="0"/>
                <w:numId w:val="1"/>
              </w:numPr>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设区的市级以上地方人民政府确定的关系国家安全、涉及国家密码等治安保卫重点单位为其提供保安服务的保安服务公司招用境外人员。</w:t>
            </w:r>
          </w:p>
        </w:tc>
        <w:tc>
          <w:tcPr>
            <w:tcW w:w="2340"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第四十六条  设区的市级以上地方人民政府确定的关系国家安全、涉及国家密码等治安保卫重点单位违反《条例》第二十二条规定的，依照《企事业单位内部治安保卫条例》第十九条的规定处罚。</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val="en-US" w:eastAsia="zh-CN" w:bidi="ar"/>
              </w:rPr>
              <w:t xml:space="preserve">    </w:t>
            </w:r>
            <w:r>
              <w:rPr>
                <w:rFonts w:hint="eastAsia" w:ascii="Times New Roman" w:hAnsi="Times New Roman" w:eastAsia="方正书宋简体" w:cs="Times New Roman"/>
                <w:color w:val="auto"/>
                <w:kern w:val="0"/>
                <w:szCs w:val="21"/>
                <w:highlight w:val="none"/>
                <w:lang w:bidi="ar"/>
              </w:rPr>
              <w:t>保安服务公司违反本办法二十七条第二款规定的，依照前款规定处罚。</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284" w:lineRule="exact"/>
              <w:textAlignment w:val="top"/>
              <w:rPr>
                <w:rFonts w:eastAsia="方正书宋简体"/>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《企事业单位内部治安保卫条例》第十九条</w:t>
            </w:r>
            <w:r>
              <w:rPr>
                <w:rFonts w:hint="eastAsia" w:eastAsia="方正书宋简体"/>
                <w:color w:val="auto"/>
                <w:kern w:val="0"/>
                <w:szCs w:val="21"/>
                <w:highlight w:val="none"/>
                <w:lang w:bidi="ar"/>
              </w:rPr>
              <w:t xml:space="preserve">  单位违反本条例的规定，存在治安隐患的，公安机关应当责令限期整改，并处警告；单位逾期不整改，造成公民人身伤害、公私财产损失，或者严重威胁公民人身安全、公私财产安全或者公共安全的，对单位处1万元以上10万元以下的罚款，对单位主要负责人和其他直接责任人员处500元以上5000元以下的罚款，并可以建议有关组织对单位主要负责人和其他直接责任人员依法给予处分；情节严重，构成犯罪的，依法追究刑事责任。</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依照《企事业单位内部治安保卫条例》第十九条的规定处罚，不需另行分阶。</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36" w:type="dxa"/>
            <w:tcBorders>
              <w:tl2br w:val="nil"/>
              <w:tr2bl w:val="nil"/>
            </w:tcBorders>
            <w:shd w:val="clear" w:color="auto" w:fill="auto"/>
          </w:tcPr>
          <w:p>
            <w:pPr>
              <w:widowControl/>
              <w:spacing w:line="284" w:lineRule="exact"/>
              <w:textAlignment w:val="top"/>
              <w:rPr>
                <w:rFonts w:eastAsia="方正书宋简体"/>
                <w:color w:val="auto"/>
                <w:kern w:val="0"/>
                <w:szCs w:val="21"/>
                <w:highlight w:val="none"/>
                <w:lang w:bidi="ar"/>
              </w:rPr>
            </w:pPr>
            <w:r>
              <w:rPr>
                <w:rFonts w:hint="eastAsia" w:eastAsia="方正书宋简体"/>
                <w:color w:val="auto"/>
                <w:kern w:val="0"/>
                <w:szCs w:val="21"/>
                <w:highlight w:val="none"/>
                <w:lang w:bidi="ar"/>
              </w:rPr>
              <w:t>责令限期整改，并处警告；单位逾期不整改，造成公民人身伤害、公私财产损失，或者严重威胁公民人身安全、公私财产安全或者公共安全的，对单位处1万元以上10万元以下的罚款，对单位主要负责人和其他直接责任人员处500元以上5000元以下的罚款，并可以建议有关组织对单位主要负责人和其他直接责任人员依法给予处分；情节严重，构成犯罪的，依法追究刑事责任。</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1500" w:hRule="atLeast"/>
        </w:trPr>
        <w:tc>
          <w:tcPr>
            <w:tcW w:w="1853"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保安培训单位以实习为名，派出学员变相开展保安服务。</w:t>
            </w:r>
          </w:p>
        </w:tc>
        <w:tc>
          <w:tcPr>
            <w:tcW w:w="2340"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第四十七条  保安培训单位以实习为名，派出学员变相开展保安服务的，依照《条例》第四十一条规定，依法给予治安管理处罚，并没收违法所得；构成犯罪的，依法追究刑事责任。</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 xml:space="preserve">《保安服务管理条例》第四十一条 </w:t>
            </w:r>
            <w:r>
              <w:rPr>
                <w:rFonts w:ascii="Times New Roman" w:hAnsi="Times New Roman" w:eastAsia="方正书宋简体" w:cs="Times New Roman"/>
                <w:color w:val="auto"/>
                <w:kern w:val="0"/>
                <w:szCs w:val="21"/>
                <w:highlight w:val="none"/>
                <w:lang w:bidi="ar"/>
              </w:rPr>
              <w:t xml:space="preserve"> </w:t>
            </w:r>
            <w:r>
              <w:rPr>
                <w:rFonts w:hint="eastAsia" w:ascii="Times New Roman" w:hAnsi="Times New Roman" w:eastAsia="方正书宋简体" w:cs="Times New Roman"/>
                <w:color w:val="auto"/>
                <w:kern w:val="0"/>
                <w:szCs w:val="21"/>
                <w:highlight w:val="none"/>
                <w:lang w:bidi="ar"/>
              </w:rPr>
              <w:t>任何组织或者个人未经许可，擅自从事保安服务，依法给予治安管理处罚，并没收违法所得；构成犯罪的，依法追究刑事责任。</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hint="eastAsia" w:ascii="宋体" w:hAnsi="宋体" w:eastAsia="宋体" w:cs="宋体"/>
                <w:color w:val="auto"/>
                <w:szCs w:val="21"/>
                <w:highlight w:val="none"/>
                <w:shd w:val="clear" w:color="auto" w:fill="FFFFFF"/>
                <w:lang w:eastAsia="zh-CN"/>
              </w:rPr>
            </w:pPr>
            <w:r>
              <w:rPr>
                <w:rFonts w:hint="eastAsia" w:ascii="Times New Roman" w:hAnsi="Times New Roman" w:eastAsia="方正书宋简体" w:cs="Times New Roman"/>
                <w:color w:val="auto"/>
                <w:kern w:val="0"/>
                <w:szCs w:val="21"/>
                <w:highlight w:val="none"/>
                <w:lang w:bidi="ar"/>
              </w:rPr>
              <w:t xml:space="preserve">《中华人民共和国治安管理处罚法》第五十四条第一款 </w:t>
            </w:r>
            <w:r>
              <w:rPr>
                <w:rFonts w:ascii="Times New Roman" w:hAnsi="Times New Roman" w:eastAsia="方正书宋简体" w:cs="Times New Roman"/>
                <w:color w:val="auto"/>
                <w:kern w:val="0"/>
                <w:szCs w:val="21"/>
                <w:highlight w:val="none"/>
                <w:lang w:bidi="ar"/>
              </w:rPr>
              <w:t xml:space="preserve"> </w:t>
            </w:r>
            <w:r>
              <w:rPr>
                <w:rFonts w:hint="eastAsia" w:ascii="Times New Roman" w:hAnsi="Times New Roman" w:eastAsia="方正书宋简体" w:cs="Times New Roman"/>
                <w:color w:val="auto"/>
                <w:kern w:val="0"/>
                <w:szCs w:val="21"/>
                <w:highlight w:val="none"/>
                <w:lang w:eastAsia="zh-CN" w:bidi="ar"/>
              </w:rPr>
              <w:t>有下列行为之一的，</w:t>
            </w:r>
            <w:r>
              <w:rPr>
                <w:rFonts w:hint="eastAsia" w:ascii="宋体" w:hAnsi="宋体" w:eastAsia="宋体" w:cs="宋体"/>
                <w:color w:val="auto"/>
                <w:szCs w:val="21"/>
                <w:highlight w:val="none"/>
                <w:shd w:val="clear" w:color="auto" w:fill="FFFFFF"/>
              </w:rPr>
              <w:t>处10日以上15日以下拘留，并处500元以上1000元以下罚款；情节较轻的，处5日以下拘留或者500元以下罚款</w:t>
            </w:r>
            <w:r>
              <w:rPr>
                <w:rFonts w:hint="eastAsia" w:ascii="宋体" w:hAnsi="宋体" w:eastAsia="宋体" w:cs="宋体"/>
                <w:color w:val="auto"/>
                <w:szCs w:val="21"/>
                <w:highlight w:val="none"/>
                <w:shd w:val="clear" w:color="auto" w:fill="FFFFFF"/>
                <w:lang w:eastAsia="zh-CN"/>
              </w:rPr>
              <w:t>：</w:t>
            </w:r>
          </w:p>
          <w:p>
            <w:pPr>
              <w:widowControl/>
              <w:numPr>
                <w:ilvl w:val="0"/>
                <w:numId w:val="2"/>
              </w:numPr>
              <w:spacing w:line="300" w:lineRule="exact"/>
              <w:textAlignment w:val="top"/>
              <w:rPr>
                <w:rFonts w:hint="eastAsia" w:ascii="宋体" w:hAnsi="宋体" w:eastAsia="宋体" w:cs="宋体"/>
                <w:color w:val="auto"/>
                <w:szCs w:val="21"/>
                <w:highlight w:val="none"/>
                <w:shd w:val="clear" w:color="auto" w:fill="FFFFFF"/>
                <w:lang w:eastAsia="zh-CN"/>
              </w:rPr>
            </w:pPr>
            <w:r>
              <w:rPr>
                <w:rFonts w:hint="eastAsia" w:ascii="宋体" w:hAnsi="宋体" w:eastAsia="宋体" w:cs="宋体"/>
                <w:color w:val="auto"/>
                <w:szCs w:val="21"/>
                <w:highlight w:val="none"/>
                <w:shd w:val="clear" w:color="auto" w:fill="FFFFFF"/>
              </w:rPr>
              <w:t>未经许可，擅自经营按照国家规定需要由公安机关许可的行业的</w:t>
            </w:r>
            <w:r>
              <w:rPr>
                <w:rFonts w:hint="eastAsia" w:ascii="宋体" w:hAnsi="宋体" w:eastAsia="宋体" w:cs="宋体"/>
                <w:color w:val="auto"/>
                <w:szCs w:val="21"/>
                <w:highlight w:val="none"/>
                <w:shd w:val="clear" w:color="auto" w:fill="FFFFFF"/>
                <w:lang w:eastAsia="zh-CN"/>
              </w:rPr>
              <w:t>。</w:t>
            </w:r>
          </w:p>
          <w:p>
            <w:pPr>
              <w:widowControl/>
              <w:numPr>
                <w:ilvl w:val="0"/>
                <w:numId w:val="0"/>
              </w:numPr>
              <w:spacing w:line="300" w:lineRule="exact"/>
              <w:textAlignment w:val="top"/>
              <w:rPr>
                <w:rFonts w:hint="eastAsia" w:ascii="宋体" w:hAnsi="宋体" w:eastAsia="宋体" w:cs="宋体"/>
                <w:color w:val="auto"/>
                <w:szCs w:val="21"/>
                <w:highlight w:val="none"/>
                <w:shd w:val="clear" w:color="auto" w:fill="FFFFFF"/>
              </w:rPr>
            </w:pPr>
          </w:p>
          <w:p>
            <w:pPr>
              <w:widowControl/>
              <w:numPr>
                <w:ilvl w:val="0"/>
                <w:numId w:val="0"/>
              </w:numPr>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宋体" w:hAnsi="宋体" w:eastAsia="宋体" w:cs="宋体"/>
                <w:color w:val="auto"/>
                <w:szCs w:val="21"/>
                <w:highlight w:val="none"/>
                <w:shd w:val="clear" w:color="auto" w:fill="FFFFFF"/>
                <w:lang w:eastAsia="zh-CN"/>
              </w:rPr>
              <w:t>第二款</w:t>
            </w:r>
            <w:r>
              <w:rPr>
                <w:rFonts w:hint="eastAsia" w:ascii="宋体" w:hAnsi="宋体" w:eastAsia="宋体" w:cs="宋体"/>
                <w:color w:val="auto"/>
                <w:szCs w:val="21"/>
                <w:highlight w:val="none"/>
                <w:shd w:val="clear" w:color="auto" w:fill="FFFFFF"/>
                <w:lang w:val="en-US" w:eastAsia="zh-CN"/>
              </w:rPr>
              <w:t xml:space="preserve">  有前款第三项行为的，</w:t>
            </w:r>
            <w:r>
              <w:rPr>
                <w:rFonts w:hint="eastAsia" w:ascii="宋体" w:hAnsi="宋体" w:eastAsia="宋体" w:cs="宋体"/>
                <w:color w:val="auto"/>
                <w:szCs w:val="21"/>
                <w:highlight w:val="none"/>
                <w:shd w:val="clear" w:color="auto" w:fill="FFFFFF"/>
              </w:rPr>
              <w:t>予以取缔。</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55"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不需</w:t>
            </w:r>
            <w:r>
              <w:rPr>
                <w:rFonts w:hint="eastAsia" w:ascii="Times New Roman" w:hAnsi="Times New Roman" w:eastAsia="方正书宋简体" w:cs="Times New Roman"/>
                <w:color w:val="auto"/>
                <w:kern w:val="0"/>
                <w:szCs w:val="21"/>
                <w:highlight w:val="none"/>
                <w:lang w:eastAsia="zh-CN" w:bidi="ar"/>
              </w:rPr>
              <w:t>另行</w:t>
            </w:r>
            <w:r>
              <w:rPr>
                <w:rFonts w:hint="eastAsia" w:ascii="Times New Roman" w:hAnsi="Times New Roman" w:eastAsia="方正书宋简体" w:cs="Times New Roman"/>
                <w:color w:val="auto"/>
                <w:kern w:val="0"/>
                <w:szCs w:val="21"/>
                <w:highlight w:val="none"/>
                <w:lang w:bidi="ar"/>
              </w:rPr>
              <w:t>分阶</w:t>
            </w:r>
          </w:p>
        </w:tc>
        <w:tc>
          <w:tcPr>
            <w:tcW w:w="1236"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依照《条例》第四十一条规定，依法给予治安管理处罚，并没收违法所得；构成犯罪的，依法追究刑事责任。</w:t>
            </w:r>
          </w:p>
        </w:tc>
      </w:tr>
    </w:tbl>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3000509000000000000"/>
    <w:charset w:val="86"/>
    <w:family w:val="auto"/>
    <w:pitch w:val="default"/>
    <w:sig w:usb0="00000000" w:usb1="00000000" w:usb2="0000000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left" w:pos="2694"/>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asciiTheme="majorEastAsia" w:hAnsiTheme="majorEastAsia" w:eastAsiaTheme="majorEastAsia" w:cstheme="majorEastAsia"/>
                              <w:sz w:val="20"/>
                              <w:szCs w:val="20"/>
                            </w:rPr>
                            <w:fldChar w:fldCharType="begin"/>
                          </w:r>
                          <w:r>
                            <w:rPr>
                              <w:rFonts w:hint="eastAsia" w:asciiTheme="majorEastAsia" w:hAnsiTheme="majorEastAsia" w:eastAsiaTheme="majorEastAsia" w:cstheme="majorEastAsia"/>
                              <w:sz w:val="20"/>
                              <w:szCs w:val="20"/>
                            </w:rPr>
                            <w:instrText xml:space="preserve"> PAGE  \* MERGEFORMAT </w:instrText>
                          </w:r>
                          <w:r>
                            <w:rPr>
                              <w:rFonts w:hint="eastAsia" w:asciiTheme="majorEastAsia" w:hAnsiTheme="majorEastAsia" w:eastAsiaTheme="majorEastAsia" w:cstheme="majorEastAsia"/>
                              <w:sz w:val="20"/>
                              <w:szCs w:val="20"/>
                            </w:rPr>
                            <w:fldChar w:fldCharType="separate"/>
                          </w:r>
                          <w:r>
                            <w:rPr>
                              <w:rFonts w:hint="eastAsia" w:asciiTheme="majorEastAsia" w:hAnsiTheme="majorEastAsia" w:eastAsiaTheme="majorEastAsia" w:cstheme="majorEastAsia"/>
                              <w:sz w:val="20"/>
                              <w:szCs w:val="20"/>
                            </w:rPr>
                            <w:t>- 1 -</w:t>
                          </w:r>
                          <w:r>
                            <w:rPr>
                              <w:rFonts w:hint="eastAsia" w:asciiTheme="majorEastAsia" w:hAnsiTheme="majorEastAsia" w:eastAsiaTheme="majorEastAsia" w:cstheme="majorEastAsia"/>
                              <w:sz w:val="20"/>
                              <w:szCs w:val="2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snapToGrid w:val="0"/>
                      <w:rPr>
                        <w:sz w:val="18"/>
                      </w:rPr>
                    </w:pPr>
                    <w:r>
                      <w:rPr>
                        <w:rFonts w:hint="eastAsia" w:asciiTheme="majorEastAsia" w:hAnsiTheme="majorEastAsia" w:eastAsiaTheme="majorEastAsia" w:cstheme="majorEastAsia"/>
                        <w:sz w:val="20"/>
                        <w:szCs w:val="20"/>
                      </w:rPr>
                      <w:fldChar w:fldCharType="begin"/>
                    </w:r>
                    <w:r>
                      <w:rPr>
                        <w:rFonts w:hint="eastAsia" w:asciiTheme="majorEastAsia" w:hAnsiTheme="majorEastAsia" w:eastAsiaTheme="majorEastAsia" w:cstheme="majorEastAsia"/>
                        <w:sz w:val="20"/>
                        <w:szCs w:val="20"/>
                      </w:rPr>
                      <w:instrText xml:space="preserve"> PAGE  \* MERGEFORMAT </w:instrText>
                    </w:r>
                    <w:r>
                      <w:rPr>
                        <w:rFonts w:hint="eastAsia" w:asciiTheme="majorEastAsia" w:hAnsiTheme="majorEastAsia" w:eastAsiaTheme="majorEastAsia" w:cstheme="majorEastAsia"/>
                        <w:sz w:val="20"/>
                        <w:szCs w:val="20"/>
                      </w:rPr>
                      <w:fldChar w:fldCharType="separate"/>
                    </w:r>
                    <w:r>
                      <w:rPr>
                        <w:rFonts w:hint="eastAsia" w:asciiTheme="majorEastAsia" w:hAnsiTheme="majorEastAsia" w:eastAsiaTheme="majorEastAsia" w:cstheme="majorEastAsia"/>
                        <w:sz w:val="20"/>
                        <w:szCs w:val="20"/>
                      </w:rPr>
                      <w:t>- 1 -</w:t>
                    </w:r>
                    <w:r>
                      <w:rPr>
                        <w:rFonts w:hint="eastAsia" w:asciiTheme="majorEastAsia" w:hAnsiTheme="majorEastAsia" w:eastAsiaTheme="majorEastAsia" w:cstheme="majorEastAsia"/>
                        <w:sz w:val="20"/>
                        <w:szCs w:val="20"/>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C6735F"/>
    <w:multiLevelType w:val="singleLevel"/>
    <w:tmpl w:val="B6C6735F"/>
    <w:lvl w:ilvl="0" w:tentative="0">
      <w:start w:val="1"/>
      <w:numFmt w:val="decimal"/>
      <w:suff w:val="nothing"/>
      <w:lvlText w:val="%1、"/>
      <w:lvlJc w:val="left"/>
    </w:lvl>
  </w:abstractNum>
  <w:abstractNum w:abstractNumId="1">
    <w:nsid w:val="6479B29F"/>
    <w:multiLevelType w:val="singleLevel"/>
    <w:tmpl w:val="6479B29F"/>
    <w:lvl w:ilvl="0" w:tentative="0">
      <w:start w:val="3"/>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zOWIyZjRkYmM5MzVkNzU5NTM2OTg2MjI1YmViZDEifQ=="/>
  </w:docVars>
  <w:rsids>
    <w:rsidRoot w:val="4E391960"/>
    <w:rsid w:val="4E391960"/>
    <w:rsid w:val="5BFE6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2024-05-13T07:44:00Z</dcterms:created>
  <dc:creator>Administrator</dc:creator>
  <cp:lastModifiedBy>Administrator</cp:lastModifiedBy>
  <dcterms:modified xsi:type="dcterms:W3CDTF">2024-05-13T12:09:09Z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BF5D3D90E78D4EC6B10837C540CF1650_11</vt:lpwstr>
  </property>
</Properties>
</file>