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50" w:afterLines="80" w:line="460" w:lineRule="exact"/>
        <w:jc w:val="center"/>
        <w:rPr>
          <w:rFonts w:ascii="方正小标宋简体" w:hAnsi="方正小标宋简体" w:eastAsia="方正小标宋简体" w:cs="方正小标宋简体"/>
          <w:color w:val="auto"/>
          <w:sz w:val="36"/>
          <w:szCs w:val="36"/>
          <w:highlight w:val="none"/>
        </w:rPr>
      </w:pPr>
      <w:r>
        <w:rPr>
          <w:rFonts w:hint="eastAsia" w:ascii="方正小标宋简体" w:hAnsi="方正小标宋简体" w:eastAsia="方正小标宋简体" w:cs="方正小标宋简体"/>
          <w:color w:val="auto"/>
          <w:sz w:val="36"/>
          <w:szCs w:val="36"/>
          <w:highlight w:val="none"/>
        </w:rPr>
        <w:t>违反《剧毒化学品购买和公路运输许可证件管理办法》</w:t>
      </w:r>
    </w:p>
    <w:p>
      <w:pPr>
        <w:spacing w:after="250" w:afterLines="80" w:line="460" w:lineRule="exact"/>
        <w:jc w:val="center"/>
        <w:rPr>
          <w:rFonts w:ascii="方正小标宋简体" w:hAnsi="方正小标宋简体" w:eastAsia="方正小标宋简体" w:cs="方正小标宋简体"/>
          <w:b/>
          <w:bCs/>
          <w:color w:val="auto"/>
          <w:sz w:val="36"/>
          <w:szCs w:val="36"/>
          <w:highlight w:val="none"/>
        </w:rPr>
      </w:pPr>
      <w:r>
        <w:rPr>
          <w:rFonts w:hint="eastAsia" w:ascii="方正小标宋简体" w:hAnsi="方正小标宋简体" w:eastAsia="方正小标宋简体" w:cs="方正小标宋简体"/>
          <w:color w:val="auto"/>
          <w:sz w:val="36"/>
          <w:szCs w:val="36"/>
          <w:highlight w:val="none"/>
        </w:rPr>
        <w:t>处罚裁量基准</w:t>
      </w:r>
    </w:p>
    <w:tbl>
      <w:tblPr>
        <w:tblStyle w:val="2"/>
        <w:tblW w:w="750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814"/>
        <w:gridCol w:w="2393"/>
        <w:gridCol w:w="2108"/>
        <w:gridCol w:w="11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3" w:hRule="atLeast"/>
        </w:trPr>
        <w:tc>
          <w:tcPr>
            <w:tcW w:w="1814" w:type="dxa"/>
            <w:tcBorders>
              <w:tl2br w:val="nil"/>
              <w:tr2bl w:val="nil"/>
            </w:tcBorders>
            <w:shd w:val="clear" w:color="auto" w:fill="auto"/>
            <w:vAlign w:val="center"/>
          </w:tcPr>
          <w:p>
            <w:pPr>
              <w:widowControl/>
              <w:spacing w:line="340" w:lineRule="exact"/>
              <w:jc w:val="center"/>
              <w:textAlignment w:val="top"/>
              <w:rPr>
                <w:rFonts w:hint="eastAsia"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违法行为</w:t>
            </w:r>
          </w:p>
        </w:tc>
        <w:tc>
          <w:tcPr>
            <w:tcW w:w="2393" w:type="dxa"/>
            <w:tcBorders>
              <w:tl2br w:val="nil"/>
              <w:tr2bl w:val="nil"/>
            </w:tcBorders>
            <w:shd w:val="clear" w:color="auto" w:fill="auto"/>
            <w:vAlign w:val="center"/>
          </w:tcPr>
          <w:p>
            <w:pPr>
              <w:widowControl/>
              <w:spacing w:line="340" w:lineRule="exact"/>
              <w:jc w:val="center"/>
              <w:textAlignment w:val="top"/>
              <w:rPr>
                <w:rFonts w:hint="eastAsia"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法律依据</w:t>
            </w:r>
          </w:p>
        </w:tc>
        <w:tc>
          <w:tcPr>
            <w:tcW w:w="2108" w:type="dxa"/>
            <w:tcBorders>
              <w:tl2br w:val="nil"/>
              <w:tr2bl w:val="nil"/>
            </w:tcBorders>
            <w:shd w:val="clear" w:color="auto" w:fill="auto"/>
            <w:vAlign w:val="center"/>
          </w:tcPr>
          <w:p>
            <w:pPr>
              <w:widowControl/>
              <w:spacing w:line="340" w:lineRule="exact"/>
              <w:jc w:val="center"/>
              <w:textAlignment w:val="top"/>
              <w:rPr>
                <w:rFonts w:hint="eastAsia"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违法情节</w:t>
            </w:r>
          </w:p>
        </w:tc>
        <w:tc>
          <w:tcPr>
            <w:tcW w:w="1194" w:type="dxa"/>
            <w:tcBorders>
              <w:tl2br w:val="nil"/>
              <w:tr2bl w:val="nil"/>
            </w:tcBorders>
            <w:shd w:val="clear" w:color="auto" w:fill="auto"/>
            <w:vAlign w:val="center"/>
          </w:tcPr>
          <w:p>
            <w:pPr>
              <w:widowControl/>
              <w:spacing w:line="340" w:lineRule="exact"/>
              <w:jc w:val="center"/>
              <w:textAlignment w:val="top"/>
              <w:rPr>
                <w:rFonts w:hint="eastAsia"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裁量基准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7414" w:hRule="atLeast"/>
        </w:trPr>
        <w:tc>
          <w:tcPr>
            <w:tcW w:w="1814" w:type="dxa"/>
            <w:vMerge w:val="restart"/>
            <w:tcBorders>
              <w:left w:val="single" w:color="auto" w:sz="4" w:space="0"/>
              <w:tl2br w:val="nil"/>
              <w:tr2bl w:val="nil"/>
            </w:tcBorders>
            <w:shd w:val="clear" w:color="000000" w:fill="FFFFFF"/>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未申领《剧毒化学品购买凭证》、《剧毒化学品准购证》、《剧毒化学品公路运输通行证》，擅自购买、通过公路运输剧毒化学品。</w:t>
            </w: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ind w:firstLine="420" w:firstLineChars="200"/>
              <w:textAlignment w:val="top"/>
              <w:rPr>
                <w:rFonts w:ascii="Times New Roman" w:hAnsi="Times New Roman" w:eastAsia="方正书宋简体" w:cs="Times New Roman"/>
                <w:color w:val="auto"/>
                <w:kern w:val="0"/>
                <w:szCs w:val="21"/>
                <w:highlight w:val="none"/>
                <w:lang w:bidi="ar"/>
              </w:rPr>
            </w:pPr>
            <w:r>
              <w:rPr>
                <w:rFonts w:hint="eastAsia" w:ascii="方正黑体简体" w:hAnsi="方正黑体简体" w:eastAsia="方正黑体简体" w:cs="方正黑体简体"/>
                <w:b/>
                <w:bCs/>
                <w:color w:val="auto"/>
                <w:kern w:val="0"/>
                <w:szCs w:val="21"/>
                <w:highlight w:val="none"/>
                <w:lang w:bidi="ar"/>
              </w:rPr>
              <w:t>违法行为</w:t>
            </w:r>
          </w:p>
        </w:tc>
        <w:tc>
          <w:tcPr>
            <w:tcW w:w="2393" w:type="dxa"/>
            <w:vMerge w:val="restart"/>
            <w:tcBorders>
              <w:tl2br w:val="nil"/>
              <w:tr2bl w:val="nil"/>
            </w:tcBorders>
            <w:shd w:val="clear" w:color="000000" w:fill="FFFFFF"/>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第二十条  未申领《剧毒化学品购买凭证》《剧毒化学品准购证》《剧毒化学品公路运输通行证》，擅自购买、通过公路运输剧毒化学品的，由公安机关依法采取措施予以制止，处以1万元以上3万元以下罚款；对已经购买了剧毒化学品的，责令退回原销售单位；对已经实施运输的，扣留运输车辆，责令购买、使用和承运单位共同派员接受处理；对发生重大事故，造成严重后果的，依法追究刑事责任。</w:t>
            </w: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bookmarkStart w:id="0" w:name="_GoBack"/>
            <w:bookmarkEnd w:id="0"/>
          </w:p>
          <w:p>
            <w:pPr>
              <w:widowControl/>
              <w:spacing w:line="340" w:lineRule="exact"/>
              <w:ind w:firstLine="840" w:firstLineChars="400"/>
              <w:textAlignment w:val="top"/>
              <w:rPr>
                <w:rFonts w:ascii="Times New Roman" w:hAnsi="Times New Roman" w:eastAsia="方正书宋简体" w:cs="Times New Roman"/>
                <w:color w:val="auto"/>
                <w:kern w:val="0"/>
                <w:szCs w:val="21"/>
                <w:highlight w:val="none"/>
                <w:lang w:bidi="ar"/>
              </w:rPr>
            </w:pPr>
            <w:r>
              <w:rPr>
                <w:rFonts w:hint="eastAsia" w:ascii="方正黑体简体" w:hAnsi="方正黑体简体" w:eastAsia="方正黑体简体" w:cs="方正黑体简体"/>
                <w:b/>
                <w:bCs/>
                <w:color w:val="auto"/>
                <w:kern w:val="0"/>
                <w:szCs w:val="21"/>
                <w:highlight w:val="none"/>
                <w:lang w:bidi="ar"/>
              </w:rPr>
              <w:t>法律依据</w:t>
            </w:r>
          </w:p>
        </w:tc>
        <w:tc>
          <w:tcPr>
            <w:tcW w:w="2108" w:type="dxa"/>
            <w:tcBorders>
              <w:bottom w:val="single" w:color="auto" w:sz="4" w:space="0"/>
              <w:tl2br w:val="nil"/>
              <w:tr2bl w:val="nil"/>
            </w:tcBorders>
            <w:shd w:val="clear" w:color="000000" w:fill="FFFFFF"/>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rPr>
              <w:t>初次违反，无危害后果。</w:t>
            </w:r>
          </w:p>
        </w:tc>
        <w:tc>
          <w:tcPr>
            <w:tcW w:w="1194" w:type="dxa"/>
            <w:tcBorders>
              <w:tl2br w:val="nil"/>
              <w:tr2bl w:val="nil"/>
            </w:tcBorders>
            <w:shd w:val="clear" w:color="000000" w:fill="FFFFFF"/>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由公安机关依法采取措施予以制止，</w:t>
            </w:r>
            <w:r>
              <w:rPr>
                <w:rFonts w:hint="eastAsia" w:ascii="Times New Roman" w:hAnsi="Times New Roman" w:eastAsia="方正书宋简体" w:cs="Times New Roman"/>
                <w:color w:val="auto"/>
                <w:kern w:val="0"/>
                <w:szCs w:val="21"/>
                <w:highlight w:val="none"/>
              </w:rPr>
              <w:t>处1万元以上2万元以下的罚款；</w:t>
            </w:r>
            <w:r>
              <w:rPr>
                <w:rFonts w:hint="eastAsia" w:ascii="Times New Roman" w:hAnsi="Times New Roman" w:eastAsia="方正书宋简体" w:cs="Times New Roman"/>
                <w:color w:val="auto"/>
                <w:kern w:val="0"/>
                <w:szCs w:val="21"/>
                <w:highlight w:val="none"/>
                <w:lang w:bidi="ar"/>
              </w:rPr>
              <w:t>对已经购买了剧毒化学品的，责令退回原销售单位；对已经实施运输的，扣留运输车辆，责令购买、使用和承运单位共同派员接受处理；对发生重大事故，造成严重后果的，依法追究刑事责任。</w:t>
            </w:r>
          </w:p>
          <w:p>
            <w:pPr>
              <w:widowControl/>
              <w:spacing w:line="34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430" w:hRule="atLeast"/>
        </w:trPr>
        <w:tc>
          <w:tcPr>
            <w:tcW w:w="1814" w:type="dxa"/>
            <w:vMerge w:val="continue"/>
            <w:tcBorders>
              <w:left w:val="single" w:color="auto" w:sz="4" w:space="0"/>
              <w:tl2br w:val="nil"/>
              <w:tr2bl w:val="nil"/>
            </w:tcBorders>
            <w:shd w:val="clear" w:color="000000" w:fill="FFFFFF"/>
          </w:tcPr>
          <w:p>
            <w:pPr>
              <w:widowControl/>
              <w:spacing w:line="340" w:lineRule="exact"/>
              <w:textAlignment w:val="top"/>
              <w:rPr>
                <w:color w:val="auto"/>
                <w:highlight w:val="none"/>
              </w:rPr>
            </w:pPr>
          </w:p>
        </w:tc>
        <w:tc>
          <w:tcPr>
            <w:tcW w:w="2393" w:type="dxa"/>
            <w:vMerge w:val="continue"/>
            <w:tcBorders>
              <w:tl2br w:val="nil"/>
              <w:tr2bl w:val="nil"/>
            </w:tcBorders>
            <w:shd w:val="clear" w:color="000000" w:fill="FFFFFF"/>
          </w:tcPr>
          <w:p>
            <w:pPr>
              <w:widowControl/>
              <w:spacing w:line="340" w:lineRule="exact"/>
              <w:textAlignment w:val="top"/>
              <w:rPr>
                <w:color w:val="auto"/>
                <w:highlight w:val="none"/>
              </w:rPr>
            </w:pPr>
          </w:p>
        </w:tc>
        <w:tc>
          <w:tcPr>
            <w:tcW w:w="2108" w:type="dxa"/>
            <w:tcBorders>
              <w:top w:val="single" w:color="auto" w:sz="4" w:space="0"/>
              <w:tl2br w:val="nil"/>
              <w:tr2bl w:val="nil"/>
            </w:tcBorders>
            <w:shd w:val="clear" w:color="000000" w:fill="FFFFFF"/>
          </w:tcPr>
          <w:p>
            <w:pPr>
              <w:widowControl/>
              <w:spacing w:line="340" w:lineRule="exact"/>
              <w:textAlignment w:val="top"/>
              <w:rPr>
                <w:rFonts w:ascii="Times New Roman" w:hAnsi="Times New Roman" w:eastAsia="方正书宋简体" w:cs="Times New Roman"/>
                <w:color w:val="auto"/>
                <w:kern w:val="0"/>
                <w:szCs w:val="21"/>
                <w:highlight w:val="none"/>
              </w:rPr>
            </w:pPr>
            <w:r>
              <w:rPr>
                <w:rFonts w:hint="eastAsia" w:ascii="Times New Roman" w:hAnsi="Times New Roman" w:eastAsia="方正书宋简体" w:cs="Times New Roman"/>
                <w:color w:val="auto"/>
                <w:kern w:val="0"/>
                <w:szCs w:val="21"/>
                <w:highlight w:val="none"/>
              </w:rPr>
              <w:t>1、</w:t>
            </w:r>
            <w:r>
              <w:rPr>
                <w:rFonts w:hint="eastAsia" w:ascii="宋体" w:hAnsi="宋体" w:eastAsia="宋体" w:cs="宋体"/>
                <w:color w:val="auto"/>
                <w:kern w:val="0"/>
                <w:szCs w:val="21"/>
                <w:highlight w:val="none"/>
                <w:lang w:bidi="ar"/>
              </w:rPr>
              <w:t>两年内</w:t>
            </w:r>
            <w:r>
              <w:rPr>
                <w:rFonts w:hint="eastAsia" w:ascii="宋体" w:hAnsi="宋体" w:eastAsia="宋体" w:cs="宋体"/>
                <w:color w:val="auto"/>
                <w:kern w:val="0"/>
                <w:szCs w:val="21"/>
                <w:highlight w:val="none"/>
              </w:rPr>
              <w:t>再次违反此规定；</w:t>
            </w:r>
          </w:p>
          <w:p>
            <w:pPr>
              <w:widowControl/>
              <w:spacing w:line="340" w:lineRule="exact"/>
              <w:textAlignment w:val="top"/>
              <w:rPr>
                <w:rFonts w:ascii="Times New Roman" w:hAnsi="Times New Roman" w:eastAsia="方正书宋简体" w:cs="Times New Roman"/>
                <w:color w:val="auto"/>
                <w:kern w:val="0"/>
                <w:szCs w:val="21"/>
                <w:highlight w:val="none"/>
              </w:rPr>
            </w:pPr>
            <w:r>
              <w:rPr>
                <w:rFonts w:hint="eastAsia" w:ascii="Times New Roman" w:hAnsi="Times New Roman" w:eastAsia="方正书宋简体" w:cs="Times New Roman"/>
                <w:color w:val="auto"/>
                <w:kern w:val="0"/>
                <w:szCs w:val="21"/>
                <w:highlight w:val="none"/>
              </w:rPr>
              <w:t>2、造成危害后果。</w:t>
            </w:r>
          </w:p>
          <w:p>
            <w:pPr>
              <w:widowControl/>
              <w:spacing w:line="340" w:lineRule="exact"/>
              <w:textAlignment w:val="top"/>
              <w:rPr>
                <w:rFonts w:ascii="Times New Roman" w:hAnsi="Times New Roman" w:eastAsia="方正书宋简体" w:cs="Times New Roman"/>
                <w:color w:val="auto"/>
                <w:kern w:val="0"/>
                <w:szCs w:val="21"/>
                <w:highlight w:val="none"/>
              </w:rPr>
            </w:pPr>
          </w:p>
          <w:p>
            <w:pPr>
              <w:widowControl/>
              <w:spacing w:line="340" w:lineRule="exact"/>
              <w:textAlignment w:val="top"/>
              <w:rPr>
                <w:rFonts w:ascii="Times New Roman" w:hAnsi="Times New Roman" w:eastAsia="方正书宋简体" w:cs="Times New Roman"/>
                <w:color w:val="auto"/>
                <w:kern w:val="0"/>
                <w:szCs w:val="21"/>
                <w:highlight w:val="none"/>
              </w:rPr>
            </w:pPr>
          </w:p>
          <w:p>
            <w:pPr>
              <w:widowControl/>
              <w:spacing w:line="340" w:lineRule="exact"/>
              <w:textAlignment w:val="top"/>
              <w:rPr>
                <w:rFonts w:ascii="Times New Roman" w:hAnsi="Times New Roman" w:eastAsia="方正书宋简体" w:cs="Times New Roman"/>
                <w:color w:val="auto"/>
                <w:kern w:val="0"/>
                <w:szCs w:val="21"/>
                <w:highlight w:val="none"/>
              </w:rPr>
            </w:pPr>
          </w:p>
          <w:p>
            <w:pPr>
              <w:widowControl/>
              <w:spacing w:line="340" w:lineRule="exact"/>
              <w:textAlignment w:val="top"/>
              <w:rPr>
                <w:rFonts w:ascii="Times New Roman" w:hAnsi="Times New Roman" w:eastAsia="方正书宋简体" w:cs="Times New Roman"/>
                <w:color w:val="auto"/>
                <w:kern w:val="0"/>
                <w:szCs w:val="21"/>
                <w:highlight w:val="none"/>
              </w:rPr>
            </w:pPr>
          </w:p>
          <w:p>
            <w:pPr>
              <w:widowControl/>
              <w:spacing w:line="340" w:lineRule="exact"/>
              <w:textAlignment w:val="top"/>
              <w:rPr>
                <w:rFonts w:ascii="Times New Roman" w:hAnsi="Times New Roman" w:eastAsia="方正书宋简体" w:cs="Times New Roman"/>
                <w:color w:val="auto"/>
                <w:kern w:val="0"/>
                <w:szCs w:val="21"/>
                <w:highlight w:val="none"/>
              </w:rPr>
            </w:pPr>
          </w:p>
          <w:p>
            <w:pPr>
              <w:widowControl/>
              <w:spacing w:line="340" w:lineRule="exact"/>
              <w:ind w:firstLine="630" w:firstLineChars="300"/>
              <w:textAlignment w:val="top"/>
              <w:rPr>
                <w:rFonts w:ascii="Times New Roman" w:hAnsi="Times New Roman" w:eastAsia="方正书宋简体" w:cs="Times New Roman"/>
                <w:color w:val="auto"/>
                <w:kern w:val="0"/>
                <w:szCs w:val="21"/>
                <w:highlight w:val="none"/>
              </w:rPr>
            </w:pPr>
            <w:r>
              <w:rPr>
                <w:rFonts w:hint="eastAsia" w:ascii="方正黑体简体" w:hAnsi="方正黑体简体" w:eastAsia="方正黑体简体" w:cs="方正黑体简体"/>
                <w:b/>
                <w:bCs/>
                <w:color w:val="auto"/>
                <w:kern w:val="0"/>
                <w:szCs w:val="21"/>
                <w:highlight w:val="none"/>
                <w:lang w:bidi="ar"/>
              </w:rPr>
              <w:t>违法情节</w:t>
            </w:r>
          </w:p>
        </w:tc>
        <w:tc>
          <w:tcPr>
            <w:tcW w:w="1194" w:type="dxa"/>
            <w:tcBorders>
              <w:tl2br w:val="nil"/>
              <w:tr2bl w:val="nil"/>
            </w:tcBorders>
            <w:shd w:val="clear" w:color="000000" w:fill="FFFFFF"/>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由公安机关依法采取措施予以制止，</w:t>
            </w:r>
            <w:r>
              <w:rPr>
                <w:rFonts w:hint="eastAsia" w:ascii="Times New Roman" w:hAnsi="Times New Roman" w:eastAsia="方正书宋简体" w:cs="Times New Roman"/>
                <w:color w:val="auto"/>
                <w:kern w:val="0"/>
                <w:szCs w:val="21"/>
                <w:highlight w:val="none"/>
              </w:rPr>
              <w:t>处2万元以上3万元以下的罚款；</w:t>
            </w:r>
            <w:r>
              <w:rPr>
                <w:rFonts w:hint="eastAsia" w:ascii="Times New Roman" w:hAnsi="Times New Roman" w:eastAsia="方正书宋简体" w:cs="Times New Roman"/>
                <w:color w:val="auto"/>
                <w:kern w:val="0"/>
                <w:szCs w:val="21"/>
                <w:highlight w:val="none"/>
                <w:lang w:bidi="ar"/>
              </w:rPr>
              <w:t>对</w:t>
            </w:r>
          </w:p>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已经购买了剧毒化学品</w:t>
            </w:r>
          </w:p>
          <w:p>
            <w:pPr>
              <w:widowControl/>
              <w:spacing w:line="340" w:lineRule="exact"/>
              <w:ind w:firstLine="210" w:firstLineChars="100"/>
              <w:textAlignment w:val="top"/>
              <w:rPr>
                <w:rFonts w:ascii="Times New Roman" w:hAnsi="Times New Roman" w:eastAsia="方正书宋简体" w:cs="Times New Roman"/>
                <w:color w:val="auto"/>
                <w:kern w:val="0"/>
                <w:szCs w:val="21"/>
                <w:highlight w:val="none"/>
                <w:lang w:bidi="ar"/>
              </w:rPr>
            </w:pPr>
            <w:r>
              <w:rPr>
                <w:rFonts w:hint="eastAsia" w:ascii="方正黑体简体" w:hAnsi="方正黑体简体" w:eastAsia="方正黑体简体" w:cs="方正黑体简体"/>
                <w:b/>
                <w:bCs/>
                <w:color w:val="auto"/>
                <w:kern w:val="0"/>
                <w:szCs w:val="21"/>
                <w:highlight w:val="none"/>
                <w:lang w:bidi="ar"/>
              </w:rPr>
              <w:t>裁量基准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0" w:hRule="atLeast"/>
        </w:trPr>
        <w:tc>
          <w:tcPr>
            <w:tcW w:w="1814" w:type="dxa"/>
            <w:tcBorders>
              <w:left w:val="single" w:color="auto" w:sz="4" w:space="0"/>
              <w:tl2br w:val="nil"/>
              <w:tr2bl w:val="nil"/>
            </w:tcBorders>
            <w:shd w:val="clear" w:color="000000" w:fill="FFFFFF"/>
          </w:tcPr>
          <w:p>
            <w:pPr>
              <w:widowControl/>
              <w:spacing w:line="340" w:lineRule="exact"/>
              <w:textAlignment w:val="top"/>
              <w:rPr>
                <w:color w:val="auto"/>
                <w:highlight w:val="none"/>
              </w:rPr>
            </w:pPr>
          </w:p>
        </w:tc>
        <w:tc>
          <w:tcPr>
            <w:tcW w:w="2393" w:type="dxa"/>
            <w:tcBorders>
              <w:tl2br w:val="nil"/>
              <w:tr2bl w:val="nil"/>
            </w:tcBorders>
            <w:shd w:val="clear" w:color="000000" w:fill="FFFFFF"/>
          </w:tcPr>
          <w:p>
            <w:pPr>
              <w:widowControl/>
              <w:spacing w:line="340" w:lineRule="exact"/>
              <w:textAlignment w:val="top"/>
              <w:rPr>
                <w:color w:val="auto"/>
                <w:highlight w:val="none"/>
              </w:rPr>
            </w:pPr>
          </w:p>
        </w:tc>
        <w:tc>
          <w:tcPr>
            <w:tcW w:w="2108" w:type="dxa"/>
            <w:tcBorders>
              <w:top w:val="single" w:color="auto" w:sz="4" w:space="0"/>
              <w:tl2br w:val="nil"/>
              <w:tr2bl w:val="nil"/>
            </w:tcBorders>
            <w:shd w:val="clear" w:color="000000" w:fill="FFFFFF"/>
          </w:tcPr>
          <w:p>
            <w:pPr>
              <w:widowControl/>
              <w:spacing w:line="340" w:lineRule="exact"/>
              <w:textAlignment w:val="top"/>
              <w:rPr>
                <w:rFonts w:ascii="Times New Roman" w:hAnsi="Times New Roman" w:eastAsia="方正书宋简体" w:cs="Times New Roman"/>
                <w:color w:val="auto"/>
                <w:kern w:val="0"/>
                <w:szCs w:val="21"/>
                <w:highlight w:val="none"/>
              </w:rPr>
            </w:pPr>
          </w:p>
        </w:tc>
        <w:tc>
          <w:tcPr>
            <w:tcW w:w="1194" w:type="dxa"/>
            <w:tcBorders>
              <w:tl2br w:val="nil"/>
              <w:tr2bl w:val="nil"/>
            </w:tcBorders>
            <w:shd w:val="clear" w:color="000000" w:fill="FFFFFF"/>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的，责令退回原销售单位；对已经实施运输的，扣留运输车辆，责令购买、使用和承运单位共同派员接受处理；对发生重大事故，造成严重后果的，依法追究刑事责任。</w:t>
            </w: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220" w:hRule="atLeast"/>
        </w:trPr>
        <w:tc>
          <w:tcPr>
            <w:tcW w:w="1814" w:type="dxa"/>
            <w:vMerge w:val="restart"/>
            <w:tcBorders>
              <w:tl2br w:val="nil"/>
              <w:tr2bl w:val="nil"/>
            </w:tcBorders>
            <w:shd w:val="clear" w:color="000000" w:fill="FFFFFF"/>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提供虚假证明文件、采取其他欺骗手段或者贿赂等不正当手段，取得《剧毒化学品购买凭证》、《剧毒化学品准购证》、《剧毒化学品公路运输通行证》。</w:t>
            </w: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jc w:val="center"/>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b/>
                <w:bCs/>
                <w:color w:val="auto"/>
                <w:kern w:val="0"/>
                <w:szCs w:val="21"/>
                <w:highlight w:val="none"/>
                <w:lang w:bidi="ar"/>
              </w:rPr>
              <w:t>违法行为</w:t>
            </w:r>
          </w:p>
        </w:tc>
        <w:tc>
          <w:tcPr>
            <w:tcW w:w="2393" w:type="dxa"/>
            <w:vMerge w:val="restart"/>
            <w:tcBorders>
              <w:tl2br w:val="nil"/>
              <w:tr2bl w:val="nil"/>
            </w:tcBorders>
            <w:shd w:val="clear" w:color="000000" w:fill="FFFFFF"/>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第二十一条第一款  提供虚假证明文件、采取其他欺骗手段或者贿赂等不正当手段，取得《剧毒化学品购买凭证》《剧毒化学品准购证》《剧毒化学品公路运输通行证》的，由发证的公安机关依法撤销许可证件，处以1千元以上1万元以下罚款。对利用骗取的许可证件购买了剧毒化学品的，责令退回原销售单位。</w:t>
            </w: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jc w:val="center"/>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b/>
                <w:bCs/>
                <w:color w:val="auto"/>
                <w:kern w:val="0"/>
                <w:szCs w:val="21"/>
                <w:highlight w:val="none"/>
                <w:lang w:bidi="ar"/>
              </w:rPr>
              <w:t>法律依据</w:t>
            </w:r>
          </w:p>
        </w:tc>
        <w:tc>
          <w:tcPr>
            <w:tcW w:w="2108" w:type="dxa"/>
            <w:tcBorders>
              <w:tl2br w:val="nil"/>
              <w:tr2bl w:val="nil"/>
            </w:tcBorders>
            <w:shd w:val="clear" w:color="000000" w:fill="FFFFFF"/>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rPr>
              <w:t>初次违反，无危害后果。</w:t>
            </w:r>
          </w:p>
        </w:tc>
        <w:tc>
          <w:tcPr>
            <w:tcW w:w="1194" w:type="dxa"/>
            <w:tcBorders>
              <w:tl2br w:val="nil"/>
              <w:tr2bl w:val="nil"/>
            </w:tcBorders>
            <w:shd w:val="clear" w:color="000000" w:fill="FFFFFF"/>
          </w:tcPr>
          <w:p>
            <w:pPr>
              <w:widowControl/>
              <w:spacing w:line="340" w:lineRule="exact"/>
              <w:textAlignment w:val="top"/>
              <w:rPr>
                <w:rFonts w:ascii="Times New Roman" w:hAnsi="Times New Roman" w:eastAsia="方正书宋简体" w:cs="Times New Roman"/>
                <w:color w:val="auto"/>
                <w:kern w:val="0"/>
                <w:szCs w:val="21"/>
                <w:highlight w:val="none"/>
              </w:rPr>
            </w:pPr>
            <w:r>
              <w:rPr>
                <w:rFonts w:hint="eastAsia" w:ascii="Times New Roman" w:hAnsi="Times New Roman" w:eastAsia="方正书宋简体" w:cs="Times New Roman"/>
                <w:color w:val="auto"/>
                <w:kern w:val="0"/>
                <w:szCs w:val="21"/>
                <w:highlight w:val="none"/>
                <w:lang w:bidi="ar"/>
              </w:rPr>
              <w:t>由发证的公安机关依法撤销许可证件，</w:t>
            </w:r>
            <w:r>
              <w:rPr>
                <w:rFonts w:hint="eastAsia" w:ascii="Times New Roman" w:hAnsi="Times New Roman" w:eastAsia="方正书宋简体" w:cs="Times New Roman"/>
                <w:color w:val="auto"/>
                <w:kern w:val="0"/>
                <w:szCs w:val="21"/>
                <w:highlight w:val="none"/>
              </w:rPr>
              <w:t>处1000元以上5000元以下的罚款。</w:t>
            </w:r>
          </w:p>
          <w:p>
            <w:pPr>
              <w:widowControl/>
              <w:spacing w:line="340" w:lineRule="exact"/>
              <w:textAlignment w:val="top"/>
              <w:rPr>
                <w:rFonts w:ascii="Times New Roman" w:hAnsi="Times New Roman" w:eastAsia="方正书宋简体" w:cs="Times New Roman"/>
                <w:color w:val="auto"/>
                <w:kern w:val="0"/>
                <w:szCs w:val="21"/>
                <w:highlight w:val="none"/>
              </w:rPr>
            </w:pPr>
          </w:p>
          <w:p>
            <w:pPr>
              <w:widowControl/>
              <w:spacing w:line="340" w:lineRule="exact"/>
              <w:textAlignment w:val="top"/>
              <w:rPr>
                <w:rFonts w:ascii="Times New Roman" w:hAnsi="Times New Roman" w:eastAsia="方正书宋简体" w:cs="Times New Roman"/>
                <w:color w:val="auto"/>
                <w:kern w:val="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540" w:hRule="atLeast"/>
        </w:trPr>
        <w:tc>
          <w:tcPr>
            <w:tcW w:w="1814" w:type="dxa"/>
            <w:vMerge w:val="continue"/>
            <w:tcBorders>
              <w:tl2br w:val="nil"/>
              <w:tr2bl w:val="nil"/>
            </w:tcBorders>
            <w:shd w:val="clear" w:color="000000" w:fill="FFFFFF"/>
          </w:tcPr>
          <w:p>
            <w:pPr>
              <w:widowControl/>
              <w:spacing w:line="340" w:lineRule="exact"/>
              <w:textAlignment w:val="top"/>
              <w:rPr>
                <w:color w:val="auto"/>
                <w:highlight w:val="none"/>
              </w:rPr>
            </w:pPr>
          </w:p>
        </w:tc>
        <w:tc>
          <w:tcPr>
            <w:tcW w:w="2393" w:type="dxa"/>
            <w:vMerge w:val="continue"/>
            <w:tcBorders>
              <w:tl2br w:val="nil"/>
              <w:tr2bl w:val="nil"/>
            </w:tcBorders>
            <w:shd w:val="clear" w:color="000000" w:fill="FFFFFF"/>
          </w:tcPr>
          <w:p>
            <w:pPr>
              <w:widowControl/>
              <w:spacing w:line="340" w:lineRule="exact"/>
              <w:textAlignment w:val="top"/>
              <w:rPr>
                <w:color w:val="auto"/>
                <w:highlight w:val="none"/>
              </w:rPr>
            </w:pPr>
          </w:p>
        </w:tc>
        <w:tc>
          <w:tcPr>
            <w:tcW w:w="2108" w:type="dxa"/>
            <w:vMerge w:val="restart"/>
            <w:tcBorders>
              <w:tl2br w:val="nil"/>
              <w:tr2bl w:val="nil"/>
            </w:tcBorders>
            <w:shd w:val="clear" w:color="000000" w:fill="FFFFFF"/>
          </w:tcPr>
          <w:p>
            <w:pPr>
              <w:widowControl/>
              <w:spacing w:line="340" w:lineRule="exact"/>
              <w:textAlignment w:val="top"/>
              <w:rPr>
                <w:rFonts w:ascii="Times New Roman" w:hAnsi="Times New Roman" w:eastAsia="方正书宋简体" w:cs="Times New Roman"/>
                <w:color w:val="auto"/>
                <w:kern w:val="0"/>
                <w:szCs w:val="21"/>
                <w:highlight w:val="none"/>
              </w:rPr>
            </w:pPr>
            <w:r>
              <w:rPr>
                <w:rFonts w:hint="eastAsia" w:ascii="Times New Roman" w:hAnsi="Times New Roman" w:eastAsia="方正书宋简体" w:cs="Times New Roman"/>
                <w:color w:val="auto"/>
                <w:kern w:val="0"/>
                <w:szCs w:val="21"/>
                <w:highlight w:val="none"/>
              </w:rPr>
              <w:t>1、</w:t>
            </w:r>
            <w:r>
              <w:rPr>
                <w:rFonts w:hint="eastAsia" w:ascii="宋体" w:hAnsi="宋体" w:eastAsia="宋体" w:cs="宋体"/>
                <w:color w:val="auto"/>
                <w:kern w:val="0"/>
                <w:szCs w:val="21"/>
                <w:highlight w:val="none"/>
                <w:lang w:bidi="ar"/>
              </w:rPr>
              <w:t>两年内</w:t>
            </w:r>
            <w:r>
              <w:rPr>
                <w:rFonts w:hint="eastAsia" w:ascii="宋体" w:hAnsi="宋体" w:eastAsia="宋体" w:cs="宋体"/>
                <w:color w:val="auto"/>
                <w:kern w:val="0"/>
                <w:szCs w:val="21"/>
                <w:highlight w:val="none"/>
              </w:rPr>
              <w:t>再次违反此规定；</w:t>
            </w:r>
          </w:p>
          <w:p>
            <w:pPr>
              <w:widowControl/>
              <w:spacing w:line="340" w:lineRule="exact"/>
              <w:textAlignment w:val="top"/>
              <w:rPr>
                <w:rFonts w:ascii="Times New Roman" w:hAnsi="Times New Roman" w:eastAsia="方正书宋简体" w:cs="Times New Roman"/>
                <w:color w:val="auto"/>
                <w:kern w:val="0"/>
                <w:szCs w:val="21"/>
                <w:highlight w:val="none"/>
              </w:rPr>
            </w:pPr>
            <w:r>
              <w:rPr>
                <w:rFonts w:hint="eastAsia" w:ascii="Times New Roman" w:hAnsi="Times New Roman" w:eastAsia="方正书宋简体" w:cs="Times New Roman"/>
                <w:color w:val="auto"/>
                <w:kern w:val="0"/>
                <w:szCs w:val="21"/>
                <w:highlight w:val="none"/>
              </w:rPr>
              <w:t>2、造成危害后果。</w:t>
            </w:r>
          </w:p>
          <w:p>
            <w:pPr>
              <w:widowControl/>
              <w:spacing w:line="340" w:lineRule="exact"/>
              <w:textAlignment w:val="top"/>
              <w:rPr>
                <w:rFonts w:ascii="Times New Roman" w:hAnsi="Times New Roman" w:eastAsia="方正书宋简体" w:cs="Times New Roman"/>
                <w:color w:val="auto"/>
                <w:kern w:val="0"/>
                <w:szCs w:val="21"/>
                <w:highlight w:val="none"/>
              </w:rPr>
            </w:pPr>
          </w:p>
          <w:p>
            <w:pPr>
              <w:widowControl/>
              <w:spacing w:line="340" w:lineRule="exact"/>
              <w:textAlignment w:val="top"/>
              <w:rPr>
                <w:rFonts w:ascii="Times New Roman" w:hAnsi="Times New Roman" w:eastAsia="方正书宋简体" w:cs="Times New Roman"/>
                <w:color w:val="auto"/>
                <w:kern w:val="0"/>
                <w:szCs w:val="21"/>
                <w:highlight w:val="none"/>
              </w:rPr>
            </w:pPr>
          </w:p>
          <w:p>
            <w:pPr>
              <w:widowControl/>
              <w:spacing w:line="340" w:lineRule="exact"/>
              <w:textAlignment w:val="top"/>
              <w:rPr>
                <w:rFonts w:ascii="Times New Roman" w:hAnsi="Times New Roman" w:eastAsia="方正书宋简体" w:cs="Times New Roman"/>
                <w:color w:val="auto"/>
                <w:kern w:val="0"/>
                <w:szCs w:val="21"/>
                <w:highlight w:val="none"/>
              </w:rPr>
            </w:pPr>
          </w:p>
          <w:p>
            <w:pPr>
              <w:widowControl/>
              <w:spacing w:line="340" w:lineRule="exact"/>
              <w:textAlignment w:val="top"/>
              <w:rPr>
                <w:rFonts w:ascii="Times New Roman" w:hAnsi="Times New Roman" w:eastAsia="方正书宋简体" w:cs="Times New Roman"/>
                <w:color w:val="auto"/>
                <w:kern w:val="0"/>
                <w:szCs w:val="21"/>
                <w:highlight w:val="none"/>
              </w:rPr>
            </w:pPr>
          </w:p>
          <w:p>
            <w:pPr>
              <w:widowControl/>
              <w:spacing w:line="340" w:lineRule="exact"/>
              <w:textAlignment w:val="top"/>
              <w:rPr>
                <w:rFonts w:ascii="Times New Roman" w:hAnsi="Times New Roman" w:eastAsia="方正书宋简体" w:cs="Times New Roman"/>
                <w:color w:val="auto"/>
                <w:kern w:val="0"/>
                <w:szCs w:val="21"/>
                <w:highlight w:val="none"/>
              </w:rPr>
            </w:pPr>
          </w:p>
          <w:p>
            <w:pPr>
              <w:widowControl/>
              <w:spacing w:line="340" w:lineRule="exact"/>
              <w:textAlignment w:val="top"/>
              <w:rPr>
                <w:rFonts w:ascii="Times New Roman" w:hAnsi="Times New Roman" w:eastAsia="方正书宋简体" w:cs="Times New Roman"/>
                <w:color w:val="auto"/>
                <w:kern w:val="0"/>
                <w:szCs w:val="21"/>
                <w:highlight w:val="none"/>
              </w:rPr>
            </w:pPr>
          </w:p>
          <w:p>
            <w:pPr>
              <w:widowControl/>
              <w:spacing w:line="340" w:lineRule="exact"/>
              <w:textAlignment w:val="top"/>
              <w:rPr>
                <w:rFonts w:ascii="Times New Roman" w:hAnsi="Times New Roman" w:eastAsia="方正书宋简体" w:cs="Times New Roman"/>
                <w:color w:val="auto"/>
                <w:kern w:val="0"/>
                <w:szCs w:val="21"/>
                <w:highlight w:val="none"/>
              </w:rPr>
            </w:pPr>
          </w:p>
          <w:p>
            <w:pPr>
              <w:widowControl/>
              <w:spacing w:line="340" w:lineRule="exact"/>
              <w:jc w:val="center"/>
              <w:textAlignment w:val="top"/>
              <w:rPr>
                <w:rFonts w:ascii="Times New Roman" w:hAnsi="Times New Roman" w:eastAsia="方正书宋简体" w:cs="Times New Roman"/>
                <w:color w:val="auto"/>
                <w:kern w:val="0"/>
                <w:szCs w:val="21"/>
                <w:highlight w:val="none"/>
              </w:rPr>
            </w:pPr>
            <w:r>
              <w:rPr>
                <w:rFonts w:hint="eastAsia" w:ascii="Times New Roman" w:hAnsi="Times New Roman" w:eastAsia="方正书宋简体" w:cs="Times New Roman"/>
                <w:b/>
                <w:bCs/>
                <w:color w:val="auto"/>
                <w:kern w:val="0"/>
                <w:szCs w:val="21"/>
                <w:highlight w:val="none"/>
              </w:rPr>
              <w:t>违法情节</w:t>
            </w:r>
          </w:p>
        </w:tc>
        <w:tc>
          <w:tcPr>
            <w:tcW w:w="1194" w:type="dxa"/>
            <w:tcBorders>
              <w:tl2br w:val="nil"/>
              <w:tr2bl w:val="nil"/>
            </w:tcBorders>
            <w:shd w:val="clear" w:color="000000" w:fill="FFFFFF"/>
          </w:tcPr>
          <w:p>
            <w:pPr>
              <w:widowControl/>
              <w:spacing w:line="340" w:lineRule="exact"/>
              <w:textAlignment w:val="top"/>
              <w:rPr>
                <w:rFonts w:ascii="Times New Roman" w:hAnsi="Times New Roman" w:eastAsia="方正书宋简体" w:cs="Times New Roman"/>
                <w:color w:val="auto"/>
                <w:kern w:val="0"/>
                <w:szCs w:val="21"/>
                <w:highlight w:val="none"/>
              </w:rPr>
            </w:pPr>
            <w:r>
              <w:rPr>
                <w:rFonts w:hint="eastAsia" w:ascii="Times New Roman" w:hAnsi="Times New Roman" w:eastAsia="方正书宋简体" w:cs="Times New Roman"/>
                <w:color w:val="auto"/>
                <w:kern w:val="0"/>
                <w:szCs w:val="21"/>
                <w:highlight w:val="none"/>
                <w:lang w:bidi="ar"/>
              </w:rPr>
              <w:t>由发证的公安机关依法撤销许可证件，</w:t>
            </w:r>
            <w:r>
              <w:rPr>
                <w:rFonts w:hint="eastAsia" w:ascii="Times New Roman" w:hAnsi="Times New Roman" w:eastAsia="方正书宋简体" w:cs="Times New Roman"/>
                <w:color w:val="auto"/>
                <w:kern w:val="0"/>
                <w:szCs w:val="21"/>
                <w:highlight w:val="none"/>
              </w:rPr>
              <w:t>处5000元以上1万元以下的罚款。</w:t>
            </w:r>
          </w:p>
          <w:p>
            <w:pPr>
              <w:widowControl/>
              <w:spacing w:line="340" w:lineRule="exact"/>
              <w:textAlignment w:val="top"/>
              <w:rPr>
                <w:rFonts w:ascii="Times New Roman" w:hAnsi="Times New Roman" w:eastAsia="方正书宋简体" w:cs="Times New Roman"/>
                <w:color w:val="auto"/>
                <w:kern w:val="0"/>
                <w:szCs w:val="21"/>
                <w:highlight w:val="none"/>
              </w:rPr>
            </w:pPr>
          </w:p>
          <w:p>
            <w:pPr>
              <w:widowControl/>
              <w:spacing w:line="340" w:lineRule="exact"/>
              <w:textAlignment w:val="top"/>
              <w:rPr>
                <w:rFonts w:ascii="Times New Roman" w:hAnsi="Times New Roman" w:eastAsia="方正书宋简体" w:cs="Times New Roman"/>
                <w:color w:val="auto"/>
                <w:kern w:val="0"/>
                <w:szCs w:val="21"/>
                <w:highlight w:val="none"/>
              </w:rPr>
            </w:pPr>
          </w:p>
          <w:p>
            <w:pPr>
              <w:widowControl/>
              <w:spacing w:line="340" w:lineRule="exact"/>
              <w:textAlignment w:val="top"/>
              <w:rPr>
                <w:rFonts w:ascii="Times New Roman" w:hAnsi="Times New Roman" w:eastAsia="方正书宋简体" w:cs="Times New Roman"/>
                <w:color w:val="auto"/>
                <w:kern w:val="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57" w:hRule="atLeast"/>
        </w:trPr>
        <w:tc>
          <w:tcPr>
            <w:tcW w:w="1814" w:type="dxa"/>
            <w:vMerge w:val="continue"/>
            <w:tcBorders>
              <w:tl2br w:val="nil"/>
              <w:tr2bl w:val="nil"/>
            </w:tcBorders>
            <w:shd w:val="clear" w:color="000000" w:fill="FFFFFF"/>
          </w:tcPr>
          <w:p>
            <w:pPr>
              <w:widowControl/>
              <w:spacing w:line="340" w:lineRule="exact"/>
              <w:textAlignment w:val="top"/>
              <w:rPr>
                <w:color w:val="auto"/>
                <w:highlight w:val="none"/>
              </w:rPr>
            </w:pPr>
          </w:p>
        </w:tc>
        <w:tc>
          <w:tcPr>
            <w:tcW w:w="2393" w:type="dxa"/>
            <w:vMerge w:val="continue"/>
            <w:tcBorders>
              <w:tl2br w:val="nil"/>
              <w:tr2bl w:val="nil"/>
            </w:tcBorders>
            <w:shd w:val="clear" w:color="000000" w:fill="FFFFFF"/>
          </w:tcPr>
          <w:p>
            <w:pPr>
              <w:widowControl/>
              <w:spacing w:line="340" w:lineRule="exact"/>
              <w:textAlignment w:val="top"/>
              <w:rPr>
                <w:color w:val="auto"/>
                <w:highlight w:val="none"/>
              </w:rPr>
            </w:pPr>
          </w:p>
        </w:tc>
        <w:tc>
          <w:tcPr>
            <w:tcW w:w="2108" w:type="dxa"/>
            <w:vMerge w:val="continue"/>
            <w:tcBorders>
              <w:tl2br w:val="nil"/>
              <w:tr2bl w:val="nil"/>
            </w:tcBorders>
            <w:shd w:val="clear" w:color="000000" w:fill="FFFFFF"/>
          </w:tcPr>
          <w:p>
            <w:pPr>
              <w:widowControl/>
              <w:spacing w:line="340" w:lineRule="exact"/>
              <w:textAlignment w:val="top"/>
              <w:rPr>
                <w:color w:val="auto"/>
                <w:highlight w:val="none"/>
              </w:rPr>
            </w:pPr>
          </w:p>
        </w:tc>
        <w:tc>
          <w:tcPr>
            <w:tcW w:w="1194" w:type="dxa"/>
            <w:tcBorders>
              <w:tl2br w:val="nil"/>
              <w:tr2bl w:val="nil"/>
            </w:tcBorders>
            <w:shd w:val="clear" w:color="000000" w:fill="FFFFFF"/>
          </w:tcPr>
          <w:p>
            <w:pPr>
              <w:widowControl/>
              <w:spacing w:line="340" w:lineRule="exact"/>
              <w:jc w:val="center"/>
              <w:textAlignment w:val="top"/>
              <w:rPr>
                <w:rFonts w:ascii="Times New Roman" w:hAnsi="Times New Roman" w:eastAsia="方正书宋简体" w:cs="Times New Roman"/>
                <w:color w:val="auto"/>
                <w:kern w:val="0"/>
                <w:szCs w:val="21"/>
                <w:highlight w:val="none"/>
              </w:rPr>
            </w:pPr>
            <w:r>
              <w:rPr>
                <w:rFonts w:hint="eastAsia" w:ascii="Times New Roman" w:hAnsi="Times New Roman" w:eastAsia="方正书宋简体" w:cs="Times New Roman"/>
                <w:b/>
                <w:bCs/>
                <w:color w:val="auto"/>
                <w:kern w:val="0"/>
                <w:szCs w:val="21"/>
                <w:highlight w:val="none"/>
              </w:rPr>
              <w:t>裁量基准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919" w:hRule="atLeast"/>
        </w:trPr>
        <w:tc>
          <w:tcPr>
            <w:tcW w:w="1814" w:type="dxa"/>
            <w:tcBorders>
              <w:tl2br w:val="nil"/>
              <w:tr2bl w:val="nil"/>
            </w:tcBorders>
            <w:shd w:val="clear" w:color="000000" w:fill="FFFFFF"/>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《剧毒化学品购买凭证》或者《剧毒化学品准购证》回执第一联、回执第二联填写错误时，未按规定在涂改处加盖销售单位印章予以确认。</w:t>
            </w:r>
          </w:p>
        </w:tc>
        <w:tc>
          <w:tcPr>
            <w:tcW w:w="2393" w:type="dxa"/>
            <w:tcBorders>
              <w:tl2br w:val="nil"/>
              <w:tr2bl w:val="nil"/>
            </w:tcBorders>
            <w:shd w:val="clear" w:color="000000" w:fill="FFFFFF"/>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第二十三条第一款   《剧毒化学品购买凭证》或者《剧毒化学品准购证》回执第一联、回执第二联填写错误时，未按规定在涂改处加盖销售单位印章予以确认的，由公安机关责令改正，处以500元以上1000元以下罚款。</w:t>
            </w: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2108" w:type="dxa"/>
            <w:tcBorders>
              <w:tl2br w:val="nil"/>
              <w:tr2bl w:val="nil"/>
            </w:tcBorders>
            <w:shd w:val="clear" w:color="000000" w:fill="FFFFFF"/>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rPr>
              <w:t>不需分阶</w:t>
            </w:r>
          </w:p>
        </w:tc>
        <w:tc>
          <w:tcPr>
            <w:tcW w:w="1194" w:type="dxa"/>
            <w:tcBorders>
              <w:tl2br w:val="nil"/>
              <w:tr2bl w:val="nil"/>
            </w:tcBorders>
            <w:shd w:val="clear" w:color="000000" w:fill="FFFFFF"/>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由公安机关责令改正，</w:t>
            </w:r>
            <w:r>
              <w:rPr>
                <w:rFonts w:hint="eastAsia" w:ascii="Times New Roman" w:hAnsi="Times New Roman" w:eastAsia="方正书宋简体" w:cs="Times New Roman"/>
                <w:color w:val="auto"/>
                <w:kern w:val="0"/>
                <w:szCs w:val="21"/>
                <w:highlight w:val="none"/>
              </w:rPr>
              <w:t>处以500元以上1000元以下罚款。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0" w:hRule="atLeast"/>
        </w:trPr>
        <w:tc>
          <w:tcPr>
            <w:tcW w:w="1814" w:type="dxa"/>
            <w:tcBorders>
              <w:tl2br w:val="nil"/>
              <w:tr2bl w:val="nil"/>
            </w:tcBorders>
            <w:shd w:val="clear" w:color="000000" w:fill="FFFFFF"/>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未按规定填写《剧毒化学品购买凭证》和《剧毒化学品准购证》回执记录剧毒化学品销售、购买信息。</w:t>
            </w:r>
          </w:p>
        </w:tc>
        <w:tc>
          <w:tcPr>
            <w:tcW w:w="2393" w:type="dxa"/>
            <w:tcBorders>
              <w:tl2br w:val="nil"/>
              <w:tr2bl w:val="nil"/>
            </w:tcBorders>
            <w:shd w:val="clear" w:color="000000" w:fill="FFFFFF"/>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第二十三条第二款  未按规定填写《剧毒化学品购买凭证》和《剧毒化学品准购证》回执记录剧毒化学品销售、购买信息的，由公安机关依照《危险化学品安全管理条例》第六十一条的规定予以处罚。</w:t>
            </w: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2108" w:type="dxa"/>
            <w:tcBorders>
              <w:tl2br w:val="nil"/>
              <w:tr2bl w:val="nil"/>
            </w:tcBorders>
            <w:shd w:val="clear" w:color="000000" w:fill="FFFFFF"/>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rPr>
              <w:t>不需分阶</w:t>
            </w:r>
          </w:p>
        </w:tc>
        <w:tc>
          <w:tcPr>
            <w:tcW w:w="1194" w:type="dxa"/>
            <w:tcBorders>
              <w:tl2br w:val="nil"/>
              <w:tr2bl w:val="nil"/>
            </w:tcBorders>
            <w:shd w:val="clear" w:color="000000" w:fill="FFFFFF"/>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处罚依据的条款发生了变更，无法再适用。（处罚依据在新的《危险化学品安全管理条例》中未找到对应条款，无法进行裁量基准划分。</w:t>
            </w: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35" w:hRule="atLeast"/>
        </w:trPr>
        <w:tc>
          <w:tcPr>
            <w:tcW w:w="1814" w:type="dxa"/>
            <w:tcBorders>
              <w:tl2br w:val="nil"/>
              <w:tr2bl w:val="nil"/>
            </w:tcBorders>
            <w:shd w:val="clear" w:color="000000" w:fill="FFFFFF"/>
          </w:tcPr>
          <w:p>
            <w:pPr>
              <w:widowControl/>
              <w:spacing w:line="340" w:lineRule="exact"/>
              <w:jc w:val="center"/>
              <w:textAlignment w:val="top"/>
              <w:rPr>
                <w:rFonts w:hint="eastAsia" w:ascii="Times New Roman" w:hAnsi="Times New Roman" w:eastAsia="方正书宋简体" w:cs="Times New Roman"/>
                <w:b/>
                <w:bCs/>
                <w:color w:val="auto"/>
                <w:kern w:val="0"/>
                <w:szCs w:val="21"/>
                <w:highlight w:val="none"/>
                <w:lang w:val="en-US" w:eastAsia="zh-CN" w:bidi="ar"/>
              </w:rPr>
            </w:pPr>
            <w:r>
              <w:rPr>
                <w:rFonts w:hint="eastAsia" w:ascii="Times New Roman" w:hAnsi="Times New Roman" w:eastAsia="方正书宋简体" w:cs="Times New Roman"/>
                <w:b/>
                <w:bCs/>
                <w:color w:val="auto"/>
                <w:kern w:val="0"/>
                <w:szCs w:val="21"/>
                <w:highlight w:val="none"/>
                <w:lang w:val="en-US" w:eastAsia="zh-CN" w:bidi="ar"/>
              </w:rPr>
              <w:t>违法行为</w:t>
            </w:r>
          </w:p>
        </w:tc>
        <w:tc>
          <w:tcPr>
            <w:tcW w:w="2393" w:type="dxa"/>
            <w:tcBorders>
              <w:tl2br w:val="nil"/>
              <w:tr2bl w:val="nil"/>
            </w:tcBorders>
            <w:shd w:val="clear" w:color="000000" w:fill="FFFFFF"/>
          </w:tcPr>
          <w:p>
            <w:pPr>
              <w:widowControl/>
              <w:numPr>
                <w:ilvl w:val="0"/>
                <w:numId w:val="0"/>
              </w:numPr>
              <w:spacing w:line="340" w:lineRule="exact"/>
              <w:jc w:val="center"/>
              <w:textAlignment w:val="top"/>
              <w:rPr>
                <w:rFonts w:hint="eastAsia" w:ascii="Times New Roman" w:hAnsi="Times New Roman" w:eastAsia="方正书宋简体" w:cs="Times New Roman"/>
                <w:b/>
                <w:bCs/>
                <w:color w:val="auto"/>
                <w:kern w:val="0"/>
                <w:szCs w:val="21"/>
                <w:highlight w:val="none"/>
                <w:lang w:eastAsia="zh-CN" w:bidi="ar"/>
              </w:rPr>
            </w:pPr>
            <w:r>
              <w:rPr>
                <w:rFonts w:hint="eastAsia" w:ascii="Times New Roman" w:hAnsi="Times New Roman" w:eastAsia="方正书宋简体" w:cs="Times New Roman"/>
                <w:b/>
                <w:bCs/>
                <w:color w:val="auto"/>
                <w:kern w:val="0"/>
                <w:szCs w:val="21"/>
                <w:highlight w:val="none"/>
                <w:lang w:eastAsia="zh-CN" w:bidi="ar"/>
              </w:rPr>
              <w:t>法律依据</w:t>
            </w:r>
          </w:p>
        </w:tc>
        <w:tc>
          <w:tcPr>
            <w:tcW w:w="2108" w:type="dxa"/>
            <w:tcBorders>
              <w:tl2br w:val="nil"/>
              <w:tr2bl w:val="nil"/>
            </w:tcBorders>
            <w:shd w:val="clear" w:color="000000" w:fill="FFFFFF"/>
          </w:tcPr>
          <w:p>
            <w:pPr>
              <w:widowControl/>
              <w:spacing w:line="340" w:lineRule="exact"/>
              <w:jc w:val="center"/>
              <w:textAlignment w:val="top"/>
              <w:rPr>
                <w:rFonts w:hint="eastAsia" w:ascii="Times New Roman" w:hAnsi="Times New Roman" w:eastAsia="方正书宋简体" w:cs="Times New Roman"/>
                <w:b/>
                <w:bCs/>
                <w:color w:val="auto"/>
                <w:kern w:val="0"/>
                <w:szCs w:val="21"/>
                <w:highlight w:val="none"/>
                <w:lang w:eastAsia="zh-CN" w:bidi="ar"/>
              </w:rPr>
            </w:pPr>
            <w:r>
              <w:rPr>
                <w:rFonts w:hint="eastAsia" w:ascii="Times New Roman" w:hAnsi="Times New Roman" w:eastAsia="方正书宋简体" w:cs="Times New Roman"/>
                <w:b/>
                <w:bCs/>
                <w:color w:val="auto"/>
                <w:kern w:val="0"/>
                <w:szCs w:val="21"/>
                <w:highlight w:val="none"/>
                <w:lang w:eastAsia="zh-CN" w:bidi="ar"/>
              </w:rPr>
              <w:t>违法情节</w:t>
            </w:r>
          </w:p>
        </w:tc>
        <w:tc>
          <w:tcPr>
            <w:tcW w:w="1194" w:type="dxa"/>
            <w:tcBorders>
              <w:tl2br w:val="nil"/>
              <w:tr2bl w:val="nil"/>
            </w:tcBorders>
            <w:shd w:val="clear" w:color="000000" w:fill="FFFFFF"/>
          </w:tcPr>
          <w:p>
            <w:pPr>
              <w:widowControl/>
              <w:spacing w:line="340" w:lineRule="exact"/>
              <w:jc w:val="center"/>
              <w:textAlignment w:val="top"/>
              <w:rPr>
                <w:rFonts w:hint="eastAsia" w:ascii="Times New Roman" w:hAnsi="Times New Roman" w:eastAsia="方正书宋简体" w:cs="Times New Roman"/>
                <w:b/>
                <w:bCs/>
                <w:color w:val="auto"/>
                <w:kern w:val="0"/>
                <w:szCs w:val="21"/>
                <w:highlight w:val="none"/>
                <w:lang w:eastAsia="zh-CN" w:bidi="ar"/>
              </w:rPr>
            </w:pPr>
            <w:r>
              <w:rPr>
                <w:rFonts w:hint="eastAsia" w:ascii="Times New Roman" w:hAnsi="Times New Roman" w:eastAsia="方正书宋简体" w:cs="Times New Roman"/>
                <w:b/>
                <w:bCs/>
                <w:color w:val="auto"/>
                <w:kern w:val="0"/>
                <w:szCs w:val="21"/>
                <w:highlight w:val="none"/>
                <w:lang w:eastAsia="zh-CN" w:bidi="ar"/>
              </w:rPr>
              <w:t>裁量基准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870" w:hRule="atLeast"/>
        </w:trPr>
        <w:tc>
          <w:tcPr>
            <w:tcW w:w="1814" w:type="dxa"/>
            <w:tcBorders>
              <w:tl2br w:val="nil"/>
              <w:tr2bl w:val="nil"/>
            </w:tcBorders>
            <w:shd w:val="clear" w:color="000000" w:fill="FFFFFF"/>
          </w:tcPr>
          <w:p>
            <w:pPr>
              <w:widowControl/>
              <w:numPr>
                <w:ilvl w:val="0"/>
                <w:numId w:val="1"/>
              </w:numPr>
              <w:spacing w:line="340" w:lineRule="exact"/>
              <w:textAlignment w:val="top"/>
              <w:rPr>
                <w:rFonts w:hint="eastAsia"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未在规定时限内将《剧毒化学品购买凭证》、《剧毒化学品准购证》的回执交原发证公安机关或者销售单位所在地县级人民政府公安机关核查存档</w:t>
            </w:r>
            <w:r>
              <w:rPr>
                <w:rFonts w:hint="eastAsia" w:ascii="Times New Roman" w:hAnsi="Times New Roman" w:eastAsia="方正书宋简体" w:cs="Times New Roman"/>
                <w:color w:val="auto"/>
                <w:kern w:val="0"/>
                <w:szCs w:val="21"/>
                <w:highlight w:val="none"/>
                <w:lang w:eastAsia="zh-CN" w:bidi="ar"/>
              </w:rPr>
              <w:t>；</w:t>
            </w:r>
          </w:p>
          <w:p>
            <w:pPr>
              <w:widowControl/>
              <w:spacing w:line="340" w:lineRule="exact"/>
              <w:jc w:val="both"/>
              <w:textAlignment w:val="top"/>
              <w:rPr>
                <w:rFonts w:hint="eastAsia" w:ascii="Times New Roman" w:hAnsi="Times New Roman" w:eastAsia="方正书宋简体" w:cs="Times New Roman"/>
                <w:color w:val="auto"/>
                <w:kern w:val="0"/>
                <w:szCs w:val="21"/>
                <w:highlight w:val="none"/>
                <w:lang w:val="en-US" w:eastAsia="zh-CN" w:bidi="ar"/>
              </w:rPr>
            </w:pPr>
            <w:r>
              <w:rPr>
                <w:rFonts w:hint="eastAsia" w:ascii="Times New Roman" w:hAnsi="Times New Roman" w:eastAsia="方正书宋简体" w:cs="Times New Roman"/>
                <w:color w:val="auto"/>
                <w:kern w:val="0"/>
                <w:szCs w:val="21"/>
                <w:highlight w:val="none"/>
                <w:lang w:val="en-US" w:eastAsia="zh-CN" w:bidi="ar"/>
              </w:rPr>
              <w:t>2、</w:t>
            </w:r>
            <w:r>
              <w:rPr>
                <w:rFonts w:hint="eastAsia" w:ascii="Times New Roman" w:hAnsi="Times New Roman" w:eastAsia="方正书宋简体" w:cs="Times New Roman"/>
                <w:color w:val="auto"/>
                <w:kern w:val="0"/>
                <w:szCs w:val="21"/>
                <w:highlight w:val="none"/>
                <w:lang w:bidi="ar"/>
              </w:rPr>
              <w:t>未按规定将已经使用的《剧毒化学品购买凭证》的</w:t>
            </w:r>
            <w:r>
              <w:rPr>
                <w:rFonts w:hint="eastAsia" w:ascii="Times New Roman" w:hAnsi="Times New Roman" w:eastAsia="方正书宋简体" w:cs="Times New Roman"/>
                <w:color w:val="auto"/>
                <w:kern w:val="0"/>
                <w:szCs w:val="21"/>
                <w:highlight w:val="none"/>
                <w:lang w:eastAsia="zh-CN" w:bidi="ar"/>
              </w:rPr>
              <w:t>存</w:t>
            </w:r>
          </w:p>
          <w:p>
            <w:pPr>
              <w:widowControl/>
              <w:numPr>
                <w:ilvl w:val="0"/>
                <w:numId w:val="0"/>
              </w:numPr>
              <w:spacing w:line="340" w:lineRule="exact"/>
              <w:textAlignment w:val="top"/>
              <w:rPr>
                <w:rFonts w:hint="eastAsia"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存根或者因故不再需要使用的《剧毒化学品购买凭证》交回原发证公安机关核查存档</w:t>
            </w:r>
            <w:r>
              <w:rPr>
                <w:rFonts w:hint="eastAsia" w:ascii="Times New Roman" w:hAnsi="Times New Roman" w:eastAsia="方正书宋简体" w:cs="Times New Roman"/>
                <w:color w:val="auto"/>
                <w:kern w:val="0"/>
                <w:szCs w:val="21"/>
                <w:highlight w:val="none"/>
                <w:lang w:eastAsia="zh-CN" w:bidi="ar"/>
              </w:rPr>
              <w:t>；</w:t>
            </w:r>
          </w:p>
          <w:p>
            <w:pPr>
              <w:widowControl/>
              <w:spacing w:line="340" w:lineRule="exact"/>
              <w:jc w:val="both"/>
              <w:textAlignment w:val="top"/>
              <w:rPr>
                <w:rFonts w:ascii="Times New Roman" w:hAnsi="Times New Roman" w:eastAsia="方正书宋简体" w:cs="Times New Roman"/>
                <w:b/>
                <w:bCs/>
                <w:color w:val="auto"/>
                <w:kern w:val="0"/>
                <w:szCs w:val="21"/>
                <w:highlight w:val="none"/>
                <w:lang w:bidi="ar"/>
              </w:rPr>
            </w:pPr>
            <w:r>
              <w:rPr>
                <w:rFonts w:hint="eastAsia" w:ascii="Times New Roman" w:hAnsi="Times New Roman" w:eastAsia="方正书宋简体" w:cs="Times New Roman"/>
                <w:color w:val="auto"/>
                <w:kern w:val="0"/>
                <w:szCs w:val="21"/>
                <w:highlight w:val="none"/>
                <w:lang w:val="en-US" w:eastAsia="zh-CN" w:bidi="ar"/>
              </w:rPr>
              <w:t>3、</w:t>
            </w:r>
            <w:r>
              <w:rPr>
                <w:rFonts w:hint="eastAsia" w:ascii="Times New Roman" w:hAnsi="Times New Roman" w:eastAsia="方正书宋简体" w:cs="Times New Roman"/>
                <w:color w:val="auto"/>
                <w:kern w:val="0"/>
                <w:szCs w:val="21"/>
                <w:highlight w:val="none"/>
                <w:lang w:bidi="ar"/>
              </w:rPr>
              <w:t>未按规定将填写错误的《剧毒化学品购买凭证》注明作废并保留交回原发证公安机关核查存档</w:t>
            </w:r>
            <w:r>
              <w:rPr>
                <w:rFonts w:hint="eastAsia" w:ascii="Times New Roman" w:hAnsi="Times New Roman" w:eastAsia="方正书宋简体" w:cs="Times New Roman"/>
                <w:color w:val="auto"/>
                <w:kern w:val="0"/>
                <w:szCs w:val="21"/>
                <w:highlight w:val="none"/>
                <w:lang w:eastAsia="zh-CN" w:bidi="ar"/>
              </w:rPr>
              <w:t>。</w:t>
            </w:r>
          </w:p>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2393" w:type="dxa"/>
            <w:tcBorders>
              <w:tl2br w:val="nil"/>
              <w:tr2bl w:val="nil"/>
            </w:tcBorders>
            <w:shd w:val="clear" w:color="000000" w:fill="FFFFFF"/>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第二十五条  违反本办法的规定，</w:t>
            </w:r>
            <w:r>
              <w:rPr>
                <w:rFonts w:hint="eastAsia" w:ascii="Times New Roman" w:hAnsi="Times New Roman" w:eastAsia="方正书宋简体" w:cs="Times New Roman"/>
                <w:color w:val="auto"/>
                <w:kern w:val="0"/>
                <w:szCs w:val="21"/>
                <w:highlight w:val="none"/>
                <w:lang w:eastAsia="zh-CN" w:bidi="ar"/>
              </w:rPr>
              <w:t>有下列行为之一的</w:t>
            </w:r>
            <w:r>
              <w:rPr>
                <w:rFonts w:hint="eastAsia" w:ascii="Times New Roman" w:hAnsi="Times New Roman" w:eastAsia="方正书宋简体" w:cs="Times New Roman"/>
                <w:color w:val="auto"/>
                <w:kern w:val="0"/>
                <w:szCs w:val="21"/>
                <w:highlight w:val="none"/>
                <w:lang w:bidi="ar"/>
              </w:rPr>
              <w:t>，由原发证公安机关责令改正，处以500元以上1000元以下罚款：</w:t>
            </w:r>
          </w:p>
          <w:p>
            <w:pPr>
              <w:widowControl/>
              <w:numPr>
                <w:ilvl w:val="0"/>
                <w:numId w:val="2"/>
              </w:numPr>
              <w:spacing w:line="340" w:lineRule="exact"/>
              <w:textAlignment w:val="top"/>
              <w:rPr>
                <w:rFonts w:hint="eastAsia"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除不可抗力外，未在规定时限内将《剧毒化学品购买凭证》《剧毒化学品准购证》的回执交原发证公安机关或者销售单位所在地县级人民政府公安机关核查存档的；</w:t>
            </w:r>
          </w:p>
          <w:p>
            <w:pPr>
              <w:widowControl/>
              <w:numPr>
                <w:ilvl w:val="0"/>
                <w:numId w:val="3"/>
              </w:numPr>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未按规定将已经使用的《剧毒化学品购买凭证》的存根或者因故不再需要使用的《剧毒化学品购买凭证》交回原发证公安机关核查存档的；</w:t>
            </w:r>
          </w:p>
          <w:p>
            <w:pPr>
              <w:widowControl/>
              <w:numPr>
                <w:ilvl w:val="0"/>
                <w:numId w:val="3"/>
              </w:numPr>
              <w:tabs>
                <w:tab w:val="left" w:pos="2100"/>
              </w:tabs>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未按规定将填写错误的《剧毒化学品购买凭证》注明作废并保留交回原发证公安机关核查存档的。</w:t>
            </w: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2108" w:type="dxa"/>
            <w:tcBorders>
              <w:tl2br w:val="nil"/>
              <w:tr2bl w:val="nil"/>
            </w:tcBorders>
            <w:shd w:val="clear" w:color="000000" w:fill="FFFFFF"/>
          </w:tcPr>
          <w:p>
            <w:pPr>
              <w:widowControl/>
              <w:spacing w:line="340" w:lineRule="exact"/>
              <w:textAlignment w:val="top"/>
              <w:rPr>
                <w:rFonts w:ascii="Times New Roman" w:hAnsi="Times New Roman" w:eastAsia="方正书宋简体" w:cs="Times New Roman"/>
                <w:b/>
                <w:bCs/>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不需分阶</w:t>
            </w:r>
          </w:p>
          <w:p>
            <w:pPr>
              <w:widowControl/>
              <w:spacing w:line="340" w:lineRule="exact"/>
              <w:jc w:val="center"/>
              <w:textAlignment w:val="top"/>
              <w:rPr>
                <w:rFonts w:ascii="Times New Roman" w:hAnsi="Times New Roman" w:eastAsia="方正书宋简体" w:cs="Times New Roman"/>
                <w:b/>
                <w:bCs/>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1194" w:type="dxa"/>
            <w:tcBorders>
              <w:tl2br w:val="nil"/>
              <w:tr2bl w:val="nil"/>
            </w:tcBorders>
            <w:shd w:val="clear" w:color="000000" w:fill="FFFFFF"/>
          </w:tcPr>
          <w:p>
            <w:pPr>
              <w:widowControl/>
              <w:spacing w:line="340" w:lineRule="exact"/>
              <w:jc w:val="lef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由原发证公安机关责令改正，处以500元以上1000元以下罚款</w:t>
            </w:r>
            <w:r>
              <w:rPr>
                <w:rFonts w:hint="eastAsia" w:ascii="Times New Roman" w:hAnsi="Times New Roman" w:eastAsia="方正书宋简体" w:cs="Times New Roman"/>
                <w:color w:val="auto"/>
                <w:kern w:val="0"/>
                <w:szCs w:val="21"/>
                <w:highlight w:val="none"/>
                <w:lang w:eastAsia="zh-CN" w:bidi="ar"/>
              </w:rPr>
              <w:t>。</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仿宋_GB2312"/>
    <w:panose1 w:val="03000509000000000000"/>
    <w:charset w:val="86"/>
    <w:family w:val="auto"/>
    <w:pitch w:val="default"/>
    <w:sig w:usb0="00000000" w:usb1="00000000" w:usb2="00000000" w:usb3="00000000" w:csb0="00040000" w:csb1="00000000"/>
  </w:font>
  <w:font w:name="方正书宋简体">
    <w:altName w:val="宋体"/>
    <w:panose1 w:val="00000000000000000000"/>
    <w:charset w:val="00"/>
    <w:family w:val="auto"/>
    <w:pitch w:val="default"/>
    <w:sig w:usb0="00000000" w:usb1="00000000" w:usb2="00000000" w:usb3="00000000" w:csb0="00000000" w:csb1="00000000"/>
  </w:font>
  <w:font w:name="方正黑体简体">
    <w:altName w:val="微软雅黑"/>
    <w:panose1 w:val="00000000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6B9BCC"/>
    <w:multiLevelType w:val="singleLevel"/>
    <w:tmpl w:val="636B9BCC"/>
    <w:lvl w:ilvl="0" w:tentative="0">
      <w:start w:val="1"/>
      <w:numFmt w:val="chineseCounting"/>
      <w:suff w:val="nothing"/>
      <w:lvlText w:val="（%1）"/>
      <w:lvlJc w:val="left"/>
    </w:lvl>
  </w:abstractNum>
  <w:abstractNum w:abstractNumId="1">
    <w:nsid w:val="636B9C19"/>
    <w:multiLevelType w:val="singleLevel"/>
    <w:tmpl w:val="636B9C19"/>
    <w:lvl w:ilvl="0" w:tentative="0">
      <w:start w:val="3"/>
      <w:numFmt w:val="chineseCounting"/>
      <w:suff w:val="nothing"/>
      <w:lvlText w:val="（%1）"/>
      <w:lvlJc w:val="left"/>
    </w:lvl>
  </w:abstractNum>
  <w:abstractNum w:abstractNumId="2">
    <w:nsid w:val="64C230E0"/>
    <w:multiLevelType w:val="singleLevel"/>
    <w:tmpl w:val="64C230E0"/>
    <w:lvl w:ilvl="0" w:tentative="0">
      <w:start w:val="1"/>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zOWIyZjRkYmM5MzVkNzU5NTM2OTg2MjI1YmViZDEifQ=="/>
  </w:docVars>
  <w:rsids>
    <w:rsidRoot w:val="0C9066F8"/>
    <w:rsid w:val="08730C1C"/>
    <w:rsid w:val="0C9066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2024-05-13T07:42:00Z</dcterms:created>
  <dc:creator>Administrator</dc:creator>
  <cp:lastModifiedBy>Administrator</cp:lastModifiedBy>
  <dcterms:modified xsi:type="dcterms:W3CDTF">2024-05-13T12:08:20Z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837FDCF6572D4E5B94E402F01DD4F81D_11</vt:lpwstr>
  </property>
</Properties>
</file>