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违反《危险货物道路运输安全管理办法》处罚裁量基准</w:t>
      </w:r>
    </w:p>
    <w:tbl>
      <w:tblPr>
        <w:tblStyle w:val="2"/>
        <w:tblW w:w="74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794"/>
        <w:gridCol w:w="2370"/>
        <w:gridCol w:w="2115"/>
        <w:gridCol w:w="11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blHeader/>
        </w:trPr>
        <w:tc>
          <w:tcPr>
            <w:tcW w:w="1794" w:type="dxa"/>
            <w:tcBorders>
              <w:tl2br w:val="nil"/>
              <w:tr2bl w:val="nil"/>
            </w:tcBorders>
          </w:tcPr>
          <w:p>
            <w:pPr>
              <w:widowControl/>
              <w:spacing w:line="340" w:lineRule="exact"/>
              <w:jc w:val="center"/>
              <w:textAlignment w:val="top"/>
              <w:rPr>
                <w:rFonts w:ascii="Times New Roman" w:hAnsi="Times New Roman" w:eastAsia="宋体" w:cs="Times New Roman"/>
                <w:b/>
                <w:bCs/>
                <w:color w:val="auto"/>
                <w:kern w:val="0"/>
                <w:szCs w:val="21"/>
                <w:highlight w:val="none"/>
                <w:lang w:bidi="ar"/>
              </w:rPr>
            </w:pPr>
            <w:bookmarkStart w:id="0" w:name="_GoBack"/>
            <w:bookmarkEnd w:id="0"/>
            <w:r>
              <w:rPr>
                <w:rFonts w:ascii="Times New Roman" w:hAnsi="Times New Roman" w:eastAsia="宋体" w:cs="Times New Roman"/>
                <w:b/>
                <w:bCs/>
                <w:color w:val="auto"/>
                <w:kern w:val="0"/>
                <w:szCs w:val="21"/>
                <w:highlight w:val="none"/>
                <w:lang w:bidi="ar"/>
              </w:rPr>
              <w:t>违法行为</w:t>
            </w:r>
          </w:p>
        </w:tc>
        <w:tc>
          <w:tcPr>
            <w:tcW w:w="2370" w:type="dxa"/>
            <w:tcBorders>
              <w:tl2br w:val="nil"/>
              <w:tr2bl w:val="nil"/>
            </w:tcBorders>
          </w:tcPr>
          <w:p>
            <w:pPr>
              <w:widowControl/>
              <w:spacing w:line="340" w:lineRule="exact"/>
              <w:jc w:val="center"/>
              <w:textAlignment w:val="top"/>
              <w:rPr>
                <w:rFonts w:ascii="Times New Roman" w:hAnsi="Times New Roman" w:eastAsia="宋体" w:cs="Times New Roman"/>
                <w:b/>
                <w:bCs/>
                <w:color w:val="auto"/>
                <w:kern w:val="0"/>
                <w:szCs w:val="21"/>
                <w:highlight w:val="none"/>
                <w:lang w:bidi="ar"/>
              </w:rPr>
            </w:pPr>
            <w:r>
              <w:rPr>
                <w:rFonts w:ascii="Times New Roman" w:hAnsi="Times New Roman" w:eastAsia="宋体" w:cs="Times New Roman"/>
                <w:b/>
                <w:bCs/>
                <w:color w:val="auto"/>
                <w:kern w:val="0"/>
                <w:szCs w:val="21"/>
                <w:highlight w:val="none"/>
                <w:lang w:bidi="ar"/>
              </w:rPr>
              <w:t>法律依据</w:t>
            </w:r>
          </w:p>
        </w:tc>
        <w:tc>
          <w:tcPr>
            <w:tcW w:w="2115" w:type="dxa"/>
            <w:tcBorders>
              <w:tl2br w:val="nil"/>
              <w:tr2bl w:val="nil"/>
            </w:tcBorders>
          </w:tcPr>
          <w:p>
            <w:pPr>
              <w:widowControl/>
              <w:spacing w:line="340" w:lineRule="exact"/>
              <w:jc w:val="center"/>
              <w:textAlignment w:val="top"/>
              <w:rPr>
                <w:rFonts w:ascii="Times New Roman" w:hAnsi="Times New Roman" w:eastAsia="宋体" w:cs="Times New Roman"/>
                <w:b/>
                <w:bCs/>
                <w:color w:val="auto"/>
                <w:kern w:val="0"/>
                <w:szCs w:val="21"/>
                <w:highlight w:val="none"/>
                <w:lang w:bidi="ar"/>
              </w:rPr>
            </w:pPr>
            <w:r>
              <w:rPr>
                <w:rFonts w:ascii="Times New Roman" w:hAnsi="Times New Roman" w:eastAsia="宋体" w:cs="Times New Roman"/>
                <w:b/>
                <w:bCs/>
                <w:color w:val="auto"/>
                <w:kern w:val="0"/>
                <w:szCs w:val="21"/>
                <w:highlight w:val="none"/>
                <w:lang w:bidi="ar"/>
              </w:rPr>
              <w:t>违法情节</w:t>
            </w:r>
          </w:p>
        </w:tc>
        <w:tc>
          <w:tcPr>
            <w:tcW w:w="1190" w:type="dxa"/>
            <w:tcBorders>
              <w:tl2br w:val="nil"/>
              <w:tr2bl w:val="nil"/>
            </w:tcBorders>
          </w:tcPr>
          <w:p>
            <w:pPr>
              <w:widowControl/>
              <w:spacing w:line="340" w:lineRule="exact"/>
              <w:jc w:val="center"/>
              <w:textAlignment w:val="top"/>
              <w:rPr>
                <w:rFonts w:ascii="Times New Roman" w:hAnsi="Times New Roman" w:eastAsia="宋体" w:cs="Times New Roman"/>
                <w:b/>
                <w:bCs/>
                <w:color w:val="auto"/>
                <w:kern w:val="0"/>
                <w:szCs w:val="21"/>
                <w:highlight w:val="none"/>
                <w:lang w:bidi="ar"/>
              </w:rPr>
            </w:pPr>
            <w:r>
              <w:rPr>
                <w:rFonts w:ascii="Times New Roman" w:hAnsi="Times New Roman" w:eastAsia="宋体" w:cs="Times New Roman"/>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擅自运输民用爆炸物品</w:t>
            </w:r>
          </w:p>
        </w:tc>
        <w:tc>
          <w:tcPr>
            <w:tcW w:w="2370"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第六十七条</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公安机关对有关企业、单位或者个人违反本办法第十五条，未经许可擅自通过道路运输危险货物的，应当责令停止非法运输活动，并予以处罚：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（二）擅自运输民用爆炸物品的，处5万元以上20万元以下的罚款，并没收非法运输的民用爆炸物品及违法所得</w:t>
            </w:r>
            <w:r>
              <w:rPr>
                <w:rFonts w:hint="eastAsia" w:ascii="Times New Roman" w:hAnsi="Times New Roman" w:eastAsia="宋体" w:cs="Times New Roman"/>
                <w:color w:val="auto"/>
                <w:kern w:val="0"/>
                <w:szCs w:val="21"/>
                <w:highlight w:val="none"/>
                <w:lang w:bidi="ar"/>
              </w:rPr>
              <w:t>。</w:t>
            </w:r>
          </w:p>
        </w:tc>
        <w:tc>
          <w:tcPr>
            <w:tcW w:w="2115" w:type="dxa"/>
            <w:tcBorders>
              <w:tl2br w:val="nil"/>
              <w:tr2bl w:val="nil"/>
            </w:tcBorders>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1、未经许可购买、运输炸药300克及以下；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2、未经许可购买、运输雷管10枚及以下；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3、未经许可购买、运输索类爆炸物品10米及以下；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4、未经许可购买、运输其他种类民用爆炸物品数量较少。</w:t>
            </w:r>
          </w:p>
          <w:p>
            <w:pPr>
              <w:widowControl/>
              <w:spacing w:line="300" w:lineRule="exact"/>
              <w:jc w:val="left"/>
              <w:textAlignment w:val="top"/>
              <w:rPr>
                <w:rFonts w:ascii="Times New Roman" w:hAnsi="Times New Roman" w:eastAsia="宋体" w:cs="Times New Roman"/>
                <w:color w:val="auto"/>
                <w:kern w:val="0"/>
                <w:szCs w:val="21"/>
                <w:highlight w:val="none"/>
                <w:lang w:bidi="ar"/>
              </w:rPr>
            </w:pPr>
          </w:p>
        </w:tc>
        <w:tc>
          <w:tcPr>
            <w:tcW w:w="1190" w:type="dxa"/>
            <w:tcBorders>
              <w:tl2br w:val="nil"/>
              <w:tr2bl w:val="nil"/>
            </w:tcBorders>
          </w:tcPr>
          <w:p>
            <w:pPr>
              <w:widowControl/>
              <w:spacing w:line="30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责令停止非法运输活动，处5万元以上10万元以下罚款，并没收非法运输的民用爆炸物品及违法所得。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Borders>
              <w:tl2br w:val="nil"/>
              <w:tr2bl w:val="nil"/>
            </w:tcBorders>
          </w:tcPr>
          <w:p>
            <w:pPr>
              <w:widowControl/>
              <w:numPr>
                <w:ilvl w:val="0"/>
                <w:numId w:val="1"/>
              </w:numPr>
              <w:spacing w:line="300" w:lineRule="exact"/>
              <w:jc w:val="lef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未经许可购买、运输炸药300克以上600克及以下；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2、未经许可购买、运输雷管10枚以上20枚及以下；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3、未经许可购买、运输索类爆炸物品10米以上20米及以下；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4、未经许可购买、运输其他种类民用爆炸物品数量较多。</w:t>
            </w:r>
          </w:p>
          <w:p>
            <w:pPr>
              <w:widowControl/>
              <w:spacing w:line="300" w:lineRule="exact"/>
              <w:jc w:val="left"/>
              <w:textAlignment w:val="top"/>
              <w:rPr>
                <w:rFonts w:ascii="Times New Roman" w:hAnsi="Times New Roman" w:eastAsia="宋体" w:cs="Times New Roman"/>
                <w:color w:val="auto"/>
                <w:kern w:val="0"/>
                <w:szCs w:val="21"/>
                <w:highlight w:val="none"/>
                <w:lang w:bidi="ar"/>
              </w:rPr>
            </w:pPr>
          </w:p>
        </w:tc>
        <w:tc>
          <w:tcPr>
            <w:tcW w:w="1190" w:type="dxa"/>
            <w:tcBorders>
              <w:tl2br w:val="nil"/>
              <w:tr2bl w:val="nil"/>
            </w:tcBorders>
          </w:tcPr>
          <w:p>
            <w:pPr>
              <w:widowControl/>
              <w:spacing w:line="30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责令停止非法运输活动，处10万元以上15万元以下罚款，并没收非法运输的民用爆炸物品及违法所得。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Borders>
              <w:tl2br w:val="nil"/>
              <w:tr2bl w:val="nil"/>
            </w:tcBorders>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1、未经许可购买、运输炸药600克以上1000克以下；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2、未经许可购买、运输</w:t>
            </w:r>
            <w:r>
              <w:rPr>
                <w:rFonts w:ascii="Times New Roman" w:hAnsi="Times New Roman" w:eastAsia="宋体" w:cs="Times New Roman"/>
                <w:color w:val="auto"/>
                <w:spacing w:val="-6"/>
                <w:kern w:val="0"/>
                <w:szCs w:val="21"/>
                <w:highlight w:val="none"/>
                <w:lang w:bidi="ar"/>
              </w:rPr>
              <w:t>雷管20枚以上30枚以下；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3、未经许可购买、运输索类爆炸物品20米以上30米以下；</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4、未经许可购买、运输其他种类民用爆炸物品造成后果。</w:t>
            </w:r>
          </w:p>
        </w:tc>
        <w:tc>
          <w:tcPr>
            <w:tcW w:w="1190" w:type="dxa"/>
            <w:tcBorders>
              <w:tl2br w:val="nil"/>
              <w:tr2bl w:val="nil"/>
            </w:tcBorders>
          </w:tcPr>
          <w:p>
            <w:pPr>
              <w:widowControl/>
              <w:spacing w:line="30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责令停止非法运输活动，处15万元以上20万元以下罚款，并没收非法运输的民用爆炸物品及违法所得。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擅自运输烟花爆竹</w:t>
            </w:r>
          </w:p>
        </w:tc>
        <w:tc>
          <w:tcPr>
            <w:tcW w:w="2370"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第六十七条</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 xml:space="preserve"> 公安机关对有关企业、单位或者个人违反本办法第十五条，未经许可擅自通过道路运输危险货物的，应当责令停止非法运输活动，并予以处罚：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（三）擅自运输烟花爆竹的，处1万元以上5万元以下的罚款，并没收非法运输的物品及违法所得</w:t>
            </w:r>
            <w:r>
              <w:rPr>
                <w:rFonts w:hint="eastAsia" w:ascii="Times New Roman" w:hAnsi="Times New Roman" w:eastAsia="宋体" w:cs="Times New Roman"/>
                <w:color w:val="auto"/>
                <w:kern w:val="0"/>
                <w:szCs w:val="21"/>
                <w:highlight w:val="none"/>
                <w:lang w:bidi="ar"/>
              </w:rPr>
              <w:t>。</w:t>
            </w:r>
          </w:p>
        </w:tc>
        <w:tc>
          <w:tcPr>
            <w:tcW w:w="2115" w:type="dxa"/>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一般情况下</w:t>
            </w:r>
          </w:p>
        </w:tc>
        <w:tc>
          <w:tcPr>
            <w:tcW w:w="1190" w:type="dxa"/>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责令停止非法运输活动，处1万元以上3万元以下的罚款，并没收非法运输的物品及违法所得。</w:t>
            </w: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1、</w:t>
            </w:r>
            <w:r>
              <w:rPr>
                <w:rFonts w:hint="eastAsia" w:asciiTheme="minorEastAsia" w:hAnsiTheme="minorEastAsia" w:cstheme="minorEastAsia"/>
                <w:color w:val="auto"/>
                <w:kern w:val="0"/>
                <w:szCs w:val="21"/>
                <w:highlight w:val="none"/>
                <w:lang w:bidi="ar"/>
              </w:rPr>
              <w:t>以暴力方法阻碍执法</w:t>
            </w:r>
            <w:r>
              <w:rPr>
                <w:rFonts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2、</w:t>
            </w:r>
            <w:r>
              <w:rPr>
                <w:rFonts w:hint="eastAsia" w:asciiTheme="minorEastAsia" w:hAnsiTheme="minorEastAsia" w:cstheme="minorEastAsia"/>
                <w:color w:val="auto"/>
                <w:kern w:val="0"/>
                <w:szCs w:val="21"/>
                <w:highlight w:val="none"/>
                <w:lang w:bidi="ar"/>
              </w:rPr>
              <w:t>两年内曾违反此规定</w:t>
            </w:r>
            <w:r>
              <w:rPr>
                <w:rFonts w:ascii="Times New Roman" w:hAnsi="Times New Roman" w:eastAsia="宋体" w:cs="Times New Roman"/>
                <w:color w:val="auto"/>
                <w:kern w:val="0"/>
                <w:szCs w:val="21"/>
                <w:highlight w:val="none"/>
                <w:lang w:bidi="ar"/>
              </w:rPr>
              <w:t>。</w:t>
            </w:r>
          </w:p>
        </w:tc>
        <w:tc>
          <w:tcPr>
            <w:tcW w:w="1190" w:type="dxa"/>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责令停止非法运输活动，处3万元以上5万元以下的罚款，并没收非法运输的物品及违法所得。</w:t>
            </w: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擅自运输放射性物品的</w:t>
            </w:r>
          </w:p>
        </w:tc>
        <w:tc>
          <w:tcPr>
            <w:tcW w:w="2370"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第六十七条</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 xml:space="preserve"> 公安机关对有关企业、单位或者个人违反本办法第十五条，未经许可擅自通过道路运输危险货物的，应当责令停止非法运输活动，并予以处罚：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（四）擅自运输放射性物品的，处2万元以上10万元以下的罚款。</w:t>
            </w:r>
          </w:p>
        </w:tc>
        <w:tc>
          <w:tcPr>
            <w:tcW w:w="2115" w:type="dxa"/>
            <w:tcBorders>
              <w:tl2br w:val="nil"/>
              <w:tr2bl w:val="nil"/>
            </w:tcBorders>
          </w:tcPr>
          <w:p>
            <w:pPr>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rPr>
              <w:t>初次违反此规定，无危害后果</w:t>
            </w:r>
            <w:r>
              <w:rPr>
                <w:rFonts w:hint="eastAsia" w:ascii="Times New Roman" w:hAnsi="Times New Roman" w:eastAsia="宋体" w:cs="Times New Roman"/>
                <w:color w:val="auto"/>
                <w:kern w:val="0"/>
                <w:szCs w:val="21"/>
                <w:highlight w:val="none"/>
              </w:rPr>
              <w:t>。</w:t>
            </w:r>
          </w:p>
        </w:tc>
        <w:tc>
          <w:tcPr>
            <w:tcW w:w="1190" w:type="dxa"/>
            <w:tcBorders>
              <w:tl2br w:val="nil"/>
              <w:tr2bl w:val="nil"/>
            </w:tcBorders>
          </w:tcPr>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lang w:bidi="ar"/>
              </w:rPr>
              <w:t>责令停止非法运输活动</w:t>
            </w:r>
            <w:r>
              <w:rPr>
                <w:rFonts w:ascii="Times New Roman" w:hAnsi="Times New Roman" w:eastAsia="宋体" w:cs="Times New Roman"/>
                <w:color w:val="auto"/>
                <w:kern w:val="0"/>
                <w:szCs w:val="21"/>
                <w:highlight w:val="none"/>
              </w:rPr>
              <w:t>，处2万元以上5万元以下的罚款。</w:t>
            </w:r>
          </w:p>
          <w:p>
            <w:pPr>
              <w:rPr>
                <w:rFonts w:ascii="Times New Roman" w:hAnsi="Times New Roman" w:eastAsia="宋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Borders>
              <w:tl2br w:val="nil"/>
              <w:tr2bl w:val="nil"/>
            </w:tcBorders>
          </w:tcPr>
          <w:p>
            <w:pPr>
              <w:rPr>
                <w:rFonts w:ascii="Times New Roman" w:hAnsi="Times New Roman" w:eastAsia="宋体" w:cs="Times New Roman"/>
                <w:color w:val="auto"/>
                <w:kern w:val="0"/>
                <w:szCs w:val="21"/>
                <w:highlight w:val="none"/>
              </w:rPr>
            </w:pPr>
            <w:r>
              <w:rPr>
                <w:rFonts w:hint="eastAsia" w:asciiTheme="minorEastAsia" w:hAnsiTheme="minorEastAsia" w:cstheme="minorEastAsia"/>
                <w:color w:val="auto"/>
                <w:kern w:val="0"/>
                <w:szCs w:val="21"/>
                <w:highlight w:val="none"/>
                <w:lang w:bidi="ar"/>
              </w:rPr>
              <w:t>两年内再次违反此规定</w:t>
            </w:r>
            <w:r>
              <w:rPr>
                <w:rFonts w:ascii="Times New Roman" w:hAnsi="Times New Roman" w:eastAsia="宋体" w:cs="Times New Roman"/>
                <w:color w:val="auto"/>
                <w:kern w:val="0"/>
                <w:szCs w:val="21"/>
                <w:highlight w:val="none"/>
              </w:rPr>
              <w:t>，无危害后果</w:t>
            </w:r>
            <w:r>
              <w:rPr>
                <w:rFonts w:hint="eastAsia" w:ascii="Times New Roman" w:hAnsi="Times New Roman" w:eastAsia="宋体" w:cs="Times New Roman"/>
                <w:color w:val="auto"/>
                <w:kern w:val="0"/>
                <w:szCs w:val="21"/>
                <w:highlight w:val="none"/>
              </w:rPr>
              <w:t>。</w:t>
            </w:r>
          </w:p>
          <w:p>
            <w:pPr>
              <w:rPr>
                <w:rFonts w:ascii="Times New Roman" w:hAnsi="Times New Roman" w:eastAsia="宋体" w:cs="Times New Roman"/>
                <w:color w:val="auto"/>
                <w:kern w:val="0"/>
                <w:szCs w:val="21"/>
                <w:highlight w:val="none"/>
                <w:lang w:bidi="ar"/>
              </w:rPr>
            </w:pPr>
          </w:p>
        </w:tc>
        <w:tc>
          <w:tcPr>
            <w:tcW w:w="1190" w:type="dxa"/>
            <w:tcBorders>
              <w:tl2br w:val="nil"/>
              <w:tr2bl w:val="nil"/>
            </w:tcBorders>
          </w:tcPr>
          <w:p>
            <w:pPr>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责令停止非法运输活动</w:t>
            </w:r>
            <w:r>
              <w:rPr>
                <w:rFonts w:ascii="Times New Roman" w:hAnsi="Times New Roman" w:eastAsia="宋体" w:cs="Times New Roman"/>
                <w:color w:val="auto"/>
                <w:kern w:val="0"/>
                <w:szCs w:val="21"/>
                <w:highlight w:val="none"/>
              </w:rPr>
              <w:t>，处5万元以上8万元以下的罚款。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Borders>
              <w:tl2br w:val="nil"/>
              <w:tr2bl w:val="nil"/>
            </w:tcBorders>
          </w:tcPr>
          <w:p>
            <w:pPr>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rPr>
              <w:t>造成人身伤亡、财产损失、社会影响等后果。</w:t>
            </w:r>
          </w:p>
        </w:tc>
        <w:tc>
          <w:tcPr>
            <w:tcW w:w="1190" w:type="dxa"/>
            <w:tcBorders>
              <w:tl2br w:val="nil"/>
              <w:tr2bl w:val="nil"/>
            </w:tcBorders>
          </w:tcPr>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lang w:bidi="ar"/>
              </w:rPr>
              <w:t>责令停止非法运输活动</w:t>
            </w:r>
            <w:r>
              <w:rPr>
                <w:rFonts w:ascii="Times New Roman" w:hAnsi="Times New Roman" w:eastAsia="宋体" w:cs="Times New Roman"/>
                <w:color w:val="auto"/>
                <w:kern w:val="0"/>
                <w:szCs w:val="21"/>
                <w:highlight w:val="none"/>
              </w:rPr>
              <w:t>，处罚8万元以上10万元以下的罚款。</w:t>
            </w:r>
          </w:p>
          <w:p>
            <w:pPr>
              <w:rPr>
                <w:rFonts w:ascii="Times New Roman" w:hAnsi="Times New Roman" w:eastAsia="宋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运输民用爆炸物品</w:t>
            </w:r>
            <w:r>
              <w:rPr>
                <w:rFonts w:hint="eastAsia" w:ascii="Times New Roman" w:hAnsi="Times New Roman" w:eastAsia="宋体" w:cs="Times New Roman"/>
                <w:color w:val="auto"/>
                <w:kern w:val="0"/>
                <w:szCs w:val="21"/>
                <w:highlight w:val="none"/>
                <w:lang w:bidi="ar"/>
              </w:rPr>
              <w:t>的</w:t>
            </w:r>
            <w:r>
              <w:rPr>
                <w:rFonts w:ascii="Times New Roman" w:hAnsi="Times New Roman" w:eastAsia="宋体" w:cs="Times New Roman"/>
                <w:color w:val="auto"/>
                <w:kern w:val="0"/>
                <w:szCs w:val="21"/>
                <w:highlight w:val="none"/>
                <w:lang w:bidi="ar"/>
              </w:rPr>
              <w:t>危险货物运输车辆，未按照要求安装、悬挂警示标志</w:t>
            </w:r>
            <w:r>
              <w:rPr>
                <w:rFonts w:hint="eastAsia" w:ascii="Times New Roman" w:hAnsi="Times New Roman" w:eastAsia="宋体" w:cs="Times New Roman"/>
                <w:color w:val="auto"/>
                <w:kern w:val="0"/>
                <w:szCs w:val="21"/>
                <w:highlight w:val="none"/>
                <w:lang w:bidi="ar"/>
              </w:rPr>
              <w:t>。</w:t>
            </w:r>
          </w:p>
        </w:tc>
        <w:tc>
          <w:tcPr>
            <w:tcW w:w="2370" w:type="dxa"/>
            <w:vMerge w:val="restart"/>
            <w:tcBorders>
              <w:tl2br w:val="nil"/>
              <w:tr2bl w:val="nil"/>
            </w:tcBorders>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 xml:space="preserve">第七十条 </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公安机关对危险货物运输车辆违反本办法第四十四条，未按照要求安装、悬挂警示标志的，应当责令改正，并对承运人予以处罚：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（二）运输民用爆炸物品的，处5万元以上20万元以下的罚款</w:t>
            </w:r>
            <w:r>
              <w:rPr>
                <w:rFonts w:hint="eastAsia" w:ascii="Times New Roman" w:hAnsi="Times New Roman" w:eastAsia="宋体" w:cs="Times New Roman"/>
                <w:color w:val="auto"/>
                <w:kern w:val="0"/>
                <w:szCs w:val="21"/>
                <w:highlight w:val="none"/>
                <w:lang w:bidi="ar"/>
              </w:rPr>
              <w:t>。</w:t>
            </w:r>
          </w:p>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Borders>
              <w:tl2br w:val="nil"/>
              <w:tr2bl w:val="nil"/>
            </w:tcBorders>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首次违反，且无危害后果。</w:t>
            </w:r>
            <w:r>
              <w:rPr>
                <w:rFonts w:hint="eastAsia" w:ascii="宋体" w:hAnsi="宋体" w:eastAsia="宋体" w:cs="宋体"/>
                <w:color w:val="auto"/>
                <w:kern w:val="0"/>
                <w:szCs w:val="21"/>
                <w:highlight w:val="none"/>
                <w:lang w:bidi="ar"/>
              </w:rPr>
              <w:br w:type="textWrapping"/>
            </w:r>
          </w:p>
        </w:tc>
        <w:tc>
          <w:tcPr>
            <w:tcW w:w="1190" w:type="dxa"/>
            <w:tcBorders>
              <w:tl2br w:val="nil"/>
              <w:tr2bl w:val="nil"/>
            </w:tcBorders>
          </w:tcPr>
          <w:p>
            <w:pPr>
              <w:widowControl/>
              <w:spacing w:line="30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责令改正，处5万元以上10万元以下的罚款。</w:t>
            </w:r>
          </w:p>
          <w:p>
            <w:pPr>
              <w:widowControl/>
              <w:spacing w:line="300" w:lineRule="exac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tabs>
                <w:tab w:val="left" w:pos="1050"/>
              </w:tabs>
              <w:spacing w:line="300" w:lineRule="exact"/>
              <w:jc w:val="left"/>
              <w:textAlignment w:val="top"/>
              <w:rPr>
                <w:rFonts w:ascii="Times New Roman" w:hAnsi="Times New Roman" w:eastAsia="宋体" w:cs="Times New Roman"/>
                <w:color w:val="auto"/>
                <w:kern w:val="0"/>
                <w:szCs w:val="21"/>
                <w:highlight w:val="none"/>
                <w:lang w:bidi="ar"/>
              </w:rPr>
            </w:pPr>
            <w:r>
              <w:rPr>
                <w:rFonts w:hint="eastAsia" w:asciiTheme="minorEastAsia" w:hAnsiTheme="minorEastAsia" w:cstheme="minorEastAsia"/>
                <w:color w:val="auto"/>
                <w:kern w:val="0"/>
                <w:szCs w:val="21"/>
                <w:highlight w:val="none"/>
                <w:lang w:bidi="ar"/>
              </w:rPr>
              <w:t>两年内再次违反此规定</w:t>
            </w:r>
            <w:r>
              <w:rPr>
                <w:rFonts w:hint="eastAsia" w:ascii="宋体" w:hAnsi="宋体" w:eastAsia="宋体" w:cs="宋体"/>
                <w:color w:val="auto"/>
                <w:kern w:val="0"/>
                <w:szCs w:val="21"/>
                <w:highlight w:val="none"/>
                <w:lang w:bidi="ar"/>
              </w:rPr>
              <w:t>，且无危害后果。</w:t>
            </w:r>
          </w:p>
        </w:tc>
        <w:tc>
          <w:tcPr>
            <w:tcW w:w="1190" w:type="dxa"/>
          </w:tcPr>
          <w:p>
            <w:pPr>
              <w:widowControl/>
              <w:spacing w:line="300" w:lineRule="exac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责令改正，处10万元以上20万元以下的罚款。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05" w:hRule="atLeast"/>
        </w:trPr>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运输烟花爆竹</w:t>
            </w:r>
            <w:r>
              <w:rPr>
                <w:rFonts w:hint="eastAsia" w:ascii="Times New Roman" w:hAnsi="Times New Roman" w:eastAsia="宋体" w:cs="Times New Roman"/>
                <w:color w:val="auto"/>
                <w:kern w:val="0"/>
                <w:szCs w:val="21"/>
                <w:highlight w:val="none"/>
                <w:lang w:bidi="ar"/>
              </w:rPr>
              <w:t>的</w:t>
            </w:r>
            <w:r>
              <w:rPr>
                <w:rFonts w:ascii="Times New Roman" w:hAnsi="Times New Roman" w:eastAsia="宋体" w:cs="Times New Roman"/>
                <w:color w:val="auto"/>
                <w:kern w:val="0"/>
                <w:szCs w:val="21"/>
                <w:highlight w:val="none"/>
                <w:lang w:bidi="ar"/>
              </w:rPr>
              <w:t>危险货物运输车辆，未按照要求安装、悬挂警示标志</w:t>
            </w:r>
            <w:r>
              <w:rPr>
                <w:rFonts w:hint="eastAsia" w:ascii="Times New Roman" w:hAnsi="Times New Roman" w:eastAsia="宋体" w:cs="Times New Roman"/>
                <w:color w:val="auto"/>
                <w:kern w:val="0"/>
                <w:szCs w:val="21"/>
                <w:highlight w:val="none"/>
                <w:lang w:bidi="ar"/>
              </w:rPr>
              <w:t>。</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第七十条 公安机关对危险货物运输车辆违反本办法第四十四条，未按照要求安装、悬挂警示标志的，应当责令改正，并对承运人予以处罚：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（三）运输烟花爆竹的，处200元以上2000元以下的罚款</w:t>
            </w:r>
            <w:r>
              <w:rPr>
                <w:rFonts w:hint="eastAsia" w:ascii="Times New Roman" w:hAnsi="Times New Roman" w:eastAsia="宋体" w:cs="Times New Roman"/>
                <w:color w:val="auto"/>
                <w:kern w:val="0"/>
                <w:szCs w:val="21"/>
                <w:highlight w:val="none"/>
                <w:lang w:bidi="ar"/>
              </w:rPr>
              <w:t>。</w:t>
            </w:r>
          </w:p>
        </w:tc>
        <w:tc>
          <w:tcPr>
            <w:tcW w:w="2115"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一般情况下</w:t>
            </w:r>
          </w:p>
        </w:tc>
        <w:tc>
          <w:tcPr>
            <w:tcW w:w="1190"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责令改正，处200元以上1000元以下的罚款。</w:t>
            </w: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hint="eastAsia" w:asciiTheme="minorEastAsia" w:hAnsiTheme="minorEastAsia" w:cstheme="minorEastAsia"/>
                <w:color w:val="auto"/>
                <w:kern w:val="0"/>
                <w:szCs w:val="21"/>
                <w:highlight w:val="none"/>
                <w:lang w:bidi="ar"/>
              </w:rPr>
              <w:t>1、以暴力方法阻碍执法；</w:t>
            </w:r>
            <w:r>
              <w:rPr>
                <w:rFonts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br w:type="textWrapping"/>
            </w:r>
            <w:r>
              <w:rPr>
                <w:rFonts w:ascii="Times New Roman" w:hAnsi="Times New Roman" w:eastAsia="宋体" w:cs="Times New Roman"/>
                <w:color w:val="auto"/>
                <w:kern w:val="0"/>
                <w:szCs w:val="21"/>
                <w:highlight w:val="none"/>
                <w:lang w:bidi="ar"/>
              </w:rPr>
              <w:t>2、</w:t>
            </w:r>
            <w:r>
              <w:rPr>
                <w:rFonts w:hint="eastAsia" w:asciiTheme="minorEastAsia" w:hAnsiTheme="minorEastAsia" w:cstheme="minorEastAsia"/>
                <w:color w:val="auto"/>
                <w:kern w:val="0"/>
                <w:szCs w:val="21"/>
                <w:highlight w:val="none"/>
                <w:lang w:bidi="ar"/>
              </w:rPr>
              <w:t>两年内曾违反此规定</w:t>
            </w:r>
            <w:r>
              <w:rPr>
                <w:rFonts w:ascii="Times New Roman" w:hAnsi="Times New Roman" w:eastAsia="宋体" w:cs="Times New Roman"/>
                <w:color w:val="auto"/>
                <w:kern w:val="0"/>
                <w:szCs w:val="21"/>
                <w:highlight w:val="none"/>
                <w:lang w:bidi="ar"/>
              </w:rPr>
              <w:t>。</w:t>
            </w:r>
          </w:p>
        </w:tc>
        <w:tc>
          <w:tcPr>
            <w:tcW w:w="1190"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责令改正，处1000元以上2000元以下的罚款。</w:t>
            </w: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运输放射性物品</w:t>
            </w:r>
            <w:r>
              <w:rPr>
                <w:rFonts w:hint="eastAsia" w:ascii="Times New Roman" w:hAnsi="Times New Roman" w:eastAsia="宋体" w:cs="Times New Roman"/>
                <w:color w:val="auto"/>
                <w:kern w:val="0"/>
                <w:szCs w:val="21"/>
                <w:highlight w:val="none"/>
                <w:lang w:bidi="ar"/>
              </w:rPr>
              <w:t>的</w:t>
            </w:r>
            <w:r>
              <w:rPr>
                <w:rFonts w:ascii="Times New Roman" w:hAnsi="Times New Roman" w:eastAsia="宋体" w:cs="Times New Roman"/>
                <w:color w:val="auto"/>
                <w:kern w:val="0"/>
                <w:szCs w:val="21"/>
                <w:highlight w:val="none"/>
                <w:lang w:bidi="ar"/>
              </w:rPr>
              <w:t>危险货物运输车辆，未按照要求安装、悬挂警示标志</w:t>
            </w:r>
            <w:r>
              <w:rPr>
                <w:rFonts w:hint="eastAsia" w:ascii="Times New Roman" w:hAnsi="Times New Roman" w:eastAsia="宋体" w:cs="Times New Roman"/>
                <w:color w:val="auto"/>
                <w:kern w:val="0"/>
                <w:szCs w:val="21"/>
                <w:highlight w:val="none"/>
                <w:lang w:bidi="ar"/>
              </w:rPr>
              <w:t>。</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第七十条 公安机关对危险货物运输车辆违反本办法第四十四条，未按照要求安装、悬挂警示标志的，应当责令改正，并对承运人予以处罚：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（四）运输放射性物品的，处2万元以上10万元以下的罚款。</w:t>
            </w:r>
          </w:p>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rPr>
              <w:t>初次违反此规定，无危害后果</w:t>
            </w:r>
            <w:r>
              <w:rPr>
                <w:rFonts w:hint="eastAsia" w:ascii="Times New Roman" w:hAnsi="Times New Roman" w:eastAsia="宋体" w:cs="Times New Roman"/>
                <w:color w:val="auto"/>
                <w:kern w:val="0"/>
                <w:szCs w:val="21"/>
                <w:highlight w:val="none"/>
              </w:rPr>
              <w:t>。</w:t>
            </w:r>
          </w:p>
        </w:tc>
        <w:tc>
          <w:tcPr>
            <w:tcW w:w="1190" w:type="dxa"/>
          </w:tcPr>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责令改正，处2万元以上5万元以下的罚款。</w:t>
            </w:r>
          </w:p>
          <w:p>
            <w:pPr>
              <w:rPr>
                <w:rFonts w:ascii="Times New Roman" w:hAnsi="Times New Roman" w:eastAsia="宋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rPr>
                <w:rFonts w:ascii="Times New Roman" w:hAnsi="Times New Roman" w:eastAsia="宋体" w:cs="Times New Roman"/>
                <w:color w:val="auto"/>
                <w:kern w:val="0"/>
                <w:szCs w:val="21"/>
                <w:highlight w:val="none"/>
              </w:rPr>
            </w:pPr>
            <w:r>
              <w:rPr>
                <w:rFonts w:hint="eastAsia" w:asciiTheme="minorEastAsia" w:hAnsiTheme="minorEastAsia" w:cstheme="minorEastAsia"/>
                <w:color w:val="auto"/>
                <w:kern w:val="0"/>
                <w:szCs w:val="21"/>
                <w:highlight w:val="none"/>
                <w:lang w:bidi="ar"/>
              </w:rPr>
              <w:t>两年内</w:t>
            </w:r>
            <w:r>
              <w:rPr>
                <w:rFonts w:asciiTheme="minorEastAsia" w:hAnsiTheme="minorEastAsia" w:cstheme="minorEastAsia"/>
                <w:color w:val="auto"/>
                <w:kern w:val="0"/>
                <w:szCs w:val="21"/>
                <w:highlight w:val="none"/>
                <w:lang w:bidi="ar"/>
              </w:rPr>
              <w:t>再次违反此规定，</w:t>
            </w:r>
            <w:r>
              <w:rPr>
                <w:rFonts w:ascii="Times New Roman" w:hAnsi="Times New Roman" w:eastAsia="宋体" w:cs="Times New Roman"/>
                <w:color w:val="auto"/>
                <w:kern w:val="0"/>
                <w:szCs w:val="21"/>
                <w:highlight w:val="none"/>
              </w:rPr>
              <w:t>无危害后果</w:t>
            </w:r>
            <w:r>
              <w:rPr>
                <w:rFonts w:hint="eastAsia" w:ascii="Times New Roman" w:hAnsi="Times New Roman" w:eastAsia="宋体" w:cs="Times New Roman"/>
                <w:color w:val="auto"/>
                <w:kern w:val="0"/>
                <w:szCs w:val="21"/>
                <w:highlight w:val="none"/>
              </w:rPr>
              <w:t>。</w:t>
            </w:r>
          </w:p>
          <w:p>
            <w:pPr>
              <w:rPr>
                <w:rFonts w:ascii="Times New Roman" w:hAnsi="Times New Roman" w:eastAsia="宋体" w:cs="Times New Roman"/>
                <w:color w:val="auto"/>
                <w:kern w:val="0"/>
                <w:szCs w:val="21"/>
                <w:highlight w:val="none"/>
                <w:lang w:bidi="ar"/>
              </w:rPr>
            </w:pPr>
          </w:p>
        </w:tc>
        <w:tc>
          <w:tcPr>
            <w:tcW w:w="1190" w:type="dxa"/>
          </w:tcPr>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责令改正，处5万元以上8万元以下的罚款。</w:t>
            </w:r>
          </w:p>
          <w:p>
            <w:pPr>
              <w:rPr>
                <w:rFonts w:ascii="Times New Roman" w:hAnsi="Times New Roman" w:eastAsia="宋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rPr>
              <w:t>造成人身伤亡、财产损失、社会影响等后果。</w:t>
            </w:r>
          </w:p>
        </w:tc>
        <w:tc>
          <w:tcPr>
            <w:tcW w:w="1190" w:type="dxa"/>
          </w:tcPr>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责令改正，处罚8万元以上10万元以下的罚款。</w:t>
            </w:r>
          </w:p>
          <w:p>
            <w:pPr>
              <w:rPr>
                <w:rFonts w:ascii="Times New Roman" w:hAnsi="Times New Roman" w:eastAsia="宋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75" w:hRule="atLeast"/>
        </w:trPr>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运输民用爆炸物品未随车携带民用爆炸物品运输许可证</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 xml:space="preserve">第七十一条 </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公安机关对危险货物承运人违反本办法第四十四条，运输剧毒化学品、民用爆炸物品、烟花爆竹或者放射性物品未随车携带相应单证报告的，应当责令改正，并予以处罚：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（二）运输民用爆炸物品未随车携带民用爆炸物品运输许可证的，处5万元以上20万元以下的罚款</w:t>
            </w:r>
            <w:r>
              <w:rPr>
                <w:rFonts w:hint="eastAsia" w:ascii="Times New Roman" w:hAnsi="Times New Roman" w:eastAsia="宋体" w:cs="Times New Roman"/>
                <w:color w:val="auto"/>
                <w:kern w:val="0"/>
                <w:szCs w:val="21"/>
                <w:highlight w:val="none"/>
                <w:lang w:bidi="ar"/>
              </w:rPr>
              <w:t>。</w:t>
            </w: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首次违反，且无危害后果。</w:t>
            </w:r>
            <w:r>
              <w:rPr>
                <w:rFonts w:hint="eastAsia" w:ascii="宋体" w:hAnsi="宋体" w:eastAsia="宋体" w:cs="宋体"/>
                <w:color w:val="auto"/>
                <w:kern w:val="0"/>
                <w:szCs w:val="21"/>
                <w:highlight w:val="none"/>
                <w:lang w:bidi="ar"/>
              </w:rPr>
              <w:br w:type="textWrapping"/>
            </w:r>
          </w:p>
        </w:tc>
        <w:tc>
          <w:tcPr>
            <w:tcW w:w="1190" w:type="dxa"/>
          </w:tcPr>
          <w:p>
            <w:pPr>
              <w:widowControl/>
              <w:spacing w:line="30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责令改正，处5万元以上10万元以下的罚款。</w:t>
            </w: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两年内再次违反，且无危害后果。</w:t>
            </w:r>
          </w:p>
        </w:tc>
        <w:tc>
          <w:tcPr>
            <w:tcW w:w="1190" w:type="dxa"/>
          </w:tcPr>
          <w:p>
            <w:pPr>
              <w:widowControl/>
              <w:spacing w:line="30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责令改正，处10万元以上20万元以下的罚款。</w:t>
            </w: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运输烟花爆竹未随车携带烟花爆竹道路运输许可证</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第七十一条 公安机关对危险货物承运人违反本办法第四十四条，运输剧毒化学品、民用爆炸物品、烟花爆竹或者放射性物品未随车携带相应单证报告的，应当责令改正，并予以处罚：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（三）运输烟花爆竹未随车携带烟花爆竹道路运输许可证的，处200元以上2000元以下的罚款</w:t>
            </w:r>
            <w:r>
              <w:rPr>
                <w:rFonts w:hint="eastAsia" w:ascii="Times New Roman" w:hAnsi="Times New Roman" w:eastAsia="宋体" w:cs="Times New Roman"/>
                <w:color w:val="auto"/>
                <w:kern w:val="0"/>
                <w:szCs w:val="21"/>
                <w:highlight w:val="none"/>
                <w:lang w:bidi="ar"/>
              </w:rPr>
              <w:t>。</w:t>
            </w:r>
          </w:p>
        </w:tc>
        <w:tc>
          <w:tcPr>
            <w:tcW w:w="2115"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一般情况下</w:t>
            </w:r>
          </w:p>
        </w:tc>
        <w:tc>
          <w:tcPr>
            <w:tcW w:w="1190" w:type="dxa"/>
          </w:tcPr>
          <w:p>
            <w:pPr>
              <w:widowControl/>
              <w:spacing w:line="34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责令改正，处200元以上1000元以下的罚款。</w:t>
            </w: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hint="eastAsia" w:asciiTheme="minorEastAsia" w:hAnsiTheme="minorEastAsia" w:cstheme="minorEastAsia"/>
                <w:color w:val="auto"/>
                <w:kern w:val="0"/>
                <w:szCs w:val="21"/>
                <w:highlight w:val="none"/>
                <w:lang w:bidi="ar"/>
              </w:rPr>
              <w:t>1、以暴力方法阻碍执法；</w:t>
            </w:r>
            <w:r>
              <w:rPr>
                <w:rFonts w:hint="eastAsia" w:ascii="宋体" w:hAnsi="宋体" w:eastAsia="宋体" w:cs="宋体"/>
                <w:color w:val="auto"/>
                <w:kern w:val="0"/>
                <w:szCs w:val="21"/>
                <w:highlight w:val="none"/>
                <w:lang w:bidi="ar"/>
              </w:rPr>
              <w:t xml:space="preserve">                  </w:t>
            </w:r>
            <w:r>
              <w:rPr>
                <w:rFonts w:hint="eastAsia" w:ascii="宋体" w:hAnsi="宋体" w:eastAsia="宋体" w:cs="宋体"/>
                <w:color w:val="auto"/>
                <w:kern w:val="0"/>
                <w:szCs w:val="21"/>
                <w:highlight w:val="none"/>
                <w:lang w:bidi="ar"/>
              </w:rPr>
              <w:br w:type="textWrapping"/>
            </w:r>
            <w:r>
              <w:rPr>
                <w:rFonts w:hint="eastAsia" w:ascii="宋体" w:hAnsi="宋体" w:eastAsia="宋体" w:cs="宋体"/>
                <w:color w:val="auto"/>
                <w:kern w:val="0"/>
                <w:szCs w:val="21"/>
                <w:highlight w:val="none"/>
                <w:lang w:bidi="ar"/>
              </w:rPr>
              <w:t>2、两年内曾违反此规定。</w:t>
            </w:r>
          </w:p>
        </w:tc>
        <w:tc>
          <w:tcPr>
            <w:tcW w:w="1190" w:type="dxa"/>
          </w:tcPr>
          <w:p>
            <w:pPr>
              <w:widowControl/>
              <w:spacing w:line="34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责令改正，处1000元以上2000元以下的罚款。</w:t>
            </w: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440" w:hRule="atLeast"/>
        </w:trPr>
        <w:tc>
          <w:tcPr>
            <w:tcW w:w="1794"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运输放射性物品未随车携带放射性物品道路运输许可证明或者文件</w:t>
            </w:r>
          </w:p>
        </w:tc>
        <w:tc>
          <w:tcPr>
            <w:tcW w:w="2370"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 xml:space="preserve">第七十一条 </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公安机关对危险货物承运人违反本办法第四十四条，运输剧毒化学品、民用爆炸物品、烟花爆竹或者放射性物品未随车携带相应单证报告的，应当责令改正，并予以处罚：</w:t>
            </w:r>
          </w:p>
          <w:p>
            <w:pPr>
              <w:widowControl/>
              <w:numPr>
                <w:ilvl w:val="0"/>
                <w:numId w:val="2"/>
              </w:numPr>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运输放射性物品未随车携带放射性物品道路运输许可证明或者文件的，有违法所得的，处违法所得3倍以下且不超过3万元的罚款；没有违法所得的，处1万元以下的罚款。</w:t>
            </w: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heme="minorEastAsia" w:hAnsiTheme="minorEastAsia" w:cstheme="minorEastAsia"/>
                <w:color w:val="auto"/>
                <w:kern w:val="0"/>
                <w:szCs w:val="21"/>
                <w:highlight w:val="none"/>
                <w:lang w:bidi="ar"/>
              </w:rPr>
              <w:t>不需分阶</w:t>
            </w:r>
          </w:p>
        </w:tc>
        <w:tc>
          <w:tcPr>
            <w:tcW w:w="1190" w:type="dxa"/>
          </w:tcPr>
          <w:p>
            <w:pPr>
              <w:widowControl/>
              <w:spacing w:line="300" w:lineRule="exact"/>
              <w:textAlignment w:val="top"/>
              <w:rPr>
                <w:rFonts w:ascii="宋体" w:hAnsi="宋体" w:eastAsia="宋体" w:cs="宋体"/>
                <w:color w:val="auto"/>
                <w:kern w:val="0"/>
                <w:szCs w:val="21"/>
                <w:highlight w:val="none"/>
                <w:lang w:bidi="ar"/>
              </w:rPr>
            </w:pPr>
            <w:r>
              <w:rPr>
                <w:rFonts w:ascii="Times New Roman" w:hAnsi="Times New Roman" w:eastAsia="宋体" w:cs="Times New Roman"/>
                <w:color w:val="auto"/>
                <w:kern w:val="0"/>
                <w:szCs w:val="21"/>
                <w:highlight w:val="none"/>
                <w:lang w:bidi="ar"/>
              </w:rPr>
              <w:t>责令改正</w:t>
            </w:r>
            <w:r>
              <w:rPr>
                <w:rFonts w:hint="eastAsia" w:ascii="Times New Roman" w:hAnsi="Times New Roman" w:eastAsia="宋体" w:cs="Times New Roman"/>
                <w:color w:val="auto"/>
                <w:kern w:val="0"/>
                <w:szCs w:val="21"/>
                <w:highlight w:val="none"/>
                <w:lang w:bidi="ar"/>
              </w:rPr>
              <w:t>，</w:t>
            </w:r>
            <w:r>
              <w:rPr>
                <w:rFonts w:ascii="Times New Roman" w:hAnsi="Times New Roman" w:eastAsia="宋体" w:cs="Times New Roman"/>
                <w:color w:val="auto"/>
                <w:kern w:val="0"/>
                <w:szCs w:val="21"/>
                <w:highlight w:val="none"/>
                <w:lang w:bidi="ar"/>
              </w:rPr>
              <w:t>有违法所得的，处违法所得3倍以下且不超过3万元的罚款；没有违法所得的，处1万元以下的罚款。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85" w:hRule="atLeast"/>
        </w:trPr>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运输民用爆炸物品的危险货物运输车辆未依照批准路线等行驶</w:t>
            </w:r>
            <w:r>
              <w:rPr>
                <w:rFonts w:hint="eastAsia" w:ascii="Times New Roman" w:hAnsi="Times New Roman" w:eastAsia="宋体" w:cs="Times New Roman"/>
                <w:color w:val="auto"/>
                <w:kern w:val="0"/>
                <w:szCs w:val="21"/>
                <w:highlight w:val="none"/>
                <w:lang w:bidi="ar"/>
              </w:rPr>
              <w:t>的</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第七十二条</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 xml:space="preserve"> 公安机关对危险货物运输车辆违反本办法第四十八条，未依照批准路线等行驶的，应当责令改正，并对承运人予以处罚：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（二）运输民用爆炸物品的，处5万元以上20万元以下的罚款</w:t>
            </w:r>
            <w:r>
              <w:rPr>
                <w:rFonts w:hint="eastAsia" w:ascii="Times New Roman" w:hAnsi="Times New Roman" w:eastAsia="宋体" w:cs="Times New Roman"/>
                <w:color w:val="auto"/>
                <w:kern w:val="0"/>
                <w:szCs w:val="21"/>
                <w:highlight w:val="none"/>
                <w:lang w:bidi="ar"/>
              </w:rPr>
              <w:t>。</w:t>
            </w: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首次违反，且无危害后果。</w:t>
            </w:r>
            <w:r>
              <w:rPr>
                <w:rFonts w:hint="eastAsia" w:ascii="宋体" w:hAnsi="宋体" w:eastAsia="宋体" w:cs="宋体"/>
                <w:color w:val="auto"/>
                <w:kern w:val="0"/>
                <w:szCs w:val="21"/>
                <w:highlight w:val="none"/>
                <w:lang w:bidi="ar"/>
              </w:rPr>
              <w:br w:type="textWrapping"/>
            </w:r>
          </w:p>
        </w:tc>
        <w:tc>
          <w:tcPr>
            <w:tcW w:w="1190" w:type="dxa"/>
          </w:tcPr>
          <w:p>
            <w:pPr>
              <w:widowControl/>
              <w:spacing w:line="30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责令改正，处5万元以上10万元以下的罚款。</w:t>
            </w: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00" w:lineRule="exact"/>
              <w:jc w:val="lef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两年内再次违反，且无危害后果。</w:t>
            </w:r>
          </w:p>
        </w:tc>
        <w:tc>
          <w:tcPr>
            <w:tcW w:w="1190" w:type="dxa"/>
          </w:tcPr>
          <w:p>
            <w:pPr>
              <w:widowControl/>
              <w:spacing w:line="30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责令改正，处10万元以上20万元以下的罚款。</w:t>
            </w: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p>
            <w:pPr>
              <w:widowControl/>
              <w:spacing w:line="300" w:lineRule="exact"/>
              <w:textAlignment w:val="top"/>
              <w:rPr>
                <w:rFonts w:ascii="宋体" w:hAnsi="宋体" w:eastAsia="宋体" w:cs="宋体"/>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w:t>
            </w:r>
            <w:r>
              <w:rPr>
                <w:rFonts w:hint="eastAsia" w:ascii="Times New Roman" w:hAnsi="Times New Roman" w:eastAsia="宋体" w:cs="Times New Roman"/>
                <w:color w:val="auto"/>
                <w:kern w:val="0"/>
                <w:szCs w:val="21"/>
                <w:highlight w:val="none"/>
                <w:lang w:bidi="ar"/>
              </w:rPr>
              <w:t>烟花爆竹</w:t>
            </w:r>
            <w:r>
              <w:rPr>
                <w:rFonts w:ascii="Times New Roman" w:hAnsi="Times New Roman" w:eastAsia="宋体" w:cs="Times New Roman"/>
                <w:color w:val="auto"/>
                <w:kern w:val="0"/>
                <w:szCs w:val="21"/>
                <w:highlight w:val="none"/>
                <w:lang w:bidi="ar"/>
              </w:rPr>
              <w:t>的危险货物运输车辆未依照批准路线等行驶</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 xml:space="preserve">第七十二条 </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公安机关对危险货物运输车辆违反本办法第四十八条，未依照批准路线等行驶的，应当</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责令改正，并对承运人予以处罚：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（三）运输烟花爆竹的，处200元以上2000元以下的罚款</w:t>
            </w:r>
            <w:r>
              <w:rPr>
                <w:rFonts w:hint="eastAsia" w:ascii="Times New Roman" w:hAnsi="Times New Roman" w:eastAsia="宋体" w:cs="Times New Roman"/>
                <w:color w:val="auto"/>
                <w:kern w:val="0"/>
                <w:szCs w:val="21"/>
                <w:highlight w:val="none"/>
                <w:lang w:bidi="ar"/>
              </w:rPr>
              <w:t>。</w:t>
            </w: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一般情况下</w:t>
            </w:r>
          </w:p>
        </w:tc>
        <w:tc>
          <w:tcPr>
            <w:tcW w:w="1190" w:type="dxa"/>
          </w:tcPr>
          <w:p>
            <w:pPr>
              <w:widowControl/>
              <w:spacing w:line="34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责令改正，处200元以上1000元以下的罚款。</w:t>
            </w:r>
          </w:p>
          <w:p>
            <w:pPr>
              <w:widowControl/>
              <w:spacing w:line="340" w:lineRule="exact"/>
              <w:textAlignment w:val="top"/>
              <w:rPr>
                <w:rFonts w:ascii="Times New Roman" w:hAnsi="Times New Roman" w:eastAsia="宋体" w:cs="Times New Roman"/>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widowControl/>
              <w:spacing w:line="340" w:lineRule="exact"/>
              <w:textAlignment w:val="top"/>
              <w:rPr>
                <w:rFonts w:ascii="Times New Roman" w:hAnsi="Times New Roman" w:eastAsia="宋体" w:cs="Times New Roman"/>
                <w:color w:val="auto"/>
                <w:kern w:val="0"/>
                <w:szCs w:val="21"/>
                <w:highlight w:val="none"/>
                <w:lang w:bidi="ar"/>
              </w:rPr>
            </w:pPr>
            <w:r>
              <w:rPr>
                <w:rFonts w:hint="eastAsia" w:asciiTheme="minorEastAsia" w:hAnsiTheme="minorEastAsia" w:cstheme="minorEastAsia"/>
                <w:color w:val="auto"/>
                <w:kern w:val="0"/>
                <w:szCs w:val="21"/>
                <w:highlight w:val="none"/>
                <w:lang w:bidi="ar"/>
              </w:rPr>
              <w:t>1、以暴力方法阻碍执法；</w:t>
            </w:r>
            <w:r>
              <w:rPr>
                <w:rFonts w:hint="eastAsia" w:ascii="宋体" w:hAnsi="宋体" w:eastAsia="宋体" w:cs="宋体"/>
                <w:color w:val="auto"/>
                <w:kern w:val="0"/>
                <w:szCs w:val="21"/>
                <w:highlight w:val="none"/>
                <w:lang w:bidi="ar"/>
              </w:rPr>
              <w:t xml:space="preserve">                  </w:t>
            </w:r>
            <w:r>
              <w:rPr>
                <w:rFonts w:hint="eastAsia" w:ascii="宋体" w:hAnsi="宋体" w:eastAsia="宋体" w:cs="宋体"/>
                <w:color w:val="auto"/>
                <w:kern w:val="0"/>
                <w:szCs w:val="21"/>
                <w:highlight w:val="none"/>
                <w:lang w:bidi="ar"/>
              </w:rPr>
              <w:br w:type="textWrapping"/>
            </w:r>
            <w:r>
              <w:rPr>
                <w:rFonts w:hint="eastAsia" w:ascii="宋体" w:hAnsi="宋体" w:eastAsia="宋体" w:cs="宋体"/>
                <w:color w:val="auto"/>
                <w:kern w:val="0"/>
                <w:szCs w:val="21"/>
                <w:highlight w:val="none"/>
                <w:lang w:bidi="ar"/>
              </w:rPr>
              <w:t>2、两年内曾违反此规定。</w:t>
            </w:r>
          </w:p>
        </w:tc>
        <w:tc>
          <w:tcPr>
            <w:tcW w:w="1190" w:type="dxa"/>
          </w:tcPr>
          <w:p>
            <w:pPr>
              <w:widowControl/>
              <w:spacing w:line="340" w:lineRule="exact"/>
              <w:textAlignment w:val="top"/>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责令改正，处1000元以上2000元以下的罚款。</w:t>
            </w:r>
          </w:p>
          <w:p>
            <w:pPr>
              <w:widowControl/>
              <w:spacing w:line="340" w:lineRule="exact"/>
              <w:textAlignment w:val="top"/>
              <w:rPr>
                <w:rFonts w:ascii="宋体" w:hAnsi="宋体" w:eastAsia="宋体" w:cs="宋体"/>
                <w:color w:val="auto"/>
                <w:kern w:val="0"/>
                <w:szCs w:val="21"/>
                <w:highlight w:val="none"/>
                <w:lang w:bidi="ar"/>
              </w:rPr>
            </w:pPr>
          </w:p>
          <w:p>
            <w:pPr>
              <w:widowControl/>
              <w:spacing w:line="340" w:lineRule="exact"/>
              <w:textAlignment w:val="top"/>
              <w:rPr>
                <w:rFonts w:ascii="Times New Roman" w:hAnsi="Times New Roman" w:eastAsia="宋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运输放射性物品的危险货物运输车辆未依照批准路线等行驶</w:t>
            </w:r>
            <w:r>
              <w:rPr>
                <w:rFonts w:hint="eastAsia" w:ascii="Times New Roman" w:hAnsi="Times New Roman" w:eastAsia="宋体" w:cs="Times New Roman"/>
                <w:color w:val="auto"/>
                <w:kern w:val="0"/>
                <w:szCs w:val="21"/>
                <w:highlight w:val="none"/>
                <w:lang w:bidi="ar"/>
              </w:rPr>
              <w:t>的</w:t>
            </w:r>
          </w:p>
        </w:tc>
        <w:tc>
          <w:tcPr>
            <w:tcW w:w="2370" w:type="dxa"/>
            <w:vMerge w:val="restart"/>
          </w:tcPr>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 xml:space="preserve">第七十二条 </w:t>
            </w:r>
            <w:r>
              <w:rPr>
                <w:rFonts w:hint="eastAsia" w:ascii="Times New Roman" w:hAnsi="Times New Roman" w:eastAsia="宋体" w:cs="Times New Roman"/>
                <w:color w:val="auto"/>
                <w:kern w:val="0"/>
                <w:szCs w:val="21"/>
                <w:highlight w:val="none"/>
                <w:lang w:bidi="ar"/>
              </w:rPr>
              <w:t xml:space="preserve"> </w:t>
            </w:r>
            <w:r>
              <w:rPr>
                <w:rFonts w:ascii="Times New Roman" w:hAnsi="Times New Roman" w:eastAsia="宋体" w:cs="Times New Roman"/>
                <w:color w:val="auto"/>
                <w:kern w:val="0"/>
                <w:szCs w:val="21"/>
                <w:highlight w:val="none"/>
                <w:lang w:bidi="ar"/>
              </w:rPr>
              <w:t>公安机关对危险货物运输车辆违反本办法第四十八条，未依照批准路线等行驶的，应当责令改正，并对承运人予以处罚：</w:t>
            </w:r>
          </w:p>
          <w:p>
            <w:pPr>
              <w:widowControl/>
              <w:spacing w:line="340" w:lineRule="exact"/>
              <w:textAlignment w:val="top"/>
              <w:rPr>
                <w:rFonts w:ascii="Times New Roman" w:hAnsi="Times New Roman" w:eastAsia="宋体" w:cs="Times New Roman"/>
                <w:color w:val="auto"/>
                <w:kern w:val="0"/>
                <w:szCs w:val="21"/>
                <w:highlight w:val="none"/>
                <w:lang w:bidi="ar"/>
              </w:rPr>
            </w:pPr>
            <w:r>
              <w:rPr>
                <w:rFonts w:ascii="Times New Roman" w:hAnsi="Times New Roman" w:eastAsia="宋体" w:cs="Times New Roman"/>
                <w:color w:val="auto"/>
                <w:kern w:val="0"/>
                <w:szCs w:val="21"/>
                <w:highlight w:val="none"/>
                <w:lang w:bidi="ar"/>
              </w:rPr>
              <w:t>（四）运输放射性物品的，处2万元以上10万元以下的罚款。</w:t>
            </w:r>
          </w:p>
        </w:tc>
        <w:tc>
          <w:tcPr>
            <w:tcW w:w="2115" w:type="dxa"/>
          </w:tcPr>
          <w:p>
            <w:pPr>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rPr>
              <w:t>初次违反此规定，无危害后果。</w:t>
            </w:r>
          </w:p>
        </w:tc>
        <w:tc>
          <w:tcPr>
            <w:tcW w:w="1190" w:type="dxa"/>
          </w:tcPr>
          <w:p>
            <w:pP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责令改正，处2万元以上5万元以下的罚款。</w:t>
            </w: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lang w:bidi="ar"/>
              </w:rPr>
              <w:t>两年内</w:t>
            </w:r>
            <w:r>
              <w:rPr>
                <w:rFonts w:hint="eastAsia" w:ascii="宋体" w:hAnsi="宋体" w:eastAsia="宋体" w:cs="宋体"/>
                <w:color w:val="auto"/>
                <w:kern w:val="0"/>
                <w:szCs w:val="21"/>
                <w:highlight w:val="none"/>
              </w:rPr>
              <w:t>再次违反此规定，无危害后果。</w:t>
            </w:r>
          </w:p>
        </w:tc>
        <w:tc>
          <w:tcPr>
            <w:tcW w:w="1190" w:type="dxa"/>
          </w:tcPr>
          <w:p>
            <w:pP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责令改正，处5万元以上8万元以下的罚款。</w:t>
            </w: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794"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370" w:type="dxa"/>
            <w:vMerge w:val="continue"/>
          </w:tcPr>
          <w:p>
            <w:pPr>
              <w:widowControl/>
              <w:spacing w:line="340" w:lineRule="exact"/>
              <w:textAlignment w:val="top"/>
              <w:rPr>
                <w:rFonts w:ascii="Times New Roman" w:hAnsi="Times New Roman" w:eastAsia="宋体" w:cs="Times New Roman"/>
                <w:color w:val="auto"/>
                <w:kern w:val="0"/>
                <w:szCs w:val="21"/>
                <w:highlight w:val="none"/>
                <w:lang w:bidi="ar"/>
              </w:rPr>
            </w:pPr>
          </w:p>
        </w:tc>
        <w:tc>
          <w:tcPr>
            <w:tcW w:w="2115" w:type="dxa"/>
          </w:tcPr>
          <w:p>
            <w:pPr>
              <w:rPr>
                <w:rFonts w:ascii="Times New Roman" w:hAnsi="Times New Roman" w:eastAsia="宋体" w:cs="Times New Roman"/>
                <w:color w:val="auto"/>
                <w:kern w:val="0"/>
                <w:szCs w:val="21"/>
                <w:highlight w:val="none"/>
                <w:lang w:bidi="ar"/>
              </w:rPr>
            </w:pPr>
            <w:r>
              <w:rPr>
                <w:rFonts w:hint="eastAsia" w:ascii="宋体" w:hAnsi="宋体" w:eastAsia="宋体" w:cs="宋体"/>
                <w:color w:val="auto"/>
                <w:kern w:val="0"/>
                <w:szCs w:val="21"/>
                <w:highlight w:val="none"/>
              </w:rPr>
              <w:t>造成人身伤亡、财产损失、社会影响等后果。</w:t>
            </w:r>
          </w:p>
        </w:tc>
        <w:tc>
          <w:tcPr>
            <w:tcW w:w="1190" w:type="dxa"/>
          </w:tcPr>
          <w:p>
            <w:pP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责令改正，处罚8万元以上10万元以下的罚款。</w:t>
            </w: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p>
            <w:pPr>
              <w:rPr>
                <w:rFonts w:ascii="宋体" w:hAnsi="宋体" w:eastAsia="宋体" w:cs="宋体"/>
                <w:color w:val="auto"/>
                <w:kern w:val="0"/>
                <w:szCs w:val="21"/>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B971E"/>
    <w:multiLevelType w:val="singleLevel"/>
    <w:tmpl w:val="636B971E"/>
    <w:lvl w:ilvl="0" w:tentative="0">
      <w:start w:val="1"/>
      <w:numFmt w:val="decimal"/>
      <w:suff w:val="nothing"/>
      <w:lvlText w:val="%1、"/>
      <w:lvlJc w:val="left"/>
    </w:lvl>
  </w:abstractNum>
  <w:abstractNum w:abstractNumId="1">
    <w:nsid w:val="636B992E"/>
    <w:multiLevelType w:val="singleLevel"/>
    <w:tmpl w:val="636B992E"/>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54514685"/>
    <w:rsid w:val="388E5B8C"/>
    <w:rsid w:val="54514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2024-05-13T07:42:00Z</dcterms:created>
  <dc:creator>Administrator</dc:creator>
  <cp:lastModifiedBy>Administrator</cp:lastModifiedBy>
  <dcterms:modified xsi:type="dcterms:W3CDTF">2024-05-13T12:06:08Z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63D0E0E2E5E94B4194FD019C91065C30_11</vt:lpwstr>
  </property>
</Properties>
</file>