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违反《易制爆危险化学品治安管理办法》处罚裁量基准</w:t>
      </w:r>
    </w:p>
    <w:tbl>
      <w:tblPr>
        <w:tblStyle w:val="3"/>
        <w:tblW w:w="74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1"/>
        <w:gridCol w:w="2370"/>
        <w:gridCol w:w="2078"/>
        <w:gridCol w:w="12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7" w:hRule="atLeast"/>
          <w:tblHeader/>
          <w:jc w:val="center"/>
        </w:trPr>
        <w:tc>
          <w:tcPr>
            <w:tcW w:w="1801" w:type="dxa"/>
            <w:tcBorders>
              <w:tl2br w:val="nil"/>
              <w:tr2bl w:val="nil"/>
            </w:tcBorders>
            <w:shd w:val="clear" w:color="auto" w:fill="auto"/>
          </w:tcPr>
          <w:p>
            <w:pPr>
              <w:widowControl/>
              <w:spacing w:line="300" w:lineRule="exact"/>
              <w:ind w:right="42" w:rightChars="20"/>
              <w:jc w:val="center"/>
              <w:textAlignment w:val="center"/>
              <w:rPr>
                <w:rFonts w:asciiTheme="minorEastAsia" w:hAnsiTheme="minorEastAsia" w:cstheme="minorEastAsia"/>
                <w:b/>
                <w:color w:val="auto"/>
                <w:szCs w:val="21"/>
                <w:highlight w:val="none"/>
              </w:rPr>
            </w:pPr>
            <w:bookmarkStart w:id="0" w:name="_GoBack"/>
            <w:bookmarkEnd w:id="0"/>
            <w:r>
              <w:rPr>
                <w:rFonts w:hint="eastAsia" w:asciiTheme="minorEastAsia" w:hAnsiTheme="minorEastAsia" w:cstheme="minorEastAsia"/>
                <w:b/>
                <w:color w:val="auto"/>
                <w:kern w:val="0"/>
                <w:szCs w:val="21"/>
                <w:highlight w:val="none"/>
                <w:lang w:bidi="ar"/>
              </w:rPr>
              <w:t>违法行为</w:t>
            </w:r>
          </w:p>
        </w:tc>
        <w:tc>
          <w:tcPr>
            <w:tcW w:w="2370" w:type="dxa"/>
            <w:tcBorders>
              <w:tl2br w:val="nil"/>
              <w:tr2bl w:val="nil"/>
            </w:tcBorders>
            <w:shd w:val="clear" w:color="auto" w:fill="auto"/>
          </w:tcPr>
          <w:p>
            <w:pPr>
              <w:widowControl/>
              <w:spacing w:line="300" w:lineRule="exact"/>
              <w:jc w:val="center"/>
              <w:textAlignment w:val="center"/>
              <w:rPr>
                <w:rFonts w:asciiTheme="minorEastAsia" w:hAnsiTheme="minorEastAsia" w:cstheme="minorEastAsia"/>
                <w:b/>
                <w:color w:val="auto"/>
                <w:szCs w:val="21"/>
                <w:highlight w:val="none"/>
              </w:rPr>
            </w:pPr>
            <w:r>
              <w:rPr>
                <w:rFonts w:hint="eastAsia" w:asciiTheme="minorEastAsia" w:hAnsiTheme="minorEastAsia" w:cstheme="minorEastAsia"/>
                <w:b/>
                <w:color w:val="auto"/>
                <w:kern w:val="0"/>
                <w:szCs w:val="21"/>
                <w:highlight w:val="none"/>
                <w:lang w:bidi="ar"/>
              </w:rPr>
              <w:t>法律依据</w:t>
            </w:r>
          </w:p>
        </w:tc>
        <w:tc>
          <w:tcPr>
            <w:tcW w:w="2078" w:type="dxa"/>
            <w:tcBorders>
              <w:tl2br w:val="nil"/>
              <w:tr2bl w:val="nil"/>
            </w:tcBorders>
            <w:shd w:val="clear" w:color="auto" w:fill="auto"/>
          </w:tcPr>
          <w:p>
            <w:pPr>
              <w:widowControl/>
              <w:spacing w:line="300" w:lineRule="exact"/>
              <w:jc w:val="center"/>
              <w:textAlignment w:val="center"/>
              <w:rPr>
                <w:rFonts w:asciiTheme="minorEastAsia" w:hAnsiTheme="minorEastAsia" w:cstheme="minorEastAsia"/>
                <w:b/>
                <w:color w:val="auto"/>
                <w:szCs w:val="21"/>
                <w:highlight w:val="none"/>
              </w:rPr>
            </w:pPr>
            <w:r>
              <w:rPr>
                <w:rFonts w:hint="eastAsia" w:asciiTheme="minorEastAsia" w:hAnsiTheme="minorEastAsia" w:cstheme="minorEastAsia"/>
                <w:b/>
                <w:color w:val="auto"/>
                <w:kern w:val="0"/>
                <w:szCs w:val="21"/>
                <w:highlight w:val="none"/>
                <w:lang w:bidi="ar"/>
              </w:rPr>
              <w:t>违法情节</w:t>
            </w:r>
          </w:p>
        </w:tc>
        <w:tc>
          <w:tcPr>
            <w:tcW w:w="1234" w:type="dxa"/>
            <w:tcBorders>
              <w:tl2br w:val="nil"/>
              <w:tr2bl w:val="nil"/>
            </w:tcBorders>
            <w:shd w:val="clear" w:color="auto" w:fill="auto"/>
          </w:tcPr>
          <w:p>
            <w:pPr>
              <w:widowControl/>
              <w:spacing w:line="300" w:lineRule="exact"/>
              <w:jc w:val="center"/>
              <w:textAlignment w:val="center"/>
              <w:rPr>
                <w:rFonts w:asciiTheme="minorEastAsia" w:hAnsiTheme="minorEastAsia" w:cstheme="minorEastAsia"/>
                <w:b/>
                <w:color w:val="auto"/>
                <w:szCs w:val="21"/>
                <w:highlight w:val="none"/>
              </w:rPr>
            </w:pPr>
            <w:r>
              <w:rPr>
                <w:rFonts w:hint="eastAsia" w:asciiTheme="minorEastAsia" w:hAnsiTheme="minorEastAsia" w:cstheme="minorEastAsia"/>
                <w:b/>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vMerge w:val="restart"/>
            <w:tcBorders>
              <w:tl2br w:val="nil"/>
              <w:tr2bl w:val="nil"/>
            </w:tcBorders>
            <w:shd w:val="clear" w:color="auto" w:fill="auto"/>
          </w:tcPr>
          <w:p>
            <w:pPr>
              <w:widowControl/>
              <w:spacing w:line="310" w:lineRule="exact"/>
              <w:textAlignment w:val="top"/>
              <w:rPr>
                <w:rFonts w:asciiTheme="minorEastAsia" w:hAnsiTheme="minorEastAsia" w:cstheme="minorEastAsia"/>
                <w:color w:val="auto"/>
                <w:kern w:val="0"/>
                <w:szCs w:val="21"/>
                <w:highlight w:val="none"/>
                <w:lang w:bidi="ar"/>
              </w:rPr>
            </w:pPr>
            <w:r>
              <w:rPr>
                <w:rFonts w:ascii="Times New Roman" w:hAnsi="Times New Roman" w:eastAsia="方正书宋简体" w:cs="Times New Roman"/>
                <w:color w:val="auto"/>
                <w:kern w:val="0"/>
                <w:szCs w:val="21"/>
                <w:highlight w:val="none"/>
                <w:lang w:bidi="ar"/>
              </w:rPr>
              <w:t>易制爆危险化学品从业单位未建立易制爆危险化学品信息系统，</w:t>
            </w:r>
            <w:r>
              <w:rPr>
                <w:rFonts w:hint="eastAsia" w:ascii="Times New Roman" w:hAnsi="Times New Roman" w:eastAsia="方正书宋简体" w:cs="Times New Roman"/>
                <w:color w:val="auto"/>
                <w:kern w:val="0"/>
                <w:szCs w:val="21"/>
                <w:highlight w:val="none"/>
                <w:lang w:bidi="ar"/>
              </w:rPr>
              <w:t>或</w:t>
            </w:r>
            <w:r>
              <w:rPr>
                <w:rFonts w:ascii="Times New Roman" w:hAnsi="Times New Roman" w:eastAsia="方正书宋简体" w:cs="Times New Roman"/>
                <w:color w:val="auto"/>
                <w:kern w:val="0"/>
                <w:szCs w:val="21"/>
                <w:highlight w:val="none"/>
                <w:lang w:bidi="ar"/>
              </w:rPr>
              <w:t>未实现与公安机关的信息系统互联互通</w:t>
            </w:r>
            <w:r>
              <w:rPr>
                <w:rFonts w:hint="eastAsia" w:ascii="Times New Roman" w:hAnsi="Times New Roman" w:eastAsia="方正书宋简体" w:cs="Times New Roman"/>
                <w:color w:val="auto"/>
                <w:kern w:val="0"/>
                <w:szCs w:val="21"/>
                <w:highlight w:val="none"/>
                <w:lang w:bidi="ar"/>
              </w:rPr>
              <w:t>。</w:t>
            </w:r>
          </w:p>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ascii="Times New Roman" w:hAnsi="Times New Roman" w:eastAsia="方正书宋简体" w:cs="Times New Roman"/>
                <w:color w:val="auto"/>
                <w:kern w:val="0"/>
                <w:szCs w:val="21"/>
                <w:highlight w:val="none"/>
                <w:lang w:bidi="ar"/>
              </w:rPr>
              <w:t>第</w:t>
            </w:r>
            <w:r>
              <w:rPr>
                <w:rFonts w:hint="eastAsia" w:ascii="Times New Roman" w:hAnsi="Times New Roman" w:eastAsia="方正书宋简体" w:cs="Times New Roman"/>
                <w:color w:val="auto"/>
                <w:kern w:val="0"/>
                <w:szCs w:val="21"/>
                <w:highlight w:val="none"/>
                <w:lang w:bidi="ar"/>
              </w:rPr>
              <w:t>三十</w:t>
            </w:r>
            <w:r>
              <w:rPr>
                <w:rFonts w:ascii="Times New Roman" w:hAnsi="Times New Roman" w:eastAsia="方正书宋简体" w:cs="Times New Roman"/>
                <w:color w:val="auto"/>
                <w:kern w:val="0"/>
                <w:szCs w:val="21"/>
                <w:highlight w:val="none"/>
                <w:lang w:bidi="ar"/>
              </w:rPr>
              <w:t xml:space="preserve">六条 </w:t>
            </w:r>
            <w:r>
              <w:rPr>
                <w:rFonts w:hint="eastAsia" w:ascii="Times New Roman" w:hAnsi="Times New Roman" w:eastAsia="方正书宋简体" w:cs="Times New Roman"/>
                <w:color w:val="auto"/>
                <w:kern w:val="0"/>
                <w:szCs w:val="21"/>
                <w:highlight w:val="none"/>
                <w:lang w:bidi="ar"/>
              </w:rPr>
              <w:t xml:space="preserve"> 违反本办法第六条规定的，由公安机关</w:t>
            </w:r>
            <w:r>
              <w:rPr>
                <w:rFonts w:ascii="Times New Roman" w:hAnsi="Times New Roman" w:eastAsia="方正书宋简体" w:cs="Times New Roman"/>
                <w:color w:val="auto"/>
                <w:kern w:val="0"/>
                <w:szCs w:val="21"/>
                <w:highlight w:val="none"/>
                <w:lang w:bidi="ar"/>
              </w:rPr>
              <w:t>责令限期改正，可以处</w:t>
            </w:r>
            <w:r>
              <w:rPr>
                <w:rFonts w:hint="eastAsia" w:ascii="Times New Roman" w:hAnsi="Times New Roman" w:eastAsia="方正书宋简体" w:cs="Times New Roman"/>
                <w:color w:val="auto"/>
                <w:kern w:val="0"/>
                <w:szCs w:val="21"/>
                <w:highlight w:val="none"/>
                <w:lang w:bidi="ar"/>
              </w:rPr>
              <w:t>1</w:t>
            </w:r>
            <w:r>
              <w:rPr>
                <w:rFonts w:ascii="Times New Roman" w:hAnsi="Times New Roman" w:eastAsia="方正书宋简体" w:cs="Times New Roman"/>
                <w:color w:val="auto"/>
                <w:kern w:val="0"/>
                <w:szCs w:val="21"/>
                <w:highlight w:val="none"/>
                <w:lang w:bidi="ar"/>
              </w:rPr>
              <w:t>万元以下罚款；逾期不改正的，处违法所得</w:t>
            </w:r>
            <w:r>
              <w:rPr>
                <w:rFonts w:hint="eastAsia" w:ascii="Times New Roman" w:hAnsi="Times New Roman" w:eastAsia="方正书宋简体" w:cs="Times New Roman"/>
                <w:color w:val="auto"/>
                <w:kern w:val="0"/>
                <w:szCs w:val="21"/>
                <w:highlight w:val="none"/>
                <w:lang w:bidi="ar"/>
              </w:rPr>
              <w:t>3</w:t>
            </w:r>
            <w:r>
              <w:rPr>
                <w:rFonts w:ascii="Times New Roman" w:hAnsi="Times New Roman" w:eastAsia="方正书宋简体" w:cs="Times New Roman"/>
                <w:color w:val="auto"/>
                <w:kern w:val="0"/>
                <w:szCs w:val="21"/>
                <w:highlight w:val="none"/>
                <w:lang w:bidi="ar"/>
              </w:rPr>
              <w:t>倍以下且不超过</w:t>
            </w:r>
            <w:r>
              <w:rPr>
                <w:rFonts w:hint="eastAsia" w:ascii="Times New Roman" w:hAnsi="Times New Roman" w:eastAsia="方正书宋简体" w:cs="Times New Roman"/>
                <w:color w:val="auto"/>
                <w:kern w:val="0"/>
                <w:szCs w:val="21"/>
                <w:highlight w:val="none"/>
                <w:lang w:bidi="ar"/>
              </w:rPr>
              <w:t>3</w:t>
            </w:r>
            <w:r>
              <w:rPr>
                <w:rFonts w:ascii="Times New Roman" w:hAnsi="Times New Roman" w:eastAsia="方正书宋简体" w:cs="Times New Roman"/>
                <w:color w:val="auto"/>
                <w:kern w:val="0"/>
                <w:szCs w:val="21"/>
                <w:highlight w:val="none"/>
                <w:lang w:bidi="ar"/>
              </w:rPr>
              <w:t>万元罚款，没有违法所得的，处</w:t>
            </w:r>
            <w:r>
              <w:rPr>
                <w:rFonts w:hint="eastAsia" w:ascii="Times New Roman" w:hAnsi="Times New Roman" w:eastAsia="方正书宋简体" w:cs="Times New Roman"/>
                <w:color w:val="auto"/>
                <w:kern w:val="0"/>
                <w:szCs w:val="21"/>
                <w:highlight w:val="none"/>
                <w:lang w:bidi="ar"/>
              </w:rPr>
              <w:t>1</w:t>
            </w:r>
            <w:r>
              <w:rPr>
                <w:rFonts w:ascii="Times New Roman" w:hAnsi="Times New Roman" w:eastAsia="方正书宋简体" w:cs="Times New Roman"/>
                <w:color w:val="auto"/>
                <w:kern w:val="0"/>
                <w:szCs w:val="21"/>
                <w:highlight w:val="none"/>
                <w:lang w:bidi="ar"/>
              </w:rPr>
              <w:t>万元以下罚款。</w:t>
            </w:r>
          </w:p>
        </w:tc>
        <w:tc>
          <w:tcPr>
            <w:tcW w:w="2078"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建立易制爆危险化学品信息系统，但未实现与公安机关的信息系统互联互通。</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建立易制爆危险化学品信息系统，但未实现与公安机关的信息系统互联互通。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vMerge w:val="continue"/>
            <w:tcBorders>
              <w:tl2br w:val="nil"/>
              <w:tr2bl w:val="nil"/>
            </w:tcBorders>
            <w:shd w:val="clear" w:color="auto" w:fill="auto"/>
          </w:tcPr>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未建立易制爆危险化学品信息系统</w:t>
            </w:r>
            <w:r>
              <w:rPr>
                <w:rFonts w:hint="eastAsia" w:ascii="Times New Roman" w:hAnsi="Times New Roman" w:eastAsia="方正书宋简体" w:cs="Times New Roman"/>
                <w:color w:val="auto"/>
                <w:kern w:val="0"/>
                <w:szCs w:val="21"/>
                <w:highlight w:val="none"/>
                <w:lang w:val="en-US" w:eastAsia="zh-CN" w:bidi="ar"/>
              </w:rPr>
              <w:t>的。</w:t>
            </w:r>
          </w:p>
        </w:tc>
        <w:tc>
          <w:tcPr>
            <w:tcW w:w="1234"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责令限期改正，可以处5000元以上1万元以下的罚款。</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vMerge w:val="continue"/>
            <w:tcBorders>
              <w:tl2br w:val="nil"/>
              <w:tr2bl w:val="nil"/>
            </w:tcBorders>
            <w:shd w:val="clear" w:color="auto" w:fill="auto"/>
          </w:tcPr>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w:t>
            </w: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val="en-US" w:eastAsia="zh-CN" w:bidi="ar"/>
              </w:rPr>
              <w:t>的</w:t>
            </w:r>
            <w:r>
              <w:rPr>
                <w:rFonts w:hint="eastAsia" w:ascii="Times New Roman" w:hAnsi="Times New Roman" w:eastAsia="方正书宋简体" w:cs="Times New Roman"/>
                <w:color w:val="auto"/>
                <w:kern w:val="0"/>
                <w:szCs w:val="21"/>
                <w:highlight w:val="none"/>
                <w:lang w:bidi="ar"/>
              </w:rPr>
              <w:t>。</w:t>
            </w:r>
          </w:p>
        </w:tc>
        <w:tc>
          <w:tcPr>
            <w:tcW w:w="1234"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处违法所得</w:t>
            </w:r>
            <w:r>
              <w:rPr>
                <w:rFonts w:hint="eastAsia" w:ascii="Times New Roman" w:hAnsi="Times New Roman" w:eastAsia="方正书宋简体" w:cs="Times New Roman"/>
                <w:color w:val="auto"/>
                <w:kern w:val="0"/>
                <w:szCs w:val="21"/>
                <w:highlight w:val="none"/>
                <w:lang w:bidi="ar"/>
              </w:rPr>
              <w:t>3</w:t>
            </w:r>
            <w:r>
              <w:rPr>
                <w:rFonts w:ascii="Times New Roman" w:hAnsi="Times New Roman" w:eastAsia="方正书宋简体" w:cs="Times New Roman"/>
                <w:color w:val="auto"/>
                <w:kern w:val="0"/>
                <w:szCs w:val="21"/>
                <w:highlight w:val="none"/>
                <w:lang w:bidi="ar"/>
              </w:rPr>
              <w:t>倍以下且不超过</w:t>
            </w:r>
            <w:r>
              <w:rPr>
                <w:rFonts w:hint="eastAsia" w:ascii="Times New Roman" w:hAnsi="Times New Roman" w:eastAsia="方正书宋简体" w:cs="Times New Roman"/>
                <w:color w:val="auto"/>
                <w:kern w:val="0"/>
                <w:szCs w:val="21"/>
                <w:highlight w:val="none"/>
                <w:lang w:bidi="ar"/>
              </w:rPr>
              <w:t>3</w:t>
            </w:r>
            <w:r>
              <w:rPr>
                <w:rFonts w:ascii="Times New Roman" w:hAnsi="Times New Roman" w:eastAsia="方正书宋简体" w:cs="Times New Roman"/>
                <w:color w:val="auto"/>
                <w:kern w:val="0"/>
                <w:szCs w:val="21"/>
                <w:highlight w:val="none"/>
                <w:lang w:bidi="ar"/>
              </w:rPr>
              <w:t>万元罚款，没有违法所得的，处</w:t>
            </w:r>
            <w:r>
              <w:rPr>
                <w:rFonts w:hint="eastAsia" w:ascii="Times New Roman" w:hAnsi="Times New Roman" w:eastAsia="方正书宋简体" w:cs="Times New Roman"/>
                <w:color w:val="auto"/>
                <w:kern w:val="0"/>
                <w:szCs w:val="21"/>
                <w:highlight w:val="none"/>
                <w:lang w:bidi="ar"/>
              </w:rPr>
              <w:t>1</w:t>
            </w:r>
            <w:r>
              <w:rPr>
                <w:rFonts w:ascii="Times New Roman" w:hAnsi="Times New Roman" w:eastAsia="方正书宋简体" w:cs="Times New Roman"/>
                <w:color w:val="auto"/>
                <w:kern w:val="0"/>
                <w:szCs w:val="21"/>
                <w:highlight w:val="none"/>
                <w:lang w:bidi="ar"/>
              </w:rPr>
              <w:t>万元以下罚款。</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1、未依法取得危险化学品安全生产许可证、危险化学品安全使用许可证、危险化学品经营许可证、民用爆炸物品生产许可证的企业，购买易制爆危险化学品；</w:t>
            </w:r>
          </w:p>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未取得危险化学品安全生产许可证、危险化学品安全使用许可证、危险化学品经营许可证、民用爆炸物品生产许可证的企业，未提供《工商营业执照》、《事业单位法人证书》等合法证明复印件、经办人身份证复印件、用途说明，购买易制爆危险化学品；</w:t>
            </w:r>
          </w:p>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3、个人购买易制爆危险化学品。</w:t>
            </w:r>
          </w:p>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tcBorders>
              <w:tl2br w:val="nil"/>
              <w:tr2bl w:val="nil"/>
            </w:tcBorders>
            <w:shd w:val="clear" w:color="auto" w:fill="auto"/>
          </w:tcPr>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第三十七条  违法本办法第十条、第十一条、第十八条第一款规定的，由公安机关依照《危险化学品安全管理条例》第八十四条第二款、第三款的规定处罚。</w:t>
            </w:r>
          </w:p>
          <w:p>
            <w:pPr>
              <w:jc w:val="left"/>
              <w:rPr>
                <w:rFonts w:ascii="Times New Roman" w:hAnsi="Times New Roman" w:eastAsia="方正书宋简体" w:cs="Times New Roman"/>
                <w:color w:val="auto"/>
                <w:kern w:val="0"/>
                <w:szCs w:val="21"/>
                <w:highlight w:val="none"/>
                <w:lang w:bidi="ar"/>
              </w:rPr>
            </w:pPr>
          </w:p>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《危险化学品安全管理条例》第八十四条第二款</w:t>
            </w:r>
          </w:p>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具有本条例第三十八条第一款、第二款规定的相关许可证件或者证明文件的单位购买剧毒化学品、易制爆危险化学品，或者个人购买剧毒化学品（属于剧毒化学品的农药除外）、易制爆危险化学品，由公安机关没收所购买的剧毒化学品、易制爆危险化学品，可以并处5000元以下罚款。</w:t>
            </w: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val="en-US" w:eastAsia="zh-CN" w:bidi="ar"/>
              </w:rPr>
              <w:t>依照</w:t>
            </w:r>
            <w:r>
              <w:rPr>
                <w:rFonts w:hint="eastAsia" w:ascii="Times New Roman" w:hAnsi="Times New Roman" w:eastAsia="方正书宋简体" w:cs="Times New Roman"/>
                <w:color w:val="auto"/>
                <w:kern w:val="0"/>
                <w:szCs w:val="21"/>
                <w:highlight w:val="none"/>
                <w:lang w:bidi="ar"/>
              </w:rPr>
              <w:t>《危险化学品安全管理条例》第八十四条第二款、第三款的规定处罚</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val="en-US" w:eastAsia="zh-CN" w:bidi="ar"/>
              </w:rPr>
              <w:t>不需另行分阶。</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依照《危险化学品安全管理条例》第八十四条第二款、第三款的规定处罚。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widowControl/>
              <w:spacing w:line="340" w:lineRule="exact"/>
              <w:jc w:val="lef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1、易制爆危险化学品使用单位出借、转让其购买的易制爆危险化学品；</w:t>
            </w:r>
          </w:p>
          <w:p>
            <w:pPr>
              <w:widowControl/>
              <w:spacing w:line="340" w:lineRule="exact"/>
              <w:jc w:val="lef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2、易制爆危险化学品使用单位，因转产、停产、搬迁、关闭等确需转让易制爆危险化学品，向未具有本办法第十条或者第十一条规定的相关许可证件或者证明文件的单位转让。</w:t>
            </w:r>
          </w:p>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第三十七条  违法本办法第十条、第十一条、第十八条第一款规定的，由公安机关依照《危险化学品安全管理条例》第八十四条第二款、第三款的规定处罚。</w:t>
            </w:r>
          </w:p>
          <w:p>
            <w:pPr>
              <w:rPr>
                <w:rFonts w:ascii="Times New Roman" w:hAnsi="Times New Roman" w:eastAsia="方正书宋简体" w:cs="Times New Roman"/>
                <w:color w:val="auto"/>
                <w:kern w:val="0"/>
                <w:szCs w:val="21"/>
                <w:highlight w:val="none"/>
                <w:lang w:bidi="ar"/>
              </w:rPr>
            </w:pPr>
          </w:p>
          <w:p>
            <w:pPr>
              <w:jc w:val="left"/>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《危险化学品安全管理条例》第八十四条第三款</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使用剧毒化学品、易制爆危险化学品的单位出借或者向不具有本条例第三十八条第一款、第二款规定的相关许可证件的单位转让其购买的剧毒化学品、易制爆危险化学品，或者向个人转让其购买的剧毒</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化学品（属于剧毒化学品的农药除外）、易制爆危险化学品的，由公安机关责令改正，处</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万元以上</w:t>
            </w:r>
          </w:p>
          <w:p>
            <w:pPr>
              <w:widowControl/>
              <w:spacing w:line="300" w:lineRule="exact"/>
              <w:jc w:val="left"/>
              <w:textAlignment w:val="top"/>
              <w:rPr>
                <w:rFonts w:asciiTheme="minorEastAsia" w:hAnsiTheme="minorEastAsia" w:cstheme="minorEastAsia"/>
                <w:color w:val="auto"/>
                <w:szCs w:val="21"/>
                <w:highlight w:val="none"/>
              </w:rPr>
            </w:pPr>
            <w:r>
              <w:rPr>
                <w:rFonts w:ascii="Times New Roman" w:hAnsi="Times New Roman" w:eastAsia="方正书宋简体" w:cs="Times New Roman"/>
                <w:color w:val="auto"/>
                <w:kern w:val="0"/>
                <w:szCs w:val="21"/>
                <w:highlight w:val="none"/>
                <w:lang w:bidi="ar"/>
              </w:rPr>
              <w:t>20</w:t>
            </w:r>
            <w:r>
              <w:rPr>
                <w:rFonts w:hint="eastAsia" w:ascii="Times New Roman" w:hAnsi="Times New Roman" w:eastAsia="方正书宋简体" w:cs="Times New Roman"/>
                <w:color w:val="auto"/>
                <w:kern w:val="0"/>
                <w:szCs w:val="21"/>
                <w:highlight w:val="none"/>
                <w:lang w:bidi="ar"/>
              </w:rPr>
              <w:t>万元以下的罚款；拒不改正的，责令停产停业整顿。</w:t>
            </w:r>
          </w:p>
        </w:tc>
        <w:tc>
          <w:tcPr>
            <w:tcW w:w="2078" w:type="dxa"/>
            <w:tcBorders>
              <w:tl2br w:val="nil"/>
              <w:tr2bl w:val="nil"/>
            </w:tcBorders>
            <w:shd w:val="clear" w:color="auto" w:fill="auto"/>
          </w:tcPr>
          <w:p>
            <w:pPr>
              <w:rPr>
                <w:rFonts w:hint="default"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bidi="ar"/>
              </w:rPr>
              <w:t>依照《危险化学品安全管理条例》第八十四条第二款、第三款的规定处罚</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val="en-US" w:eastAsia="zh-CN" w:bidi="ar"/>
              </w:rPr>
              <w:t>不需另行分阶。</w:t>
            </w:r>
          </w:p>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依照《危险化学品安全管理条例》第八十四条第二款、第三款的规定处罚。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115" w:hRule="atLeast"/>
          <w:jc w:val="center"/>
        </w:trPr>
        <w:tc>
          <w:tcPr>
            <w:tcW w:w="1801"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w:t>
            </w:r>
            <w:r>
              <w:rPr>
                <w:rFonts w:ascii="Times New Roman" w:hAnsi="Times New Roman" w:eastAsia="方正书宋简体" w:cs="Times New Roman"/>
                <w:color w:val="auto"/>
                <w:kern w:val="0"/>
                <w:szCs w:val="21"/>
                <w:highlight w:val="none"/>
                <w:lang w:bidi="ar"/>
              </w:rPr>
              <w:t>销售、购买、转让易制爆危险化学品未通过本企业银行账户或者电子账户进行交易，使用现金或者实物进行交易</w:t>
            </w:r>
            <w:r>
              <w:rPr>
                <w:rFonts w:hint="eastAsia" w:ascii="Times New Roman" w:hAnsi="Times New Roman" w:eastAsia="方正书宋简体" w:cs="Times New Roman"/>
                <w:color w:val="auto"/>
                <w:kern w:val="0"/>
                <w:szCs w:val="21"/>
                <w:highlight w:val="none"/>
                <w:lang w:bidi="ar"/>
              </w:rPr>
              <w:t>；</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w:t>
            </w:r>
            <w:r>
              <w:rPr>
                <w:rFonts w:ascii="Times New Roman" w:hAnsi="Times New Roman" w:eastAsia="方正书宋简体" w:cs="Times New Roman"/>
                <w:color w:val="auto"/>
                <w:kern w:val="0"/>
                <w:szCs w:val="21"/>
                <w:highlight w:val="none"/>
                <w:lang w:bidi="ar"/>
              </w:rPr>
              <w:t>易制爆危险化学品生产、进口和分装单位未按照国家有关标准和规范要求，对易制爆危险化学品作出电子追踪标识</w:t>
            </w:r>
            <w:r>
              <w:rPr>
                <w:rFonts w:hint="eastAsia" w:ascii="Times New Roman" w:hAnsi="Times New Roman" w:eastAsia="方正书宋简体" w:cs="Times New Roman"/>
                <w:color w:val="auto"/>
                <w:kern w:val="0"/>
                <w:szCs w:val="21"/>
                <w:highlight w:val="none"/>
                <w:lang w:bidi="ar"/>
              </w:rPr>
              <w:t>。</w:t>
            </w:r>
          </w:p>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第</w:t>
            </w:r>
            <w:r>
              <w:rPr>
                <w:rFonts w:hint="eastAsia" w:ascii="Times New Roman" w:hAnsi="Times New Roman" w:eastAsia="方正书宋简体" w:cs="Times New Roman"/>
                <w:color w:val="auto"/>
                <w:kern w:val="0"/>
                <w:szCs w:val="21"/>
                <w:highlight w:val="none"/>
                <w:lang w:bidi="ar"/>
              </w:rPr>
              <w:t>三十八</w:t>
            </w:r>
            <w:r>
              <w:rPr>
                <w:rFonts w:ascii="Times New Roman" w:hAnsi="Times New Roman" w:eastAsia="方正书宋简体" w:cs="Times New Roman"/>
                <w:color w:val="auto"/>
                <w:kern w:val="0"/>
                <w:szCs w:val="21"/>
                <w:highlight w:val="none"/>
                <w:lang w:bidi="ar"/>
              </w:rPr>
              <w:t>条</w:t>
            </w:r>
            <w:r>
              <w:rPr>
                <w:rFonts w:hint="eastAsia" w:ascii="Times New Roman" w:hAnsi="Times New Roman" w:eastAsia="方正书宋简体" w:cs="Times New Roman"/>
                <w:color w:val="auto"/>
                <w:kern w:val="0"/>
                <w:szCs w:val="21"/>
                <w:highlight w:val="none"/>
                <w:lang w:bidi="ar"/>
              </w:rPr>
              <w:t xml:space="preserve">  违反本办法第十三条、十五条规定的</w:t>
            </w:r>
            <w:r>
              <w:rPr>
                <w:rFonts w:ascii="Times New Roman" w:hAnsi="Times New Roman" w:eastAsia="方正书宋简体" w:cs="Times New Roman"/>
                <w:color w:val="auto"/>
                <w:kern w:val="0"/>
                <w:szCs w:val="21"/>
                <w:highlight w:val="none"/>
                <w:lang w:bidi="ar"/>
              </w:rPr>
              <w:t>，由公安机关依照《中华人民共和国反恐怖主义法》第八十七条的规定处罚。</w:t>
            </w: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《中华人民共和国反恐怖主义法》第八十七条  违反本法规定，</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，由主管部门给与警告，并责令改正，拒不改正的，处10万元以下罚款，并对其直接负责的主管人员和其他直接责任人员处1万元以下罚款：</w:t>
            </w:r>
          </w:p>
          <w:p>
            <w:pPr>
              <w:numPr>
                <w:ilvl w:val="0"/>
                <w:numId w:val="1"/>
              </w:num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未依照规定对枪支等武器、弹药、管制器具、危险化学品、民用爆炸物品、核与放射物品作出电子追踪标识，对民用爆炸物品添加安检示踪标识物的；</w:t>
            </w:r>
          </w:p>
          <w:p>
            <w:pPr>
              <w:numPr>
                <w:ilvl w:val="0"/>
                <w:numId w:val="1"/>
              </w:num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未依照规定对运营中的危险化学品、民用爆炸物品、核与放射物品的运输工具通过定位系统试行监控的；</w:t>
            </w:r>
          </w:p>
          <w:p>
            <w:pPr>
              <w:numPr>
                <w:ilvl w:val="0"/>
                <w:numId w:val="1"/>
              </w:num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未依照规定对传染病病原体等物质实行严格的监督管理，情节严重的；</w:t>
            </w:r>
          </w:p>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违反国务院有关主管部门或者省级人民政府对管制器具、危险化学品、民用爆炸物品决定的管制或者限制交易措施的。</w:t>
            </w:r>
          </w:p>
        </w:tc>
        <w:tc>
          <w:tcPr>
            <w:tcW w:w="2078"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依照《中华人民共和国反恐怖主义法》第八十七条的规定处罚</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val="en-US" w:eastAsia="zh-CN" w:bidi="ar"/>
              </w:rPr>
              <w:t>不需另行分阶</w:t>
            </w:r>
            <w:r>
              <w:rPr>
                <w:rFonts w:ascii="Times New Roman" w:hAnsi="Times New Roman" w:eastAsia="方正书宋简体" w:cs="Times New Roman"/>
                <w:color w:val="auto"/>
                <w:kern w:val="0"/>
                <w:szCs w:val="21"/>
                <w:highlight w:val="none"/>
                <w:lang w:bidi="ar"/>
              </w:rPr>
              <w:t>。</w:t>
            </w:r>
          </w:p>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ascii="Times New Roman" w:hAnsi="Times New Roman" w:eastAsia="方正书宋简体" w:cs="Times New Roman"/>
                <w:color w:val="auto"/>
                <w:kern w:val="0"/>
                <w:szCs w:val="21"/>
                <w:highlight w:val="none"/>
                <w:lang w:bidi="ar"/>
              </w:rPr>
              <w:t>依照《中华人民共和国反恐怖主义法》第八十七条的规定处罚。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1、危险化学品生产企业、经营企业销售易制爆危险化学品，未如实记录购买单位的名称、地址、经办人姓名、身份证号码以及所购买的易制爆危险化学品的品种、数量、用途；</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2、销售记录以及相关许可证件复印件或者证明文件、经办人的身份证明复印件的保存期限没有达到</w:t>
            </w:r>
            <w:r>
              <w:rPr>
                <w:rFonts w:hint="eastAsia" w:ascii="Times New Roman" w:hAnsi="Times New Roman" w:eastAsia="方正书宋简体" w:cs="Times New Roman"/>
                <w:color w:val="auto"/>
                <w:kern w:val="0"/>
                <w:szCs w:val="21"/>
                <w:highlight w:val="none"/>
                <w:lang w:val="en-US" w:eastAsia="zh-CN" w:bidi="ar"/>
              </w:rPr>
              <w:t>1</w:t>
            </w:r>
            <w:r>
              <w:rPr>
                <w:rFonts w:hint="eastAsia" w:ascii="Times New Roman" w:hAnsi="Times New Roman" w:eastAsia="方正书宋简体" w:cs="Times New Roman"/>
                <w:color w:val="auto"/>
                <w:kern w:val="0"/>
                <w:szCs w:val="21"/>
                <w:highlight w:val="none"/>
                <w:lang w:bidi="ar"/>
              </w:rPr>
              <w:t>年；</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3、易制爆危险化学品销售、购买单位在销售、购买后五日内，未通过易制爆危险化学品信息系统，将所销售、购买的易制爆危险化学品的品种、数量以及流向信息报所在地县级公安机关备案；</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4、易制爆危险化学品从业单位未如实登记易制爆危险化学品销售、购买、出入库、领取、使用、归还、处置等信息，未录入易制爆危险化学品信息系统；</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5、易制爆危险化学品转让双方未在转让后</w:t>
            </w:r>
            <w:r>
              <w:rPr>
                <w:rFonts w:hint="eastAsia" w:ascii="Times New Roman" w:hAnsi="Times New Roman" w:eastAsia="方正书宋简体" w:cs="Times New Roman"/>
                <w:color w:val="auto"/>
                <w:kern w:val="0"/>
                <w:szCs w:val="21"/>
                <w:highlight w:val="none"/>
                <w:lang w:val="en-US" w:eastAsia="zh-CN" w:bidi="ar"/>
              </w:rPr>
              <w:t>5</w:t>
            </w:r>
            <w:r>
              <w:rPr>
                <w:rFonts w:hint="eastAsia" w:ascii="Times New Roman" w:hAnsi="Times New Roman" w:eastAsia="方正书宋简体" w:cs="Times New Roman"/>
                <w:color w:val="auto"/>
                <w:kern w:val="0"/>
                <w:szCs w:val="21"/>
                <w:highlight w:val="none"/>
                <w:lang w:bidi="ar"/>
              </w:rPr>
              <w:t>日内，将有关情况报所在地县级公安机关；</w:t>
            </w: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6</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bidi="ar"/>
              </w:rPr>
              <w:t>易制爆危险化学品丢失、被盗、被抢的，未立即报告公安机关。</w:t>
            </w:r>
          </w:p>
          <w:p>
            <w:pPr>
              <w:widowControl/>
              <w:spacing w:line="310" w:lineRule="exact"/>
              <w:textAlignment w:val="top"/>
              <w:rPr>
                <w:rFonts w:asciiTheme="minorEastAsia" w:hAnsiTheme="minorEastAsia" w:cstheme="minorEastAsia"/>
                <w:color w:val="auto"/>
                <w:kern w:val="0"/>
                <w:szCs w:val="21"/>
                <w:highlight w:val="none"/>
                <w:lang w:bidi="ar"/>
              </w:rPr>
            </w:pPr>
          </w:p>
        </w:tc>
        <w:tc>
          <w:tcPr>
            <w:tcW w:w="23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第三十九条  违法本办法十四条、第十六条、第十八条第二款、第二十八条第二款规定的，由公安机关依照《危险化学品安全管理条例》第八十一条的规定处罚</w:t>
            </w:r>
            <w:r>
              <w:rPr>
                <w:rFonts w:hint="eastAsia" w:ascii="Times New Roman" w:hAnsi="Times New Roman" w:eastAsia="方正书宋简体" w:cs="Times New Roman"/>
                <w:color w:val="auto"/>
                <w:kern w:val="0"/>
                <w:szCs w:val="21"/>
                <w:highlight w:val="none"/>
                <w:lang w:eastAsia="zh-CN" w:bidi="ar"/>
              </w:rPr>
              <w:t>。</w:t>
            </w: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《危险化学品安全管理条例》第八十一条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，由公安机关责令改正，可以处1万以下的罚款；拒不改正的，处1万以上5万以下的罚款。</w:t>
            </w: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依照《危险化学品安全管理条例》第八十一条的规定处罚</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val="en-US" w:eastAsia="zh-CN" w:bidi="ar"/>
              </w:rPr>
              <w:t>不需另行分阶</w:t>
            </w:r>
            <w:r>
              <w:rPr>
                <w:rFonts w:hint="eastAsia" w:ascii="Times New Roman" w:hAnsi="Times New Roman" w:eastAsia="方正书宋简体" w:cs="Times New Roman"/>
                <w:color w:val="auto"/>
                <w:kern w:val="0"/>
                <w:szCs w:val="21"/>
                <w:highlight w:val="none"/>
                <w:lang w:eastAsia="zh-CN" w:bidi="ar"/>
              </w:rPr>
              <w:t>。</w:t>
            </w:r>
          </w:p>
          <w:p>
            <w:pPr>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依照《危险化学品安全管理条例》第八十一条的规定处罚</w:t>
            </w:r>
            <w:r>
              <w:rPr>
                <w:rFonts w:hint="eastAsia" w:ascii="Times New Roman" w:hAnsi="Times New Roman" w:eastAsia="方正书宋简体" w:cs="Times New Roman"/>
                <w:color w:val="auto"/>
                <w:kern w:val="0"/>
                <w:szCs w:val="21"/>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widowControl/>
              <w:spacing w:line="310" w:lineRule="exact"/>
              <w:textAlignment w:val="top"/>
              <w:rPr>
                <w:rFonts w:asciiTheme="minorEastAsia" w:hAnsiTheme="minorEastAsia" w:cstheme="minorEastAsia"/>
                <w:color w:val="auto"/>
                <w:kern w:val="0"/>
                <w:szCs w:val="21"/>
                <w:highlight w:val="none"/>
                <w:lang w:bidi="ar"/>
              </w:rPr>
            </w:pPr>
            <w:r>
              <w:rPr>
                <w:rFonts w:hint="eastAsia"/>
                <w:color w:val="auto"/>
                <w:highlight w:val="none"/>
              </w:rPr>
              <w:t>易制爆危险化学品从业单位转产、停产、停业或者解散的，未将生产装置、储存设施以及库存易制爆危险化学品的处置方案报主管部门和所在地县级公安机关备案。</w:t>
            </w:r>
          </w:p>
        </w:tc>
        <w:tc>
          <w:tcPr>
            <w:tcW w:w="2370" w:type="dxa"/>
            <w:tcBorders>
              <w:tl2br w:val="nil"/>
              <w:tr2bl w:val="nil"/>
            </w:tcBorders>
            <w:shd w:val="clear" w:color="auto" w:fill="auto"/>
          </w:tcPr>
          <w:p>
            <w:pPr>
              <w:rPr>
                <w:color w:val="auto"/>
                <w:highlight w:val="none"/>
              </w:rPr>
            </w:pPr>
            <w:r>
              <w:rPr>
                <w:rFonts w:hint="eastAsia"/>
                <w:color w:val="auto"/>
                <w:highlight w:val="none"/>
              </w:rPr>
              <w:t>第四十条  违反本办法第十七条规定的，由公安机关依照《危险化学品安全管理条例》第八十二条第二款规定处罚。</w:t>
            </w:r>
          </w:p>
          <w:p>
            <w:pPr>
              <w:rPr>
                <w:color w:val="auto"/>
                <w:highlight w:val="none"/>
              </w:rPr>
            </w:pPr>
          </w:p>
          <w:p>
            <w:pPr>
              <w:rPr>
                <w:color w:val="auto"/>
                <w:highlight w:val="none"/>
              </w:rPr>
            </w:pPr>
            <w:r>
              <w:rPr>
                <w:rFonts w:hint="eastAsia"/>
                <w:color w:val="auto"/>
                <w:highlight w:val="none"/>
              </w:rPr>
              <w:t xml:space="preserve">《危险化学品安全管理条例》第八十二条第二款  </w:t>
            </w:r>
          </w:p>
          <w:p>
            <w:pPr>
              <w:rPr>
                <w:color w:val="auto"/>
                <w:highlight w:val="none"/>
              </w:rPr>
            </w:pPr>
            <w:r>
              <w:rPr>
                <w:rFonts w:hint="eastAsia"/>
                <w:color w:val="auto"/>
                <w:highlight w:val="none"/>
              </w:rPr>
              <w:t>生产、储存、使用危险化学品的单位转产、停产、停业或者解散，未依照本条例规定将其危险化学品生产装置、储存设施以及库存危险化学品的储存方案报有关部门备案的，分别由有关部门责令改正，可以处1万元以下的罚款；拒不改正的，处1万元以上5万元以下的罚款。</w:t>
            </w: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r>
              <w:rPr>
                <w:rFonts w:hint="eastAsia"/>
                <w:color w:val="auto"/>
                <w:highlight w:val="none"/>
              </w:rPr>
              <w:t>依照《危险化学品安全管理条例》第八十二条第二款规定处罚</w:t>
            </w:r>
            <w:r>
              <w:rPr>
                <w:rFonts w:hint="eastAsia"/>
                <w:color w:val="auto"/>
                <w:highlight w:val="none"/>
                <w:lang w:eastAsia="zh-CN"/>
              </w:rPr>
              <w:t>，</w:t>
            </w:r>
            <w:r>
              <w:rPr>
                <w:rFonts w:hint="eastAsia"/>
                <w:color w:val="auto"/>
                <w:highlight w:val="none"/>
                <w:lang w:val="en-US" w:eastAsia="zh-CN"/>
              </w:rPr>
              <w:t>不需另行分阶</w:t>
            </w:r>
            <w:r>
              <w:rPr>
                <w:rFonts w:hint="eastAsia"/>
                <w:color w:val="auto"/>
                <w:highlight w:val="none"/>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color w:val="auto"/>
                <w:highlight w:val="none"/>
              </w:rPr>
              <w:t>依照《危险化学品安全管理条例》第八十二条第二款规定处罚。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rPr>
                <w:color w:val="auto"/>
                <w:highlight w:val="none"/>
              </w:rPr>
            </w:pPr>
            <w:r>
              <w:rPr>
                <w:rFonts w:hint="eastAsia"/>
                <w:color w:val="auto"/>
                <w:highlight w:val="none"/>
              </w:rPr>
              <w:t>1、运输易制爆危险化学品途中因住宿或者发生影响正常运输的情况，需要较长时间停车的，驾驶人员、押运人</w:t>
            </w:r>
          </w:p>
          <w:p>
            <w:pPr>
              <w:rPr>
                <w:color w:val="auto"/>
                <w:highlight w:val="none"/>
              </w:rPr>
            </w:pPr>
            <w:r>
              <w:rPr>
                <w:rFonts w:hint="eastAsia"/>
                <w:color w:val="auto"/>
                <w:highlight w:val="none"/>
              </w:rPr>
              <w:t>员未采取相应的安全防范措施，未向公安机关报告。</w:t>
            </w:r>
          </w:p>
          <w:p>
            <w:pPr>
              <w:widowControl/>
              <w:spacing w:line="310" w:lineRule="exact"/>
              <w:textAlignment w:val="top"/>
              <w:rPr>
                <w:rFonts w:hint="eastAsia"/>
                <w:color w:val="auto"/>
                <w:highlight w:val="none"/>
              </w:rPr>
            </w:pPr>
            <w:r>
              <w:rPr>
                <w:rFonts w:hint="eastAsia"/>
                <w:color w:val="auto"/>
                <w:highlight w:val="none"/>
              </w:rPr>
              <w:t>2、易制爆危险化学品在道路运输途中丢失、被盗、被抢或者出现流散、泄漏等情况的，驾驶人员、押运人员未立即采取相应的警示措施和安全措施，未向公安机关报告。</w:t>
            </w:r>
          </w:p>
        </w:tc>
        <w:tc>
          <w:tcPr>
            <w:tcW w:w="2370" w:type="dxa"/>
            <w:tcBorders>
              <w:tl2br w:val="nil"/>
              <w:tr2bl w:val="nil"/>
            </w:tcBorders>
            <w:shd w:val="clear" w:color="auto" w:fill="auto"/>
          </w:tcPr>
          <w:p>
            <w:pPr>
              <w:rPr>
                <w:rFonts w:hint="eastAsia"/>
                <w:color w:val="auto"/>
                <w:highlight w:val="none"/>
              </w:rPr>
            </w:pPr>
            <w:r>
              <w:rPr>
                <w:rFonts w:hint="eastAsia"/>
                <w:color w:val="auto"/>
                <w:highlight w:val="none"/>
              </w:rPr>
              <w:t>第四十一条  违反本办法第十九条、第二十条规定的，由公安机关依照《危险化学品安全管理条例》第八十九条第三项、第四项的规定处罚。</w:t>
            </w:r>
          </w:p>
          <w:p>
            <w:pPr>
              <w:rPr>
                <w:rFonts w:hint="eastAsia"/>
                <w:color w:val="auto"/>
                <w:highlight w:val="none"/>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color w:val="auto"/>
                <w:highlight w:val="none"/>
              </w:rPr>
              <w:t>《危险化学品安全管理条例》</w:t>
            </w:r>
            <w:r>
              <w:rPr>
                <w:rFonts w:hint="eastAsia" w:ascii="Times New Roman" w:hAnsi="Times New Roman" w:eastAsia="方正书宋简体" w:cs="Times New Roman"/>
                <w:color w:val="auto"/>
                <w:kern w:val="0"/>
                <w:szCs w:val="21"/>
                <w:highlight w:val="none"/>
                <w:lang w:bidi="ar"/>
              </w:rPr>
              <w:t>第八十九条</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，由公安机关责令改正，处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万元以下的罚款；构成违反治安管理行为的，依法给予治安管理处罚：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（三）运输剧毒化学品或</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者易制爆危险化学品途中</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需要较长时间停车，驾驶</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人员、押运人员不向当地公安机关报告的；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（四）剧毒化学品、易制</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爆危险化学品在道路运输途中丢失、被盗、被抢或者发生流散、泄露等情况，驾驶人员、押运人员不采取必要的警示措施和安全措施，或者不向当地公安机关报告的。</w:t>
            </w:r>
          </w:p>
          <w:p>
            <w:pPr>
              <w:rPr>
                <w:color w:val="auto"/>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rPr>
                <w:rFonts w:hint="eastAsia" w:eastAsiaTheme="minorEastAsia"/>
                <w:color w:val="auto"/>
                <w:highlight w:val="none"/>
                <w:lang w:eastAsia="zh-CN"/>
              </w:rPr>
            </w:pPr>
            <w:r>
              <w:rPr>
                <w:rFonts w:hint="eastAsia"/>
                <w:color w:val="auto"/>
                <w:highlight w:val="none"/>
              </w:rPr>
              <w:t>依照《危险化学品安全管理条例》第八十九条第三项、第四项的规定处罚</w:t>
            </w:r>
            <w:r>
              <w:rPr>
                <w:rFonts w:hint="eastAsia"/>
                <w:color w:val="auto"/>
                <w:highlight w:val="none"/>
                <w:lang w:eastAsia="zh-CN"/>
              </w:rPr>
              <w:t>，</w:t>
            </w:r>
            <w:r>
              <w:rPr>
                <w:rFonts w:hint="eastAsia"/>
                <w:color w:val="auto"/>
                <w:highlight w:val="none"/>
              </w:rPr>
              <w:t>不需另行分阶</w:t>
            </w:r>
            <w:r>
              <w:rPr>
                <w:rFonts w:hint="eastAsia"/>
                <w:color w:val="auto"/>
                <w:highlight w:val="none"/>
                <w:lang w:eastAsia="zh-CN"/>
              </w:rPr>
              <w:t>。</w:t>
            </w:r>
          </w:p>
          <w:p>
            <w:pPr>
              <w:widowControl/>
              <w:spacing w:line="300" w:lineRule="exact"/>
              <w:textAlignment w:val="top"/>
              <w:rPr>
                <w:rFonts w:hint="eastAsia"/>
                <w:color w:val="auto"/>
                <w:highlight w:val="none"/>
              </w:rPr>
            </w:pPr>
          </w:p>
        </w:tc>
        <w:tc>
          <w:tcPr>
            <w:tcW w:w="1234"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color w:val="auto"/>
                <w:highlight w:val="none"/>
              </w:rPr>
              <w:t>依照《危险化学品安全管理条例》第八十九条第三项、第四项的规定处罚。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1、易制爆危险化学品从业单位在本单位网站以外的互联网应用服务中发布易制爆危险化学品信息及建立相关链接；</w:t>
            </w:r>
            <w:r>
              <w:rPr>
                <w:rFonts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2、易制爆危险化学品从业单位以外的其它单位在互联网发布易制爆危险化学品信息及建立相应</w:t>
            </w:r>
            <w:r>
              <w:rPr>
                <w:rFonts w:hint="eastAsia" w:ascii="Times New Roman" w:hAnsi="Times New Roman" w:eastAsia="方正书宋简体" w:cs="Times New Roman"/>
                <w:color w:val="auto"/>
                <w:kern w:val="0"/>
                <w:szCs w:val="21"/>
                <w:highlight w:val="none"/>
                <w:lang w:val="en-US" w:eastAsia="zh-CN" w:bidi="ar"/>
              </w:rPr>
              <w:t>链接；</w:t>
            </w:r>
            <w:r>
              <w:rPr>
                <w:rFonts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val="en-US" w:eastAsia="zh-CN" w:bidi="ar"/>
              </w:rPr>
              <w:t>个人在互联网上发布易制爆危险化学品生产、买卖、</w:t>
            </w:r>
            <w:r>
              <w:rPr>
                <w:rFonts w:ascii="Times New Roman" w:hAnsi="Times New Roman" w:eastAsia="方正书宋简体" w:cs="Times New Roman"/>
                <w:color w:val="auto"/>
                <w:kern w:val="0"/>
                <w:szCs w:val="21"/>
                <w:highlight w:val="none"/>
                <w:lang w:bidi="ar"/>
              </w:rPr>
              <w:t>储存、使用信息；</w:t>
            </w:r>
          </w:p>
          <w:p>
            <w:pPr>
              <w:numPr>
                <w:ilvl w:val="0"/>
                <w:numId w:val="2"/>
              </w:num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在互联网上发布利用易制爆危险化学品制造爆炸物品方法信息。</w:t>
            </w:r>
          </w:p>
          <w:p>
            <w:pPr>
              <w:widowControl/>
              <w:spacing w:line="310" w:lineRule="exact"/>
              <w:textAlignment w:val="top"/>
              <w:rPr>
                <w:rFonts w:hint="eastAsia"/>
                <w:color w:val="auto"/>
                <w:highlight w:val="none"/>
              </w:rPr>
            </w:pPr>
          </w:p>
        </w:tc>
        <w:tc>
          <w:tcPr>
            <w:tcW w:w="2370"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imes New Roman" w:hAnsi="Times New Roman" w:eastAsia="方正书宋简体" w:cs="Times New Roman"/>
                <w:color w:val="auto"/>
                <w:kern w:val="0"/>
                <w:szCs w:val="21"/>
                <w:highlight w:val="none"/>
                <w:lang w:bidi="ar"/>
              </w:rPr>
              <w:t>第四十二条  违反第二十三条、第二十四条规定的，由公安机关责令改正给予警告，对非经营活动处1000元以下罚款，对经营活动处违法所得3倍以下且不超过3万元罚款，没有违法所得的，处1万元以下罚款。</w:t>
            </w:r>
          </w:p>
        </w:tc>
        <w:tc>
          <w:tcPr>
            <w:tcW w:w="2078"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ascii="Times New Roman" w:hAnsi="Times New Roman" w:eastAsia="方正书宋简体" w:cs="Times New Roman"/>
                <w:color w:val="auto"/>
                <w:kern w:val="0"/>
                <w:szCs w:val="21"/>
                <w:highlight w:val="none"/>
                <w:lang w:val="en-US" w:eastAsia="zh-CN"/>
              </w:rPr>
              <w:t>处罚幅度明确，</w:t>
            </w:r>
            <w:r>
              <w:rPr>
                <w:rFonts w:hint="eastAsia" w:ascii="Times New Roman" w:hAnsi="Times New Roman" w:eastAsia="方正书宋简体" w:cs="Times New Roman"/>
                <w:color w:val="auto"/>
                <w:kern w:val="0"/>
                <w:szCs w:val="21"/>
                <w:highlight w:val="none"/>
              </w:rPr>
              <w:t>不需分阶</w:t>
            </w:r>
            <w:r>
              <w:rPr>
                <w:rFonts w:hint="eastAsia" w:ascii="Times New Roman" w:hAnsi="Times New Roman" w:eastAsia="方正书宋简体" w:cs="Times New Roman"/>
                <w:color w:val="auto"/>
                <w:kern w:val="0"/>
                <w:szCs w:val="21"/>
                <w:highlight w:val="none"/>
                <w:lang w:eastAsia="zh-CN"/>
              </w:rPr>
              <w:t>。</w:t>
            </w:r>
          </w:p>
        </w:tc>
        <w:tc>
          <w:tcPr>
            <w:tcW w:w="1234"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ascii="Times New Roman" w:hAnsi="Times New Roman" w:eastAsia="方正书宋简体" w:cs="Times New Roman"/>
                <w:color w:val="auto"/>
                <w:kern w:val="0"/>
                <w:szCs w:val="21"/>
                <w:highlight w:val="none"/>
                <w:lang w:bidi="ar"/>
              </w:rPr>
              <w:t>责令改正给予警告，对非经营活动处1000元以下罚款，对经营活动处违法所得3倍以下且不超过3万元罚款，没有违法所得的，处1万元以下罚款。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rPr>
                <w:color w:val="auto"/>
                <w:highlight w:val="none"/>
              </w:rPr>
            </w:pPr>
            <w:r>
              <w:rPr>
                <w:rFonts w:hint="eastAsia" w:ascii="Times New Roman" w:hAnsi="Times New Roman" w:eastAsia="方正书宋简体" w:cs="Times New Roman"/>
                <w:color w:val="auto"/>
                <w:kern w:val="0"/>
                <w:szCs w:val="21"/>
                <w:highlight w:val="none"/>
                <w:lang w:bidi="ar"/>
              </w:rPr>
              <w:t>1、</w:t>
            </w:r>
            <w:r>
              <w:rPr>
                <w:rFonts w:hint="eastAsia"/>
                <w:color w:val="auto"/>
                <w:highlight w:val="none"/>
              </w:rPr>
              <w:t>易制爆危险化学品从业单位未设置治安保卫机构，未建立健全治安保卫制度，未配备专职治安保卫人员负责易制爆危险化学品治安保卫工作，未将治安保卫机构的设置和人员的配备情况报所在地县级公安机关备案；</w:t>
            </w:r>
          </w:p>
          <w:p>
            <w:pPr>
              <w:rPr>
                <w:color w:val="auto"/>
                <w:highlight w:val="none"/>
              </w:rPr>
            </w:pPr>
            <w:r>
              <w:rPr>
                <w:rFonts w:hint="eastAsia"/>
                <w:color w:val="auto"/>
                <w:highlight w:val="none"/>
              </w:rPr>
              <w:t>2、治安保卫人员不符合国家有关标准和规范要求，未经培训后上岗；</w:t>
            </w:r>
          </w:p>
          <w:p>
            <w:pPr>
              <w:rPr>
                <w:color w:val="auto"/>
                <w:highlight w:val="none"/>
              </w:rPr>
            </w:pPr>
            <w:r>
              <w:rPr>
                <w:rFonts w:hint="eastAsia"/>
                <w:color w:val="auto"/>
                <w:highlight w:val="none"/>
              </w:rPr>
              <w:t>3、易制爆危险化学品储存场所未按照国家有关标准和规范要求，设置相应的人力防范、实体防范、技术防范等治安防范设施，防止易制爆危险化学品丢失、被盗、被抢。</w:t>
            </w:r>
          </w:p>
          <w:p>
            <w:pPr>
              <w:widowControl/>
              <w:spacing w:line="310" w:lineRule="exact"/>
              <w:textAlignment w:val="top"/>
              <w:rPr>
                <w:rFonts w:hint="eastAsia"/>
                <w:color w:val="auto"/>
                <w:highlight w:val="none"/>
              </w:rPr>
            </w:pPr>
          </w:p>
        </w:tc>
        <w:tc>
          <w:tcPr>
            <w:tcW w:w="2370" w:type="dxa"/>
            <w:tcBorders>
              <w:tl2br w:val="nil"/>
              <w:tr2bl w:val="nil"/>
            </w:tcBorders>
            <w:shd w:val="clear" w:color="auto" w:fill="auto"/>
          </w:tcPr>
          <w:p>
            <w:pPr>
              <w:rPr>
                <w:color w:val="auto"/>
                <w:highlight w:val="none"/>
              </w:rPr>
            </w:pPr>
            <w:r>
              <w:rPr>
                <w:rFonts w:hint="eastAsia"/>
                <w:color w:val="auto"/>
                <w:highlight w:val="none"/>
              </w:rPr>
              <w:t>第四十三条  违反本办法第二十五条、第二十七条关于人力防范、实体防范规定，存在治安隐患的，由公安机关依照《企业事业单位内部治安保卫条例》第十九条的规定处罚。</w:t>
            </w:r>
          </w:p>
          <w:p>
            <w:pPr>
              <w:rPr>
                <w:color w:val="auto"/>
                <w:highlight w:val="none"/>
              </w:rPr>
            </w:pPr>
          </w:p>
          <w:p>
            <w:pPr>
              <w:rPr>
                <w:color w:val="auto"/>
                <w:highlight w:val="none"/>
              </w:rPr>
            </w:pPr>
            <w:r>
              <w:rPr>
                <w:rFonts w:hint="eastAsia"/>
                <w:color w:val="auto"/>
                <w:highlight w:val="none"/>
              </w:rPr>
              <w:t>《企业事业单位内部治安保卫条例》第十九条  单位违反本条例的规定，存在治安隐患的，公安机关应当责令限期整改，并处警告；单位逾期不整改，造成公民人身伤害、公私财产损失，或者严重威胁公民人身安全、公私财产安全或者公共安全的，对单位处１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rPr>
                <w:color w:val="auto"/>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color w:val="auto"/>
                <w:highlight w:val="none"/>
              </w:rPr>
              <w:t>依照《企业事业单位内部治安保卫条例》第十九条的规定处罚</w:t>
            </w:r>
            <w:r>
              <w:rPr>
                <w:rFonts w:hint="eastAsia"/>
                <w:color w:val="auto"/>
                <w:highlight w:val="none"/>
                <w:lang w:eastAsia="zh-CN"/>
              </w:rPr>
              <w:t>，</w:t>
            </w:r>
            <w:r>
              <w:rPr>
                <w:rFonts w:hint="eastAsia"/>
                <w:color w:val="auto"/>
                <w:highlight w:val="none"/>
                <w:lang w:val="en-US" w:eastAsia="zh-CN"/>
              </w:rPr>
              <w:t>不需另行分阶</w:t>
            </w:r>
            <w:r>
              <w:rPr>
                <w:rFonts w:hint="eastAsia"/>
                <w:color w:val="auto"/>
                <w:highlight w:val="none"/>
              </w:rPr>
              <w:t>。</w:t>
            </w:r>
          </w:p>
        </w:tc>
        <w:tc>
          <w:tcPr>
            <w:tcW w:w="1234"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color w:val="auto"/>
                <w:highlight w:val="none"/>
              </w:rPr>
              <w:t>依照《企业事业单位内部治安保卫条例》第十九条的规定处罚。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W w:w="1801" w:type="dxa"/>
            <w:tcBorders>
              <w:tl2br w:val="nil"/>
              <w:tr2bl w:val="nil"/>
            </w:tcBorders>
            <w:shd w:val="clear" w:color="auto" w:fill="auto"/>
          </w:tcPr>
          <w:p>
            <w:pPr>
              <w:widowControl/>
              <w:spacing w:line="310" w:lineRule="exact"/>
              <w:textAlignment w:val="top"/>
              <w:rPr>
                <w:rFonts w:hint="eastAsia"/>
                <w:color w:val="auto"/>
                <w:highlight w:val="none"/>
              </w:rPr>
            </w:pPr>
            <w:r>
              <w:rPr>
                <w:rFonts w:hint="eastAsia"/>
                <w:color w:val="auto"/>
                <w:highlight w:val="none"/>
              </w:rPr>
              <w:t>易制爆危险化学品储存场所未按照国家有关标准和规范要求，设置相应的人力防范、实体防范、技术防范等治安防范设施，防止易制爆危险化学品丢失、被盗、被抢。</w:t>
            </w:r>
          </w:p>
        </w:tc>
        <w:tc>
          <w:tcPr>
            <w:tcW w:w="2370" w:type="dxa"/>
            <w:tcBorders>
              <w:tl2br w:val="nil"/>
              <w:tr2bl w:val="nil"/>
            </w:tcBorders>
            <w:shd w:val="clear" w:color="auto" w:fill="auto"/>
          </w:tcPr>
          <w:p>
            <w:pPr>
              <w:rPr>
                <w:rFonts w:hint="eastAsia"/>
                <w:color w:val="auto"/>
                <w:highlight w:val="none"/>
              </w:rPr>
            </w:pPr>
            <w:r>
              <w:rPr>
                <w:rFonts w:hint="eastAsia"/>
                <w:color w:val="auto"/>
                <w:highlight w:val="none"/>
              </w:rPr>
              <w:t>第四十四条  违法本办法第二十七条关于技术防范设施设置要求规定的，由公安机关依照《危险化学品安全管理条例》第七十八条第二款的规定处罚。</w:t>
            </w:r>
          </w:p>
          <w:p>
            <w:pPr>
              <w:rPr>
                <w:rFonts w:hint="eastAsia"/>
                <w:color w:val="auto"/>
                <w:highlight w:val="none"/>
              </w:rPr>
            </w:pPr>
          </w:p>
          <w:p>
            <w:pPr>
              <w:rPr>
                <w:color w:val="auto"/>
                <w:highlight w:val="none"/>
              </w:rPr>
            </w:pPr>
            <w:r>
              <w:rPr>
                <w:rFonts w:hint="eastAsia"/>
                <w:color w:val="auto"/>
                <w:highlight w:val="none"/>
              </w:rPr>
              <w:t>《危险化学品安全管理条例》第七十八条第二款：储存剧毒化学品易制爆危险化学品的专用仓库未按照国家有关规定设置相应的技术防范设施的，由公安机关依照前款规定予以处罚。</w:t>
            </w:r>
          </w:p>
          <w:p>
            <w:pPr>
              <w:jc w:val="left"/>
              <w:rPr>
                <w:color w:val="auto"/>
                <w:highlight w:val="none"/>
              </w:rPr>
            </w:pPr>
          </w:p>
          <w:p>
            <w:pPr>
              <w:jc w:val="left"/>
              <w:rPr>
                <w:color w:val="auto"/>
                <w:highlight w:val="none"/>
              </w:rPr>
            </w:pPr>
            <w:r>
              <w:rPr>
                <w:rFonts w:hint="eastAsia"/>
                <w:color w:val="auto"/>
                <w:highlight w:val="none"/>
              </w:rPr>
              <w:t xml:space="preserve">《危险化学品安全管理条例》第七十八条第一款      </w:t>
            </w:r>
            <w:r>
              <w:rPr>
                <w:rFonts w:hint="eastAsia"/>
                <w:color w:val="auto"/>
                <w:highlight w:val="none"/>
                <w:lang w:eastAsia="zh-CN"/>
              </w:rPr>
              <w:t>有下列情形之一的</w:t>
            </w:r>
            <w:r>
              <w:rPr>
                <w:rFonts w:hint="eastAsia"/>
                <w:color w:val="auto"/>
                <w:highlight w:val="none"/>
              </w:rPr>
              <w:t>，由安全生产监督管理部门责令改正，可以处5万元以下的罚款；拒不改正的，处5万元以上10万元以下的罚款；情节严重的，责令停产停业整顿。</w:t>
            </w:r>
          </w:p>
          <w:p>
            <w:pPr>
              <w:widowControl/>
              <w:spacing w:line="300" w:lineRule="exact"/>
              <w:textAlignment w:val="top"/>
              <w:rPr>
                <w:rFonts w:asciiTheme="minorEastAsia" w:hAnsiTheme="minorEastAsia" w:cstheme="minorEastAsia"/>
                <w:color w:val="auto"/>
                <w:szCs w:val="21"/>
                <w:highlight w:val="none"/>
              </w:rPr>
            </w:pPr>
          </w:p>
        </w:tc>
        <w:tc>
          <w:tcPr>
            <w:tcW w:w="2078"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color w:val="auto"/>
                <w:highlight w:val="none"/>
              </w:rPr>
              <w:t>依照《危险化学品安全管理条例》第七十八条第二款的规定处罚</w:t>
            </w:r>
            <w:r>
              <w:rPr>
                <w:rFonts w:hint="eastAsia"/>
                <w:color w:val="auto"/>
                <w:highlight w:val="none"/>
                <w:lang w:eastAsia="zh-CN"/>
              </w:rPr>
              <w:t>，</w:t>
            </w:r>
            <w:r>
              <w:rPr>
                <w:rFonts w:hint="eastAsia"/>
                <w:color w:val="auto"/>
                <w:highlight w:val="none"/>
                <w:lang w:val="en-US" w:eastAsia="zh-CN"/>
              </w:rPr>
              <w:t>不需另行分阶</w:t>
            </w:r>
          </w:p>
        </w:tc>
        <w:tc>
          <w:tcPr>
            <w:tcW w:w="1234" w:type="dxa"/>
            <w:tcBorders>
              <w:tl2br w:val="nil"/>
              <w:tr2bl w:val="nil"/>
            </w:tcBorders>
            <w:shd w:val="clear" w:color="auto" w:fill="auto"/>
          </w:tcPr>
          <w:p>
            <w:pPr>
              <w:widowControl/>
              <w:spacing w:line="300" w:lineRule="exact"/>
              <w:textAlignment w:val="top"/>
              <w:rPr>
                <w:rFonts w:hint="eastAsia"/>
                <w:color w:val="auto"/>
                <w:highlight w:val="none"/>
              </w:rPr>
            </w:pPr>
            <w:r>
              <w:rPr>
                <w:rFonts w:hint="eastAsia"/>
                <w:color w:val="auto"/>
                <w:highlight w:val="none"/>
              </w:rPr>
              <w:t>依照《危险化学品安全管理条例》第七十八条第二款的规定处罚。</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694"/>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B85E8"/>
    <w:multiLevelType w:val="singleLevel"/>
    <w:tmpl w:val="636B85E8"/>
    <w:lvl w:ilvl="0" w:tentative="0">
      <w:start w:val="1"/>
      <w:numFmt w:val="chineseCounting"/>
      <w:suff w:val="nothing"/>
      <w:lvlText w:val="（%1）"/>
      <w:lvlJc w:val="left"/>
    </w:lvl>
  </w:abstractNum>
  <w:abstractNum w:abstractNumId="1">
    <w:nsid w:val="636B8FEF"/>
    <w:multiLevelType w:val="singleLevel"/>
    <w:tmpl w:val="636B8FEF"/>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620F1F9E"/>
    <w:rsid w:val="1F902055"/>
    <w:rsid w:val="620F1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2024-05-13T07:41:00Z</dcterms:created>
  <dc:creator>Administrator</dc:creator>
  <cp:lastModifiedBy>Administrator</cp:lastModifiedBy>
  <dcterms:modified xsi:type="dcterms:W3CDTF">2024-05-13T12:06:23Z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78D2B5B5E73C4E1487928B63345EF6A3_11</vt:lpwstr>
  </property>
</Properties>
</file>