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50" w:afterLines="80" w:line="460" w:lineRule="exact"/>
        <w:jc w:val="center"/>
        <w:rPr>
          <w:rFonts w:ascii="方正小标宋简体" w:hAnsi="方正小标宋简体" w:eastAsia="方正小标宋简体" w:cs="方正小标宋简体"/>
          <w:color w:val="auto"/>
          <w:sz w:val="36"/>
          <w:szCs w:val="36"/>
          <w:highlight w:val="none"/>
        </w:rPr>
      </w:pPr>
      <w:r>
        <w:rPr>
          <w:rFonts w:hint="eastAsia" w:ascii="方正小标宋简体" w:hAnsi="方正小标宋简体" w:eastAsia="方正小标宋简体" w:cs="方正小标宋简体"/>
          <w:color w:val="auto"/>
          <w:sz w:val="36"/>
          <w:szCs w:val="36"/>
          <w:highlight w:val="none"/>
        </w:rPr>
        <w:t>违反《放射性污染防治法》处罚裁量基准</w:t>
      </w:r>
    </w:p>
    <w:tbl>
      <w:tblPr>
        <w:tblStyle w:val="2"/>
        <w:tblW w:w="74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800"/>
        <w:gridCol w:w="2370"/>
        <w:gridCol w:w="2130"/>
        <w:gridCol w:w="11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15" w:hRule="atLeast"/>
        </w:trPr>
        <w:tc>
          <w:tcPr>
            <w:tcW w:w="1800" w:type="dxa"/>
            <w:tcBorders>
              <w:tl2br w:val="nil"/>
              <w:tr2bl w:val="nil"/>
            </w:tcBorders>
            <w:shd w:val="clear" w:color="auto" w:fill="auto"/>
            <w:vAlign w:val="center"/>
          </w:tcPr>
          <w:p>
            <w:pPr>
              <w:widowControl/>
              <w:spacing w:line="340" w:lineRule="exact"/>
              <w:jc w:val="center"/>
              <w:textAlignment w:val="top"/>
              <w:rPr>
                <w:rFonts w:hint="eastAsia" w:asciiTheme="majorEastAsia" w:hAnsiTheme="majorEastAsia" w:eastAsiaTheme="majorEastAsia" w:cstheme="majorEastAsia"/>
                <w:b/>
                <w:bCs/>
                <w:color w:val="auto"/>
                <w:kern w:val="0"/>
                <w:szCs w:val="21"/>
                <w:highlight w:val="none"/>
                <w:lang w:bidi="ar"/>
              </w:rPr>
            </w:pPr>
            <w:bookmarkStart w:id="0" w:name="_GoBack"/>
            <w:bookmarkEnd w:id="0"/>
            <w:r>
              <w:rPr>
                <w:rFonts w:hint="eastAsia" w:asciiTheme="majorEastAsia" w:hAnsiTheme="majorEastAsia" w:eastAsiaTheme="majorEastAsia" w:cstheme="majorEastAsia"/>
                <w:b/>
                <w:bCs/>
                <w:color w:val="auto"/>
                <w:kern w:val="0"/>
                <w:szCs w:val="21"/>
                <w:highlight w:val="none"/>
                <w:lang w:bidi="ar"/>
              </w:rPr>
              <w:t>违法行为</w:t>
            </w:r>
          </w:p>
        </w:tc>
        <w:tc>
          <w:tcPr>
            <w:tcW w:w="2370" w:type="dxa"/>
            <w:tcBorders>
              <w:tl2br w:val="nil"/>
              <w:tr2bl w:val="nil"/>
            </w:tcBorders>
            <w:shd w:val="clear" w:color="auto" w:fill="auto"/>
            <w:vAlign w:val="center"/>
          </w:tcPr>
          <w:p>
            <w:pPr>
              <w:widowControl/>
              <w:spacing w:line="34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法律依据</w:t>
            </w:r>
          </w:p>
        </w:tc>
        <w:tc>
          <w:tcPr>
            <w:tcW w:w="2130" w:type="dxa"/>
            <w:tcBorders>
              <w:tl2br w:val="nil"/>
              <w:tr2bl w:val="nil"/>
            </w:tcBorders>
            <w:shd w:val="clear" w:color="auto" w:fill="auto"/>
            <w:vAlign w:val="center"/>
          </w:tcPr>
          <w:p>
            <w:pPr>
              <w:widowControl/>
              <w:spacing w:line="34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违法情节</w:t>
            </w:r>
          </w:p>
        </w:tc>
        <w:tc>
          <w:tcPr>
            <w:tcW w:w="1183" w:type="dxa"/>
            <w:tcBorders>
              <w:tl2br w:val="nil"/>
              <w:tr2bl w:val="nil"/>
            </w:tcBorders>
            <w:shd w:val="clear" w:color="auto" w:fill="auto"/>
            <w:vAlign w:val="center"/>
          </w:tcPr>
          <w:p>
            <w:pPr>
              <w:widowControl/>
              <w:spacing w:line="34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裁量基准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39" w:hRule="atLeast"/>
        </w:trPr>
        <w:tc>
          <w:tcPr>
            <w:tcW w:w="1800" w:type="dxa"/>
            <w:vMerge w:val="restart"/>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lang w:bidi="ar"/>
              </w:rPr>
              <w:t>不按照规定建立健全安全保卫制度和制定事故应急计划或者应急措施</w:t>
            </w:r>
          </w:p>
        </w:tc>
        <w:tc>
          <w:tcPr>
            <w:tcW w:w="2370" w:type="dxa"/>
            <w:vMerge w:val="restart"/>
            <w:tcBorders>
              <w:tl2br w:val="nil"/>
              <w:tr2bl w:val="nil"/>
            </w:tcBorders>
            <w:shd w:val="clear" w:color="auto" w:fill="auto"/>
          </w:tcPr>
          <w:p>
            <w:pP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第五十五条  违反本法规定，</w:t>
            </w:r>
            <w:r>
              <w:rPr>
                <w:rFonts w:hint="eastAsia" w:ascii="宋体" w:hAnsi="宋体" w:eastAsia="宋体" w:cs="宋体"/>
                <w:color w:val="auto"/>
                <w:kern w:val="0"/>
                <w:szCs w:val="21"/>
                <w:highlight w:val="none"/>
                <w:lang w:eastAsia="zh-CN" w:bidi="ar"/>
              </w:rPr>
              <w:t>有下列行为之一的</w:t>
            </w:r>
            <w:r>
              <w:rPr>
                <w:rFonts w:hint="eastAsia" w:ascii="宋体" w:hAnsi="宋体" w:eastAsia="宋体" w:cs="宋体"/>
                <w:color w:val="auto"/>
                <w:kern w:val="0"/>
                <w:szCs w:val="21"/>
                <w:highlight w:val="none"/>
                <w:lang w:bidi="ar"/>
              </w:rPr>
              <w:t>，由县级以上人民政府环境保护行政主管部门或者其他有关部门依据职权责令限期改正；逾期不改正的，责令停产停业，并处2万元以上10万元以下罚款；构成犯罪的，依法追究刑事责任：</w:t>
            </w:r>
          </w:p>
          <w:p>
            <w:pP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 xml:space="preserve">（二）不按照规定建立健全安全保卫制度和制定事故应急计划或者应急措施的； </w:t>
            </w:r>
          </w:p>
          <w:p>
            <w:pPr>
              <w:rPr>
                <w:rFonts w:ascii="Times New Roman" w:hAnsi="Times New Roman" w:eastAsia="方正书宋简体" w:cs="Times New Roman"/>
                <w:color w:val="auto"/>
                <w:kern w:val="0"/>
                <w:szCs w:val="21"/>
                <w:highlight w:val="none"/>
                <w:lang w:bidi="ar"/>
              </w:rPr>
            </w:pPr>
          </w:p>
        </w:tc>
        <w:tc>
          <w:tcPr>
            <w:tcW w:w="2130" w:type="dxa"/>
            <w:tcBorders>
              <w:tl2br w:val="nil"/>
              <w:tr2bl w:val="nil"/>
            </w:tcBorders>
            <w:shd w:val="clear" w:color="auto" w:fill="auto"/>
          </w:tcPr>
          <w:p>
            <w:pPr>
              <w:widowControl/>
              <w:spacing w:line="340" w:lineRule="exact"/>
              <w:textAlignment w:val="top"/>
              <w:rPr>
                <w:rFonts w:ascii="方正黑体简体" w:hAnsi="方正黑体简体" w:eastAsia="方正黑体简体" w:cs="方正黑体简体"/>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一般情况</w:t>
            </w:r>
          </w:p>
        </w:tc>
        <w:tc>
          <w:tcPr>
            <w:tcW w:w="1183" w:type="dxa"/>
            <w:tcBorders>
              <w:tl2br w:val="nil"/>
              <w:tr2bl w:val="nil"/>
            </w:tcBorders>
            <w:shd w:val="clear" w:color="auto" w:fill="auto"/>
            <w:vAlign w:val="center"/>
          </w:tcPr>
          <w:p>
            <w:pPr>
              <w:widowControl/>
              <w:spacing w:line="340" w:lineRule="exact"/>
              <w:jc w:val="left"/>
              <w:textAlignment w:val="top"/>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责令限期改正</w:t>
            </w:r>
          </w:p>
          <w:p>
            <w:pPr>
              <w:widowControl/>
              <w:spacing w:line="340" w:lineRule="exact"/>
              <w:jc w:val="left"/>
              <w:textAlignment w:val="top"/>
              <w:rPr>
                <w:rFonts w:ascii="宋体" w:hAnsi="宋体" w:eastAsia="宋体" w:cs="宋体"/>
                <w:color w:val="auto"/>
                <w:kern w:val="0"/>
                <w:szCs w:val="21"/>
                <w:highlight w:val="none"/>
                <w:lang w:bidi="ar"/>
              </w:rPr>
            </w:pPr>
          </w:p>
          <w:p>
            <w:pPr>
              <w:widowControl/>
              <w:spacing w:line="340" w:lineRule="exact"/>
              <w:jc w:val="left"/>
              <w:textAlignment w:val="top"/>
              <w:rPr>
                <w:rFonts w:ascii="宋体" w:hAnsi="宋体" w:eastAsia="宋体" w:cs="宋体"/>
                <w:color w:val="auto"/>
                <w:kern w:val="0"/>
                <w:szCs w:val="21"/>
                <w:highlight w:val="none"/>
                <w:lang w:bidi="ar"/>
              </w:rPr>
            </w:pPr>
          </w:p>
          <w:p>
            <w:pPr>
              <w:widowControl/>
              <w:spacing w:line="340" w:lineRule="exact"/>
              <w:jc w:val="left"/>
              <w:textAlignment w:val="top"/>
              <w:rPr>
                <w:rFonts w:ascii="宋体" w:hAnsi="宋体" w:eastAsia="宋体" w:cs="宋体"/>
                <w:color w:val="auto"/>
                <w:kern w:val="0"/>
                <w:szCs w:val="21"/>
                <w:highlight w:val="none"/>
                <w:lang w:bidi="ar"/>
              </w:rPr>
            </w:pPr>
          </w:p>
          <w:p>
            <w:pPr>
              <w:widowControl/>
              <w:spacing w:line="340" w:lineRule="exact"/>
              <w:jc w:val="left"/>
              <w:textAlignment w:val="top"/>
              <w:rPr>
                <w:rFonts w:ascii="宋体" w:hAnsi="宋体" w:eastAsia="宋体" w:cs="宋体"/>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40" w:hRule="exact"/>
        </w:trPr>
        <w:tc>
          <w:tcPr>
            <w:tcW w:w="1800" w:type="dxa"/>
            <w:vMerge w:val="continue"/>
            <w:tcBorders>
              <w:tl2br w:val="nil"/>
              <w:tr2bl w:val="nil"/>
            </w:tcBorders>
            <w:shd w:val="clear" w:color="000000" w:fill="FFFFFF"/>
          </w:tcPr>
          <w:p>
            <w:pPr>
              <w:rPr>
                <w:rFonts w:ascii="Times New Roman" w:hAnsi="Times New Roman" w:eastAsia="方正书宋简体" w:cs="Times New Roman"/>
                <w:color w:val="auto"/>
                <w:kern w:val="0"/>
                <w:szCs w:val="21"/>
                <w:highlight w:val="none"/>
                <w:lang w:bidi="ar"/>
              </w:rPr>
            </w:pPr>
          </w:p>
        </w:tc>
        <w:tc>
          <w:tcPr>
            <w:tcW w:w="2370" w:type="dxa"/>
            <w:vMerge w:val="continue"/>
            <w:tcBorders>
              <w:tl2br w:val="nil"/>
              <w:tr2bl w:val="nil"/>
            </w:tcBorders>
            <w:shd w:val="clear" w:color="000000" w:fill="FFFFFF"/>
          </w:tcPr>
          <w:p>
            <w:pPr>
              <w:rPr>
                <w:rFonts w:ascii="Times New Roman" w:hAnsi="Times New Roman" w:eastAsia="方正书宋简体" w:cs="Times New Roman"/>
                <w:color w:val="auto"/>
                <w:kern w:val="0"/>
                <w:szCs w:val="21"/>
                <w:highlight w:val="none"/>
                <w:lang w:bidi="ar"/>
              </w:rPr>
            </w:pPr>
          </w:p>
        </w:tc>
        <w:tc>
          <w:tcPr>
            <w:tcW w:w="2130" w:type="dxa"/>
            <w:tcBorders>
              <w:tl2br w:val="nil"/>
              <w:tr2bl w:val="nil"/>
            </w:tcBorders>
            <w:shd w:val="clear" w:color="000000" w:fill="FFFFFF"/>
          </w:tcPr>
          <w:p>
            <w:pPr>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rPr>
              <w:t>初次</w:t>
            </w:r>
            <w:r>
              <w:rPr>
                <w:rFonts w:hint="eastAsia" w:ascii="Times New Roman" w:hAnsi="Times New Roman" w:eastAsia="方正书宋简体" w:cs="Times New Roman"/>
                <w:color w:val="auto"/>
                <w:kern w:val="0"/>
                <w:szCs w:val="21"/>
                <w:highlight w:val="none"/>
              </w:rPr>
              <w:t>违反，且</w:t>
            </w:r>
            <w:r>
              <w:rPr>
                <w:rFonts w:ascii="Times New Roman" w:hAnsi="Times New Roman" w:eastAsia="方正书宋简体" w:cs="Times New Roman"/>
                <w:color w:val="auto"/>
                <w:kern w:val="0"/>
                <w:szCs w:val="21"/>
                <w:highlight w:val="none"/>
                <w:lang w:bidi="ar"/>
              </w:rPr>
              <w:t>逾期不改正</w:t>
            </w:r>
            <w:r>
              <w:rPr>
                <w:rFonts w:hint="eastAsia" w:ascii="Times New Roman" w:hAnsi="Times New Roman" w:eastAsia="方正书宋简体" w:cs="Times New Roman"/>
                <w:color w:val="auto"/>
                <w:kern w:val="0"/>
                <w:szCs w:val="21"/>
                <w:highlight w:val="none"/>
                <w:lang w:val="en-US" w:eastAsia="zh-CN" w:bidi="ar"/>
              </w:rPr>
              <w:t>的</w:t>
            </w:r>
            <w:r>
              <w:rPr>
                <w:rFonts w:hint="eastAsia" w:ascii="Times New Roman" w:hAnsi="Times New Roman" w:eastAsia="方正书宋简体" w:cs="Times New Roman"/>
                <w:color w:val="auto"/>
                <w:kern w:val="0"/>
                <w:szCs w:val="21"/>
                <w:highlight w:val="none"/>
                <w:lang w:bidi="ar"/>
              </w:rPr>
              <w:t>。</w:t>
            </w:r>
          </w:p>
        </w:tc>
        <w:tc>
          <w:tcPr>
            <w:tcW w:w="1183" w:type="dxa"/>
            <w:tcBorders>
              <w:tl2br w:val="nil"/>
              <w:tr2bl w:val="nil"/>
            </w:tcBorders>
            <w:shd w:val="clear" w:color="000000" w:fill="FFFFFF"/>
          </w:tcPr>
          <w:p>
            <w:pP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责令停产停业，处2万元以上5万元以下的罚款。</w:t>
            </w:r>
          </w:p>
          <w:p>
            <w:pPr>
              <w:rPr>
                <w:rFonts w:ascii="宋体" w:hAnsi="宋体" w:eastAsia="宋体" w:cs="宋体"/>
                <w:color w:val="auto"/>
                <w:kern w:val="0"/>
                <w:szCs w:val="21"/>
                <w:highlight w:val="none"/>
                <w:lang w:bidi="ar"/>
              </w:rPr>
            </w:pPr>
          </w:p>
          <w:p>
            <w:pPr>
              <w:rPr>
                <w:rFonts w:ascii="宋体" w:hAnsi="宋体" w:eastAsia="宋体" w:cs="宋体"/>
                <w:color w:val="auto"/>
                <w:kern w:val="0"/>
                <w:szCs w:val="21"/>
                <w:highlight w:val="none"/>
                <w:lang w:bidi="ar"/>
              </w:rPr>
            </w:pPr>
          </w:p>
          <w:p>
            <w:pPr>
              <w:rPr>
                <w:rFonts w:ascii="宋体" w:hAnsi="宋体" w:eastAsia="宋体" w:cs="宋体"/>
                <w:color w:val="auto"/>
                <w:kern w:val="0"/>
                <w:szCs w:val="21"/>
                <w:highlight w:val="none"/>
                <w:lang w:bidi="ar"/>
              </w:rPr>
            </w:pPr>
          </w:p>
          <w:p>
            <w:pPr>
              <w:rPr>
                <w:rFonts w:ascii="宋体" w:hAnsi="宋体" w:eastAsia="宋体" w:cs="宋体"/>
                <w:color w:val="auto"/>
                <w:kern w:val="0"/>
                <w:szCs w:val="21"/>
                <w:highlight w:val="none"/>
                <w:lang w:bidi="ar"/>
              </w:rPr>
            </w:pPr>
          </w:p>
          <w:p>
            <w:pPr>
              <w:rPr>
                <w:rFonts w:ascii="宋体" w:hAnsi="宋体" w:eastAsia="宋体" w:cs="宋体"/>
                <w:color w:val="auto"/>
                <w:kern w:val="0"/>
                <w:szCs w:val="21"/>
                <w:highlight w:val="none"/>
                <w:lang w:bidi="ar"/>
              </w:rPr>
            </w:pPr>
          </w:p>
          <w:p>
            <w:pPr>
              <w:rPr>
                <w:rFonts w:ascii="宋体" w:hAnsi="宋体" w:eastAsia="宋体" w:cs="宋体"/>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50" w:hRule="exact"/>
        </w:trPr>
        <w:tc>
          <w:tcPr>
            <w:tcW w:w="1800" w:type="dxa"/>
            <w:vMerge w:val="continue"/>
            <w:tcBorders>
              <w:tl2br w:val="nil"/>
              <w:tr2bl w:val="nil"/>
            </w:tcBorders>
            <w:shd w:val="clear" w:color="000000" w:fill="FFFFFF"/>
          </w:tcPr>
          <w:p>
            <w:pPr>
              <w:rPr>
                <w:rFonts w:ascii="Times New Roman" w:hAnsi="Times New Roman" w:eastAsia="方正书宋简体" w:cs="Times New Roman"/>
                <w:color w:val="auto"/>
                <w:kern w:val="0"/>
                <w:szCs w:val="21"/>
                <w:highlight w:val="none"/>
                <w:lang w:bidi="ar"/>
              </w:rPr>
            </w:pPr>
          </w:p>
        </w:tc>
        <w:tc>
          <w:tcPr>
            <w:tcW w:w="2370" w:type="dxa"/>
            <w:vMerge w:val="continue"/>
            <w:tcBorders>
              <w:tl2br w:val="nil"/>
              <w:tr2bl w:val="nil"/>
            </w:tcBorders>
            <w:shd w:val="clear" w:color="000000" w:fill="FFFFFF"/>
          </w:tcPr>
          <w:p>
            <w:pPr>
              <w:rPr>
                <w:rFonts w:ascii="Times New Roman" w:hAnsi="Times New Roman" w:eastAsia="方正书宋简体" w:cs="Times New Roman"/>
                <w:color w:val="auto"/>
                <w:kern w:val="0"/>
                <w:szCs w:val="21"/>
                <w:highlight w:val="none"/>
                <w:lang w:bidi="ar"/>
              </w:rPr>
            </w:pPr>
          </w:p>
        </w:tc>
        <w:tc>
          <w:tcPr>
            <w:tcW w:w="2130" w:type="dxa"/>
            <w:tcBorders>
              <w:tl2br w:val="nil"/>
              <w:tr2bl w:val="nil"/>
            </w:tcBorders>
            <w:shd w:val="clear" w:color="000000" w:fill="FFFFFF"/>
          </w:tcPr>
          <w:p>
            <w:pPr>
              <w:rPr>
                <w:rFonts w:ascii="Times New Roman" w:hAnsi="Times New Roman" w:eastAsia="方正书宋简体" w:cs="Times New Roman"/>
                <w:color w:val="auto"/>
                <w:kern w:val="0"/>
                <w:szCs w:val="21"/>
                <w:highlight w:val="none"/>
                <w:lang w:bidi="ar"/>
              </w:rPr>
            </w:pPr>
            <w:r>
              <w:rPr>
                <w:rFonts w:hint="eastAsia" w:asciiTheme="minorEastAsia" w:hAnsiTheme="minorEastAsia" w:cstheme="minorEastAsia"/>
                <w:color w:val="auto"/>
                <w:kern w:val="0"/>
                <w:szCs w:val="21"/>
                <w:highlight w:val="none"/>
                <w:lang w:bidi="ar"/>
              </w:rPr>
              <w:t>两年内再次违反此规定</w:t>
            </w:r>
            <w:r>
              <w:rPr>
                <w:rFonts w:hint="eastAsia" w:ascii="Times New Roman" w:hAnsi="Times New Roman" w:eastAsia="方正书宋简体" w:cs="Times New Roman"/>
                <w:color w:val="auto"/>
                <w:kern w:val="0"/>
                <w:szCs w:val="21"/>
                <w:highlight w:val="none"/>
              </w:rPr>
              <w:t>，且</w:t>
            </w:r>
            <w:r>
              <w:rPr>
                <w:rFonts w:ascii="Times New Roman" w:hAnsi="Times New Roman" w:eastAsia="方正书宋简体" w:cs="Times New Roman"/>
                <w:color w:val="auto"/>
                <w:kern w:val="0"/>
                <w:szCs w:val="21"/>
                <w:highlight w:val="none"/>
                <w:lang w:bidi="ar"/>
              </w:rPr>
              <w:t>逾期不改正</w:t>
            </w:r>
            <w:r>
              <w:rPr>
                <w:rFonts w:hint="eastAsia" w:ascii="Times New Roman" w:hAnsi="Times New Roman" w:eastAsia="方正书宋简体" w:cs="Times New Roman"/>
                <w:color w:val="auto"/>
                <w:kern w:val="0"/>
                <w:szCs w:val="21"/>
                <w:highlight w:val="none"/>
                <w:lang w:val="en-US" w:eastAsia="zh-CN" w:bidi="ar"/>
              </w:rPr>
              <w:t>的</w:t>
            </w:r>
            <w:r>
              <w:rPr>
                <w:rFonts w:hint="eastAsia" w:ascii="Times New Roman" w:hAnsi="Times New Roman" w:eastAsia="方正书宋简体" w:cs="Times New Roman"/>
                <w:color w:val="auto"/>
                <w:kern w:val="0"/>
                <w:szCs w:val="21"/>
                <w:highlight w:val="none"/>
                <w:lang w:bidi="ar"/>
              </w:rPr>
              <w:t>。</w:t>
            </w:r>
          </w:p>
        </w:tc>
        <w:tc>
          <w:tcPr>
            <w:tcW w:w="1183" w:type="dxa"/>
            <w:tcBorders>
              <w:tl2br w:val="nil"/>
              <w:tr2bl w:val="nil"/>
            </w:tcBorders>
            <w:shd w:val="clear" w:color="000000" w:fill="FFFFFF"/>
          </w:tcPr>
          <w:p>
            <w:pP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责令停产停业，处5万元以上8万元以下的罚款。</w:t>
            </w:r>
          </w:p>
          <w:p>
            <w:pPr>
              <w:rPr>
                <w:rFonts w:ascii="宋体" w:hAnsi="宋体" w:eastAsia="宋体" w:cs="宋体"/>
                <w:color w:val="auto"/>
                <w:kern w:val="0"/>
                <w:szCs w:val="21"/>
                <w:highlight w:val="none"/>
                <w:lang w:bidi="ar"/>
              </w:rPr>
            </w:pPr>
          </w:p>
          <w:p>
            <w:pPr>
              <w:rPr>
                <w:rFonts w:ascii="宋体" w:hAnsi="宋体" w:eastAsia="宋体" w:cs="宋体"/>
                <w:color w:val="auto"/>
                <w:kern w:val="0"/>
                <w:szCs w:val="21"/>
                <w:highlight w:val="none"/>
                <w:lang w:bidi="ar"/>
              </w:rPr>
            </w:pPr>
          </w:p>
          <w:p>
            <w:pPr>
              <w:rPr>
                <w:rFonts w:ascii="宋体" w:hAnsi="宋体" w:eastAsia="宋体" w:cs="宋体"/>
                <w:color w:val="auto"/>
                <w:kern w:val="0"/>
                <w:szCs w:val="21"/>
                <w:highlight w:val="none"/>
                <w:lang w:bidi="ar"/>
              </w:rPr>
            </w:pPr>
          </w:p>
          <w:p>
            <w:pPr>
              <w:rPr>
                <w:rFonts w:ascii="宋体" w:hAnsi="宋体" w:eastAsia="宋体" w:cs="宋体"/>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0" w:hRule="atLeast"/>
        </w:trPr>
        <w:tc>
          <w:tcPr>
            <w:tcW w:w="1800" w:type="dxa"/>
            <w:vMerge w:val="continue"/>
            <w:tcBorders>
              <w:tl2br w:val="nil"/>
              <w:tr2bl w:val="nil"/>
            </w:tcBorders>
            <w:shd w:val="clear" w:color="000000" w:fill="FFFFFF"/>
          </w:tcPr>
          <w:p>
            <w:pPr>
              <w:rPr>
                <w:rFonts w:ascii="Times New Roman" w:hAnsi="Times New Roman" w:eastAsia="方正书宋简体" w:cs="Times New Roman"/>
                <w:color w:val="auto"/>
                <w:kern w:val="0"/>
                <w:szCs w:val="21"/>
                <w:highlight w:val="none"/>
                <w:lang w:bidi="ar"/>
              </w:rPr>
            </w:pPr>
          </w:p>
        </w:tc>
        <w:tc>
          <w:tcPr>
            <w:tcW w:w="2370" w:type="dxa"/>
            <w:vMerge w:val="continue"/>
            <w:tcBorders>
              <w:tl2br w:val="nil"/>
              <w:tr2bl w:val="nil"/>
            </w:tcBorders>
            <w:shd w:val="clear" w:color="000000" w:fill="FFFFFF"/>
          </w:tcPr>
          <w:p>
            <w:pPr>
              <w:rPr>
                <w:rFonts w:ascii="Times New Roman" w:hAnsi="Times New Roman" w:eastAsia="方正书宋简体" w:cs="Times New Roman"/>
                <w:color w:val="auto"/>
                <w:kern w:val="0"/>
                <w:szCs w:val="21"/>
                <w:highlight w:val="none"/>
                <w:lang w:bidi="ar"/>
              </w:rPr>
            </w:pPr>
          </w:p>
        </w:tc>
        <w:tc>
          <w:tcPr>
            <w:tcW w:w="2130" w:type="dxa"/>
            <w:tcBorders>
              <w:tl2br w:val="nil"/>
              <w:tr2bl w:val="nil"/>
            </w:tcBorders>
            <w:shd w:val="clear" w:color="000000" w:fill="FFFFFF"/>
          </w:tcPr>
          <w:p>
            <w:pPr>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lang w:bidi="ar"/>
              </w:rPr>
              <w:t>逾期不改正</w:t>
            </w:r>
            <w:r>
              <w:rPr>
                <w:rFonts w:hint="eastAsia" w:ascii="Times New Roman" w:hAnsi="Times New Roman" w:eastAsia="方正书宋简体" w:cs="Times New Roman"/>
                <w:color w:val="auto"/>
                <w:kern w:val="0"/>
                <w:szCs w:val="21"/>
                <w:highlight w:val="none"/>
                <w:lang w:bidi="ar"/>
              </w:rPr>
              <w:t>，</w:t>
            </w:r>
            <w:r>
              <w:rPr>
                <w:rFonts w:ascii="Times New Roman" w:hAnsi="Times New Roman" w:eastAsia="方正书宋简体" w:cs="Times New Roman"/>
                <w:color w:val="auto"/>
                <w:kern w:val="0"/>
                <w:szCs w:val="21"/>
                <w:highlight w:val="none"/>
              </w:rPr>
              <w:t>造成</w:t>
            </w:r>
            <w:r>
              <w:rPr>
                <w:rFonts w:hint="eastAsia" w:ascii="Times New Roman" w:hAnsi="Times New Roman" w:eastAsia="方正书宋简体" w:cs="Times New Roman"/>
                <w:color w:val="auto"/>
                <w:kern w:val="0"/>
                <w:szCs w:val="21"/>
                <w:highlight w:val="none"/>
              </w:rPr>
              <w:t>人身</w:t>
            </w:r>
            <w:r>
              <w:rPr>
                <w:rFonts w:ascii="Times New Roman" w:hAnsi="Times New Roman" w:eastAsia="方正书宋简体" w:cs="Times New Roman"/>
                <w:color w:val="auto"/>
                <w:kern w:val="0"/>
                <w:szCs w:val="21"/>
                <w:highlight w:val="none"/>
              </w:rPr>
              <w:t>伤亡、财产损失</w:t>
            </w:r>
            <w:r>
              <w:rPr>
                <w:rFonts w:hint="eastAsia" w:ascii="Times New Roman" w:hAnsi="Times New Roman" w:eastAsia="方正书宋简体" w:cs="Times New Roman"/>
                <w:color w:val="auto"/>
                <w:kern w:val="0"/>
                <w:szCs w:val="21"/>
                <w:highlight w:val="none"/>
              </w:rPr>
              <w:t>、</w:t>
            </w:r>
            <w:r>
              <w:rPr>
                <w:rFonts w:ascii="Times New Roman" w:hAnsi="Times New Roman" w:eastAsia="方正书宋简体" w:cs="Times New Roman"/>
                <w:color w:val="auto"/>
                <w:kern w:val="0"/>
                <w:szCs w:val="21"/>
                <w:highlight w:val="none"/>
              </w:rPr>
              <w:t>社会影响</w:t>
            </w:r>
            <w:r>
              <w:rPr>
                <w:rFonts w:hint="eastAsia" w:ascii="Times New Roman" w:hAnsi="Times New Roman" w:eastAsia="方正书宋简体" w:cs="Times New Roman"/>
                <w:color w:val="auto"/>
                <w:kern w:val="0"/>
                <w:szCs w:val="21"/>
                <w:highlight w:val="none"/>
              </w:rPr>
              <w:t>等后果</w:t>
            </w:r>
            <w:r>
              <w:rPr>
                <w:rFonts w:hint="eastAsia" w:ascii="Times New Roman" w:hAnsi="Times New Roman" w:eastAsia="方正书宋简体" w:cs="Times New Roman"/>
                <w:color w:val="auto"/>
                <w:kern w:val="0"/>
                <w:szCs w:val="21"/>
                <w:highlight w:val="none"/>
                <w:lang w:val="en-US" w:eastAsia="zh-CN"/>
              </w:rPr>
              <w:t>的</w:t>
            </w:r>
            <w:r>
              <w:rPr>
                <w:rFonts w:ascii="Times New Roman" w:hAnsi="Times New Roman" w:eastAsia="方正书宋简体" w:cs="Times New Roman"/>
                <w:color w:val="auto"/>
                <w:kern w:val="0"/>
                <w:szCs w:val="21"/>
                <w:highlight w:val="none"/>
              </w:rPr>
              <w:t>。</w:t>
            </w:r>
          </w:p>
        </w:tc>
        <w:tc>
          <w:tcPr>
            <w:tcW w:w="1183" w:type="dxa"/>
            <w:tcBorders>
              <w:tl2br w:val="nil"/>
              <w:tr2bl w:val="nil"/>
            </w:tcBorders>
            <w:shd w:val="clear" w:color="000000" w:fill="FFFFFF"/>
          </w:tcPr>
          <w:p>
            <w:pP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lang w:bidi="ar"/>
              </w:rPr>
              <w:t>责令停产停业</w:t>
            </w:r>
            <w:r>
              <w:rPr>
                <w:rFonts w:hint="eastAsia" w:ascii="宋体" w:hAnsi="宋体" w:eastAsia="宋体" w:cs="宋体"/>
                <w:color w:val="auto"/>
                <w:kern w:val="0"/>
                <w:szCs w:val="21"/>
                <w:highlight w:val="none"/>
              </w:rPr>
              <w:t>，处8万元以上10万元以下的罚款。</w:t>
            </w:r>
          </w:p>
          <w:p>
            <w:pPr>
              <w:rPr>
                <w:rFonts w:ascii="宋体" w:hAnsi="宋体" w:eastAsia="宋体" w:cs="宋体"/>
                <w:color w:val="auto"/>
                <w:kern w:val="0"/>
                <w:szCs w:val="21"/>
                <w:highlight w:val="none"/>
              </w:rPr>
            </w:pPr>
          </w:p>
          <w:p>
            <w:pPr>
              <w:rPr>
                <w:rFonts w:ascii="宋体" w:hAnsi="宋体" w:eastAsia="宋体" w:cs="宋体"/>
                <w:color w:val="auto"/>
                <w:kern w:val="0"/>
                <w:szCs w:val="21"/>
                <w:highlight w:val="none"/>
              </w:rPr>
            </w:pPr>
          </w:p>
          <w:p>
            <w:pPr>
              <w:rPr>
                <w:rFonts w:ascii="宋体" w:hAnsi="宋体" w:eastAsia="宋体" w:cs="宋体"/>
                <w:color w:val="auto"/>
                <w:kern w:val="0"/>
                <w:szCs w:val="21"/>
                <w:highlight w:val="none"/>
              </w:rPr>
            </w:pPr>
          </w:p>
          <w:p>
            <w:pPr>
              <w:rPr>
                <w:rFonts w:ascii="宋体" w:hAnsi="宋体" w:eastAsia="宋体" w:cs="宋体"/>
                <w:color w:val="auto"/>
                <w:kern w:val="0"/>
                <w:szCs w:val="21"/>
                <w:highlight w:val="none"/>
              </w:rPr>
            </w:pPr>
          </w:p>
          <w:p>
            <w:pPr>
              <w:rPr>
                <w:rFonts w:ascii="宋体" w:hAnsi="宋体" w:eastAsia="宋体" w:cs="宋体"/>
                <w:color w:val="auto"/>
                <w:kern w:val="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800" w:type="dxa"/>
            <w:tcBorders>
              <w:tl2br w:val="nil"/>
              <w:tr2bl w:val="nil"/>
            </w:tcBorders>
            <w:shd w:val="clear" w:color="000000" w:fill="FFFFFF"/>
          </w:tcPr>
          <w:p>
            <w:pPr>
              <w:widowControl/>
              <w:spacing w:line="34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违法行为</w:t>
            </w:r>
          </w:p>
        </w:tc>
        <w:tc>
          <w:tcPr>
            <w:tcW w:w="2370" w:type="dxa"/>
            <w:tcBorders>
              <w:tl2br w:val="nil"/>
              <w:tr2bl w:val="nil"/>
            </w:tcBorders>
            <w:shd w:val="clear" w:color="000000" w:fill="FFFFFF"/>
          </w:tcPr>
          <w:p>
            <w:pPr>
              <w:widowControl/>
              <w:spacing w:line="34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法律依据</w:t>
            </w:r>
          </w:p>
        </w:tc>
        <w:tc>
          <w:tcPr>
            <w:tcW w:w="2130" w:type="dxa"/>
            <w:tcBorders>
              <w:tl2br w:val="nil"/>
              <w:tr2bl w:val="nil"/>
            </w:tcBorders>
            <w:shd w:val="clear" w:color="000000" w:fill="FFFFFF"/>
          </w:tcPr>
          <w:p>
            <w:pPr>
              <w:widowControl/>
              <w:spacing w:line="34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违法情节</w:t>
            </w:r>
          </w:p>
        </w:tc>
        <w:tc>
          <w:tcPr>
            <w:tcW w:w="1183" w:type="dxa"/>
            <w:tcBorders>
              <w:tl2br w:val="nil"/>
              <w:tr2bl w:val="nil"/>
            </w:tcBorders>
            <w:shd w:val="clear" w:color="000000" w:fill="FFFFFF"/>
          </w:tcPr>
          <w:p>
            <w:pPr>
              <w:widowControl/>
              <w:spacing w:line="34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裁量基准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364" w:hRule="exact"/>
        </w:trPr>
        <w:tc>
          <w:tcPr>
            <w:tcW w:w="1800" w:type="dxa"/>
            <w:vMerge w:val="restart"/>
            <w:tcBorders>
              <w:tl2br w:val="nil"/>
              <w:tr2bl w:val="nil"/>
            </w:tcBorders>
            <w:shd w:val="clear" w:color="000000" w:fill="FFFFFF"/>
          </w:tcPr>
          <w:p>
            <w:pPr>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lang w:bidi="ar"/>
              </w:rPr>
              <w:t>不按照规定报告放射源丢失、被盗情况或者放射性污染事故</w:t>
            </w:r>
            <w:r>
              <w:rPr>
                <w:rFonts w:ascii="Times New Roman" w:hAnsi="Times New Roman" w:eastAsia="方正书宋简体" w:cs="Times New Roman"/>
                <w:color w:val="auto"/>
                <w:kern w:val="0"/>
                <w:szCs w:val="21"/>
                <w:highlight w:val="none"/>
              </w:rPr>
              <w:t>。</w:t>
            </w:r>
          </w:p>
        </w:tc>
        <w:tc>
          <w:tcPr>
            <w:tcW w:w="2370" w:type="dxa"/>
            <w:vMerge w:val="restart"/>
            <w:tcBorders>
              <w:tl2br w:val="nil"/>
              <w:tr2bl w:val="nil"/>
            </w:tcBorders>
            <w:shd w:val="clear" w:color="000000" w:fill="FFFFFF"/>
          </w:tcPr>
          <w:p>
            <w:pPr>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lang w:bidi="ar"/>
              </w:rPr>
              <w:t>第五十五条</w:t>
            </w:r>
            <w:r>
              <w:rPr>
                <w:rFonts w:hint="eastAsia" w:ascii="Times New Roman" w:hAnsi="Times New Roman" w:eastAsia="方正书宋简体" w:cs="Times New Roman"/>
                <w:color w:val="auto"/>
                <w:kern w:val="0"/>
                <w:szCs w:val="21"/>
                <w:highlight w:val="none"/>
                <w:lang w:bidi="ar"/>
              </w:rPr>
              <w:t xml:space="preserve">  </w:t>
            </w:r>
            <w:r>
              <w:rPr>
                <w:rFonts w:ascii="Times New Roman" w:hAnsi="Times New Roman" w:eastAsia="方正书宋简体" w:cs="Times New Roman"/>
                <w:color w:val="auto"/>
                <w:kern w:val="0"/>
                <w:szCs w:val="21"/>
                <w:highlight w:val="none"/>
                <w:lang w:bidi="ar"/>
              </w:rPr>
              <w:t>违反本法规定，</w:t>
            </w:r>
            <w:r>
              <w:rPr>
                <w:rFonts w:hint="eastAsia" w:ascii="Times New Roman" w:hAnsi="Times New Roman" w:eastAsia="方正书宋简体" w:cs="Times New Roman"/>
                <w:color w:val="auto"/>
                <w:kern w:val="0"/>
                <w:szCs w:val="21"/>
                <w:highlight w:val="none"/>
                <w:lang w:eastAsia="zh-CN" w:bidi="ar"/>
              </w:rPr>
              <w:t>有下列行为之一的</w:t>
            </w:r>
            <w:r>
              <w:rPr>
                <w:rFonts w:ascii="Times New Roman" w:hAnsi="Times New Roman" w:eastAsia="方正书宋简体" w:cs="Times New Roman"/>
                <w:color w:val="auto"/>
                <w:kern w:val="0"/>
                <w:szCs w:val="21"/>
                <w:highlight w:val="none"/>
                <w:lang w:bidi="ar"/>
              </w:rPr>
              <w:t>，由县级以上人民政府环境保护行政主管部门或者其他有关部门依据职权责令限期改正；逾期不改正的，责令停产停业，并处</w:t>
            </w:r>
            <w:r>
              <w:rPr>
                <w:rFonts w:hint="eastAsia" w:ascii="Times New Roman" w:hAnsi="Times New Roman" w:eastAsia="方正书宋简体" w:cs="Times New Roman"/>
                <w:color w:val="auto"/>
                <w:kern w:val="0"/>
                <w:szCs w:val="21"/>
                <w:highlight w:val="none"/>
                <w:lang w:bidi="ar"/>
              </w:rPr>
              <w:t>2</w:t>
            </w:r>
            <w:r>
              <w:rPr>
                <w:rFonts w:ascii="Times New Roman" w:hAnsi="Times New Roman" w:eastAsia="方正书宋简体" w:cs="Times New Roman"/>
                <w:color w:val="auto"/>
                <w:kern w:val="0"/>
                <w:szCs w:val="21"/>
                <w:highlight w:val="none"/>
                <w:lang w:bidi="ar"/>
              </w:rPr>
              <w:t>万元以上</w:t>
            </w:r>
            <w:r>
              <w:rPr>
                <w:rFonts w:hint="eastAsia" w:ascii="Times New Roman" w:hAnsi="Times New Roman" w:eastAsia="方正书宋简体" w:cs="Times New Roman"/>
                <w:color w:val="auto"/>
                <w:kern w:val="0"/>
                <w:szCs w:val="21"/>
                <w:highlight w:val="none"/>
                <w:lang w:bidi="ar"/>
              </w:rPr>
              <w:t>10</w:t>
            </w:r>
            <w:r>
              <w:rPr>
                <w:rFonts w:ascii="Times New Roman" w:hAnsi="Times New Roman" w:eastAsia="方正书宋简体" w:cs="Times New Roman"/>
                <w:color w:val="auto"/>
                <w:kern w:val="0"/>
                <w:szCs w:val="21"/>
                <w:highlight w:val="none"/>
                <w:lang w:bidi="ar"/>
              </w:rPr>
              <w:t>万元以下罚款；构成犯罪的，依法追究刑事责任：</w:t>
            </w:r>
          </w:p>
          <w:p>
            <w:pPr>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lang w:bidi="ar"/>
              </w:rPr>
              <w:t>（三）不按照规定报告放射源丢失、被盗情况或者放射性污染事故的。</w:t>
            </w:r>
          </w:p>
        </w:tc>
        <w:tc>
          <w:tcPr>
            <w:tcW w:w="2130" w:type="dxa"/>
            <w:tcBorders>
              <w:tl2br w:val="nil"/>
              <w:tr2bl w:val="nil"/>
            </w:tcBorders>
            <w:shd w:val="clear" w:color="000000" w:fill="FFFFFF"/>
          </w:tcPr>
          <w:p>
            <w:pPr>
              <w:widowControl/>
              <w:spacing w:line="340" w:lineRule="exact"/>
              <w:textAlignment w:val="top"/>
              <w:rPr>
                <w:rFonts w:ascii="方正黑体简体" w:hAnsi="方正黑体简体" w:eastAsia="方正黑体简体" w:cs="方正黑体简体"/>
                <w:color w:val="auto"/>
                <w:kern w:val="0"/>
                <w:szCs w:val="21"/>
                <w:highlight w:val="none"/>
                <w:lang w:bidi="ar"/>
              </w:rPr>
            </w:pPr>
            <w:r>
              <w:rPr>
                <w:rFonts w:hint="eastAsia" w:ascii="Times New Roman" w:hAnsi="Times New Roman" w:eastAsia="方正书宋简体" w:cs="Times New Roman"/>
                <w:color w:val="auto"/>
                <w:kern w:val="0"/>
                <w:szCs w:val="21"/>
                <w:highlight w:val="none"/>
              </w:rPr>
              <w:t>一般情况</w:t>
            </w:r>
          </w:p>
        </w:tc>
        <w:tc>
          <w:tcPr>
            <w:tcW w:w="1183" w:type="dxa"/>
            <w:tcBorders>
              <w:tl2br w:val="nil"/>
              <w:tr2bl w:val="nil"/>
            </w:tcBorders>
            <w:shd w:val="clear" w:color="000000" w:fill="FFFFFF"/>
            <w:vAlign w:val="center"/>
          </w:tcPr>
          <w:p>
            <w:pPr>
              <w:widowControl/>
              <w:spacing w:line="340" w:lineRule="exact"/>
              <w:jc w:val="left"/>
              <w:textAlignment w:val="top"/>
              <w:rPr>
                <w:rFonts w:ascii="Times New Roman" w:hAnsi="Times New Roman" w:eastAsia="方正书宋简体" w:cs="Times New Roman"/>
                <w:color w:val="auto"/>
                <w:kern w:val="0"/>
                <w:szCs w:val="21"/>
                <w:highlight w:val="none"/>
              </w:rPr>
            </w:pPr>
            <w:r>
              <w:rPr>
                <w:rFonts w:ascii="Times New Roman" w:hAnsi="Times New Roman" w:eastAsia="方正书宋简体" w:cs="Times New Roman"/>
                <w:color w:val="auto"/>
                <w:kern w:val="0"/>
                <w:szCs w:val="21"/>
                <w:highlight w:val="none"/>
              </w:rPr>
              <w:t>责令限期改正</w:t>
            </w:r>
          </w:p>
          <w:p>
            <w:pPr>
              <w:widowControl/>
              <w:spacing w:line="340" w:lineRule="exact"/>
              <w:jc w:val="left"/>
              <w:textAlignment w:val="top"/>
              <w:rPr>
                <w:rFonts w:ascii="Times New Roman" w:hAnsi="Times New Roman" w:eastAsia="方正书宋简体" w:cs="Times New Roman"/>
                <w:color w:val="auto"/>
                <w:kern w:val="0"/>
                <w:szCs w:val="21"/>
                <w:highlight w:val="none"/>
              </w:rPr>
            </w:pPr>
          </w:p>
          <w:p>
            <w:pPr>
              <w:widowControl/>
              <w:spacing w:line="340" w:lineRule="exact"/>
              <w:jc w:val="left"/>
              <w:textAlignment w:val="top"/>
              <w:rPr>
                <w:rFonts w:ascii="Times New Roman" w:hAnsi="Times New Roman" w:eastAsia="方正书宋简体" w:cs="Times New Roman"/>
                <w:color w:val="auto"/>
                <w:kern w:val="0"/>
                <w:szCs w:val="21"/>
                <w:highlight w:val="none"/>
              </w:rPr>
            </w:pPr>
          </w:p>
          <w:p>
            <w:pPr>
              <w:widowControl/>
              <w:spacing w:line="340" w:lineRule="exact"/>
              <w:jc w:val="left"/>
              <w:textAlignment w:val="top"/>
              <w:rPr>
                <w:rFonts w:ascii="Times New Roman" w:hAnsi="Times New Roman" w:eastAsia="方正书宋简体" w:cs="Times New Roman"/>
                <w:color w:val="auto"/>
                <w:kern w:val="0"/>
                <w:szCs w:val="21"/>
                <w:highlight w:val="none"/>
              </w:rPr>
            </w:pPr>
          </w:p>
          <w:p>
            <w:pPr>
              <w:widowControl/>
              <w:spacing w:line="340" w:lineRule="exact"/>
              <w:jc w:val="left"/>
              <w:textAlignment w:val="top"/>
              <w:rPr>
                <w:rFonts w:ascii="Times New Roman" w:hAnsi="Times New Roman" w:eastAsia="方正书宋简体" w:cs="Times New Roman"/>
                <w:color w:val="auto"/>
                <w:kern w:val="0"/>
                <w:szCs w:val="21"/>
                <w:highlight w:val="none"/>
              </w:rPr>
            </w:pPr>
          </w:p>
          <w:p>
            <w:pPr>
              <w:widowControl/>
              <w:spacing w:line="340" w:lineRule="exact"/>
              <w:jc w:val="left"/>
              <w:textAlignment w:val="top"/>
              <w:rPr>
                <w:rFonts w:ascii="Times New Roman" w:hAnsi="Times New Roman" w:eastAsia="方正书宋简体" w:cs="Times New Roman"/>
                <w:color w:val="auto"/>
                <w:kern w:val="0"/>
                <w:szCs w:val="21"/>
                <w:highlight w:val="none"/>
              </w:rPr>
            </w:pPr>
          </w:p>
          <w:p>
            <w:pPr>
              <w:widowControl/>
              <w:spacing w:line="340" w:lineRule="exact"/>
              <w:jc w:val="left"/>
              <w:textAlignment w:val="top"/>
              <w:rPr>
                <w:rFonts w:ascii="Times New Roman" w:hAnsi="Times New Roman" w:eastAsia="方正书宋简体" w:cs="Times New Roman"/>
                <w:color w:val="auto"/>
                <w:kern w:val="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527" w:hRule="atLeast"/>
        </w:trPr>
        <w:tc>
          <w:tcPr>
            <w:tcW w:w="1800" w:type="dxa"/>
            <w:vMerge w:val="continue"/>
            <w:tcBorders>
              <w:tl2br w:val="nil"/>
              <w:tr2bl w:val="nil"/>
            </w:tcBorders>
            <w:shd w:val="clear" w:color="000000" w:fill="FFFFFF"/>
          </w:tcPr>
          <w:p>
            <w:pPr>
              <w:rPr>
                <w:rFonts w:ascii="Times New Roman" w:hAnsi="Times New Roman" w:eastAsia="方正书宋简体" w:cs="Times New Roman"/>
                <w:color w:val="auto"/>
                <w:kern w:val="0"/>
                <w:szCs w:val="21"/>
                <w:highlight w:val="none"/>
                <w:lang w:bidi="ar"/>
              </w:rPr>
            </w:pPr>
          </w:p>
        </w:tc>
        <w:tc>
          <w:tcPr>
            <w:tcW w:w="2370" w:type="dxa"/>
            <w:vMerge w:val="continue"/>
            <w:tcBorders>
              <w:tl2br w:val="nil"/>
              <w:tr2bl w:val="nil"/>
            </w:tcBorders>
            <w:shd w:val="clear" w:color="000000" w:fill="FFFFFF"/>
          </w:tcPr>
          <w:p>
            <w:pPr>
              <w:rPr>
                <w:rFonts w:ascii="Times New Roman" w:hAnsi="Times New Roman" w:eastAsia="方正书宋简体" w:cs="Times New Roman"/>
                <w:color w:val="auto"/>
                <w:kern w:val="0"/>
                <w:szCs w:val="21"/>
                <w:highlight w:val="none"/>
                <w:lang w:bidi="ar"/>
              </w:rPr>
            </w:pPr>
          </w:p>
        </w:tc>
        <w:tc>
          <w:tcPr>
            <w:tcW w:w="2130" w:type="dxa"/>
            <w:tcBorders>
              <w:tl2br w:val="nil"/>
              <w:tr2bl w:val="nil"/>
            </w:tcBorders>
            <w:shd w:val="clear" w:color="000000" w:fill="FFFFFF"/>
          </w:tcPr>
          <w:p>
            <w:pPr>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rPr>
              <w:t>初次</w:t>
            </w:r>
            <w:r>
              <w:rPr>
                <w:rFonts w:hint="eastAsia" w:ascii="Times New Roman" w:hAnsi="Times New Roman" w:eastAsia="方正书宋简体" w:cs="Times New Roman"/>
                <w:color w:val="auto"/>
                <w:kern w:val="0"/>
                <w:szCs w:val="21"/>
                <w:highlight w:val="none"/>
              </w:rPr>
              <w:t>违反，且</w:t>
            </w:r>
            <w:r>
              <w:rPr>
                <w:rFonts w:ascii="Times New Roman" w:hAnsi="Times New Roman" w:eastAsia="方正书宋简体" w:cs="Times New Roman"/>
                <w:color w:val="auto"/>
                <w:kern w:val="0"/>
                <w:szCs w:val="21"/>
                <w:highlight w:val="none"/>
                <w:lang w:bidi="ar"/>
              </w:rPr>
              <w:t>逾期不改正</w:t>
            </w:r>
            <w:r>
              <w:rPr>
                <w:rFonts w:hint="eastAsia" w:ascii="Times New Roman" w:hAnsi="Times New Roman" w:eastAsia="方正书宋简体" w:cs="Times New Roman"/>
                <w:color w:val="auto"/>
                <w:kern w:val="0"/>
                <w:szCs w:val="21"/>
                <w:highlight w:val="none"/>
                <w:lang w:bidi="ar"/>
              </w:rPr>
              <w:t>。</w:t>
            </w:r>
          </w:p>
        </w:tc>
        <w:tc>
          <w:tcPr>
            <w:tcW w:w="1183" w:type="dxa"/>
            <w:tcBorders>
              <w:tl2br w:val="nil"/>
              <w:tr2bl w:val="nil"/>
            </w:tcBorders>
            <w:shd w:val="clear" w:color="000000" w:fill="FFFFFF"/>
          </w:tcPr>
          <w:p>
            <w:pPr>
              <w:rPr>
                <w:rFonts w:ascii="Times New Roman" w:hAnsi="Times New Roman" w:eastAsia="方正书宋简体" w:cs="Times New Roman"/>
                <w:color w:val="auto"/>
                <w:kern w:val="0"/>
                <w:szCs w:val="21"/>
                <w:highlight w:val="none"/>
              </w:rPr>
            </w:pPr>
            <w:r>
              <w:rPr>
                <w:rFonts w:ascii="Times New Roman" w:hAnsi="Times New Roman" w:eastAsia="方正书宋简体" w:cs="Times New Roman"/>
                <w:color w:val="auto"/>
                <w:kern w:val="0"/>
                <w:szCs w:val="21"/>
                <w:highlight w:val="none"/>
                <w:lang w:bidi="ar"/>
              </w:rPr>
              <w:t>责令停产停业</w:t>
            </w:r>
            <w:r>
              <w:rPr>
                <w:rFonts w:ascii="Times New Roman" w:hAnsi="Times New Roman" w:eastAsia="方正书宋简体" w:cs="Times New Roman"/>
                <w:color w:val="auto"/>
                <w:kern w:val="0"/>
                <w:szCs w:val="21"/>
                <w:highlight w:val="none"/>
              </w:rPr>
              <w:t>，处</w:t>
            </w:r>
            <w:r>
              <w:rPr>
                <w:rFonts w:hint="eastAsia" w:ascii="Times New Roman" w:hAnsi="Times New Roman" w:eastAsia="方正书宋简体" w:cs="Times New Roman"/>
                <w:color w:val="auto"/>
                <w:kern w:val="0"/>
                <w:szCs w:val="21"/>
                <w:highlight w:val="none"/>
              </w:rPr>
              <w:t>2</w:t>
            </w:r>
            <w:r>
              <w:rPr>
                <w:rFonts w:ascii="Times New Roman" w:hAnsi="Times New Roman" w:eastAsia="方正书宋简体" w:cs="Times New Roman"/>
                <w:color w:val="auto"/>
                <w:kern w:val="0"/>
                <w:szCs w:val="21"/>
                <w:highlight w:val="none"/>
              </w:rPr>
              <w:t>万元以上</w:t>
            </w:r>
            <w:r>
              <w:rPr>
                <w:rFonts w:hint="eastAsia" w:ascii="Times New Roman" w:hAnsi="Times New Roman" w:eastAsia="方正书宋简体" w:cs="Times New Roman"/>
                <w:color w:val="auto"/>
                <w:kern w:val="0"/>
                <w:szCs w:val="21"/>
                <w:highlight w:val="none"/>
              </w:rPr>
              <w:t>5</w:t>
            </w:r>
            <w:r>
              <w:rPr>
                <w:rFonts w:ascii="Times New Roman" w:hAnsi="Times New Roman" w:eastAsia="方正书宋简体" w:cs="Times New Roman"/>
                <w:color w:val="auto"/>
                <w:kern w:val="0"/>
                <w:szCs w:val="21"/>
                <w:highlight w:val="none"/>
              </w:rPr>
              <w:t>万元以下的罚款</w:t>
            </w:r>
            <w:r>
              <w:rPr>
                <w:rFonts w:hint="eastAsia" w:ascii="Times New Roman" w:hAnsi="Times New Roman" w:eastAsia="方正书宋简体" w:cs="Times New Roman"/>
                <w:color w:val="auto"/>
                <w:kern w:val="0"/>
                <w:szCs w:val="21"/>
                <w:highlight w:val="none"/>
              </w:rPr>
              <w:t>。</w:t>
            </w: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95" w:hRule="atLeast"/>
        </w:trPr>
        <w:tc>
          <w:tcPr>
            <w:tcW w:w="1800" w:type="dxa"/>
            <w:vMerge w:val="continue"/>
            <w:tcBorders>
              <w:tl2br w:val="nil"/>
              <w:tr2bl w:val="nil"/>
            </w:tcBorders>
            <w:shd w:val="clear" w:color="000000" w:fill="FFFFFF"/>
          </w:tcPr>
          <w:p>
            <w:pPr>
              <w:rPr>
                <w:rFonts w:ascii="Times New Roman" w:hAnsi="Times New Roman" w:eastAsia="方正书宋简体" w:cs="Times New Roman"/>
                <w:color w:val="auto"/>
                <w:kern w:val="0"/>
                <w:szCs w:val="21"/>
                <w:highlight w:val="none"/>
                <w:lang w:bidi="ar"/>
              </w:rPr>
            </w:pPr>
          </w:p>
        </w:tc>
        <w:tc>
          <w:tcPr>
            <w:tcW w:w="2370" w:type="dxa"/>
            <w:vMerge w:val="continue"/>
            <w:tcBorders>
              <w:tl2br w:val="nil"/>
              <w:tr2bl w:val="nil"/>
            </w:tcBorders>
            <w:shd w:val="clear" w:color="000000" w:fill="FFFFFF"/>
          </w:tcPr>
          <w:p>
            <w:pPr>
              <w:rPr>
                <w:rFonts w:ascii="Times New Roman" w:hAnsi="Times New Roman" w:eastAsia="方正书宋简体" w:cs="Times New Roman"/>
                <w:color w:val="auto"/>
                <w:kern w:val="0"/>
                <w:szCs w:val="21"/>
                <w:highlight w:val="none"/>
                <w:lang w:bidi="ar"/>
              </w:rPr>
            </w:pPr>
          </w:p>
        </w:tc>
        <w:tc>
          <w:tcPr>
            <w:tcW w:w="2130" w:type="dxa"/>
            <w:tcBorders>
              <w:tl2br w:val="nil"/>
              <w:tr2bl w:val="nil"/>
            </w:tcBorders>
            <w:shd w:val="clear" w:color="000000" w:fill="FFFFFF"/>
          </w:tcPr>
          <w:p>
            <w:pPr>
              <w:rPr>
                <w:rFonts w:ascii="Times New Roman" w:hAnsi="Times New Roman" w:eastAsia="方正书宋简体" w:cs="Times New Roman"/>
                <w:color w:val="auto"/>
                <w:kern w:val="0"/>
                <w:szCs w:val="21"/>
                <w:highlight w:val="none"/>
                <w:lang w:bidi="ar"/>
              </w:rPr>
            </w:pPr>
            <w:r>
              <w:rPr>
                <w:rFonts w:hint="eastAsia" w:asciiTheme="minorEastAsia" w:hAnsiTheme="minorEastAsia" w:cstheme="minorEastAsia"/>
                <w:color w:val="auto"/>
                <w:kern w:val="0"/>
                <w:szCs w:val="21"/>
                <w:highlight w:val="none"/>
                <w:lang w:bidi="ar"/>
              </w:rPr>
              <w:t>两年内再次违反此规定</w:t>
            </w:r>
            <w:r>
              <w:rPr>
                <w:rFonts w:hint="eastAsia" w:ascii="Times New Roman" w:hAnsi="Times New Roman" w:eastAsia="方正书宋简体" w:cs="Times New Roman"/>
                <w:color w:val="auto"/>
                <w:kern w:val="0"/>
                <w:szCs w:val="21"/>
                <w:highlight w:val="none"/>
              </w:rPr>
              <w:t>，且</w:t>
            </w:r>
            <w:r>
              <w:rPr>
                <w:rFonts w:ascii="Times New Roman" w:hAnsi="Times New Roman" w:eastAsia="方正书宋简体" w:cs="Times New Roman"/>
                <w:color w:val="auto"/>
                <w:kern w:val="0"/>
                <w:szCs w:val="21"/>
                <w:highlight w:val="none"/>
                <w:lang w:bidi="ar"/>
              </w:rPr>
              <w:t>逾期不改正</w:t>
            </w:r>
            <w:r>
              <w:rPr>
                <w:rFonts w:hint="eastAsia" w:ascii="Times New Roman" w:hAnsi="Times New Roman" w:eastAsia="方正书宋简体" w:cs="Times New Roman"/>
                <w:color w:val="auto"/>
                <w:kern w:val="0"/>
                <w:szCs w:val="21"/>
                <w:highlight w:val="none"/>
                <w:lang w:bidi="ar"/>
              </w:rPr>
              <w:t>。</w:t>
            </w:r>
          </w:p>
        </w:tc>
        <w:tc>
          <w:tcPr>
            <w:tcW w:w="1183" w:type="dxa"/>
            <w:tcBorders>
              <w:tl2br w:val="nil"/>
              <w:tr2bl w:val="nil"/>
            </w:tcBorders>
            <w:shd w:val="clear" w:color="000000" w:fill="FFFFFF"/>
          </w:tcPr>
          <w:p>
            <w:pPr>
              <w:rPr>
                <w:rFonts w:ascii="Times New Roman" w:hAnsi="Times New Roman" w:eastAsia="方正书宋简体" w:cs="Times New Roman"/>
                <w:color w:val="auto"/>
                <w:kern w:val="0"/>
                <w:szCs w:val="21"/>
                <w:highlight w:val="none"/>
              </w:rPr>
            </w:pPr>
            <w:r>
              <w:rPr>
                <w:rFonts w:ascii="Times New Roman" w:hAnsi="Times New Roman" w:eastAsia="方正书宋简体" w:cs="Times New Roman"/>
                <w:color w:val="auto"/>
                <w:kern w:val="0"/>
                <w:szCs w:val="21"/>
                <w:highlight w:val="none"/>
                <w:lang w:bidi="ar"/>
              </w:rPr>
              <w:t>责令停产停业</w:t>
            </w:r>
            <w:r>
              <w:rPr>
                <w:rFonts w:ascii="Times New Roman" w:hAnsi="Times New Roman" w:eastAsia="方正书宋简体" w:cs="Times New Roman"/>
                <w:color w:val="auto"/>
                <w:kern w:val="0"/>
                <w:szCs w:val="21"/>
                <w:highlight w:val="none"/>
              </w:rPr>
              <w:t>，处</w:t>
            </w:r>
            <w:r>
              <w:rPr>
                <w:rFonts w:hint="eastAsia" w:ascii="Times New Roman" w:hAnsi="Times New Roman" w:eastAsia="方正书宋简体" w:cs="Times New Roman"/>
                <w:color w:val="auto"/>
                <w:kern w:val="0"/>
                <w:szCs w:val="21"/>
                <w:highlight w:val="none"/>
              </w:rPr>
              <w:t>5</w:t>
            </w:r>
            <w:r>
              <w:rPr>
                <w:rFonts w:ascii="Times New Roman" w:hAnsi="Times New Roman" w:eastAsia="方正书宋简体" w:cs="Times New Roman"/>
                <w:color w:val="auto"/>
                <w:kern w:val="0"/>
                <w:szCs w:val="21"/>
                <w:highlight w:val="none"/>
              </w:rPr>
              <w:t>万元以上</w:t>
            </w:r>
            <w:r>
              <w:rPr>
                <w:rFonts w:hint="eastAsia" w:ascii="Times New Roman" w:hAnsi="Times New Roman" w:eastAsia="方正书宋简体" w:cs="Times New Roman"/>
                <w:color w:val="auto"/>
                <w:kern w:val="0"/>
                <w:szCs w:val="21"/>
                <w:highlight w:val="none"/>
              </w:rPr>
              <w:t>8</w:t>
            </w:r>
            <w:r>
              <w:rPr>
                <w:rFonts w:ascii="Times New Roman" w:hAnsi="Times New Roman" w:eastAsia="方正书宋简体" w:cs="Times New Roman"/>
                <w:color w:val="auto"/>
                <w:kern w:val="0"/>
                <w:szCs w:val="21"/>
                <w:highlight w:val="none"/>
              </w:rPr>
              <w:t>万元以下的罚款</w:t>
            </w:r>
            <w:r>
              <w:rPr>
                <w:rFonts w:hint="eastAsia" w:ascii="Times New Roman" w:hAnsi="Times New Roman" w:eastAsia="方正书宋简体" w:cs="Times New Roman"/>
                <w:color w:val="auto"/>
                <w:kern w:val="0"/>
                <w:szCs w:val="21"/>
                <w:highlight w:val="none"/>
              </w:rPr>
              <w:t>。</w:t>
            </w: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95" w:hRule="atLeast"/>
        </w:trPr>
        <w:tc>
          <w:tcPr>
            <w:tcW w:w="1800" w:type="dxa"/>
            <w:vMerge w:val="continue"/>
            <w:tcBorders>
              <w:tl2br w:val="nil"/>
              <w:tr2bl w:val="nil"/>
            </w:tcBorders>
            <w:shd w:val="clear" w:color="000000" w:fill="FFFFFF"/>
          </w:tcPr>
          <w:p>
            <w:pPr>
              <w:rPr>
                <w:rFonts w:ascii="Times New Roman" w:hAnsi="Times New Roman" w:eastAsia="方正书宋简体" w:cs="Times New Roman"/>
                <w:color w:val="auto"/>
                <w:kern w:val="0"/>
                <w:szCs w:val="21"/>
                <w:highlight w:val="none"/>
                <w:lang w:bidi="ar"/>
              </w:rPr>
            </w:pPr>
          </w:p>
        </w:tc>
        <w:tc>
          <w:tcPr>
            <w:tcW w:w="2370" w:type="dxa"/>
            <w:vMerge w:val="continue"/>
            <w:tcBorders>
              <w:tl2br w:val="nil"/>
              <w:tr2bl w:val="nil"/>
            </w:tcBorders>
            <w:shd w:val="clear" w:color="000000" w:fill="FFFFFF"/>
          </w:tcPr>
          <w:p>
            <w:pPr>
              <w:rPr>
                <w:rFonts w:ascii="Times New Roman" w:hAnsi="Times New Roman" w:eastAsia="方正书宋简体" w:cs="Times New Roman"/>
                <w:color w:val="auto"/>
                <w:kern w:val="0"/>
                <w:szCs w:val="21"/>
                <w:highlight w:val="none"/>
                <w:lang w:bidi="ar"/>
              </w:rPr>
            </w:pPr>
          </w:p>
        </w:tc>
        <w:tc>
          <w:tcPr>
            <w:tcW w:w="2130" w:type="dxa"/>
            <w:tcBorders>
              <w:tl2br w:val="nil"/>
              <w:tr2bl w:val="nil"/>
            </w:tcBorders>
            <w:shd w:val="clear" w:color="000000" w:fill="FFFFFF"/>
          </w:tcPr>
          <w:p>
            <w:pPr>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lang w:bidi="ar"/>
              </w:rPr>
              <w:t>逾期不改正</w:t>
            </w:r>
            <w:r>
              <w:rPr>
                <w:rFonts w:hint="eastAsia" w:ascii="Times New Roman" w:hAnsi="Times New Roman" w:eastAsia="方正书宋简体" w:cs="Times New Roman"/>
                <w:color w:val="auto"/>
                <w:kern w:val="0"/>
                <w:szCs w:val="21"/>
                <w:highlight w:val="none"/>
                <w:lang w:bidi="ar"/>
              </w:rPr>
              <w:t>，</w:t>
            </w:r>
            <w:r>
              <w:rPr>
                <w:rFonts w:ascii="Times New Roman" w:hAnsi="Times New Roman" w:eastAsia="方正书宋简体" w:cs="Times New Roman"/>
                <w:color w:val="auto"/>
                <w:kern w:val="0"/>
                <w:szCs w:val="21"/>
                <w:highlight w:val="none"/>
              </w:rPr>
              <w:t>造成</w:t>
            </w:r>
            <w:r>
              <w:rPr>
                <w:rFonts w:hint="eastAsia" w:ascii="Times New Roman" w:hAnsi="Times New Roman" w:eastAsia="方正书宋简体" w:cs="Times New Roman"/>
                <w:color w:val="auto"/>
                <w:kern w:val="0"/>
                <w:szCs w:val="21"/>
                <w:highlight w:val="none"/>
              </w:rPr>
              <w:t>人身</w:t>
            </w:r>
            <w:r>
              <w:rPr>
                <w:rFonts w:ascii="Times New Roman" w:hAnsi="Times New Roman" w:eastAsia="方正书宋简体" w:cs="Times New Roman"/>
                <w:color w:val="auto"/>
                <w:kern w:val="0"/>
                <w:szCs w:val="21"/>
                <w:highlight w:val="none"/>
              </w:rPr>
              <w:t>伤亡、财产损失</w:t>
            </w:r>
            <w:r>
              <w:rPr>
                <w:rFonts w:hint="eastAsia" w:ascii="Times New Roman" w:hAnsi="Times New Roman" w:eastAsia="方正书宋简体" w:cs="Times New Roman"/>
                <w:color w:val="auto"/>
                <w:kern w:val="0"/>
                <w:szCs w:val="21"/>
                <w:highlight w:val="none"/>
              </w:rPr>
              <w:t>、</w:t>
            </w:r>
            <w:r>
              <w:rPr>
                <w:rFonts w:ascii="Times New Roman" w:hAnsi="Times New Roman" w:eastAsia="方正书宋简体" w:cs="Times New Roman"/>
                <w:color w:val="auto"/>
                <w:kern w:val="0"/>
                <w:szCs w:val="21"/>
                <w:highlight w:val="none"/>
              </w:rPr>
              <w:t>社会影响</w:t>
            </w:r>
            <w:r>
              <w:rPr>
                <w:rFonts w:hint="eastAsia" w:ascii="Times New Roman" w:hAnsi="Times New Roman" w:eastAsia="方正书宋简体" w:cs="Times New Roman"/>
                <w:color w:val="auto"/>
                <w:kern w:val="0"/>
                <w:szCs w:val="21"/>
                <w:highlight w:val="none"/>
              </w:rPr>
              <w:t>等后果</w:t>
            </w:r>
            <w:r>
              <w:rPr>
                <w:rFonts w:ascii="Times New Roman" w:hAnsi="Times New Roman" w:eastAsia="方正书宋简体" w:cs="Times New Roman"/>
                <w:color w:val="auto"/>
                <w:kern w:val="0"/>
                <w:szCs w:val="21"/>
                <w:highlight w:val="none"/>
              </w:rPr>
              <w:t>。</w:t>
            </w:r>
          </w:p>
        </w:tc>
        <w:tc>
          <w:tcPr>
            <w:tcW w:w="1183" w:type="dxa"/>
            <w:tcBorders>
              <w:tl2br w:val="nil"/>
              <w:tr2bl w:val="nil"/>
            </w:tcBorders>
            <w:shd w:val="clear" w:color="000000" w:fill="FFFFFF"/>
          </w:tcPr>
          <w:p>
            <w:pPr>
              <w:rPr>
                <w:rFonts w:ascii="Times New Roman" w:hAnsi="Times New Roman" w:eastAsia="方正书宋简体" w:cs="Times New Roman"/>
                <w:color w:val="auto"/>
                <w:kern w:val="0"/>
                <w:szCs w:val="21"/>
                <w:highlight w:val="none"/>
              </w:rPr>
            </w:pPr>
            <w:r>
              <w:rPr>
                <w:rFonts w:ascii="Times New Roman" w:hAnsi="Times New Roman" w:eastAsia="方正书宋简体" w:cs="Times New Roman"/>
                <w:color w:val="auto"/>
                <w:kern w:val="0"/>
                <w:szCs w:val="21"/>
                <w:highlight w:val="none"/>
                <w:lang w:bidi="ar"/>
              </w:rPr>
              <w:t>责令停产停业</w:t>
            </w:r>
            <w:r>
              <w:rPr>
                <w:rFonts w:ascii="Times New Roman" w:hAnsi="Times New Roman" w:eastAsia="方正书宋简体" w:cs="Times New Roman"/>
                <w:color w:val="auto"/>
                <w:kern w:val="0"/>
                <w:szCs w:val="21"/>
                <w:highlight w:val="none"/>
              </w:rPr>
              <w:t>，处</w:t>
            </w:r>
            <w:r>
              <w:rPr>
                <w:rFonts w:hint="eastAsia" w:ascii="Times New Roman" w:hAnsi="Times New Roman" w:eastAsia="方正书宋简体" w:cs="Times New Roman"/>
                <w:color w:val="auto"/>
                <w:kern w:val="0"/>
                <w:szCs w:val="21"/>
                <w:highlight w:val="none"/>
              </w:rPr>
              <w:t>8</w:t>
            </w:r>
            <w:r>
              <w:rPr>
                <w:rFonts w:ascii="Times New Roman" w:hAnsi="Times New Roman" w:eastAsia="方正书宋简体" w:cs="Times New Roman"/>
                <w:color w:val="auto"/>
                <w:kern w:val="0"/>
                <w:szCs w:val="21"/>
                <w:highlight w:val="none"/>
              </w:rPr>
              <w:t>万元以上</w:t>
            </w:r>
            <w:r>
              <w:rPr>
                <w:rFonts w:hint="eastAsia" w:ascii="Times New Roman" w:hAnsi="Times New Roman" w:eastAsia="方正书宋简体" w:cs="Times New Roman"/>
                <w:color w:val="auto"/>
                <w:kern w:val="0"/>
                <w:szCs w:val="21"/>
                <w:highlight w:val="none"/>
              </w:rPr>
              <w:t>10</w:t>
            </w:r>
            <w:r>
              <w:rPr>
                <w:rFonts w:ascii="Times New Roman" w:hAnsi="Times New Roman" w:eastAsia="方正书宋简体" w:cs="Times New Roman"/>
                <w:color w:val="auto"/>
                <w:kern w:val="0"/>
                <w:szCs w:val="21"/>
                <w:highlight w:val="none"/>
              </w:rPr>
              <w:t>万元以下的罚款</w:t>
            </w:r>
            <w:r>
              <w:rPr>
                <w:rFonts w:hint="eastAsia" w:ascii="Times New Roman" w:hAnsi="Times New Roman" w:eastAsia="方正书宋简体" w:cs="Times New Roman"/>
                <w:color w:val="auto"/>
                <w:kern w:val="0"/>
                <w:szCs w:val="21"/>
                <w:highlight w:val="none"/>
              </w:rPr>
              <w:t>。</w:t>
            </w: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仿宋_GB2312"/>
    <w:panose1 w:val="03000509000000000000"/>
    <w:charset w:val="86"/>
    <w:family w:val="auto"/>
    <w:pitch w:val="default"/>
    <w:sig w:usb0="00000000" w:usb1="00000000" w:usb2="00000000" w:usb3="00000000" w:csb0="00040000" w:csb1="00000000"/>
  </w:font>
  <w:font w:name="方正书宋简体">
    <w:altName w:val="宋体"/>
    <w:panose1 w:val="00000000000000000000"/>
    <w:charset w:val="00"/>
    <w:family w:val="auto"/>
    <w:pitch w:val="default"/>
    <w:sig w:usb0="00000000" w:usb1="00000000" w:usb2="00000000" w:usb3="00000000" w:csb0="00000000" w:csb1="00000000"/>
  </w:font>
  <w:font w:name="方正黑体简体">
    <w:altName w:val="微软雅黑"/>
    <w:panose1 w:val="00000000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zOWIyZjRkYmM5MzVkNzU5NTM2OTg2MjI1YmViZDEifQ=="/>
  </w:docVars>
  <w:rsids>
    <w:rsidRoot w:val="14F4296E"/>
    <w:rsid w:val="14F4296E"/>
    <w:rsid w:val="4E696E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2024-05-13T07:41:00Z</dcterms:created>
  <dc:creator>Administrator</dc:creator>
  <cp:lastModifiedBy>Administrator</cp:lastModifiedBy>
  <dcterms:modified xsi:type="dcterms:W3CDTF">2024-05-13T12:05:26Z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E90CE467EC3244FA9DF7A2404262E9A0_11</vt:lpwstr>
  </property>
</Properties>
</file>