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50" w:afterLines="80" w:line="460" w:lineRule="exact"/>
        <w:ind w:firstLine="360" w:firstLineChars="100"/>
        <w:rPr>
          <w:rFonts w:ascii="方正小标宋简体" w:hAnsi="方正小标宋简体" w:eastAsia="方正小标宋简体" w:cs="方正小标宋简体"/>
          <w:color w:val="auto"/>
          <w:sz w:val="36"/>
          <w:szCs w:val="36"/>
          <w:highlight w:val="none"/>
        </w:rPr>
      </w:pPr>
      <w:r>
        <w:rPr>
          <w:rFonts w:hint="eastAsia" w:ascii="方正小标宋简体" w:hAnsi="方正小标宋简体" w:eastAsia="方正小标宋简体" w:cs="方正小标宋简体"/>
          <w:color w:val="auto"/>
          <w:sz w:val="36"/>
          <w:szCs w:val="36"/>
          <w:highlight w:val="none"/>
        </w:rPr>
        <w:t>违反《放射性物品运输安全管理条例》处罚裁量基准</w:t>
      </w:r>
    </w:p>
    <w:tbl>
      <w:tblPr>
        <w:tblStyle w:val="2"/>
        <w:tblW w:w="74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815"/>
        <w:gridCol w:w="2400"/>
        <w:gridCol w:w="2085"/>
        <w:gridCol w:w="1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815" w:type="dxa"/>
            <w:tcBorders>
              <w:tl2br w:val="nil"/>
              <w:tr2bl w:val="nil"/>
            </w:tcBorders>
            <w:shd w:val="clear" w:color="auto" w:fill="auto"/>
            <w:vAlign w:val="center"/>
          </w:tcPr>
          <w:p>
            <w:pPr>
              <w:widowControl/>
              <w:spacing w:line="340" w:lineRule="exact"/>
              <w:jc w:val="center"/>
              <w:textAlignment w:val="top"/>
              <w:rPr>
                <w:rFonts w:hint="eastAsia" w:asciiTheme="majorEastAsia" w:hAnsiTheme="majorEastAsia" w:eastAsiaTheme="majorEastAsia" w:cstheme="majorEastAsia"/>
                <w:b/>
                <w:bCs/>
                <w:color w:val="auto"/>
                <w:kern w:val="0"/>
                <w:szCs w:val="21"/>
                <w:highlight w:val="none"/>
                <w:lang w:bidi="ar"/>
              </w:rPr>
            </w:pPr>
            <w:bookmarkStart w:id="0" w:name="_GoBack"/>
            <w:bookmarkEnd w:id="0"/>
            <w:r>
              <w:rPr>
                <w:rFonts w:hint="eastAsia" w:asciiTheme="majorEastAsia" w:hAnsiTheme="majorEastAsia" w:eastAsiaTheme="majorEastAsia" w:cstheme="majorEastAsia"/>
                <w:b/>
                <w:bCs/>
                <w:color w:val="auto"/>
                <w:kern w:val="0"/>
                <w:szCs w:val="21"/>
                <w:highlight w:val="none"/>
                <w:lang w:bidi="ar"/>
              </w:rPr>
              <w:t>违法行为</w:t>
            </w:r>
          </w:p>
        </w:tc>
        <w:tc>
          <w:tcPr>
            <w:tcW w:w="2400" w:type="dxa"/>
            <w:tcBorders>
              <w:tl2br w:val="nil"/>
              <w:tr2bl w:val="nil"/>
            </w:tcBorders>
            <w:shd w:val="clear" w:color="auto" w:fill="auto"/>
            <w:vAlign w:val="center"/>
          </w:tcPr>
          <w:p>
            <w:pPr>
              <w:widowControl/>
              <w:spacing w:line="34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法律依据</w:t>
            </w:r>
          </w:p>
        </w:tc>
        <w:tc>
          <w:tcPr>
            <w:tcW w:w="2085" w:type="dxa"/>
            <w:tcBorders>
              <w:tl2br w:val="nil"/>
              <w:tr2bl w:val="nil"/>
            </w:tcBorders>
            <w:shd w:val="clear" w:color="auto" w:fill="auto"/>
            <w:vAlign w:val="center"/>
          </w:tcPr>
          <w:p>
            <w:pPr>
              <w:widowControl/>
              <w:spacing w:line="34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违法情节</w:t>
            </w:r>
          </w:p>
        </w:tc>
        <w:tc>
          <w:tcPr>
            <w:tcW w:w="1183" w:type="dxa"/>
            <w:tcBorders>
              <w:tl2br w:val="nil"/>
              <w:tr2bl w:val="nil"/>
            </w:tcBorders>
            <w:shd w:val="clear" w:color="auto" w:fill="auto"/>
            <w:vAlign w:val="center"/>
          </w:tcPr>
          <w:p>
            <w:pPr>
              <w:widowControl/>
              <w:spacing w:line="34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421" w:hRule="exact"/>
        </w:trPr>
        <w:tc>
          <w:tcPr>
            <w:tcW w:w="1815" w:type="dxa"/>
            <w:vMerge w:val="restart"/>
            <w:tcBorders>
              <w:tl2br w:val="nil"/>
              <w:tr2bl w:val="nil"/>
            </w:tcBorders>
            <w:shd w:val="clear" w:color="000000" w:fill="FFFFFF"/>
          </w:tcPr>
          <w:p>
            <w:pPr>
              <w:widowControl/>
              <w:numPr>
                <w:ilvl w:val="0"/>
                <w:numId w:val="1"/>
              </w:numPr>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未经公安机关批准通过道路运输放射性物品；</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2、运输车辆未按照指定的时间、路线、速度行驶或者未悬挂警示标志；</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3、未配备押运人员或者放射性物品脱离押运人员监管。</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tabs>
                <w:tab w:val="left" w:pos="362"/>
                <w:tab w:val="center" w:pos="953"/>
              </w:tabs>
              <w:spacing w:line="34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b/>
                <w:bCs/>
                <w:color w:val="auto"/>
                <w:kern w:val="0"/>
                <w:szCs w:val="21"/>
                <w:highlight w:val="none"/>
                <w:lang w:eastAsia="zh-CN"/>
              </w:rPr>
              <w:tab/>
            </w:r>
            <w:r>
              <w:rPr>
                <w:rFonts w:hint="eastAsia" w:ascii="Times New Roman" w:hAnsi="Times New Roman" w:eastAsia="方正书宋简体" w:cs="Times New Roman"/>
                <w:b/>
                <w:bCs/>
                <w:color w:val="auto"/>
                <w:kern w:val="0"/>
                <w:szCs w:val="21"/>
                <w:highlight w:val="none"/>
                <w:lang w:eastAsia="zh-CN"/>
              </w:rPr>
              <w:tab/>
            </w:r>
            <w:r>
              <w:rPr>
                <w:rFonts w:hint="eastAsia" w:ascii="Times New Roman" w:hAnsi="Times New Roman" w:eastAsia="方正书宋简体" w:cs="Times New Roman"/>
                <w:b/>
                <w:bCs/>
                <w:color w:val="auto"/>
                <w:kern w:val="0"/>
                <w:szCs w:val="21"/>
                <w:highlight w:val="none"/>
              </w:rPr>
              <w:t>违法行为</w:t>
            </w:r>
          </w:p>
        </w:tc>
        <w:tc>
          <w:tcPr>
            <w:tcW w:w="2400" w:type="dxa"/>
            <w:vMerge w:val="restart"/>
            <w:tcBorders>
              <w:tl2br w:val="nil"/>
              <w:tr2bl w:val="nil"/>
            </w:tcBorders>
            <w:shd w:val="clear" w:color="000000" w:fill="FFFFFF"/>
          </w:tcPr>
          <w:p>
            <w:pPr>
              <w:widowControl/>
              <w:spacing w:line="34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第六十二条  通过道路运输放射性物品，</w:t>
            </w:r>
            <w:r>
              <w:rPr>
                <w:rFonts w:hint="eastAsia" w:ascii="Times New Roman" w:hAnsi="Times New Roman" w:eastAsia="方正书宋简体" w:cs="Times New Roman"/>
                <w:color w:val="auto"/>
                <w:kern w:val="0"/>
                <w:szCs w:val="21"/>
                <w:highlight w:val="none"/>
                <w:lang w:eastAsia="zh-CN" w:bidi="ar"/>
              </w:rPr>
              <w:t>有下列行为之一的</w:t>
            </w:r>
            <w:r>
              <w:rPr>
                <w:rFonts w:hint="eastAsia" w:ascii="Times New Roman" w:hAnsi="Times New Roman" w:eastAsia="方正书宋简体" w:cs="Times New Roman"/>
                <w:color w:val="auto"/>
                <w:kern w:val="0"/>
                <w:szCs w:val="21"/>
                <w:highlight w:val="none"/>
                <w:lang w:bidi="ar"/>
              </w:rPr>
              <w:t>，由公安机关责令限期改正，处2万元以上10万元以下的罚款；构成犯罪的，依法追究刑事责任：</w:t>
            </w:r>
          </w:p>
          <w:p>
            <w:pPr>
              <w:widowControl/>
              <w:numPr>
                <w:ilvl w:val="0"/>
                <w:numId w:val="2"/>
              </w:numPr>
              <w:spacing w:line="34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未经公安机关批准通过道路运输放射性物品的；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（二）运输车辆未按照指定的时间、路线、速度行驶或者未悬挂警示标志的；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（三）未配备押运人员或者放射性物品脱离押运人员监管的。</w:t>
            </w:r>
          </w:p>
          <w:p>
            <w:pPr>
              <w:widowControl/>
              <w:tabs>
                <w:tab w:val="left" w:pos="1759"/>
              </w:tabs>
              <w:spacing w:line="34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ab/>
            </w:r>
          </w:p>
          <w:p>
            <w:pPr>
              <w:widowControl/>
              <w:spacing w:line="34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4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4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4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4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4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4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4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4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4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4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4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4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40" w:lineRule="exact"/>
              <w:jc w:val="left"/>
              <w:textAlignment w:val="top"/>
              <w:rPr>
                <w:rFonts w:ascii="Times New Roman" w:hAnsi="Times New Roman" w:eastAsia="方正书宋简体" w:cs="Times New Roman"/>
                <w:color w:val="auto"/>
                <w:kern w:val="0"/>
                <w:szCs w:val="21"/>
                <w:highlight w:val="none"/>
                <w:lang w:bidi="ar"/>
              </w:rPr>
            </w:pPr>
          </w:p>
          <w:p>
            <w:pPr>
              <w:jc w:val="center"/>
              <w:rPr>
                <w:rFonts w:ascii="方正黑体简体" w:hAnsi="方正黑体简体" w:eastAsia="方正黑体简体" w:cs="方正黑体简体"/>
                <w:b/>
                <w:bCs/>
                <w:color w:val="auto"/>
                <w:kern w:val="0"/>
                <w:szCs w:val="21"/>
                <w:highlight w:val="none"/>
                <w:lang w:bidi="ar"/>
              </w:rPr>
            </w:pPr>
            <w:r>
              <w:rPr>
                <w:rFonts w:hint="eastAsia" w:ascii="Times New Roman" w:hAnsi="Times New Roman" w:eastAsia="方正书宋简体" w:cs="Times New Roman"/>
                <w:b/>
                <w:bCs/>
                <w:color w:val="auto"/>
                <w:kern w:val="0"/>
                <w:szCs w:val="21"/>
                <w:highlight w:val="none"/>
              </w:rPr>
              <w:t>法律依据</w:t>
            </w:r>
          </w:p>
        </w:tc>
        <w:tc>
          <w:tcPr>
            <w:tcW w:w="2085" w:type="dxa"/>
            <w:tcBorders>
              <w:tl2br w:val="nil"/>
              <w:tr2bl w:val="nil"/>
            </w:tcBorders>
            <w:shd w:val="clear" w:color="000000" w:fill="FFFFFF"/>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rPr>
              <w:t>初次</w:t>
            </w:r>
            <w:r>
              <w:rPr>
                <w:rFonts w:hint="eastAsia" w:ascii="Times New Roman" w:hAnsi="Times New Roman" w:eastAsia="方正书宋简体" w:cs="Times New Roman"/>
                <w:color w:val="auto"/>
                <w:kern w:val="0"/>
                <w:szCs w:val="21"/>
                <w:highlight w:val="none"/>
              </w:rPr>
              <w:t>违反此规定，</w:t>
            </w:r>
            <w:r>
              <w:rPr>
                <w:rFonts w:ascii="Times New Roman" w:hAnsi="Times New Roman" w:eastAsia="方正书宋简体" w:cs="Times New Roman"/>
                <w:color w:val="auto"/>
                <w:kern w:val="0"/>
                <w:szCs w:val="21"/>
                <w:highlight w:val="none"/>
              </w:rPr>
              <w:t>无危害后果</w:t>
            </w:r>
            <w:r>
              <w:rPr>
                <w:rFonts w:hint="eastAsia" w:ascii="Times New Roman" w:hAnsi="Times New Roman" w:eastAsia="方正书宋简体" w:cs="Times New Roman"/>
                <w:color w:val="auto"/>
                <w:kern w:val="0"/>
                <w:szCs w:val="21"/>
                <w:highlight w:val="none"/>
                <w:lang w:val="en-US" w:eastAsia="zh-CN"/>
              </w:rPr>
              <w:t>的</w:t>
            </w:r>
            <w:r>
              <w:rPr>
                <w:rFonts w:hint="eastAsia" w:ascii="Times New Roman" w:hAnsi="Times New Roman" w:eastAsia="方正书宋简体" w:cs="Times New Roman"/>
                <w:color w:val="auto"/>
                <w:kern w:val="0"/>
                <w:szCs w:val="21"/>
                <w:highlight w:val="none"/>
              </w:rPr>
              <w:t>。</w:t>
            </w:r>
          </w:p>
        </w:tc>
        <w:tc>
          <w:tcPr>
            <w:tcW w:w="1183" w:type="dxa"/>
            <w:tcBorders>
              <w:tl2br w:val="nil"/>
              <w:tr2bl w:val="nil"/>
            </w:tcBorders>
            <w:shd w:val="clear" w:color="000000" w:fill="FFFFFF"/>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rPr>
              <w:t>责令限期改正，处2万元以上5万元以下的罚款</w:t>
            </w:r>
            <w:r>
              <w:rPr>
                <w:rFonts w:hint="eastAsia" w:ascii="Times New Roman" w:hAnsi="Times New Roman" w:eastAsia="方正书宋简体" w:cs="Times New Roman"/>
                <w:color w:val="auto"/>
                <w:kern w:val="0"/>
                <w:szCs w:val="21"/>
                <w:highlight w:val="none"/>
              </w:rPr>
              <w:t>，</w:t>
            </w:r>
            <w:r>
              <w:rPr>
                <w:rFonts w:hint="eastAsia" w:ascii="Times New Roman" w:hAnsi="Times New Roman" w:eastAsia="方正书宋简体" w:cs="Times New Roman"/>
                <w:color w:val="auto"/>
                <w:kern w:val="0"/>
                <w:szCs w:val="21"/>
                <w:highlight w:val="none"/>
                <w:lang w:bidi="ar"/>
              </w:rPr>
              <w:t>构成犯罪的，依法追究刑事责任。</w:t>
            </w:r>
          </w:p>
          <w:p>
            <w:pPr>
              <w:rPr>
                <w:rFonts w:ascii="Times New Roman" w:hAnsi="Times New Roman" w:eastAsia="方正书宋简体" w:cs="Times New Roman"/>
                <w:color w:val="auto"/>
                <w:kern w:val="0"/>
                <w:szCs w:val="21"/>
                <w:highlight w:val="none"/>
                <w:lang w:bidi="ar"/>
              </w:rPr>
            </w:pPr>
          </w:p>
          <w:p>
            <w:pPr>
              <w:rPr>
                <w:rFonts w:ascii="Times New Roman" w:hAnsi="Times New Roman" w:eastAsia="方正书宋简体" w:cs="Times New Roman"/>
                <w:color w:val="auto"/>
                <w:kern w:val="0"/>
                <w:szCs w:val="21"/>
                <w:highlight w:val="none"/>
                <w:lang w:bidi="ar"/>
              </w:rPr>
            </w:pPr>
          </w:p>
          <w:p>
            <w:pPr>
              <w:rPr>
                <w:rFonts w:ascii="Times New Roman" w:hAnsi="Times New Roman" w:eastAsia="方正书宋简体" w:cs="Times New Roman"/>
                <w:color w:val="auto"/>
                <w:kern w:val="0"/>
                <w:szCs w:val="21"/>
                <w:highlight w:val="none"/>
                <w:lang w:bidi="ar"/>
              </w:rPr>
            </w:pPr>
          </w:p>
          <w:p>
            <w:pPr>
              <w:rPr>
                <w:rFonts w:ascii="Times New Roman" w:hAnsi="Times New Roman" w:eastAsia="方正书宋简体" w:cs="Times New Roman"/>
                <w:color w:val="auto"/>
                <w:kern w:val="0"/>
                <w:szCs w:val="21"/>
                <w:highlight w:val="none"/>
                <w:lang w:bidi="ar"/>
              </w:rPr>
            </w:pPr>
          </w:p>
          <w:p>
            <w:pPr>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任</w:t>
            </w:r>
            <w:r>
              <w:rPr>
                <w:rFonts w:ascii="Times New Roman" w:hAnsi="Times New Roman" w:eastAsia="方正书宋简体" w:cs="Times New Roman"/>
                <w:color w:val="auto"/>
                <w:kern w:val="0"/>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702" w:hRule="exact"/>
        </w:trPr>
        <w:tc>
          <w:tcPr>
            <w:tcW w:w="1815" w:type="dxa"/>
            <w:vMerge w:val="continue"/>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400" w:type="dxa"/>
            <w:vMerge w:val="continue"/>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085" w:type="dxa"/>
            <w:tcBorders>
              <w:tl2br w:val="nil"/>
              <w:tr2bl w:val="nil"/>
            </w:tcBorders>
            <w:shd w:val="clear" w:color="000000" w:fill="FFFFFF"/>
          </w:tcPr>
          <w:p>
            <w:pPr>
              <w:rPr>
                <w:rFonts w:ascii="Times New Roman" w:hAnsi="Times New Roman" w:eastAsia="方正书宋简体" w:cs="Times New Roman"/>
                <w:color w:val="auto"/>
                <w:kern w:val="0"/>
                <w:szCs w:val="21"/>
                <w:highlight w:val="none"/>
              </w:rPr>
            </w:pPr>
            <w:r>
              <w:rPr>
                <w:rFonts w:hint="eastAsia" w:asciiTheme="minorEastAsia" w:hAnsiTheme="minorEastAsia" w:cstheme="minorEastAsia"/>
                <w:color w:val="auto"/>
                <w:kern w:val="0"/>
                <w:szCs w:val="21"/>
                <w:highlight w:val="none"/>
                <w:lang w:bidi="ar"/>
              </w:rPr>
              <w:t>两年内再次违反此规定</w:t>
            </w:r>
            <w:r>
              <w:rPr>
                <w:rFonts w:hint="eastAsia" w:ascii="Times New Roman" w:hAnsi="Times New Roman" w:eastAsia="方正书宋简体" w:cs="Times New Roman"/>
                <w:color w:val="auto"/>
                <w:kern w:val="0"/>
                <w:szCs w:val="21"/>
                <w:highlight w:val="none"/>
              </w:rPr>
              <w:t>，</w:t>
            </w:r>
            <w:r>
              <w:rPr>
                <w:rFonts w:ascii="Times New Roman" w:hAnsi="Times New Roman" w:eastAsia="方正书宋简体" w:cs="Times New Roman"/>
                <w:color w:val="auto"/>
                <w:kern w:val="0"/>
                <w:szCs w:val="21"/>
                <w:highlight w:val="none"/>
              </w:rPr>
              <w:t>无危害后果</w:t>
            </w:r>
            <w:r>
              <w:rPr>
                <w:rFonts w:hint="eastAsia" w:ascii="Times New Roman" w:hAnsi="Times New Roman" w:eastAsia="方正书宋简体" w:cs="Times New Roman"/>
                <w:color w:val="auto"/>
                <w:kern w:val="0"/>
                <w:szCs w:val="21"/>
                <w:highlight w:val="none"/>
                <w:lang w:val="en-US" w:eastAsia="zh-CN"/>
              </w:rPr>
              <w:t>的</w:t>
            </w:r>
            <w:r>
              <w:rPr>
                <w:rFonts w:hint="eastAsia" w:ascii="Times New Roman" w:hAnsi="Times New Roman" w:eastAsia="方正书宋简体" w:cs="Times New Roman"/>
                <w:color w:val="auto"/>
                <w:kern w:val="0"/>
                <w:szCs w:val="21"/>
                <w:highlight w:val="none"/>
              </w:rPr>
              <w:t>。</w:t>
            </w:r>
          </w:p>
          <w:p>
            <w:pPr>
              <w:rPr>
                <w:rFonts w:ascii="Times New Roman" w:hAnsi="Times New Roman" w:eastAsia="方正书宋简体" w:cs="Times New Roman"/>
                <w:color w:val="auto"/>
                <w:kern w:val="0"/>
                <w:szCs w:val="21"/>
                <w:highlight w:val="none"/>
                <w:lang w:bidi="ar"/>
              </w:rPr>
            </w:pPr>
          </w:p>
        </w:tc>
        <w:tc>
          <w:tcPr>
            <w:tcW w:w="1183" w:type="dxa"/>
            <w:tcBorders>
              <w:tl2br w:val="nil"/>
              <w:tr2bl w:val="nil"/>
            </w:tcBorders>
            <w:shd w:val="clear" w:color="000000" w:fill="FFFFFF"/>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rPr>
              <w:t>责令限期改正，处5万元以上8万元以下的罚款</w:t>
            </w:r>
            <w:r>
              <w:rPr>
                <w:rFonts w:hint="eastAsia" w:ascii="Times New Roman" w:hAnsi="Times New Roman" w:eastAsia="方正书宋简体" w:cs="Times New Roman"/>
                <w:color w:val="auto"/>
                <w:kern w:val="0"/>
                <w:szCs w:val="21"/>
                <w:highlight w:val="none"/>
              </w:rPr>
              <w:t>，</w:t>
            </w:r>
            <w:r>
              <w:rPr>
                <w:rFonts w:hint="eastAsia" w:ascii="Times New Roman" w:hAnsi="Times New Roman" w:eastAsia="方正书宋简体" w:cs="Times New Roman"/>
                <w:color w:val="auto"/>
                <w:kern w:val="0"/>
                <w:szCs w:val="21"/>
                <w:highlight w:val="none"/>
                <w:lang w:bidi="ar"/>
              </w:rPr>
              <w:t>构成犯罪的，依法追究刑事责任。</w:t>
            </w:r>
          </w:p>
          <w:p>
            <w:pPr>
              <w:rPr>
                <w:rFonts w:ascii="Times New Roman" w:hAnsi="Times New Roman" w:eastAsia="方正书宋简体" w:cs="Times New Roman"/>
                <w:color w:val="auto"/>
                <w:kern w:val="0"/>
                <w:szCs w:val="21"/>
                <w:highlight w:val="none"/>
                <w:lang w:bidi="ar"/>
              </w:rPr>
            </w:pPr>
          </w:p>
          <w:p>
            <w:pPr>
              <w:rPr>
                <w:rFonts w:ascii="Times New Roman" w:hAnsi="Times New Roman" w:eastAsia="方正书宋简体" w:cs="Times New Roman"/>
                <w:color w:val="auto"/>
                <w:kern w:val="0"/>
                <w:szCs w:val="21"/>
                <w:highlight w:val="none"/>
                <w:lang w:bidi="ar"/>
              </w:rPr>
            </w:pPr>
          </w:p>
          <w:p>
            <w:pPr>
              <w:rPr>
                <w:rFonts w:ascii="Times New Roman" w:hAnsi="Times New Roman" w:eastAsia="方正书宋简体" w:cs="Times New Roman"/>
                <w:color w:val="auto"/>
                <w:kern w:val="0"/>
                <w:szCs w:val="21"/>
                <w:highlight w:val="none"/>
                <w:lang w:bidi="ar"/>
              </w:rPr>
            </w:pPr>
          </w:p>
          <w:p>
            <w:pPr>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5" w:hRule="atLeast"/>
        </w:trPr>
        <w:tc>
          <w:tcPr>
            <w:tcW w:w="1815" w:type="dxa"/>
            <w:vMerge w:val="continue"/>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400" w:type="dxa"/>
            <w:vMerge w:val="continue"/>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085" w:type="dxa"/>
            <w:tcBorders>
              <w:tl2br w:val="nil"/>
              <w:tr2bl w:val="nil"/>
            </w:tcBorders>
            <w:shd w:val="clear" w:color="000000" w:fill="FFFFFF"/>
          </w:tcPr>
          <w:p>
            <w:pPr>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造成</w:t>
            </w:r>
            <w:r>
              <w:rPr>
                <w:rFonts w:hint="eastAsia" w:ascii="Times New Roman" w:hAnsi="Times New Roman" w:eastAsia="方正书宋简体" w:cs="Times New Roman"/>
                <w:color w:val="auto"/>
                <w:kern w:val="0"/>
                <w:szCs w:val="21"/>
                <w:highlight w:val="none"/>
              </w:rPr>
              <w:t>人身</w:t>
            </w:r>
            <w:r>
              <w:rPr>
                <w:rFonts w:ascii="Times New Roman" w:hAnsi="Times New Roman" w:eastAsia="方正书宋简体" w:cs="Times New Roman"/>
                <w:color w:val="auto"/>
                <w:kern w:val="0"/>
                <w:szCs w:val="21"/>
                <w:highlight w:val="none"/>
              </w:rPr>
              <w:t>伤亡、财产损失</w:t>
            </w:r>
            <w:r>
              <w:rPr>
                <w:rFonts w:hint="eastAsia" w:ascii="Times New Roman" w:hAnsi="Times New Roman" w:eastAsia="方正书宋简体" w:cs="Times New Roman"/>
                <w:color w:val="auto"/>
                <w:kern w:val="0"/>
                <w:szCs w:val="21"/>
                <w:highlight w:val="none"/>
              </w:rPr>
              <w:t>、</w:t>
            </w:r>
            <w:r>
              <w:rPr>
                <w:rFonts w:ascii="Times New Roman" w:hAnsi="Times New Roman" w:eastAsia="方正书宋简体" w:cs="Times New Roman"/>
                <w:color w:val="auto"/>
                <w:kern w:val="0"/>
                <w:szCs w:val="21"/>
                <w:highlight w:val="none"/>
              </w:rPr>
              <w:t>社会影响</w:t>
            </w:r>
            <w:r>
              <w:rPr>
                <w:rFonts w:hint="eastAsia" w:ascii="Times New Roman" w:hAnsi="Times New Roman" w:eastAsia="方正书宋简体" w:cs="Times New Roman"/>
                <w:color w:val="auto"/>
                <w:kern w:val="0"/>
                <w:szCs w:val="21"/>
                <w:highlight w:val="none"/>
              </w:rPr>
              <w:t>等后果</w:t>
            </w:r>
            <w:r>
              <w:rPr>
                <w:rFonts w:hint="eastAsia" w:ascii="Times New Roman" w:hAnsi="Times New Roman" w:eastAsia="方正书宋简体" w:cs="Times New Roman"/>
                <w:color w:val="auto"/>
                <w:kern w:val="0"/>
                <w:szCs w:val="21"/>
                <w:highlight w:val="none"/>
                <w:lang w:val="en-US" w:eastAsia="zh-CN"/>
              </w:rPr>
              <w:t>的</w:t>
            </w:r>
            <w:r>
              <w:rPr>
                <w:rFonts w:ascii="Times New Roman" w:hAnsi="Times New Roman" w:eastAsia="方正书宋简体" w:cs="Times New Roman"/>
                <w:color w:val="auto"/>
                <w:kern w:val="0"/>
                <w:szCs w:val="21"/>
                <w:highlight w:val="none"/>
              </w:rPr>
              <w:t>。</w:t>
            </w: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jc w:val="center"/>
              <w:rPr>
                <w:rFonts w:ascii="Times New Roman" w:hAnsi="Times New Roman" w:eastAsia="方正书宋简体" w:cs="Times New Roman"/>
                <w:color w:val="auto"/>
                <w:kern w:val="0"/>
                <w:szCs w:val="21"/>
                <w:highlight w:val="none"/>
              </w:rPr>
            </w:pPr>
            <w:r>
              <w:rPr>
                <w:rFonts w:hint="eastAsia" w:ascii="Times New Roman" w:hAnsi="Times New Roman" w:eastAsia="方正书宋简体" w:cs="Times New Roman"/>
                <w:b/>
                <w:bCs/>
                <w:color w:val="auto"/>
                <w:kern w:val="0"/>
                <w:szCs w:val="21"/>
                <w:highlight w:val="none"/>
              </w:rPr>
              <w:t>违法情节</w:t>
            </w:r>
          </w:p>
        </w:tc>
        <w:tc>
          <w:tcPr>
            <w:tcW w:w="1183" w:type="dxa"/>
            <w:tcBorders>
              <w:tl2br w:val="nil"/>
              <w:tr2bl w:val="nil"/>
            </w:tcBorders>
            <w:shd w:val="clear" w:color="000000" w:fill="FFFFFF"/>
          </w:tcPr>
          <w:p>
            <w:pPr>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责令限期改正，处罚8万元以上10万元以下的罚款</w:t>
            </w:r>
            <w:r>
              <w:rPr>
                <w:rFonts w:hint="eastAsia" w:ascii="Times New Roman" w:hAnsi="Times New Roman" w:eastAsia="方正书宋简体" w:cs="Times New Roman"/>
                <w:color w:val="auto"/>
                <w:kern w:val="0"/>
                <w:szCs w:val="21"/>
                <w:highlight w:val="none"/>
              </w:rPr>
              <w:t>，</w:t>
            </w:r>
            <w:r>
              <w:rPr>
                <w:rFonts w:hint="eastAsia" w:ascii="Times New Roman" w:hAnsi="Times New Roman" w:eastAsia="方正书宋简体" w:cs="Times New Roman"/>
                <w:color w:val="auto"/>
                <w:kern w:val="0"/>
                <w:szCs w:val="21"/>
                <w:highlight w:val="none"/>
                <w:lang w:bidi="ar"/>
              </w:rPr>
              <w:t>构成犯罪的，依法追究刑事责任</w:t>
            </w:r>
            <w:r>
              <w:rPr>
                <w:rFonts w:ascii="Times New Roman" w:hAnsi="Times New Roman" w:eastAsia="方正书宋简体" w:cs="Times New Roman"/>
                <w:color w:val="auto"/>
                <w:kern w:val="0"/>
                <w:szCs w:val="21"/>
                <w:highlight w:val="none"/>
              </w:rPr>
              <w:t>。</w:t>
            </w: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jc w:val="center"/>
              <w:rPr>
                <w:rFonts w:ascii="Times New Roman" w:hAnsi="Times New Roman" w:eastAsia="方正书宋简体" w:cs="Times New Roman"/>
                <w:color w:val="auto"/>
                <w:kern w:val="0"/>
                <w:szCs w:val="21"/>
                <w:highlight w:val="none"/>
              </w:rPr>
            </w:pPr>
            <w:r>
              <w:rPr>
                <w:rFonts w:hint="eastAsia" w:ascii="Times New Roman" w:hAnsi="Times New Roman" w:eastAsia="方正书宋简体" w:cs="Times New Roman"/>
                <w:b/>
                <w:bCs/>
                <w:color w:val="auto"/>
                <w:kern w:val="0"/>
                <w:szCs w:val="21"/>
                <w:highlight w:val="none"/>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593" w:hRule="exact"/>
        </w:trPr>
        <w:tc>
          <w:tcPr>
            <w:tcW w:w="1815" w:type="dxa"/>
            <w:vMerge w:val="restart"/>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1、拒绝、阻碍国务院核安全监管部门或者其他依法履行放射性物品运输安全监督管理职责的部门进行监督检查；</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2</w:t>
            </w:r>
            <w:r>
              <w:rPr>
                <w:rFonts w:hint="eastAsia" w:ascii="Times New Roman" w:hAnsi="Times New Roman" w:eastAsia="方正书宋简体" w:cs="Times New Roman"/>
                <w:color w:val="auto"/>
                <w:kern w:val="0"/>
                <w:szCs w:val="21"/>
                <w:highlight w:val="none"/>
                <w:lang w:bidi="ar"/>
              </w:rPr>
              <w:t>、在接受监督检查时弄虚作假。</w:t>
            </w:r>
          </w:p>
        </w:tc>
        <w:tc>
          <w:tcPr>
            <w:tcW w:w="2400" w:type="dxa"/>
            <w:vMerge w:val="restart"/>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第六十六条  拒绝、阻碍国务院核安全监管部门或者其他依法履行放射性物品运输安全监督管理职责的部门进行监督检查，或者在接受监督检查时弄虚作假的，由监督检查部门责令改正，处1万元以上2万元以下的罚款；构成违反治安管理行为的，由公安机关依法给予治安管理处罚；构成犯罪的，依法追究刑事责任。</w:t>
            </w:r>
          </w:p>
        </w:tc>
        <w:tc>
          <w:tcPr>
            <w:tcW w:w="2085" w:type="dxa"/>
            <w:tcBorders>
              <w:tl2br w:val="nil"/>
              <w:tr2bl w:val="nil"/>
            </w:tcBorders>
            <w:shd w:val="clear" w:color="000000" w:fill="FFFFFF"/>
          </w:tcPr>
          <w:p>
            <w:pPr>
              <w:rPr>
                <w:rFonts w:hint="eastAsia" w:ascii="Times New Roman" w:hAnsi="Times New Roman" w:eastAsia="方正书宋简体" w:cs="Times New Roman"/>
                <w:color w:val="auto"/>
                <w:kern w:val="0"/>
                <w:szCs w:val="21"/>
                <w:highlight w:val="none"/>
                <w:lang w:eastAsia="zh-CN" w:bidi="ar"/>
              </w:rPr>
            </w:pPr>
            <w:r>
              <w:rPr>
                <w:rFonts w:ascii="Times New Roman" w:hAnsi="Times New Roman" w:eastAsia="方正书宋简体" w:cs="Times New Roman"/>
                <w:color w:val="auto"/>
                <w:kern w:val="0"/>
                <w:szCs w:val="21"/>
                <w:highlight w:val="none"/>
              </w:rPr>
              <w:t>初次</w:t>
            </w:r>
            <w:r>
              <w:rPr>
                <w:rFonts w:hint="eastAsia" w:ascii="Times New Roman" w:hAnsi="Times New Roman" w:eastAsia="方正书宋简体" w:cs="Times New Roman"/>
                <w:color w:val="auto"/>
                <w:kern w:val="0"/>
                <w:szCs w:val="21"/>
                <w:highlight w:val="none"/>
              </w:rPr>
              <w:t>违反此规定</w:t>
            </w:r>
            <w:r>
              <w:rPr>
                <w:rFonts w:hint="eastAsia" w:ascii="Times New Roman" w:hAnsi="Times New Roman" w:eastAsia="方正书宋简体" w:cs="Times New Roman"/>
                <w:color w:val="auto"/>
                <w:kern w:val="0"/>
                <w:szCs w:val="21"/>
                <w:highlight w:val="none"/>
                <w:lang w:val="en-US" w:eastAsia="zh-CN"/>
              </w:rPr>
              <w:t>的</w:t>
            </w:r>
            <w:r>
              <w:rPr>
                <w:rFonts w:hint="eastAsia" w:ascii="Times New Roman" w:hAnsi="Times New Roman" w:eastAsia="方正书宋简体" w:cs="Times New Roman"/>
                <w:color w:val="auto"/>
                <w:kern w:val="0"/>
                <w:szCs w:val="21"/>
                <w:highlight w:val="none"/>
                <w:lang w:eastAsia="zh-CN"/>
              </w:rPr>
              <w:t>。</w:t>
            </w:r>
          </w:p>
        </w:tc>
        <w:tc>
          <w:tcPr>
            <w:tcW w:w="1183" w:type="dxa"/>
            <w:tcBorders>
              <w:tl2br w:val="nil"/>
              <w:tr2bl w:val="nil"/>
            </w:tcBorders>
            <w:shd w:val="clear" w:color="000000" w:fill="FFFFFF"/>
          </w:tcPr>
          <w:p>
            <w:pPr>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责令改正，处1万元以上1万5千元以下的罚款</w:t>
            </w:r>
            <w:r>
              <w:rPr>
                <w:rFonts w:hint="eastAsia" w:ascii="Times New Roman" w:hAnsi="Times New Roman" w:eastAsia="方正书宋简体" w:cs="Times New Roman"/>
                <w:color w:val="auto"/>
                <w:kern w:val="0"/>
                <w:szCs w:val="21"/>
                <w:highlight w:val="none"/>
              </w:rPr>
              <w:t>，</w:t>
            </w:r>
            <w:r>
              <w:rPr>
                <w:rFonts w:hint="eastAsia" w:ascii="Times New Roman" w:hAnsi="Times New Roman" w:eastAsia="方正书宋简体" w:cs="Times New Roman"/>
                <w:color w:val="auto"/>
                <w:kern w:val="0"/>
                <w:szCs w:val="21"/>
                <w:highlight w:val="none"/>
                <w:lang w:bidi="ar"/>
              </w:rPr>
              <w:t>构成违反治安管理行为的，由公安机关依法给予治安管理处罚；构成犯罪的，依法追究刑事责任</w:t>
            </w:r>
            <w:r>
              <w:rPr>
                <w:rFonts w:ascii="Times New Roman" w:hAnsi="Times New Roman" w:eastAsia="方正书宋简体" w:cs="Times New Roman"/>
                <w:color w:val="auto"/>
                <w:kern w:val="0"/>
                <w:szCs w:val="21"/>
                <w:highlight w:val="none"/>
              </w:rPr>
              <w:t>。</w:t>
            </w: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956" w:hRule="exact"/>
        </w:trPr>
        <w:tc>
          <w:tcPr>
            <w:tcW w:w="1815" w:type="dxa"/>
            <w:vMerge w:val="continue"/>
            <w:tcBorders>
              <w:tl2br w:val="nil"/>
              <w:tr2bl w:val="nil"/>
            </w:tcBorders>
            <w:shd w:val="clear" w:color="000000" w:fill="FFFFFF"/>
            <w:vAlign w:val="center"/>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400" w:type="dxa"/>
            <w:vMerge w:val="continue"/>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085" w:type="dxa"/>
            <w:tcBorders>
              <w:tl2br w:val="nil"/>
              <w:tr2bl w:val="nil"/>
            </w:tcBorders>
            <w:shd w:val="clear" w:color="000000" w:fill="FFFFFF"/>
          </w:tcPr>
          <w:p>
            <w:pPr>
              <w:rPr>
                <w:rFonts w:hint="eastAsia" w:ascii="Times New Roman" w:hAnsi="Times New Roman" w:eastAsia="方正书宋简体" w:cs="Times New Roman"/>
                <w:color w:val="auto"/>
                <w:kern w:val="0"/>
                <w:szCs w:val="21"/>
                <w:highlight w:val="none"/>
                <w:lang w:eastAsia="zh-CN" w:bidi="ar"/>
              </w:rPr>
            </w:pPr>
            <w:r>
              <w:rPr>
                <w:rFonts w:hint="eastAsia" w:ascii="Times New Roman" w:hAnsi="Times New Roman" w:eastAsia="方正书宋简体" w:cs="Times New Roman"/>
                <w:color w:val="auto"/>
                <w:kern w:val="0"/>
                <w:szCs w:val="21"/>
                <w:highlight w:val="none"/>
                <w:lang w:bidi="ar"/>
              </w:rPr>
              <w:t>两年内</w:t>
            </w:r>
            <w:r>
              <w:rPr>
                <w:rFonts w:hint="eastAsia" w:ascii="Times New Roman" w:hAnsi="Times New Roman" w:eastAsia="方正书宋简体" w:cs="Times New Roman"/>
                <w:color w:val="auto"/>
                <w:kern w:val="0"/>
                <w:szCs w:val="21"/>
                <w:highlight w:val="none"/>
              </w:rPr>
              <w:t>再</w:t>
            </w:r>
            <w:r>
              <w:rPr>
                <w:rFonts w:ascii="Times New Roman" w:hAnsi="Times New Roman" w:eastAsia="方正书宋简体" w:cs="Times New Roman"/>
                <w:color w:val="auto"/>
                <w:kern w:val="0"/>
                <w:szCs w:val="21"/>
                <w:highlight w:val="none"/>
              </w:rPr>
              <w:t>次</w:t>
            </w:r>
            <w:r>
              <w:rPr>
                <w:rFonts w:hint="eastAsia" w:ascii="Times New Roman" w:hAnsi="Times New Roman" w:eastAsia="方正书宋简体" w:cs="Times New Roman"/>
                <w:color w:val="auto"/>
                <w:kern w:val="0"/>
                <w:szCs w:val="21"/>
                <w:highlight w:val="none"/>
              </w:rPr>
              <w:t>违反此规定</w:t>
            </w:r>
            <w:r>
              <w:rPr>
                <w:rFonts w:hint="eastAsia" w:ascii="Times New Roman" w:hAnsi="Times New Roman" w:eastAsia="方正书宋简体" w:cs="Times New Roman"/>
                <w:color w:val="auto"/>
                <w:kern w:val="0"/>
                <w:szCs w:val="21"/>
                <w:highlight w:val="none"/>
                <w:lang w:val="en-US" w:eastAsia="zh-CN"/>
              </w:rPr>
              <w:t>的</w:t>
            </w:r>
            <w:r>
              <w:rPr>
                <w:rFonts w:hint="eastAsia" w:ascii="Times New Roman" w:hAnsi="Times New Roman" w:eastAsia="方正书宋简体" w:cs="Times New Roman"/>
                <w:color w:val="auto"/>
                <w:kern w:val="0"/>
                <w:szCs w:val="21"/>
                <w:highlight w:val="none"/>
                <w:lang w:eastAsia="zh-CN"/>
              </w:rPr>
              <w:t>。</w:t>
            </w:r>
          </w:p>
        </w:tc>
        <w:tc>
          <w:tcPr>
            <w:tcW w:w="1183" w:type="dxa"/>
            <w:tcBorders>
              <w:tl2br w:val="nil"/>
              <w:tr2bl w:val="nil"/>
            </w:tcBorders>
            <w:shd w:val="clear" w:color="000000" w:fill="FFFFFF"/>
          </w:tcPr>
          <w:p>
            <w:pPr>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责令改正，处1万5千元以上2万元以下的罚款</w:t>
            </w:r>
            <w:r>
              <w:rPr>
                <w:rFonts w:hint="eastAsia" w:ascii="Times New Roman" w:hAnsi="Times New Roman" w:eastAsia="方正书宋简体" w:cs="Times New Roman"/>
                <w:color w:val="auto"/>
                <w:kern w:val="0"/>
                <w:szCs w:val="21"/>
                <w:highlight w:val="none"/>
              </w:rPr>
              <w:t>，</w:t>
            </w:r>
            <w:r>
              <w:rPr>
                <w:rFonts w:hint="eastAsia" w:ascii="Times New Roman" w:hAnsi="Times New Roman" w:eastAsia="方正书宋简体" w:cs="Times New Roman"/>
                <w:color w:val="auto"/>
                <w:kern w:val="0"/>
                <w:szCs w:val="21"/>
                <w:highlight w:val="none"/>
                <w:lang w:bidi="ar"/>
              </w:rPr>
              <w:t>构成违反治安管理行为的，由公安机关依法给予治安管理处罚；构成犯罪的，依法追究刑事责任</w:t>
            </w:r>
            <w:r>
              <w:rPr>
                <w:rFonts w:ascii="Times New Roman" w:hAnsi="Times New Roman" w:eastAsia="方正书宋简体" w:cs="Times New Roman"/>
                <w:color w:val="auto"/>
                <w:kern w:val="0"/>
                <w:szCs w:val="21"/>
                <w:highlight w:val="none"/>
              </w:rPr>
              <w:t>。</w:t>
            </w: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3000509000000000000"/>
    <w:charset w:val="86"/>
    <w:family w:val="auto"/>
    <w:pitch w:val="default"/>
    <w:sig w:usb0="00000000" w:usb1="00000000" w:usb2="0000000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 w:name="方正黑体简体">
    <w:altName w:val="微软雅黑"/>
    <w:panose1 w:val="00000000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6B589C"/>
    <w:multiLevelType w:val="singleLevel"/>
    <w:tmpl w:val="636B589C"/>
    <w:lvl w:ilvl="0" w:tentative="0">
      <w:start w:val="1"/>
      <w:numFmt w:val="decimal"/>
      <w:suff w:val="nothing"/>
      <w:lvlText w:val="%1、"/>
      <w:lvlJc w:val="left"/>
    </w:lvl>
  </w:abstractNum>
  <w:abstractNum w:abstractNumId="1">
    <w:nsid w:val="636B58BC"/>
    <w:multiLevelType w:val="singleLevel"/>
    <w:tmpl w:val="636B58BC"/>
    <w:lvl w:ilvl="0" w:tentative="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OWIyZjRkYmM5MzVkNzU5NTM2OTg2MjI1YmViZDEifQ=="/>
  </w:docVars>
  <w:rsids>
    <w:rsidRoot w:val="7CC85A70"/>
    <w:rsid w:val="11540C1F"/>
    <w:rsid w:val="7CC85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2024-05-13T07:40:00Z</dcterms:created>
  <dc:creator>Administrator</dc:creator>
  <cp:lastModifiedBy>Administrator</cp:lastModifiedBy>
  <dcterms:modified xsi:type="dcterms:W3CDTF">2024-05-13T12:05:52Z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8A2E740C8AB74365BED2A8FD520F52E3_11</vt:lpwstr>
  </property>
</Properties>
</file>