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50" w:afterLines="80" w:line="460" w:lineRule="exact"/>
        <w:ind w:firstLine="720" w:firstLineChars="200"/>
        <w:rPr>
          <w:rFonts w:ascii="方正小标宋简体" w:hAnsi="方正小标宋简体" w:eastAsia="方正小标宋简体" w:cs="方正小标宋简体"/>
          <w:color w:val="auto"/>
          <w:sz w:val="36"/>
          <w:szCs w:val="36"/>
          <w:highlight w:val="none"/>
        </w:rPr>
      </w:pPr>
      <w:r>
        <w:rPr>
          <w:rFonts w:hint="eastAsia" w:ascii="方正小标宋简体" w:hAnsi="方正小标宋简体" w:eastAsia="方正小标宋简体" w:cs="方正小标宋简体"/>
          <w:color w:val="auto"/>
          <w:sz w:val="36"/>
          <w:szCs w:val="36"/>
          <w:highlight w:val="none"/>
        </w:rPr>
        <w:t>违反《危险化学品安全管理条例》处罚裁量基准</w:t>
      </w:r>
    </w:p>
    <w:tbl>
      <w:tblPr>
        <w:tblStyle w:val="3"/>
        <w:tblW w:w="74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1830"/>
        <w:gridCol w:w="2385"/>
        <w:gridCol w:w="2070"/>
        <w:gridCol w:w="1194"/>
        <w:gridCol w:w="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75" w:hRule="atLeast"/>
          <w:tblHeader/>
        </w:trPr>
        <w:tc>
          <w:tcPr>
            <w:tcW w:w="1830" w:type="dxa"/>
            <w:tcBorders>
              <w:tl2br w:val="nil"/>
              <w:tr2bl w:val="nil"/>
            </w:tcBorders>
            <w:shd w:val="clear" w:color="auto" w:fill="auto"/>
            <w:vAlign w:val="center"/>
          </w:tcPr>
          <w:p>
            <w:pPr>
              <w:widowControl/>
              <w:spacing w:line="300" w:lineRule="exact"/>
              <w:jc w:val="center"/>
              <w:textAlignment w:val="top"/>
              <w:rPr>
                <w:rFonts w:hint="eastAsia" w:asciiTheme="majorEastAsia" w:hAnsiTheme="majorEastAsia" w:eastAsiaTheme="majorEastAsia" w:cstheme="majorEastAsia"/>
                <w:b/>
                <w:bCs/>
                <w:color w:val="auto"/>
                <w:kern w:val="0"/>
                <w:szCs w:val="21"/>
                <w:highlight w:val="none"/>
                <w:lang w:bidi="ar"/>
              </w:rPr>
            </w:pPr>
            <w:bookmarkStart w:id="0" w:name="_GoBack"/>
            <w:bookmarkEnd w:id="0"/>
            <w:r>
              <w:rPr>
                <w:rFonts w:hint="eastAsia" w:asciiTheme="majorEastAsia" w:hAnsiTheme="majorEastAsia" w:eastAsiaTheme="majorEastAsia" w:cstheme="majorEastAsia"/>
                <w:b/>
                <w:bCs/>
                <w:color w:val="auto"/>
                <w:kern w:val="0"/>
                <w:szCs w:val="21"/>
                <w:highlight w:val="none"/>
                <w:lang w:bidi="ar"/>
              </w:rPr>
              <w:t>违法行为</w:t>
            </w:r>
          </w:p>
        </w:tc>
        <w:tc>
          <w:tcPr>
            <w:tcW w:w="2385" w:type="dxa"/>
            <w:tcBorders>
              <w:tl2br w:val="nil"/>
              <w:tr2bl w:val="nil"/>
            </w:tcBorders>
            <w:shd w:val="clear" w:color="auto" w:fill="auto"/>
            <w:vAlign w:val="center"/>
          </w:tcPr>
          <w:p>
            <w:pPr>
              <w:widowControl/>
              <w:spacing w:line="300" w:lineRule="exact"/>
              <w:jc w:val="center"/>
              <w:textAlignment w:val="top"/>
              <w:rPr>
                <w:rFonts w:hint="eastAsia" w:asciiTheme="majorEastAsia" w:hAnsiTheme="majorEastAsia" w:eastAsiaTheme="majorEastAsia" w:cstheme="majorEastAsia"/>
                <w:b/>
                <w:bCs/>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法律依据</w:t>
            </w:r>
          </w:p>
        </w:tc>
        <w:tc>
          <w:tcPr>
            <w:tcW w:w="2070" w:type="dxa"/>
            <w:tcBorders>
              <w:tl2br w:val="nil"/>
              <w:tr2bl w:val="nil"/>
            </w:tcBorders>
            <w:shd w:val="clear" w:color="auto" w:fill="auto"/>
            <w:vAlign w:val="center"/>
          </w:tcPr>
          <w:p>
            <w:pPr>
              <w:widowControl/>
              <w:spacing w:line="300" w:lineRule="exact"/>
              <w:jc w:val="center"/>
              <w:textAlignment w:val="top"/>
              <w:rPr>
                <w:rFonts w:hint="eastAsia" w:asciiTheme="majorEastAsia" w:hAnsiTheme="majorEastAsia" w:eastAsiaTheme="majorEastAsia" w:cstheme="majorEastAsia"/>
                <w:b/>
                <w:bCs/>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违法情节</w:t>
            </w:r>
          </w:p>
        </w:tc>
        <w:tc>
          <w:tcPr>
            <w:tcW w:w="1200" w:type="dxa"/>
            <w:gridSpan w:val="2"/>
            <w:tcBorders>
              <w:tl2br w:val="nil"/>
              <w:tr2bl w:val="nil"/>
            </w:tcBorders>
            <w:shd w:val="clear" w:color="auto" w:fill="auto"/>
            <w:vAlign w:val="center"/>
          </w:tcPr>
          <w:p>
            <w:pPr>
              <w:widowControl/>
              <w:spacing w:line="300" w:lineRule="exact"/>
              <w:jc w:val="center"/>
              <w:textAlignment w:val="top"/>
              <w:rPr>
                <w:rFonts w:hint="eastAsia" w:asciiTheme="majorEastAsia" w:hAnsiTheme="majorEastAsia" w:eastAsiaTheme="majorEastAsia" w:cstheme="majorEastAsia"/>
                <w:b/>
                <w:bCs/>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裁量基准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218" w:hRule="atLeast"/>
        </w:trPr>
        <w:tc>
          <w:tcPr>
            <w:tcW w:w="1830" w:type="dxa"/>
            <w:vMerge w:val="restart"/>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储存剧毒化学品的专用仓库未按照公安部制定的行业标准《剧毒化学品、放射源存放场所治安防范要求》（</w:t>
            </w:r>
            <w:r>
              <w:rPr>
                <w:rFonts w:ascii="Times New Roman" w:hAnsi="Times New Roman" w:eastAsia="方正书宋简体" w:cs="Times New Roman"/>
                <w:color w:val="auto"/>
                <w:kern w:val="0"/>
                <w:szCs w:val="21"/>
                <w:highlight w:val="none"/>
                <w:lang w:bidi="ar"/>
              </w:rPr>
              <w:t>GA1002-2012</w:t>
            </w:r>
            <w:r>
              <w:rPr>
                <w:rFonts w:hint="eastAsia" w:ascii="Times New Roman" w:hAnsi="Times New Roman" w:eastAsia="方正书宋简体" w:cs="Times New Roman"/>
                <w:color w:val="auto"/>
                <w:kern w:val="0"/>
                <w:szCs w:val="21"/>
                <w:highlight w:val="none"/>
                <w:lang w:bidi="ar"/>
              </w:rPr>
              <w:t>）设置相应的技术防范设施</w:t>
            </w:r>
            <w:r>
              <w:rPr>
                <w:rFonts w:hint="eastAsia" w:ascii="Times New Roman" w:hAnsi="Times New Roman" w:eastAsia="方正书宋简体" w:cs="Times New Roman"/>
                <w:color w:val="auto"/>
                <w:kern w:val="0"/>
                <w:szCs w:val="21"/>
                <w:highlight w:val="none"/>
                <w:lang w:val="en-US" w:eastAsia="zh-CN" w:bidi="ar"/>
              </w:rPr>
              <w:t>。</w:t>
            </w:r>
          </w:p>
        </w:tc>
        <w:tc>
          <w:tcPr>
            <w:tcW w:w="2385" w:type="dxa"/>
            <w:vMerge w:val="restart"/>
            <w:tcBorders>
              <w:tl2br w:val="nil"/>
              <w:tr2bl w:val="nil"/>
            </w:tcBorders>
            <w:shd w:val="clear" w:color="auto" w:fill="auto"/>
          </w:tcPr>
          <w:p>
            <w:pPr>
              <w:widowControl/>
              <w:spacing w:line="300" w:lineRule="exact"/>
              <w:jc w:val="lef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第七十八条第二款</w:t>
            </w:r>
            <w:r>
              <w:rPr>
                <w:rFonts w:ascii="Times New Roman" w:hAnsi="Times New Roman" w:eastAsia="方正书宋简体" w:cs="Times New Roman"/>
                <w:color w:val="auto"/>
                <w:kern w:val="0"/>
                <w:szCs w:val="21"/>
                <w:highlight w:val="none"/>
                <w:lang w:bidi="ar"/>
              </w:rPr>
              <w:t xml:space="preserve"> </w:t>
            </w:r>
            <w:r>
              <w:rPr>
                <w:rFonts w:hint="eastAsia" w:ascii="Times New Roman" w:hAnsi="Times New Roman" w:eastAsia="方正书宋简体" w:cs="Times New Roman"/>
                <w:color w:val="auto"/>
                <w:kern w:val="0"/>
                <w:szCs w:val="21"/>
                <w:highlight w:val="none"/>
                <w:lang w:bidi="ar"/>
              </w:rPr>
              <w:t xml:space="preserve"> 储存剧毒化学品、易制爆危险化学品的专用仓库未按照国家有关规定设置相应的技术防范设施的，由公安机关依照前款规定予以处罚。</w:t>
            </w:r>
          </w:p>
          <w:p>
            <w:pPr>
              <w:widowControl/>
              <w:spacing w:line="300" w:lineRule="exact"/>
              <w:jc w:val="left"/>
              <w:textAlignment w:val="top"/>
              <w:rPr>
                <w:rFonts w:ascii="Times New Roman" w:hAnsi="Times New Roman" w:eastAsia="方正书宋简体" w:cs="Times New Roman"/>
                <w:color w:val="auto"/>
                <w:kern w:val="0"/>
                <w:szCs w:val="21"/>
                <w:highlight w:val="none"/>
                <w:lang w:bidi="ar"/>
              </w:rPr>
            </w:pPr>
          </w:p>
          <w:p>
            <w:pPr>
              <w:widowControl/>
              <w:spacing w:line="300" w:lineRule="exact"/>
              <w:jc w:val="lef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第七十八条第一款</w:t>
            </w:r>
            <w:r>
              <w:rPr>
                <w:rFonts w:ascii="Times New Roman" w:hAnsi="Times New Roman" w:eastAsia="方正书宋简体" w:cs="Times New Roman"/>
                <w:color w:val="auto"/>
                <w:kern w:val="0"/>
                <w:szCs w:val="21"/>
                <w:highlight w:val="none"/>
                <w:lang w:bidi="ar"/>
              </w:rPr>
              <w:t xml:space="preserve"> </w:t>
            </w:r>
            <w:r>
              <w:rPr>
                <w:rFonts w:hint="eastAsia" w:ascii="Times New Roman" w:hAnsi="Times New Roman" w:eastAsia="方正书宋简体" w:cs="Times New Roman"/>
                <w:color w:val="auto"/>
                <w:kern w:val="0"/>
                <w:szCs w:val="21"/>
                <w:highlight w:val="none"/>
                <w:lang w:bidi="ar"/>
              </w:rPr>
              <w:t xml:space="preserve"> </w:t>
            </w:r>
            <w:r>
              <w:rPr>
                <w:rFonts w:hint="eastAsia" w:ascii="Times New Roman" w:hAnsi="Times New Roman" w:eastAsia="方正书宋简体" w:cs="Times New Roman"/>
                <w:color w:val="auto"/>
                <w:kern w:val="0"/>
                <w:szCs w:val="21"/>
                <w:highlight w:val="none"/>
                <w:lang w:eastAsia="zh-CN" w:bidi="ar"/>
              </w:rPr>
              <w:t>有下列情形之一的</w:t>
            </w:r>
            <w:r>
              <w:rPr>
                <w:rFonts w:hint="eastAsia" w:ascii="Times New Roman" w:hAnsi="Times New Roman" w:eastAsia="方正书宋简体" w:cs="Times New Roman"/>
                <w:color w:val="auto"/>
                <w:kern w:val="0"/>
                <w:szCs w:val="21"/>
                <w:highlight w:val="none"/>
                <w:lang w:bidi="ar"/>
              </w:rPr>
              <w:t>，由安全生产监督管理部门责令改正，可以处</w:t>
            </w:r>
            <w:r>
              <w:rPr>
                <w:rFonts w:ascii="Times New Roman" w:hAnsi="Times New Roman" w:eastAsia="方正书宋简体" w:cs="Times New Roman"/>
                <w:color w:val="auto"/>
                <w:kern w:val="0"/>
                <w:szCs w:val="21"/>
                <w:highlight w:val="none"/>
                <w:lang w:bidi="ar"/>
              </w:rPr>
              <w:t>5</w:t>
            </w:r>
            <w:r>
              <w:rPr>
                <w:rFonts w:hint="eastAsia" w:ascii="Times New Roman" w:hAnsi="Times New Roman" w:eastAsia="方正书宋简体" w:cs="Times New Roman"/>
                <w:color w:val="auto"/>
                <w:kern w:val="0"/>
                <w:szCs w:val="21"/>
                <w:highlight w:val="none"/>
                <w:lang w:bidi="ar"/>
              </w:rPr>
              <w:t>万元以下的罚款；拒不改正的，处</w:t>
            </w:r>
            <w:r>
              <w:rPr>
                <w:rFonts w:ascii="Times New Roman" w:hAnsi="Times New Roman" w:eastAsia="方正书宋简体" w:cs="Times New Roman"/>
                <w:color w:val="auto"/>
                <w:kern w:val="0"/>
                <w:szCs w:val="21"/>
                <w:highlight w:val="none"/>
                <w:lang w:bidi="ar"/>
              </w:rPr>
              <w:t>5</w:t>
            </w:r>
            <w:r>
              <w:rPr>
                <w:rFonts w:hint="eastAsia" w:ascii="Times New Roman" w:hAnsi="Times New Roman" w:eastAsia="方正书宋简体" w:cs="Times New Roman"/>
                <w:color w:val="auto"/>
                <w:kern w:val="0"/>
                <w:szCs w:val="21"/>
                <w:highlight w:val="none"/>
                <w:lang w:bidi="ar"/>
              </w:rPr>
              <w:t>万元以上</w:t>
            </w:r>
            <w:r>
              <w:rPr>
                <w:rFonts w:ascii="Times New Roman" w:hAnsi="Times New Roman" w:eastAsia="方正书宋简体" w:cs="Times New Roman"/>
                <w:color w:val="auto"/>
                <w:kern w:val="0"/>
                <w:szCs w:val="21"/>
                <w:highlight w:val="none"/>
                <w:lang w:bidi="ar"/>
              </w:rPr>
              <w:t>10</w:t>
            </w:r>
            <w:r>
              <w:rPr>
                <w:rFonts w:hint="eastAsia" w:ascii="Times New Roman" w:hAnsi="Times New Roman" w:eastAsia="方正书宋简体" w:cs="Times New Roman"/>
                <w:color w:val="auto"/>
                <w:kern w:val="0"/>
                <w:szCs w:val="21"/>
                <w:highlight w:val="none"/>
                <w:lang w:bidi="ar"/>
              </w:rPr>
              <w:t>万元以下的罚款；情节严重的，责令停产停业整顿。</w:t>
            </w:r>
          </w:p>
        </w:tc>
        <w:tc>
          <w:tcPr>
            <w:tcW w:w="2070"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rPr>
            </w:pPr>
            <w:r>
              <w:rPr>
                <w:rFonts w:hint="eastAsia" w:ascii="Times New Roman" w:hAnsi="Times New Roman" w:eastAsia="方正书宋简体" w:cs="Times New Roman"/>
                <w:color w:val="auto"/>
                <w:kern w:val="0"/>
                <w:szCs w:val="21"/>
                <w:highlight w:val="none"/>
              </w:rPr>
              <w:t>通过行业标准，但</w:t>
            </w:r>
            <w:r>
              <w:rPr>
                <w:rFonts w:hint="eastAsia" w:ascii="Times New Roman" w:hAnsi="Times New Roman" w:eastAsia="方正书宋简体" w:cs="Times New Roman"/>
                <w:color w:val="auto"/>
                <w:kern w:val="0"/>
                <w:szCs w:val="21"/>
                <w:highlight w:val="none"/>
                <w:lang w:val="en-US" w:eastAsia="zh-CN"/>
              </w:rPr>
              <w:t>初</w:t>
            </w:r>
            <w:r>
              <w:rPr>
                <w:rFonts w:hint="eastAsia" w:ascii="Times New Roman" w:hAnsi="Times New Roman" w:eastAsia="方正书宋简体" w:cs="Times New Roman"/>
                <w:color w:val="auto"/>
                <w:kern w:val="0"/>
                <w:szCs w:val="21"/>
                <w:highlight w:val="none"/>
              </w:rPr>
              <w:t>次出现个别设施不能正常使用</w:t>
            </w:r>
            <w:r>
              <w:rPr>
                <w:rFonts w:hint="eastAsia" w:ascii="Times New Roman" w:hAnsi="Times New Roman" w:eastAsia="方正书宋简体" w:cs="Times New Roman"/>
                <w:color w:val="auto"/>
                <w:kern w:val="0"/>
                <w:szCs w:val="21"/>
                <w:highlight w:val="none"/>
                <w:lang w:val="en-US" w:eastAsia="zh-CN"/>
              </w:rPr>
              <w:t>的</w:t>
            </w:r>
            <w:r>
              <w:rPr>
                <w:rFonts w:hint="eastAsia" w:ascii="Times New Roman" w:hAnsi="Times New Roman" w:eastAsia="方正书宋简体" w:cs="Times New Roman"/>
                <w:color w:val="auto"/>
                <w:kern w:val="0"/>
                <w:szCs w:val="21"/>
                <w:highlight w:val="none"/>
              </w:rPr>
              <w:t>。</w:t>
            </w:r>
          </w:p>
          <w:p>
            <w:pPr>
              <w:widowControl/>
              <w:spacing w:line="300" w:lineRule="exact"/>
              <w:textAlignment w:val="top"/>
              <w:rPr>
                <w:rFonts w:ascii="Times New Roman" w:hAnsi="Times New Roman" w:eastAsia="方正书宋简体" w:cs="Times New Roman"/>
                <w:color w:val="auto"/>
                <w:kern w:val="0"/>
                <w:szCs w:val="21"/>
                <w:highlight w:val="none"/>
              </w:rPr>
            </w:pPr>
          </w:p>
        </w:tc>
        <w:tc>
          <w:tcPr>
            <w:tcW w:w="1200" w:type="dxa"/>
            <w:gridSpan w:val="2"/>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责令改正，可以</w:t>
            </w:r>
            <w:r>
              <w:rPr>
                <w:rFonts w:hint="eastAsia" w:ascii="Times New Roman" w:hAnsi="Times New Roman" w:eastAsia="方正书宋简体" w:cs="Times New Roman"/>
                <w:color w:val="auto"/>
                <w:kern w:val="0"/>
                <w:szCs w:val="21"/>
                <w:highlight w:val="none"/>
              </w:rPr>
              <w:t>处3万元以下的罚款</w:t>
            </w:r>
            <w:r>
              <w:rPr>
                <w:rFonts w:hint="eastAsia" w:ascii="Times New Roman" w:hAnsi="Times New Roman" w:eastAsia="方正书宋简体" w:cs="Times New Roman"/>
                <w:color w:val="auto"/>
                <w:kern w:val="0"/>
                <w:szCs w:val="21"/>
                <w:highlight w:val="none"/>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358" w:hRule="atLeast"/>
        </w:trPr>
        <w:tc>
          <w:tcPr>
            <w:tcW w:w="1830"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85"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070" w:type="dxa"/>
            <w:tcBorders>
              <w:tl2br w:val="nil"/>
              <w:tr2bl w:val="nil"/>
            </w:tcBorders>
            <w:shd w:val="clear" w:color="auto" w:fill="auto"/>
          </w:tcPr>
          <w:p>
            <w:pPr>
              <w:widowControl/>
              <w:numPr>
                <w:ilvl w:val="0"/>
                <w:numId w:val="1"/>
              </w:numPr>
              <w:spacing w:line="300" w:lineRule="exact"/>
              <w:textAlignment w:val="top"/>
              <w:rPr>
                <w:rFonts w:ascii="Times New Roman" w:hAnsi="Times New Roman" w:eastAsia="方正书宋简体" w:cs="Times New Roman"/>
                <w:color w:val="auto"/>
                <w:kern w:val="0"/>
                <w:szCs w:val="21"/>
                <w:highlight w:val="none"/>
              </w:rPr>
            </w:pPr>
            <w:r>
              <w:rPr>
                <w:rFonts w:hint="eastAsia" w:ascii="Times New Roman" w:hAnsi="Times New Roman" w:eastAsia="方正书宋简体" w:cs="Times New Roman"/>
                <w:color w:val="auto"/>
                <w:kern w:val="0"/>
                <w:szCs w:val="21"/>
                <w:highlight w:val="none"/>
              </w:rPr>
              <w:t>通过行业标准，但再次出现个别设施不能正常使用；</w:t>
            </w:r>
          </w:p>
          <w:p>
            <w:pPr>
              <w:widowControl/>
              <w:numPr>
                <w:ilvl w:val="0"/>
                <w:numId w:val="1"/>
              </w:numPr>
              <w:spacing w:line="300" w:lineRule="exact"/>
              <w:textAlignment w:val="top"/>
              <w:rPr>
                <w:rFonts w:ascii="Times New Roman" w:hAnsi="Times New Roman" w:eastAsia="方正书宋简体" w:cs="Times New Roman"/>
                <w:color w:val="auto"/>
                <w:kern w:val="0"/>
                <w:szCs w:val="21"/>
                <w:highlight w:val="none"/>
              </w:rPr>
            </w:pPr>
            <w:r>
              <w:rPr>
                <w:rFonts w:hint="eastAsia" w:ascii="Times New Roman" w:hAnsi="Times New Roman" w:eastAsia="方正书宋简体" w:cs="Times New Roman"/>
                <w:color w:val="auto"/>
                <w:kern w:val="0"/>
                <w:szCs w:val="21"/>
                <w:highlight w:val="none"/>
              </w:rPr>
              <w:t>通过行业标准，但多个设施不能正常使用</w:t>
            </w:r>
            <w:r>
              <w:rPr>
                <w:rFonts w:hint="eastAsia" w:ascii="Times New Roman" w:hAnsi="Times New Roman" w:eastAsia="方正书宋简体" w:cs="Times New Roman"/>
                <w:color w:val="auto"/>
                <w:kern w:val="0"/>
                <w:szCs w:val="21"/>
                <w:highlight w:val="none"/>
                <w:lang w:val="en-US" w:eastAsia="zh-CN"/>
              </w:rPr>
              <w:t>的</w:t>
            </w:r>
            <w:r>
              <w:rPr>
                <w:rFonts w:hint="eastAsia" w:ascii="Times New Roman" w:hAnsi="Times New Roman" w:eastAsia="方正书宋简体" w:cs="Times New Roman"/>
                <w:color w:val="auto"/>
                <w:kern w:val="0"/>
                <w:szCs w:val="21"/>
                <w:highlight w:val="none"/>
              </w:rPr>
              <w:t>。</w:t>
            </w:r>
          </w:p>
          <w:p>
            <w:pPr>
              <w:widowControl/>
              <w:spacing w:line="300" w:lineRule="exact"/>
              <w:textAlignment w:val="top"/>
              <w:rPr>
                <w:rFonts w:ascii="Times New Roman" w:hAnsi="Times New Roman" w:eastAsia="方正书宋简体" w:cs="Times New Roman"/>
                <w:color w:val="auto"/>
                <w:kern w:val="0"/>
                <w:szCs w:val="21"/>
                <w:highlight w:val="none"/>
              </w:rPr>
            </w:pPr>
          </w:p>
        </w:tc>
        <w:tc>
          <w:tcPr>
            <w:tcW w:w="1200" w:type="dxa"/>
            <w:gridSpan w:val="2"/>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责令改正，可以</w:t>
            </w:r>
            <w:r>
              <w:rPr>
                <w:rFonts w:hint="eastAsia" w:ascii="Times New Roman" w:hAnsi="Times New Roman" w:eastAsia="方正书宋简体" w:cs="Times New Roman"/>
                <w:color w:val="auto"/>
                <w:kern w:val="0"/>
                <w:szCs w:val="21"/>
                <w:highlight w:val="none"/>
              </w:rPr>
              <w:t>处3万元以上</w:t>
            </w:r>
            <w:r>
              <w:rPr>
                <w:rFonts w:ascii="Times New Roman" w:hAnsi="Times New Roman" w:eastAsia="方正书宋简体" w:cs="Times New Roman"/>
                <w:color w:val="auto"/>
                <w:kern w:val="0"/>
                <w:szCs w:val="21"/>
                <w:highlight w:val="none"/>
              </w:rPr>
              <w:t>5</w:t>
            </w:r>
            <w:r>
              <w:rPr>
                <w:rFonts w:hint="eastAsia" w:ascii="Times New Roman" w:hAnsi="Times New Roman" w:eastAsia="方正书宋简体" w:cs="Times New Roman"/>
                <w:color w:val="auto"/>
                <w:kern w:val="0"/>
                <w:szCs w:val="21"/>
                <w:highlight w:val="none"/>
              </w:rPr>
              <w:t>万元以下的罚款。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21" w:hRule="atLeast"/>
        </w:trPr>
        <w:tc>
          <w:tcPr>
            <w:tcW w:w="1830"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85"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070" w:type="dxa"/>
            <w:tcBorders>
              <w:tl2br w:val="nil"/>
              <w:tr2bl w:val="nil"/>
            </w:tcBorders>
            <w:shd w:val="clear" w:color="auto" w:fill="auto"/>
          </w:tcPr>
          <w:p>
            <w:pPr>
              <w:rPr>
                <w:rFonts w:ascii="Times New Roman" w:hAnsi="Times New Roman" w:eastAsia="方正书宋简体" w:cs="Times New Roman"/>
                <w:color w:val="auto"/>
                <w:kern w:val="0"/>
                <w:szCs w:val="21"/>
                <w:highlight w:val="none"/>
              </w:rPr>
            </w:pPr>
            <w:r>
              <w:rPr>
                <w:rFonts w:ascii="Times New Roman" w:hAnsi="Times New Roman" w:eastAsia="方正书宋简体" w:cs="Times New Roman"/>
                <w:color w:val="auto"/>
                <w:kern w:val="0"/>
                <w:szCs w:val="21"/>
                <w:highlight w:val="none"/>
              </w:rPr>
              <w:t>拒不改正，未造成严重后果</w:t>
            </w:r>
            <w:r>
              <w:rPr>
                <w:rFonts w:hint="eastAsia" w:ascii="Times New Roman" w:hAnsi="Times New Roman" w:eastAsia="方正书宋简体" w:cs="Times New Roman"/>
                <w:color w:val="auto"/>
                <w:kern w:val="0"/>
                <w:szCs w:val="21"/>
                <w:highlight w:val="none"/>
                <w:lang w:val="en-US" w:eastAsia="zh-CN"/>
              </w:rPr>
              <w:t>的</w:t>
            </w:r>
            <w:r>
              <w:rPr>
                <w:rFonts w:ascii="Times New Roman" w:hAnsi="Times New Roman" w:eastAsia="方正书宋简体" w:cs="Times New Roman"/>
                <w:color w:val="auto"/>
                <w:kern w:val="0"/>
                <w:szCs w:val="21"/>
                <w:highlight w:val="none"/>
              </w:rPr>
              <w:t>。</w:t>
            </w:r>
          </w:p>
          <w:p>
            <w:pPr>
              <w:rPr>
                <w:rFonts w:ascii="Times New Roman" w:hAnsi="Times New Roman" w:eastAsia="方正书宋简体" w:cs="Times New Roman"/>
                <w:color w:val="auto"/>
                <w:kern w:val="0"/>
                <w:szCs w:val="21"/>
                <w:highlight w:val="none"/>
              </w:rPr>
            </w:pPr>
          </w:p>
        </w:tc>
        <w:tc>
          <w:tcPr>
            <w:tcW w:w="1200" w:type="dxa"/>
            <w:gridSpan w:val="2"/>
            <w:tcBorders>
              <w:tl2br w:val="nil"/>
              <w:tr2bl w:val="nil"/>
            </w:tcBorders>
            <w:shd w:val="clear" w:color="auto" w:fill="auto"/>
          </w:tcPr>
          <w:p>
            <w:pPr>
              <w:rPr>
                <w:rFonts w:ascii="Times New Roman" w:hAnsi="Times New Roman" w:eastAsia="方正书宋简体" w:cs="Times New Roman"/>
                <w:color w:val="auto"/>
                <w:kern w:val="0"/>
                <w:szCs w:val="21"/>
                <w:highlight w:val="none"/>
              </w:rPr>
            </w:pPr>
            <w:r>
              <w:rPr>
                <w:rFonts w:ascii="Times New Roman" w:hAnsi="Times New Roman" w:eastAsia="方正书宋简体" w:cs="Times New Roman"/>
                <w:color w:val="auto"/>
                <w:kern w:val="0"/>
                <w:szCs w:val="21"/>
                <w:highlight w:val="none"/>
              </w:rPr>
              <w:t>处5万元以上10万元以下的罚款</w:t>
            </w:r>
          </w:p>
          <w:p>
            <w:pPr>
              <w:rPr>
                <w:rFonts w:ascii="Times New Roman" w:hAnsi="Times New Roman" w:eastAsia="方正书宋简体" w:cs="Times New Roman"/>
                <w:color w:val="auto"/>
                <w:kern w:val="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450" w:hRule="atLeast"/>
        </w:trPr>
        <w:tc>
          <w:tcPr>
            <w:tcW w:w="1830"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85"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070" w:type="dxa"/>
            <w:tcBorders>
              <w:tl2br w:val="nil"/>
              <w:tr2bl w:val="nil"/>
            </w:tcBorders>
            <w:shd w:val="clear" w:color="auto" w:fill="auto"/>
          </w:tcPr>
          <w:p>
            <w:pPr>
              <w:numPr>
                <w:ilvl w:val="0"/>
                <w:numId w:val="2"/>
              </w:numPr>
              <w:rPr>
                <w:rFonts w:ascii="Times New Roman" w:hAnsi="Times New Roman" w:eastAsia="方正书宋简体" w:cs="Times New Roman"/>
                <w:color w:val="auto"/>
                <w:kern w:val="0"/>
                <w:szCs w:val="21"/>
                <w:highlight w:val="none"/>
              </w:rPr>
            </w:pPr>
            <w:r>
              <w:rPr>
                <w:rFonts w:hint="eastAsia" w:ascii="Times New Roman" w:hAnsi="Times New Roman" w:eastAsia="方正书宋简体" w:cs="Times New Roman"/>
                <w:color w:val="auto"/>
                <w:kern w:val="0"/>
                <w:szCs w:val="21"/>
                <w:highlight w:val="none"/>
              </w:rPr>
              <w:t>未通过行业标准；</w:t>
            </w:r>
          </w:p>
          <w:p>
            <w:pPr>
              <w:numPr>
                <w:ilvl w:val="0"/>
                <w:numId w:val="2"/>
              </w:numPr>
              <w:rPr>
                <w:rFonts w:ascii="Times New Roman" w:hAnsi="Times New Roman" w:eastAsia="方正书宋简体" w:cs="Times New Roman"/>
                <w:color w:val="auto"/>
                <w:kern w:val="0"/>
                <w:szCs w:val="21"/>
                <w:highlight w:val="none"/>
                <w:lang w:bidi="ar"/>
              </w:rPr>
            </w:pPr>
            <w:r>
              <w:rPr>
                <w:rFonts w:ascii="Times New Roman" w:hAnsi="Times New Roman" w:eastAsia="方正书宋简体" w:cs="Times New Roman"/>
                <w:color w:val="auto"/>
                <w:kern w:val="0"/>
                <w:szCs w:val="21"/>
                <w:highlight w:val="none"/>
              </w:rPr>
              <w:t>造成</w:t>
            </w:r>
            <w:r>
              <w:rPr>
                <w:rFonts w:hint="eastAsia" w:ascii="Times New Roman" w:hAnsi="Times New Roman" w:eastAsia="方正书宋简体" w:cs="Times New Roman"/>
                <w:color w:val="auto"/>
                <w:kern w:val="0"/>
                <w:szCs w:val="21"/>
                <w:highlight w:val="none"/>
              </w:rPr>
              <w:t>丢失被盗、人身伤亡或财产损失或其他社会影响</w:t>
            </w:r>
            <w:r>
              <w:rPr>
                <w:rFonts w:hint="eastAsia" w:ascii="Times New Roman" w:hAnsi="Times New Roman" w:eastAsia="方正书宋简体" w:cs="Times New Roman"/>
                <w:color w:val="auto"/>
                <w:kern w:val="0"/>
                <w:szCs w:val="21"/>
                <w:highlight w:val="none"/>
                <w:lang w:val="en-US" w:eastAsia="zh-CN"/>
              </w:rPr>
              <w:t>的</w:t>
            </w:r>
            <w:r>
              <w:rPr>
                <w:rFonts w:ascii="Times New Roman" w:hAnsi="Times New Roman" w:eastAsia="方正书宋简体" w:cs="Times New Roman"/>
                <w:color w:val="auto"/>
                <w:kern w:val="0"/>
                <w:szCs w:val="21"/>
                <w:highlight w:val="none"/>
              </w:rPr>
              <w:t>。</w:t>
            </w:r>
          </w:p>
          <w:p>
            <w:pPr>
              <w:rPr>
                <w:rFonts w:ascii="Times New Roman" w:hAnsi="Times New Roman" w:eastAsia="方正书宋简体" w:cs="Times New Roman"/>
                <w:color w:val="auto"/>
                <w:kern w:val="0"/>
                <w:szCs w:val="21"/>
                <w:highlight w:val="none"/>
              </w:rPr>
            </w:pPr>
          </w:p>
          <w:p>
            <w:pPr>
              <w:rPr>
                <w:rFonts w:ascii="Times New Roman" w:hAnsi="Times New Roman" w:eastAsia="方正书宋简体" w:cs="Times New Roman"/>
                <w:color w:val="auto"/>
                <w:kern w:val="0"/>
                <w:szCs w:val="21"/>
                <w:highlight w:val="none"/>
              </w:rPr>
            </w:pPr>
          </w:p>
        </w:tc>
        <w:tc>
          <w:tcPr>
            <w:tcW w:w="1200" w:type="dxa"/>
            <w:gridSpan w:val="2"/>
            <w:tcBorders>
              <w:tl2br w:val="nil"/>
              <w:tr2bl w:val="nil"/>
            </w:tcBorders>
            <w:shd w:val="clear" w:color="auto" w:fill="auto"/>
          </w:tcPr>
          <w:p>
            <w:pPr>
              <w:rPr>
                <w:rFonts w:ascii="Times New Roman" w:hAnsi="Times New Roman" w:eastAsia="方正书宋简体" w:cs="Times New Roman"/>
                <w:color w:val="auto"/>
                <w:kern w:val="0"/>
                <w:szCs w:val="21"/>
                <w:highlight w:val="none"/>
                <w:lang w:bidi="ar"/>
              </w:rPr>
            </w:pPr>
            <w:r>
              <w:rPr>
                <w:rFonts w:ascii="Times New Roman" w:hAnsi="Times New Roman" w:eastAsia="方正书宋简体" w:cs="Times New Roman"/>
                <w:color w:val="auto"/>
                <w:kern w:val="0"/>
                <w:szCs w:val="21"/>
                <w:highlight w:val="none"/>
              </w:rPr>
              <w:t>责令停产停业整顿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c>
          <w:tcPr>
            <w:tcW w:w="1830" w:type="dxa"/>
            <w:tcBorders>
              <w:tl2br w:val="nil"/>
              <w:tr2bl w:val="nil"/>
            </w:tcBorders>
            <w:shd w:val="clear" w:color="auto" w:fill="auto"/>
          </w:tcPr>
          <w:p>
            <w:pPr>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生产、储存剧毒化学品、易制爆危险化学品的单位未设置治安保卫机构、配备专职治安保卫人员。</w:t>
            </w:r>
          </w:p>
        </w:tc>
        <w:tc>
          <w:tcPr>
            <w:tcW w:w="2385" w:type="dxa"/>
            <w:tcBorders>
              <w:tl2br w:val="nil"/>
              <w:tr2bl w:val="nil"/>
            </w:tcBorders>
            <w:shd w:val="clear" w:color="auto" w:fill="auto"/>
          </w:tcPr>
          <w:p>
            <w:pPr>
              <w:rPr>
                <w:rFonts w:ascii="Times New Roman" w:hAnsi="Times New Roman" w:eastAsia="方正书宋简体" w:cs="Times New Roman"/>
                <w:color w:val="auto"/>
                <w:kern w:val="0"/>
                <w:szCs w:val="21"/>
                <w:highlight w:val="none"/>
                <w:lang w:bidi="ar"/>
              </w:rPr>
            </w:pPr>
            <w:r>
              <w:rPr>
                <w:rFonts w:ascii="Times New Roman" w:hAnsi="Times New Roman" w:eastAsia="方正书宋简体" w:cs="Times New Roman"/>
                <w:color w:val="auto"/>
                <w:kern w:val="0"/>
                <w:szCs w:val="21"/>
                <w:highlight w:val="none"/>
                <w:lang w:bidi="ar"/>
              </w:rPr>
              <w:t>第七十八条第三款</w:t>
            </w:r>
            <w:r>
              <w:rPr>
                <w:rFonts w:hint="eastAsia" w:ascii="Times New Roman" w:hAnsi="Times New Roman" w:eastAsia="方正书宋简体" w:cs="Times New Roman"/>
                <w:color w:val="auto"/>
                <w:kern w:val="0"/>
                <w:szCs w:val="21"/>
                <w:highlight w:val="none"/>
                <w:lang w:bidi="ar"/>
              </w:rPr>
              <w:t xml:space="preserve">  </w:t>
            </w:r>
            <w:r>
              <w:rPr>
                <w:rFonts w:ascii="Times New Roman" w:hAnsi="Times New Roman" w:eastAsia="方正书宋简体" w:cs="Times New Roman"/>
                <w:color w:val="auto"/>
                <w:kern w:val="0"/>
                <w:szCs w:val="21"/>
                <w:highlight w:val="none"/>
                <w:lang w:bidi="ar"/>
              </w:rPr>
              <w:t>生产、储存剧毒化学品、易制爆危险化学品的单位未设置治安保卫机构、配备专职治安保卫人员的，依照《企业事业单位内部治安保卫条例》的规定处罚</w:t>
            </w:r>
            <w:r>
              <w:rPr>
                <w:rFonts w:hint="eastAsia" w:ascii="Times New Roman" w:hAnsi="Times New Roman" w:eastAsia="方正书宋简体" w:cs="Times New Roman"/>
                <w:color w:val="auto"/>
                <w:kern w:val="0"/>
                <w:szCs w:val="21"/>
                <w:highlight w:val="none"/>
                <w:lang w:bidi="ar"/>
              </w:rPr>
              <w:t>。</w:t>
            </w:r>
          </w:p>
          <w:p>
            <w:pPr>
              <w:rPr>
                <w:rFonts w:ascii="Times New Roman" w:hAnsi="Times New Roman" w:eastAsia="方正书宋简体" w:cs="Times New Roman"/>
                <w:color w:val="auto"/>
                <w:kern w:val="0"/>
                <w:szCs w:val="21"/>
                <w:highlight w:val="none"/>
                <w:lang w:bidi="ar"/>
              </w:rPr>
            </w:pPr>
          </w:p>
          <w:p>
            <w:pPr>
              <w:rPr>
                <w:rFonts w:eastAsia="方正书宋简体"/>
                <w:color w:val="auto"/>
                <w:kern w:val="0"/>
                <w:szCs w:val="21"/>
                <w:highlight w:val="none"/>
                <w:lang w:bidi="ar"/>
              </w:rPr>
            </w:pPr>
            <w:r>
              <w:rPr>
                <w:rFonts w:ascii="Times New Roman" w:hAnsi="Times New Roman" w:eastAsia="方正书宋简体" w:cs="Times New Roman"/>
                <w:color w:val="auto"/>
                <w:kern w:val="0"/>
                <w:szCs w:val="21"/>
                <w:highlight w:val="none"/>
                <w:lang w:bidi="ar"/>
              </w:rPr>
              <w:t>《企业事业单位内部治安保卫条例》</w:t>
            </w:r>
            <w:r>
              <w:rPr>
                <w:rFonts w:hint="eastAsia" w:ascii="Times New Roman" w:hAnsi="Times New Roman" w:eastAsia="方正书宋简体" w:cs="Times New Roman"/>
                <w:color w:val="auto"/>
                <w:kern w:val="0"/>
                <w:szCs w:val="21"/>
                <w:highlight w:val="none"/>
                <w:lang w:bidi="ar"/>
              </w:rPr>
              <w:t xml:space="preserve">第十九条  </w:t>
            </w:r>
            <w:r>
              <w:rPr>
                <w:rFonts w:hint="eastAsia" w:eastAsia="方正书宋简体"/>
                <w:color w:val="auto"/>
                <w:kern w:val="0"/>
                <w:szCs w:val="21"/>
                <w:highlight w:val="none"/>
                <w:lang w:bidi="ar"/>
              </w:rPr>
              <w:t>单位违反本条例的规定，存在治安隐患的，公安机关应当责令限期整改，并处警告；单位逾期不整改，</w:t>
            </w:r>
          </w:p>
          <w:p>
            <w:pPr>
              <w:rPr>
                <w:rFonts w:eastAsia="方正书宋简体"/>
                <w:color w:val="auto"/>
                <w:kern w:val="0"/>
                <w:szCs w:val="21"/>
                <w:highlight w:val="none"/>
                <w:lang w:bidi="ar"/>
              </w:rPr>
            </w:pPr>
            <w:r>
              <w:rPr>
                <w:rFonts w:hint="eastAsia" w:eastAsia="方正书宋简体"/>
                <w:color w:val="auto"/>
                <w:kern w:val="0"/>
                <w:szCs w:val="21"/>
                <w:highlight w:val="none"/>
                <w:lang w:bidi="ar"/>
              </w:rPr>
              <w:t>造成公民人身伤害、公私财产损失，或者严重威胁公民人身安全、公私财产安全或者公共安全的，对单位处1万元以上10万元以下的罚款，对单位主要负责人和其他直接责任人员处500元以上5000元以下的罚款，并可以建议有关组织对单位主要负责人和其他直接责任人员依法给予处分；情节严重，构成犯罪的，依法追究刑事责任。</w:t>
            </w:r>
          </w:p>
          <w:p>
            <w:pPr>
              <w:rPr>
                <w:rFonts w:eastAsia="方正书宋简体"/>
                <w:color w:val="auto"/>
                <w:kern w:val="0"/>
                <w:szCs w:val="21"/>
                <w:highlight w:val="none"/>
                <w:lang w:bidi="ar"/>
              </w:rPr>
            </w:pPr>
          </w:p>
          <w:p>
            <w:pPr>
              <w:rPr>
                <w:rFonts w:eastAsia="方正书宋简体"/>
                <w:color w:val="auto"/>
                <w:kern w:val="0"/>
                <w:szCs w:val="21"/>
                <w:highlight w:val="none"/>
                <w:lang w:bidi="ar"/>
              </w:rPr>
            </w:pPr>
          </w:p>
        </w:tc>
        <w:tc>
          <w:tcPr>
            <w:tcW w:w="2070" w:type="dxa"/>
            <w:tcBorders>
              <w:tl2br w:val="nil"/>
              <w:tr2bl w:val="nil"/>
            </w:tcBorders>
            <w:shd w:val="clear" w:color="auto" w:fill="auto"/>
          </w:tcPr>
          <w:p>
            <w:pPr>
              <w:rPr>
                <w:rFonts w:ascii="Times New Roman" w:hAnsi="Times New Roman" w:eastAsia="方正书宋简体" w:cs="Times New Roman"/>
                <w:color w:val="auto"/>
                <w:kern w:val="0"/>
                <w:szCs w:val="21"/>
                <w:highlight w:val="none"/>
                <w:lang w:bidi="ar"/>
              </w:rPr>
            </w:pPr>
            <w:r>
              <w:rPr>
                <w:rFonts w:ascii="Times New Roman" w:hAnsi="Times New Roman" w:eastAsia="方正书宋简体" w:cs="Times New Roman"/>
                <w:color w:val="auto"/>
                <w:kern w:val="0"/>
                <w:szCs w:val="21"/>
                <w:highlight w:val="none"/>
                <w:lang w:bidi="ar"/>
              </w:rPr>
              <w:t>依照《企业事业单位内部治安保卫条例》</w:t>
            </w:r>
            <w:r>
              <w:rPr>
                <w:rFonts w:hint="eastAsia" w:ascii="Times New Roman" w:hAnsi="Times New Roman" w:eastAsia="方正书宋简体" w:cs="Times New Roman"/>
                <w:color w:val="auto"/>
                <w:kern w:val="0"/>
                <w:szCs w:val="21"/>
                <w:highlight w:val="none"/>
                <w:lang w:bidi="ar"/>
              </w:rPr>
              <w:t>第十九条</w:t>
            </w:r>
            <w:r>
              <w:rPr>
                <w:rFonts w:hint="eastAsia" w:ascii="Times New Roman" w:hAnsi="Times New Roman" w:eastAsia="方正书宋简体" w:cs="Times New Roman"/>
                <w:color w:val="auto"/>
                <w:kern w:val="0"/>
                <w:szCs w:val="21"/>
                <w:highlight w:val="none"/>
                <w:lang w:eastAsia="zh-CN" w:bidi="ar"/>
              </w:rPr>
              <w:t>的规定</w:t>
            </w:r>
            <w:r>
              <w:rPr>
                <w:rFonts w:ascii="Times New Roman" w:hAnsi="Times New Roman" w:eastAsia="方正书宋简体" w:cs="Times New Roman"/>
                <w:color w:val="auto"/>
                <w:kern w:val="0"/>
                <w:szCs w:val="21"/>
                <w:highlight w:val="none"/>
                <w:lang w:bidi="ar"/>
              </w:rPr>
              <w:t>处罚</w:t>
            </w:r>
            <w:r>
              <w:rPr>
                <w:rFonts w:hint="eastAsia" w:ascii="Times New Roman" w:hAnsi="Times New Roman" w:eastAsia="方正书宋简体" w:cs="Times New Roman"/>
                <w:color w:val="auto"/>
                <w:kern w:val="0"/>
                <w:szCs w:val="21"/>
                <w:highlight w:val="none"/>
                <w:lang w:eastAsia="zh-CN" w:bidi="ar"/>
              </w:rPr>
              <w:t>，</w:t>
            </w:r>
            <w:r>
              <w:rPr>
                <w:rFonts w:hint="eastAsia" w:ascii="Times New Roman" w:hAnsi="Times New Roman" w:eastAsia="方正书宋简体" w:cs="Times New Roman"/>
                <w:color w:val="auto"/>
                <w:kern w:val="0"/>
                <w:szCs w:val="21"/>
                <w:highlight w:val="none"/>
                <w:lang w:bidi="ar"/>
              </w:rPr>
              <w:t>不需</w:t>
            </w:r>
            <w:r>
              <w:rPr>
                <w:rFonts w:hint="eastAsia" w:ascii="Times New Roman" w:hAnsi="Times New Roman" w:eastAsia="方正书宋简体" w:cs="Times New Roman"/>
                <w:color w:val="auto"/>
                <w:kern w:val="0"/>
                <w:szCs w:val="21"/>
                <w:highlight w:val="none"/>
                <w:lang w:eastAsia="zh-CN" w:bidi="ar"/>
              </w:rPr>
              <w:t>另行</w:t>
            </w:r>
            <w:r>
              <w:rPr>
                <w:rFonts w:hint="eastAsia" w:ascii="Times New Roman" w:hAnsi="Times New Roman" w:eastAsia="方正书宋简体" w:cs="Times New Roman"/>
                <w:color w:val="auto"/>
                <w:kern w:val="0"/>
                <w:szCs w:val="21"/>
                <w:highlight w:val="none"/>
                <w:lang w:bidi="ar"/>
              </w:rPr>
              <w:t>分阶</w:t>
            </w:r>
            <w:r>
              <w:rPr>
                <w:rFonts w:hint="eastAsia" w:ascii="Times New Roman" w:hAnsi="Times New Roman" w:eastAsia="方正书宋简体" w:cs="Times New Roman"/>
                <w:color w:val="auto"/>
                <w:kern w:val="0"/>
                <w:szCs w:val="21"/>
                <w:highlight w:val="none"/>
                <w:lang w:eastAsia="zh-CN" w:bidi="ar"/>
              </w:rPr>
              <w:t>。</w:t>
            </w:r>
          </w:p>
        </w:tc>
        <w:tc>
          <w:tcPr>
            <w:tcW w:w="1200" w:type="dxa"/>
            <w:gridSpan w:val="2"/>
            <w:tcBorders>
              <w:tl2br w:val="nil"/>
              <w:tr2bl w:val="nil"/>
            </w:tcBorders>
            <w:shd w:val="clear" w:color="auto" w:fill="auto"/>
          </w:tcPr>
          <w:p>
            <w:pPr>
              <w:rPr>
                <w:rFonts w:eastAsia="方正书宋简体"/>
                <w:color w:val="auto"/>
                <w:kern w:val="0"/>
                <w:szCs w:val="21"/>
                <w:highlight w:val="none"/>
                <w:lang w:bidi="ar"/>
              </w:rPr>
            </w:pPr>
            <w:r>
              <w:rPr>
                <w:rFonts w:hint="eastAsia" w:eastAsia="方正书宋简体"/>
                <w:color w:val="auto"/>
                <w:kern w:val="0"/>
                <w:szCs w:val="21"/>
                <w:highlight w:val="none"/>
                <w:lang w:bidi="ar"/>
              </w:rPr>
              <w:t>责令限期整改，并处警告；单位逾期不整改，</w:t>
            </w:r>
          </w:p>
          <w:p>
            <w:pPr>
              <w:rPr>
                <w:rFonts w:eastAsia="方正书宋简体"/>
                <w:color w:val="auto"/>
                <w:kern w:val="0"/>
                <w:szCs w:val="21"/>
                <w:highlight w:val="none"/>
                <w:lang w:bidi="ar"/>
              </w:rPr>
            </w:pPr>
            <w:r>
              <w:rPr>
                <w:rFonts w:hint="eastAsia" w:eastAsia="方正书宋简体"/>
                <w:color w:val="auto"/>
                <w:kern w:val="0"/>
                <w:szCs w:val="21"/>
                <w:highlight w:val="none"/>
                <w:lang w:bidi="ar"/>
              </w:rPr>
              <w:t>造成公民人身伤害、公私财产损失，或者严重威胁公民人身安全、公私财产安全或者公共安全的，对单位处1万元以上10万元以下的罚款，对单位主要负责人和其他直接责任人员处500元以上5000元以下的罚款，并可以建议有关组织对单位主要负责人和其他直接责任人员依法给予处分；情节严重，构成犯罪的，依法追究刑事责任。</w:t>
            </w:r>
          </w:p>
          <w:p>
            <w:pPr>
              <w:rPr>
                <w:rFonts w:eastAsia="方正书宋简体"/>
                <w:color w:val="auto"/>
                <w:kern w:val="0"/>
                <w:szCs w:val="21"/>
                <w:highlight w:val="none"/>
                <w:lang w:bidi="ar"/>
              </w:rPr>
            </w:pPr>
          </w:p>
          <w:p>
            <w:pPr>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c>
          <w:tcPr>
            <w:tcW w:w="1830" w:type="dxa"/>
            <w:vMerge w:val="restart"/>
            <w:tcBorders>
              <w:tl2br w:val="nil"/>
              <w:tr2bl w:val="nil"/>
            </w:tcBorders>
            <w:shd w:val="clear" w:color="auto" w:fill="auto"/>
          </w:tcPr>
          <w:p>
            <w:pPr>
              <w:widowControl/>
              <w:numPr>
                <w:ilvl w:val="0"/>
                <w:numId w:val="3"/>
              </w:numPr>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生产、储存、使用剧毒化学品、易制爆危险化学品的单位不如实记录生产、储存、使用的剧毒化学品、易制爆危险化学品的数量、流向；</w:t>
            </w:r>
            <w:r>
              <w:rPr>
                <w:rFonts w:hint="eastAsia" w:ascii="Times New Roman" w:hAnsi="Times New Roman" w:eastAsia="方正书宋简体" w:cs="Times New Roman"/>
                <w:color w:val="auto"/>
                <w:kern w:val="0"/>
                <w:szCs w:val="21"/>
                <w:highlight w:val="none"/>
                <w:lang w:bidi="ar"/>
              </w:rPr>
              <w:br w:type="textWrapping"/>
            </w:r>
            <w:r>
              <w:rPr>
                <w:rFonts w:ascii="Times New Roman" w:hAnsi="Times New Roman" w:eastAsia="方正书宋简体" w:cs="Times New Roman"/>
                <w:color w:val="auto"/>
                <w:kern w:val="0"/>
                <w:szCs w:val="21"/>
                <w:highlight w:val="none"/>
                <w:lang w:bidi="ar"/>
              </w:rPr>
              <w:t>2</w:t>
            </w:r>
            <w:r>
              <w:rPr>
                <w:rFonts w:hint="eastAsia" w:ascii="Times New Roman" w:hAnsi="Times New Roman" w:eastAsia="方正书宋简体" w:cs="Times New Roman"/>
                <w:color w:val="auto"/>
                <w:kern w:val="0"/>
                <w:szCs w:val="21"/>
                <w:highlight w:val="none"/>
                <w:lang w:bidi="ar"/>
              </w:rPr>
              <w:t>、生产、储存、使用剧毒化学品、易制爆危险化学品的单位发现剧毒化学品、易制爆危险化学品丢失或者被盗，不立即向公安机关报告；</w:t>
            </w:r>
            <w:r>
              <w:rPr>
                <w:rFonts w:hint="eastAsia" w:ascii="Times New Roman" w:hAnsi="Times New Roman" w:eastAsia="方正书宋简体" w:cs="Times New Roman"/>
                <w:color w:val="auto"/>
                <w:kern w:val="0"/>
                <w:szCs w:val="21"/>
                <w:highlight w:val="none"/>
                <w:lang w:bidi="ar"/>
              </w:rPr>
              <w:br w:type="textWrapping"/>
            </w:r>
            <w:r>
              <w:rPr>
                <w:rFonts w:ascii="Times New Roman" w:hAnsi="Times New Roman" w:eastAsia="方正书宋简体" w:cs="Times New Roman"/>
                <w:color w:val="auto"/>
                <w:kern w:val="0"/>
                <w:szCs w:val="21"/>
                <w:highlight w:val="none"/>
                <w:lang w:bidi="ar"/>
              </w:rPr>
              <w:t>3</w:t>
            </w:r>
            <w:r>
              <w:rPr>
                <w:rFonts w:hint="eastAsia" w:ascii="Times New Roman" w:hAnsi="Times New Roman" w:eastAsia="方正书宋简体" w:cs="Times New Roman"/>
                <w:color w:val="auto"/>
                <w:kern w:val="0"/>
                <w:szCs w:val="21"/>
                <w:highlight w:val="none"/>
                <w:lang w:bidi="ar"/>
              </w:rPr>
              <w:t>、储存剧毒化学品的单位未将剧毒化学品的储存数量、储存地点以及管理人员的情况报所在地</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县级人民政府公安机关备案；</w:t>
            </w:r>
            <w:r>
              <w:rPr>
                <w:rFonts w:hint="eastAsia" w:ascii="Times New Roman" w:hAnsi="Times New Roman" w:eastAsia="方正书宋简体" w:cs="Times New Roman"/>
                <w:color w:val="auto"/>
                <w:kern w:val="0"/>
                <w:szCs w:val="21"/>
                <w:highlight w:val="none"/>
                <w:lang w:bidi="ar"/>
              </w:rPr>
              <w:br w:type="textWrapping"/>
            </w:r>
            <w:r>
              <w:rPr>
                <w:rFonts w:ascii="Times New Roman" w:hAnsi="Times New Roman" w:eastAsia="方正书宋简体" w:cs="Times New Roman"/>
                <w:color w:val="auto"/>
                <w:kern w:val="0"/>
                <w:szCs w:val="21"/>
                <w:highlight w:val="none"/>
                <w:lang w:bidi="ar"/>
              </w:rPr>
              <w:t>4</w:t>
            </w:r>
            <w:r>
              <w:rPr>
                <w:rFonts w:hint="eastAsia" w:ascii="Times New Roman" w:hAnsi="Times New Roman" w:eastAsia="方正书宋简体" w:cs="Times New Roman"/>
                <w:color w:val="auto"/>
                <w:kern w:val="0"/>
                <w:szCs w:val="21"/>
                <w:highlight w:val="none"/>
                <w:lang w:bidi="ar"/>
              </w:rPr>
              <w:t>、危险化学品生产</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企业、经营企业不如实记录剧毒化学品、易制爆危险化学品购买单位的名称、地址、经办人的姓名、身份证号码以及所购买的剧毒化学品、易制爆危险化学品的品种、数量、用途，或者保存销售记录和相关材料的时间少于</w:t>
            </w:r>
            <w:r>
              <w:rPr>
                <w:rFonts w:ascii="Times New Roman" w:hAnsi="Times New Roman" w:eastAsia="方正书宋简体" w:cs="Times New Roman"/>
                <w:color w:val="auto"/>
                <w:kern w:val="0"/>
                <w:szCs w:val="21"/>
                <w:highlight w:val="none"/>
                <w:lang w:bidi="ar"/>
              </w:rPr>
              <w:t>1</w:t>
            </w:r>
            <w:r>
              <w:rPr>
                <w:rFonts w:hint="eastAsia" w:ascii="Times New Roman" w:hAnsi="Times New Roman" w:eastAsia="方正书宋简体" w:cs="Times New Roman"/>
                <w:color w:val="auto"/>
                <w:kern w:val="0"/>
                <w:szCs w:val="21"/>
                <w:highlight w:val="none"/>
                <w:lang w:bidi="ar"/>
              </w:rPr>
              <w:t>年；</w:t>
            </w:r>
            <w:r>
              <w:rPr>
                <w:rFonts w:hint="eastAsia" w:ascii="Times New Roman" w:hAnsi="Times New Roman" w:eastAsia="方正书宋简体" w:cs="Times New Roman"/>
                <w:color w:val="auto"/>
                <w:kern w:val="0"/>
                <w:szCs w:val="21"/>
                <w:highlight w:val="none"/>
                <w:lang w:bidi="ar"/>
              </w:rPr>
              <w:br w:type="textWrapping"/>
            </w:r>
            <w:r>
              <w:rPr>
                <w:rFonts w:ascii="Times New Roman" w:hAnsi="Times New Roman" w:eastAsia="方正书宋简体" w:cs="Times New Roman"/>
                <w:color w:val="auto"/>
                <w:kern w:val="0"/>
                <w:szCs w:val="21"/>
                <w:highlight w:val="none"/>
                <w:lang w:bidi="ar"/>
              </w:rPr>
              <w:t>5</w:t>
            </w:r>
            <w:r>
              <w:rPr>
                <w:rFonts w:hint="eastAsia" w:ascii="Times New Roman" w:hAnsi="Times New Roman" w:eastAsia="方正书宋简体" w:cs="Times New Roman"/>
                <w:color w:val="auto"/>
                <w:kern w:val="0"/>
                <w:szCs w:val="21"/>
                <w:highlight w:val="none"/>
                <w:lang w:bidi="ar"/>
              </w:rPr>
              <w:t>、剧毒化学品、易制爆危险化学品的销售企业、购买单位未在规定的时限内将所销售、购买的剧毒化学品、易制爆危险化学品的品种、数量以及流向信息报所在地县级人民政府公安机关备案；</w:t>
            </w:r>
            <w:r>
              <w:rPr>
                <w:rFonts w:hint="eastAsia" w:ascii="Times New Roman" w:hAnsi="Times New Roman" w:eastAsia="方正书宋简体" w:cs="Times New Roman"/>
                <w:color w:val="auto"/>
                <w:kern w:val="0"/>
                <w:szCs w:val="21"/>
                <w:highlight w:val="none"/>
                <w:lang w:bidi="ar"/>
              </w:rPr>
              <w:br w:type="textWrapping"/>
            </w:r>
            <w:r>
              <w:rPr>
                <w:rFonts w:ascii="Times New Roman" w:hAnsi="Times New Roman" w:eastAsia="方正书宋简体" w:cs="Times New Roman"/>
                <w:color w:val="auto"/>
                <w:kern w:val="0"/>
                <w:szCs w:val="21"/>
                <w:highlight w:val="none"/>
                <w:lang w:bidi="ar"/>
              </w:rPr>
              <w:t>6</w:t>
            </w:r>
            <w:r>
              <w:rPr>
                <w:rFonts w:hint="eastAsia" w:ascii="Times New Roman" w:hAnsi="Times New Roman" w:eastAsia="方正书宋简体" w:cs="Times New Roman"/>
                <w:color w:val="auto"/>
                <w:kern w:val="0"/>
                <w:szCs w:val="21"/>
                <w:highlight w:val="none"/>
                <w:lang w:bidi="ar"/>
              </w:rPr>
              <w:t>、使用剧毒化学品、易制爆危险化学品的单位依照本条例规定转让其购买的剧毒化学品、易制爆危险化学品，未将有关情况向所在地县级人民政府公安机关报告。</w:t>
            </w:r>
          </w:p>
        </w:tc>
        <w:tc>
          <w:tcPr>
            <w:tcW w:w="2385" w:type="dxa"/>
            <w:vMerge w:val="restart"/>
            <w:tcBorders>
              <w:tl2br w:val="nil"/>
              <w:tr2bl w:val="nil"/>
            </w:tcBorders>
            <w:shd w:val="clear" w:color="auto" w:fill="auto"/>
          </w:tcPr>
          <w:p>
            <w:pPr>
              <w:widowControl/>
              <w:spacing w:line="300" w:lineRule="exact"/>
              <w:jc w:val="lef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第八十一条第一款</w:t>
            </w:r>
            <w:r>
              <w:rPr>
                <w:rFonts w:ascii="Times New Roman" w:hAnsi="Times New Roman" w:eastAsia="方正书宋简体" w:cs="Times New Roman"/>
                <w:color w:val="auto"/>
                <w:kern w:val="0"/>
                <w:szCs w:val="21"/>
                <w:highlight w:val="none"/>
                <w:lang w:bidi="ar"/>
              </w:rPr>
              <w:t xml:space="preserve"> </w:t>
            </w:r>
            <w:r>
              <w:rPr>
                <w:rFonts w:hint="eastAsia" w:ascii="Times New Roman" w:hAnsi="Times New Roman" w:eastAsia="方正书宋简体" w:cs="Times New Roman"/>
                <w:color w:val="auto"/>
                <w:kern w:val="0"/>
                <w:szCs w:val="21"/>
                <w:highlight w:val="none"/>
                <w:lang w:bidi="ar"/>
              </w:rPr>
              <w:t xml:space="preserve"> </w:t>
            </w:r>
            <w:r>
              <w:rPr>
                <w:rFonts w:hint="eastAsia" w:ascii="Times New Roman" w:hAnsi="Times New Roman" w:eastAsia="方正书宋简体" w:cs="Times New Roman"/>
                <w:color w:val="auto"/>
                <w:kern w:val="0"/>
                <w:szCs w:val="21"/>
                <w:highlight w:val="none"/>
                <w:lang w:eastAsia="zh-CN" w:bidi="ar"/>
              </w:rPr>
              <w:t>有下列情形之一的</w:t>
            </w:r>
            <w:r>
              <w:rPr>
                <w:rFonts w:hint="eastAsia" w:ascii="Times New Roman" w:hAnsi="Times New Roman" w:eastAsia="方正书宋简体" w:cs="Times New Roman"/>
                <w:color w:val="auto"/>
                <w:kern w:val="0"/>
                <w:szCs w:val="21"/>
                <w:highlight w:val="none"/>
                <w:lang w:bidi="ar"/>
              </w:rPr>
              <w:t>，由公安机关责令改正，可以处</w:t>
            </w:r>
            <w:r>
              <w:rPr>
                <w:rFonts w:ascii="Times New Roman" w:hAnsi="Times New Roman" w:eastAsia="方正书宋简体" w:cs="Times New Roman"/>
                <w:color w:val="auto"/>
                <w:kern w:val="0"/>
                <w:szCs w:val="21"/>
                <w:highlight w:val="none"/>
                <w:lang w:bidi="ar"/>
              </w:rPr>
              <w:t>1</w:t>
            </w:r>
            <w:r>
              <w:rPr>
                <w:rFonts w:hint="eastAsia" w:ascii="Times New Roman" w:hAnsi="Times New Roman" w:eastAsia="方正书宋简体" w:cs="Times New Roman"/>
                <w:color w:val="auto"/>
                <w:kern w:val="0"/>
                <w:szCs w:val="21"/>
                <w:highlight w:val="none"/>
                <w:lang w:bidi="ar"/>
              </w:rPr>
              <w:t>万元以下罚款；拒不改正的，处</w:t>
            </w:r>
            <w:r>
              <w:rPr>
                <w:rFonts w:ascii="Times New Roman" w:hAnsi="Times New Roman" w:eastAsia="方正书宋简体" w:cs="Times New Roman"/>
                <w:color w:val="auto"/>
                <w:kern w:val="0"/>
                <w:szCs w:val="21"/>
                <w:highlight w:val="none"/>
                <w:lang w:bidi="ar"/>
              </w:rPr>
              <w:t>1</w:t>
            </w:r>
            <w:r>
              <w:rPr>
                <w:rFonts w:hint="eastAsia" w:ascii="Times New Roman" w:hAnsi="Times New Roman" w:eastAsia="方正书宋简体" w:cs="Times New Roman"/>
                <w:color w:val="auto"/>
                <w:kern w:val="0"/>
                <w:szCs w:val="21"/>
                <w:highlight w:val="none"/>
                <w:lang w:bidi="ar"/>
              </w:rPr>
              <w:t>万元以上</w:t>
            </w:r>
            <w:r>
              <w:rPr>
                <w:rFonts w:ascii="Times New Roman" w:hAnsi="Times New Roman" w:eastAsia="方正书宋简体" w:cs="Times New Roman"/>
                <w:color w:val="auto"/>
                <w:kern w:val="0"/>
                <w:szCs w:val="21"/>
                <w:highlight w:val="none"/>
                <w:lang w:bidi="ar"/>
              </w:rPr>
              <w:t>5</w:t>
            </w:r>
            <w:r>
              <w:rPr>
                <w:rFonts w:hint="eastAsia" w:ascii="Times New Roman" w:hAnsi="Times New Roman" w:eastAsia="方正书宋简体" w:cs="Times New Roman"/>
                <w:color w:val="auto"/>
                <w:kern w:val="0"/>
                <w:szCs w:val="21"/>
                <w:highlight w:val="none"/>
                <w:lang w:bidi="ar"/>
              </w:rPr>
              <w:t>万元以下的罚款：</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（一）生产、储存、使用剧毒化学品、易制爆危险化学品的单位不如实记录生产、储存、使用的剧毒化学品、易制爆危险化学品的数量、流向的；</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（二）生产、储存、使用剧毒化学品、易制爆危险化学品的单位发现剧毒化学品、易制爆危险化学品丢失或者被盗，不立即向公安机关报告的；</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（三）储存剧毒化学品的单位未将剧毒化学品的储</w:t>
            </w:r>
          </w:p>
          <w:p>
            <w:pPr>
              <w:widowControl/>
              <w:spacing w:line="300" w:lineRule="exact"/>
              <w:jc w:val="lef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存数量、储存地点以及管理人员的情况报所在地县级人民政府公安机关备案的；</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四）危险化学品生产企业、经营企业不如实记录剧毒化学品、易制爆危险化学品购买单位的名称、地址、经办人的姓名、身份证号码以及所购买的剧毒化学品、易制爆危险化学品的品种、数量、用途，或者保存销售记录和相</w:t>
            </w:r>
            <w:r>
              <w:rPr>
                <w:rFonts w:hint="eastAsia" w:ascii="Times New Roman" w:hAnsi="Times New Roman" w:eastAsia="方正书宋简体" w:cs="Times New Roman"/>
                <w:color w:val="auto"/>
                <w:spacing w:val="-11"/>
                <w:kern w:val="0"/>
                <w:szCs w:val="21"/>
                <w:highlight w:val="none"/>
                <w:lang w:bidi="ar"/>
              </w:rPr>
              <w:t>关材料的时间少于</w:t>
            </w:r>
            <w:r>
              <w:rPr>
                <w:rFonts w:ascii="Times New Roman" w:hAnsi="Times New Roman" w:eastAsia="方正书宋简体" w:cs="Times New Roman"/>
                <w:color w:val="auto"/>
                <w:spacing w:val="-11"/>
                <w:kern w:val="0"/>
                <w:szCs w:val="21"/>
                <w:highlight w:val="none"/>
                <w:lang w:bidi="ar"/>
              </w:rPr>
              <w:t>1</w:t>
            </w:r>
            <w:r>
              <w:rPr>
                <w:rFonts w:hint="eastAsia" w:ascii="Times New Roman" w:hAnsi="Times New Roman" w:eastAsia="方正书宋简体" w:cs="Times New Roman"/>
                <w:color w:val="auto"/>
                <w:spacing w:val="-11"/>
                <w:kern w:val="0"/>
                <w:szCs w:val="21"/>
                <w:highlight w:val="none"/>
                <w:lang w:bidi="ar"/>
              </w:rPr>
              <w:t>年的；</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（五）剧毒化学品、易制爆危险化学品的销售企业、购买单位未在规定的时限内将所销售、购买的剧毒化学品、易制爆危险化学品的品种、数量以及流向信息报所在地县级人民政府公安机关备案的；</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（六）使用剧毒化学品、易制爆危险化学品的单位依照本条例规定转让其购买的剧毒化学品、易制爆危险化学品，未将有关情况向所在地县级人民政府公安机关报告的。</w:t>
            </w:r>
          </w:p>
          <w:p>
            <w:pPr>
              <w:widowControl/>
              <w:spacing w:line="300" w:lineRule="exact"/>
              <w:jc w:val="left"/>
              <w:textAlignment w:val="top"/>
              <w:rPr>
                <w:rFonts w:ascii="Times New Roman" w:hAnsi="Times New Roman" w:eastAsia="方正书宋简体" w:cs="Times New Roman"/>
                <w:color w:val="auto"/>
                <w:kern w:val="0"/>
                <w:szCs w:val="21"/>
                <w:highlight w:val="none"/>
                <w:lang w:bidi="ar"/>
              </w:rPr>
            </w:pPr>
          </w:p>
          <w:p>
            <w:pPr>
              <w:widowControl/>
              <w:spacing w:line="300" w:lineRule="exact"/>
              <w:jc w:val="left"/>
              <w:textAlignment w:val="top"/>
              <w:rPr>
                <w:rFonts w:ascii="Times New Roman" w:hAnsi="Times New Roman" w:eastAsia="方正书宋简体" w:cs="Times New Roman"/>
                <w:color w:val="auto"/>
                <w:kern w:val="0"/>
                <w:szCs w:val="21"/>
                <w:highlight w:val="none"/>
                <w:lang w:bidi="ar"/>
              </w:rPr>
            </w:pPr>
          </w:p>
          <w:p>
            <w:pPr>
              <w:widowControl/>
              <w:spacing w:line="300" w:lineRule="exact"/>
              <w:jc w:val="left"/>
              <w:textAlignment w:val="top"/>
              <w:rPr>
                <w:rFonts w:ascii="Times New Roman" w:hAnsi="Times New Roman" w:eastAsia="方正书宋简体" w:cs="Times New Roman"/>
                <w:color w:val="auto"/>
                <w:kern w:val="0"/>
                <w:szCs w:val="21"/>
                <w:highlight w:val="none"/>
                <w:lang w:bidi="ar"/>
              </w:rPr>
            </w:pPr>
          </w:p>
          <w:p>
            <w:pPr>
              <w:widowControl/>
              <w:spacing w:line="300" w:lineRule="exact"/>
              <w:jc w:val="left"/>
              <w:textAlignment w:val="top"/>
              <w:rPr>
                <w:rFonts w:ascii="Times New Roman" w:hAnsi="Times New Roman" w:eastAsia="方正书宋简体" w:cs="Times New Roman"/>
                <w:color w:val="auto"/>
                <w:kern w:val="0"/>
                <w:szCs w:val="21"/>
                <w:highlight w:val="none"/>
                <w:lang w:bidi="ar"/>
              </w:rPr>
            </w:pPr>
          </w:p>
          <w:p>
            <w:pPr>
              <w:widowControl/>
              <w:spacing w:line="300" w:lineRule="exact"/>
              <w:jc w:val="left"/>
              <w:textAlignment w:val="top"/>
              <w:rPr>
                <w:rFonts w:ascii="Times New Roman" w:hAnsi="Times New Roman" w:eastAsia="方正书宋简体" w:cs="Times New Roman"/>
                <w:color w:val="auto"/>
                <w:kern w:val="0"/>
                <w:szCs w:val="21"/>
                <w:highlight w:val="none"/>
                <w:lang w:bidi="ar"/>
              </w:rPr>
            </w:pPr>
          </w:p>
          <w:p>
            <w:pPr>
              <w:widowControl/>
              <w:spacing w:line="300" w:lineRule="exact"/>
              <w:jc w:val="left"/>
              <w:textAlignment w:val="top"/>
              <w:rPr>
                <w:rFonts w:ascii="Times New Roman" w:hAnsi="Times New Roman" w:eastAsia="方正书宋简体" w:cs="Times New Roman"/>
                <w:color w:val="auto"/>
                <w:kern w:val="0"/>
                <w:szCs w:val="21"/>
                <w:highlight w:val="none"/>
                <w:lang w:bidi="ar"/>
              </w:rPr>
            </w:pPr>
          </w:p>
          <w:p>
            <w:pPr>
              <w:widowControl/>
              <w:spacing w:line="300" w:lineRule="exact"/>
              <w:jc w:val="left"/>
              <w:textAlignment w:val="top"/>
              <w:rPr>
                <w:rFonts w:ascii="Times New Roman" w:hAnsi="Times New Roman" w:eastAsia="方正书宋简体" w:cs="Times New Roman"/>
                <w:color w:val="auto"/>
                <w:kern w:val="0"/>
                <w:szCs w:val="21"/>
                <w:highlight w:val="none"/>
                <w:lang w:bidi="ar"/>
              </w:rPr>
            </w:pPr>
          </w:p>
          <w:p>
            <w:pPr>
              <w:widowControl/>
              <w:spacing w:line="300" w:lineRule="exact"/>
              <w:jc w:val="left"/>
              <w:textAlignment w:val="top"/>
              <w:rPr>
                <w:rFonts w:ascii="Times New Roman" w:hAnsi="Times New Roman" w:eastAsia="方正书宋简体" w:cs="Times New Roman"/>
                <w:color w:val="auto"/>
                <w:kern w:val="0"/>
                <w:szCs w:val="21"/>
                <w:highlight w:val="none"/>
                <w:lang w:bidi="ar"/>
              </w:rPr>
            </w:pPr>
          </w:p>
        </w:tc>
        <w:tc>
          <w:tcPr>
            <w:tcW w:w="2070" w:type="dxa"/>
            <w:tcBorders>
              <w:tl2br w:val="nil"/>
              <w:tr2bl w:val="nil"/>
            </w:tcBorders>
            <w:shd w:val="clear" w:color="auto" w:fill="auto"/>
          </w:tcPr>
          <w:p>
            <w:pPr>
              <w:rPr>
                <w:rFonts w:ascii="Times New Roman" w:hAnsi="Times New Roman" w:eastAsia="方正书宋简体" w:cs="Times New Roman"/>
                <w:color w:val="auto"/>
                <w:kern w:val="0"/>
                <w:szCs w:val="21"/>
                <w:highlight w:val="none"/>
                <w:lang w:bidi="ar"/>
              </w:rPr>
            </w:pPr>
            <w:r>
              <w:rPr>
                <w:rFonts w:ascii="Times New Roman" w:hAnsi="Times New Roman" w:eastAsia="方正书宋简体" w:cs="Times New Roman"/>
                <w:color w:val="auto"/>
                <w:kern w:val="0"/>
                <w:szCs w:val="21"/>
                <w:highlight w:val="none"/>
              </w:rPr>
              <w:t>初次违法，并及时整改，无危害后果</w:t>
            </w:r>
            <w:r>
              <w:rPr>
                <w:rFonts w:hint="eastAsia" w:ascii="Times New Roman" w:hAnsi="Times New Roman" w:eastAsia="方正书宋简体" w:cs="Times New Roman"/>
                <w:color w:val="auto"/>
                <w:kern w:val="0"/>
                <w:szCs w:val="21"/>
                <w:highlight w:val="none"/>
                <w:lang w:val="en-US" w:eastAsia="zh-CN"/>
              </w:rPr>
              <w:t>的</w:t>
            </w:r>
            <w:r>
              <w:rPr>
                <w:rFonts w:ascii="Times New Roman" w:hAnsi="Times New Roman" w:eastAsia="方正书宋简体" w:cs="Times New Roman"/>
                <w:color w:val="auto"/>
                <w:kern w:val="0"/>
                <w:szCs w:val="21"/>
                <w:highlight w:val="none"/>
              </w:rPr>
              <w:t>。</w:t>
            </w:r>
          </w:p>
        </w:tc>
        <w:tc>
          <w:tcPr>
            <w:tcW w:w="1200" w:type="dxa"/>
            <w:gridSpan w:val="2"/>
            <w:tcBorders>
              <w:tl2br w:val="nil"/>
              <w:tr2bl w:val="nil"/>
            </w:tcBorders>
            <w:shd w:val="clear" w:color="auto" w:fill="auto"/>
          </w:tcPr>
          <w:p>
            <w:pPr>
              <w:rPr>
                <w:rFonts w:ascii="Times New Roman" w:hAnsi="Times New Roman" w:eastAsia="方正书宋简体" w:cs="Times New Roman"/>
                <w:color w:val="auto"/>
                <w:kern w:val="0"/>
                <w:szCs w:val="21"/>
                <w:highlight w:val="none"/>
              </w:rPr>
            </w:pPr>
            <w:r>
              <w:rPr>
                <w:rFonts w:ascii="Times New Roman" w:hAnsi="Times New Roman" w:eastAsia="方正书宋简体" w:cs="Times New Roman"/>
                <w:color w:val="auto"/>
                <w:kern w:val="0"/>
                <w:szCs w:val="21"/>
                <w:highlight w:val="none"/>
              </w:rPr>
              <w:t>责令改正，可以处5</w:t>
            </w:r>
            <w:r>
              <w:rPr>
                <w:rFonts w:hint="eastAsia" w:ascii="Times New Roman" w:hAnsi="Times New Roman" w:eastAsia="方正书宋简体" w:cs="Times New Roman"/>
                <w:color w:val="auto"/>
                <w:kern w:val="0"/>
                <w:szCs w:val="21"/>
                <w:highlight w:val="none"/>
              </w:rPr>
              <w:t>000</w:t>
            </w:r>
            <w:r>
              <w:rPr>
                <w:rFonts w:ascii="Times New Roman" w:hAnsi="Times New Roman" w:eastAsia="方正书宋简体" w:cs="Times New Roman"/>
                <w:color w:val="auto"/>
                <w:kern w:val="0"/>
                <w:szCs w:val="21"/>
                <w:highlight w:val="none"/>
              </w:rPr>
              <w:t>元以下罚款。</w:t>
            </w:r>
          </w:p>
          <w:p>
            <w:pPr>
              <w:rPr>
                <w:rFonts w:ascii="Times New Roman" w:hAnsi="Times New Roman" w:eastAsia="方正书宋简体" w:cs="Times New Roman"/>
                <w:color w:val="auto"/>
                <w:kern w:val="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c>
          <w:tcPr>
            <w:tcW w:w="1830"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85"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070" w:type="dxa"/>
            <w:tcBorders>
              <w:tl2br w:val="nil"/>
              <w:tr2bl w:val="nil"/>
            </w:tcBorders>
            <w:shd w:val="clear" w:color="auto" w:fill="auto"/>
          </w:tcPr>
          <w:p>
            <w:pPr>
              <w:rPr>
                <w:rFonts w:ascii="Times New Roman" w:hAnsi="Times New Roman" w:eastAsia="方正书宋简体" w:cs="Times New Roman"/>
                <w:color w:val="auto"/>
                <w:kern w:val="0"/>
                <w:szCs w:val="21"/>
                <w:highlight w:val="none"/>
                <w:lang w:bidi="ar"/>
              </w:rPr>
            </w:pPr>
            <w:r>
              <w:rPr>
                <w:rFonts w:ascii="Times New Roman" w:hAnsi="Times New Roman" w:eastAsia="方正书宋简体" w:cs="Times New Roman"/>
                <w:color w:val="auto"/>
                <w:kern w:val="0"/>
                <w:szCs w:val="21"/>
                <w:highlight w:val="none"/>
              </w:rPr>
              <w:t>违法行为情节轻微，未造成严重后果</w:t>
            </w:r>
            <w:r>
              <w:rPr>
                <w:rFonts w:hint="eastAsia" w:ascii="Times New Roman" w:hAnsi="Times New Roman" w:eastAsia="方正书宋简体" w:cs="Times New Roman"/>
                <w:color w:val="auto"/>
                <w:kern w:val="0"/>
                <w:szCs w:val="21"/>
                <w:highlight w:val="none"/>
                <w:lang w:val="en-US" w:eastAsia="zh-CN"/>
              </w:rPr>
              <w:t>的</w:t>
            </w:r>
            <w:r>
              <w:rPr>
                <w:rFonts w:ascii="Times New Roman" w:hAnsi="Times New Roman" w:eastAsia="方正书宋简体" w:cs="Times New Roman"/>
                <w:color w:val="auto"/>
                <w:kern w:val="0"/>
                <w:szCs w:val="21"/>
                <w:highlight w:val="none"/>
              </w:rPr>
              <w:t>。</w:t>
            </w:r>
          </w:p>
        </w:tc>
        <w:tc>
          <w:tcPr>
            <w:tcW w:w="1200" w:type="dxa"/>
            <w:gridSpan w:val="2"/>
            <w:tcBorders>
              <w:tl2br w:val="nil"/>
              <w:tr2bl w:val="nil"/>
            </w:tcBorders>
            <w:shd w:val="clear" w:color="auto" w:fill="auto"/>
          </w:tcPr>
          <w:p>
            <w:pPr>
              <w:rPr>
                <w:rFonts w:ascii="Times New Roman" w:hAnsi="Times New Roman" w:eastAsia="方正书宋简体" w:cs="Times New Roman"/>
                <w:color w:val="auto"/>
                <w:kern w:val="0"/>
                <w:szCs w:val="21"/>
                <w:highlight w:val="none"/>
              </w:rPr>
            </w:pPr>
            <w:r>
              <w:rPr>
                <w:rFonts w:ascii="Times New Roman" w:hAnsi="Times New Roman" w:eastAsia="方正书宋简体" w:cs="Times New Roman"/>
                <w:color w:val="auto"/>
                <w:kern w:val="0"/>
                <w:szCs w:val="21"/>
                <w:highlight w:val="none"/>
              </w:rPr>
              <w:t>责令改正，可以处5</w:t>
            </w:r>
            <w:r>
              <w:rPr>
                <w:rFonts w:hint="eastAsia" w:ascii="Times New Roman" w:hAnsi="Times New Roman" w:eastAsia="方正书宋简体" w:cs="Times New Roman"/>
                <w:color w:val="auto"/>
                <w:kern w:val="0"/>
                <w:szCs w:val="21"/>
                <w:highlight w:val="none"/>
              </w:rPr>
              <w:t>000</w:t>
            </w:r>
            <w:r>
              <w:rPr>
                <w:rFonts w:ascii="Times New Roman" w:hAnsi="Times New Roman" w:eastAsia="方正书宋简体" w:cs="Times New Roman"/>
                <w:color w:val="auto"/>
                <w:kern w:val="0"/>
                <w:szCs w:val="21"/>
                <w:highlight w:val="none"/>
              </w:rPr>
              <w:t>元以上1万元以下罚款。</w:t>
            </w:r>
          </w:p>
          <w:p>
            <w:pPr>
              <w:rPr>
                <w:rFonts w:ascii="Times New Roman" w:hAnsi="Times New Roman" w:eastAsia="方正书宋简体" w:cs="Times New Roman"/>
                <w:color w:val="auto"/>
                <w:kern w:val="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c>
          <w:tcPr>
            <w:tcW w:w="1830"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85"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070" w:type="dxa"/>
            <w:tcBorders>
              <w:tl2br w:val="nil"/>
              <w:tr2bl w:val="nil"/>
            </w:tcBorders>
            <w:shd w:val="clear" w:color="auto" w:fill="auto"/>
          </w:tcPr>
          <w:p>
            <w:pPr>
              <w:rPr>
                <w:rFonts w:ascii="Times New Roman" w:hAnsi="Times New Roman" w:eastAsia="方正书宋简体" w:cs="Times New Roman"/>
                <w:color w:val="auto"/>
                <w:kern w:val="0"/>
                <w:szCs w:val="21"/>
                <w:highlight w:val="none"/>
                <w:lang w:bidi="ar"/>
              </w:rPr>
            </w:pPr>
            <w:r>
              <w:rPr>
                <w:rFonts w:ascii="Times New Roman" w:hAnsi="Times New Roman" w:eastAsia="方正书宋简体" w:cs="Times New Roman"/>
                <w:color w:val="auto"/>
                <w:kern w:val="0"/>
                <w:szCs w:val="21"/>
                <w:highlight w:val="none"/>
              </w:rPr>
              <w:t>拒不改正，未造成严重后果</w:t>
            </w:r>
            <w:r>
              <w:rPr>
                <w:rFonts w:hint="eastAsia" w:ascii="Times New Roman" w:hAnsi="Times New Roman" w:eastAsia="方正书宋简体" w:cs="Times New Roman"/>
                <w:color w:val="auto"/>
                <w:kern w:val="0"/>
                <w:szCs w:val="21"/>
                <w:highlight w:val="none"/>
                <w:lang w:val="en-US" w:eastAsia="zh-CN"/>
              </w:rPr>
              <w:t>的</w:t>
            </w:r>
            <w:r>
              <w:rPr>
                <w:rFonts w:ascii="Times New Roman" w:hAnsi="Times New Roman" w:eastAsia="方正书宋简体" w:cs="Times New Roman"/>
                <w:color w:val="auto"/>
                <w:kern w:val="0"/>
                <w:szCs w:val="21"/>
                <w:highlight w:val="none"/>
              </w:rPr>
              <w:t>。</w:t>
            </w:r>
          </w:p>
        </w:tc>
        <w:tc>
          <w:tcPr>
            <w:tcW w:w="1200" w:type="dxa"/>
            <w:gridSpan w:val="2"/>
            <w:tcBorders>
              <w:tl2br w:val="nil"/>
              <w:tr2bl w:val="nil"/>
            </w:tcBorders>
            <w:shd w:val="clear" w:color="auto" w:fill="auto"/>
          </w:tcPr>
          <w:p>
            <w:pPr>
              <w:rPr>
                <w:rFonts w:ascii="Times New Roman" w:hAnsi="Times New Roman" w:eastAsia="方正书宋简体" w:cs="Times New Roman"/>
                <w:color w:val="auto"/>
                <w:kern w:val="0"/>
                <w:szCs w:val="21"/>
                <w:highlight w:val="none"/>
              </w:rPr>
            </w:pPr>
            <w:r>
              <w:rPr>
                <w:rFonts w:ascii="Times New Roman" w:hAnsi="Times New Roman" w:eastAsia="方正书宋简体" w:cs="Times New Roman"/>
                <w:color w:val="auto"/>
                <w:kern w:val="0"/>
                <w:szCs w:val="21"/>
                <w:highlight w:val="none"/>
              </w:rPr>
              <w:t>处1万元以上</w:t>
            </w:r>
            <w:r>
              <w:rPr>
                <w:rFonts w:hint="eastAsia" w:ascii="Times New Roman" w:hAnsi="Times New Roman" w:eastAsia="方正书宋简体" w:cs="Times New Roman"/>
                <w:color w:val="auto"/>
                <w:kern w:val="0"/>
                <w:szCs w:val="21"/>
                <w:highlight w:val="none"/>
              </w:rPr>
              <w:t>3万元</w:t>
            </w:r>
            <w:r>
              <w:rPr>
                <w:rFonts w:ascii="Times New Roman" w:hAnsi="Times New Roman" w:eastAsia="方正书宋简体" w:cs="Times New Roman"/>
                <w:color w:val="auto"/>
                <w:kern w:val="0"/>
                <w:szCs w:val="21"/>
                <w:highlight w:val="none"/>
              </w:rPr>
              <w:t>以下的罚款。</w:t>
            </w:r>
          </w:p>
          <w:p>
            <w:pPr>
              <w:rPr>
                <w:rFonts w:ascii="Times New Roman" w:hAnsi="Times New Roman" w:eastAsia="方正书宋简体" w:cs="Times New Roman"/>
                <w:color w:val="auto"/>
                <w:kern w:val="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0" w:hRule="atLeast"/>
        </w:trPr>
        <w:tc>
          <w:tcPr>
            <w:tcW w:w="1830"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85"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070" w:type="dxa"/>
            <w:tcBorders>
              <w:tl2br w:val="nil"/>
              <w:tr2bl w:val="nil"/>
            </w:tcBorders>
            <w:shd w:val="clear" w:color="auto" w:fill="auto"/>
          </w:tcPr>
          <w:p>
            <w:pPr>
              <w:rPr>
                <w:rFonts w:ascii="Times New Roman" w:hAnsi="Times New Roman" w:eastAsia="方正书宋简体" w:cs="Times New Roman"/>
                <w:color w:val="auto"/>
                <w:kern w:val="0"/>
                <w:szCs w:val="21"/>
                <w:highlight w:val="none"/>
                <w:lang w:bidi="ar"/>
              </w:rPr>
            </w:pPr>
            <w:r>
              <w:rPr>
                <w:rFonts w:ascii="Times New Roman" w:hAnsi="Times New Roman" w:eastAsia="方正书宋简体" w:cs="Times New Roman"/>
                <w:color w:val="auto"/>
                <w:kern w:val="0"/>
                <w:szCs w:val="21"/>
                <w:highlight w:val="none"/>
              </w:rPr>
              <w:t>拒不改正，且造成</w:t>
            </w:r>
            <w:r>
              <w:rPr>
                <w:rFonts w:hint="eastAsia" w:ascii="Times New Roman" w:hAnsi="Times New Roman" w:eastAsia="方正书宋简体" w:cs="Times New Roman"/>
                <w:color w:val="auto"/>
                <w:kern w:val="0"/>
                <w:szCs w:val="21"/>
                <w:highlight w:val="none"/>
              </w:rPr>
              <w:t>人身</w:t>
            </w:r>
            <w:r>
              <w:rPr>
                <w:rFonts w:ascii="Times New Roman" w:hAnsi="Times New Roman" w:eastAsia="方正书宋简体" w:cs="Times New Roman"/>
                <w:color w:val="auto"/>
                <w:kern w:val="0"/>
                <w:szCs w:val="21"/>
                <w:highlight w:val="none"/>
              </w:rPr>
              <w:t>伤亡、财产损失，</w:t>
            </w:r>
            <w:r>
              <w:rPr>
                <w:rFonts w:hint="eastAsia" w:ascii="Times New Roman" w:hAnsi="Times New Roman" w:eastAsia="方正书宋简体" w:cs="Times New Roman"/>
                <w:color w:val="auto"/>
                <w:kern w:val="0"/>
                <w:szCs w:val="21"/>
                <w:highlight w:val="none"/>
              </w:rPr>
              <w:t>或其他社会影响</w:t>
            </w:r>
            <w:r>
              <w:rPr>
                <w:rFonts w:hint="eastAsia" w:ascii="Times New Roman" w:hAnsi="Times New Roman" w:eastAsia="方正书宋简体" w:cs="Times New Roman"/>
                <w:color w:val="auto"/>
                <w:kern w:val="0"/>
                <w:szCs w:val="21"/>
                <w:highlight w:val="none"/>
                <w:lang w:val="en-US" w:eastAsia="zh-CN"/>
              </w:rPr>
              <w:t>的</w:t>
            </w:r>
            <w:r>
              <w:rPr>
                <w:rFonts w:ascii="Times New Roman" w:hAnsi="Times New Roman" w:eastAsia="方正书宋简体" w:cs="Times New Roman"/>
                <w:color w:val="auto"/>
                <w:kern w:val="0"/>
                <w:szCs w:val="21"/>
                <w:highlight w:val="none"/>
              </w:rPr>
              <w:t>。</w:t>
            </w:r>
          </w:p>
        </w:tc>
        <w:tc>
          <w:tcPr>
            <w:tcW w:w="1200" w:type="dxa"/>
            <w:gridSpan w:val="2"/>
            <w:tcBorders>
              <w:tl2br w:val="nil"/>
              <w:tr2bl w:val="nil"/>
            </w:tcBorders>
            <w:shd w:val="clear" w:color="auto" w:fill="auto"/>
          </w:tcPr>
          <w:p>
            <w:pPr>
              <w:rPr>
                <w:rFonts w:ascii="Times New Roman" w:hAnsi="Times New Roman" w:eastAsia="方正书宋简体" w:cs="Times New Roman"/>
                <w:color w:val="auto"/>
                <w:kern w:val="0"/>
                <w:szCs w:val="21"/>
                <w:highlight w:val="none"/>
                <w:lang w:bidi="ar"/>
              </w:rPr>
            </w:pPr>
            <w:r>
              <w:rPr>
                <w:rFonts w:ascii="Times New Roman" w:hAnsi="Times New Roman" w:eastAsia="方正书宋简体" w:cs="Times New Roman"/>
                <w:color w:val="auto"/>
                <w:kern w:val="0"/>
                <w:szCs w:val="21"/>
                <w:highlight w:val="none"/>
              </w:rPr>
              <w:t>处</w:t>
            </w:r>
            <w:r>
              <w:rPr>
                <w:rFonts w:hint="eastAsia" w:ascii="Times New Roman" w:hAnsi="Times New Roman" w:eastAsia="方正书宋简体" w:cs="Times New Roman"/>
                <w:color w:val="auto"/>
                <w:kern w:val="0"/>
                <w:szCs w:val="21"/>
                <w:highlight w:val="none"/>
              </w:rPr>
              <w:t>3万</w:t>
            </w:r>
            <w:r>
              <w:rPr>
                <w:rFonts w:ascii="Times New Roman" w:hAnsi="Times New Roman" w:eastAsia="方正书宋简体" w:cs="Times New Roman"/>
                <w:color w:val="auto"/>
                <w:kern w:val="0"/>
                <w:szCs w:val="21"/>
                <w:highlight w:val="none"/>
              </w:rPr>
              <w:t>元以上5万元以下的罚款。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0" w:hRule="atLeast"/>
        </w:trPr>
        <w:tc>
          <w:tcPr>
            <w:tcW w:w="1830" w:type="dxa"/>
            <w:vMerge w:val="restart"/>
            <w:tcBorders>
              <w:tl2br w:val="nil"/>
              <w:tr2bl w:val="nil"/>
            </w:tcBorders>
            <w:shd w:val="clear" w:color="auto" w:fill="auto"/>
          </w:tcPr>
          <w:p>
            <w:pPr>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生产、储存、使用危险化学品的单位转产、停产、停业或者解散，未依照本条例规定将其危险化学品生产装置、储存设施以及库存危险化学品的处置方案报有关部门备案。</w:t>
            </w:r>
          </w:p>
        </w:tc>
        <w:tc>
          <w:tcPr>
            <w:tcW w:w="2385" w:type="dxa"/>
            <w:vMerge w:val="restart"/>
            <w:tcBorders>
              <w:tl2br w:val="nil"/>
              <w:tr2bl w:val="nil"/>
            </w:tcBorders>
            <w:shd w:val="clear" w:color="auto" w:fill="auto"/>
          </w:tcPr>
          <w:p>
            <w:pPr>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 xml:space="preserve">第八十二条第二款  </w:t>
            </w:r>
            <w:r>
              <w:rPr>
                <w:rFonts w:ascii="Times New Roman" w:hAnsi="Times New Roman" w:eastAsia="方正书宋简体" w:cs="Times New Roman"/>
                <w:color w:val="auto"/>
                <w:kern w:val="0"/>
                <w:szCs w:val="21"/>
                <w:highlight w:val="none"/>
                <w:lang w:bidi="ar"/>
              </w:rPr>
              <w:t>生产、储存、使用危险化学品的单位转产、停产、停业或者解散，未依照本条例规定将其危险化学品生产装置、储存设施以及库存危险化学品的处置方案报有关部门备案的，分别由有关部门责令改正，可以处1万元以下的罚款;拒不改正的，处1万元以上5万元以下的罚款。</w:t>
            </w:r>
          </w:p>
        </w:tc>
        <w:tc>
          <w:tcPr>
            <w:tcW w:w="2070" w:type="dxa"/>
            <w:tcBorders>
              <w:tl2br w:val="nil"/>
              <w:tr2bl w:val="nil"/>
            </w:tcBorders>
            <w:shd w:val="clear" w:color="auto" w:fill="auto"/>
          </w:tcPr>
          <w:p>
            <w:pPr>
              <w:rPr>
                <w:rFonts w:ascii="Times New Roman" w:hAnsi="Times New Roman" w:eastAsia="方正书宋简体" w:cs="Times New Roman"/>
                <w:color w:val="auto"/>
                <w:kern w:val="0"/>
                <w:szCs w:val="21"/>
                <w:highlight w:val="none"/>
                <w:lang w:bidi="ar"/>
              </w:rPr>
            </w:pPr>
            <w:r>
              <w:rPr>
                <w:rFonts w:ascii="Times New Roman" w:hAnsi="Times New Roman" w:eastAsia="方正书宋简体" w:cs="Times New Roman"/>
                <w:color w:val="auto"/>
                <w:kern w:val="0"/>
                <w:szCs w:val="21"/>
                <w:highlight w:val="none"/>
              </w:rPr>
              <w:t>初次</w:t>
            </w:r>
            <w:r>
              <w:rPr>
                <w:rFonts w:hint="eastAsia" w:ascii="Times New Roman" w:hAnsi="Times New Roman" w:eastAsia="方正书宋简体" w:cs="Times New Roman"/>
                <w:color w:val="auto"/>
                <w:kern w:val="0"/>
                <w:szCs w:val="21"/>
                <w:highlight w:val="none"/>
              </w:rPr>
              <w:t>违反，情节轻微</w:t>
            </w:r>
            <w:r>
              <w:rPr>
                <w:rFonts w:hint="eastAsia" w:ascii="Times New Roman" w:hAnsi="Times New Roman" w:eastAsia="方正书宋简体" w:cs="Times New Roman"/>
                <w:color w:val="auto"/>
                <w:kern w:val="0"/>
                <w:szCs w:val="21"/>
                <w:highlight w:val="none"/>
                <w:lang w:val="en-US" w:eastAsia="zh-CN"/>
              </w:rPr>
              <w:t>的</w:t>
            </w:r>
            <w:r>
              <w:rPr>
                <w:rFonts w:ascii="Times New Roman" w:hAnsi="Times New Roman" w:eastAsia="方正书宋简体" w:cs="Times New Roman"/>
                <w:color w:val="auto"/>
                <w:kern w:val="0"/>
                <w:szCs w:val="21"/>
                <w:highlight w:val="none"/>
              </w:rPr>
              <w:t>。</w:t>
            </w:r>
          </w:p>
        </w:tc>
        <w:tc>
          <w:tcPr>
            <w:tcW w:w="1200" w:type="dxa"/>
            <w:gridSpan w:val="2"/>
            <w:tcBorders>
              <w:tl2br w:val="nil"/>
              <w:tr2bl w:val="nil"/>
            </w:tcBorders>
            <w:shd w:val="clear" w:color="auto" w:fill="auto"/>
          </w:tcPr>
          <w:p>
            <w:pPr>
              <w:rPr>
                <w:rFonts w:ascii="Times New Roman" w:hAnsi="Times New Roman" w:eastAsia="方正书宋简体" w:cs="Times New Roman"/>
                <w:color w:val="auto"/>
                <w:kern w:val="0"/>
                <w:szCs w:val="21"/>
                <w:highlight w:val="none"/>
              </w:rPr>
            </w:pPr>
            <w:r>
              <w:rPr>
                <w:rFonts w:ascii="Times New Roman" w:hAnsi="Times New Roman" w:eastAsia="方正书宋简体" w:cs="Times New Roman"/>
                <w:color w:val="auto"/>
                <w:kern w:val="0"/>
                <w:szCs w:val="21"/>
                <w:highlight w:val="none"/>
              </w:rPr>
              <w:t>责令改正，可以</w:t>
            </w:r>
            <w:r>
              <w:rPr>
                <w:rFonts w:hint="eastAsia" w:ascii="Times New Roman" w:hAnsi="Times New Roman" w:eastAsia="方正书宋简体" w:cs="Times New Roman"/>
                <w:color w:val="auto"/>
                <w:kern w:val="0"/>
                <w:szCs w:val="21"/>
                <w:highlight w:val="none"/>
              </w:rPr>
              <w:t>处5000元</w:t>
            </w:r>
            <w:r>
              <w:rPr>
                <w:rFonts w:ascii="Times New Roman" w:hAnsi="Times New Roman" w:eastAsia="方正书宋简体" w:cs="Times New Roman"/>
                <w:color w:val="auto"/>
                <w:kern w:val="0"/>
                <w:szCs w:val="21"/>
                <w:highlight w:val="none"/>
              </w:rPr>
              <w:t>以下罚款。</w:t>
            </w:r>
          </w:p>
          <w:p>
            <w:pPr>
              <w:rPr>
                <w:rFonts w:ascii="Times New Roman" w:hAnsi="Times New Roman" w:eastAsia="方正书宋简体" w:cs="Times New Roman"/>
                <w:color w:val="auto"/>
                <w:kern w:val="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99" w:hRule="atLeast"/>
        </w:trPr>
        <w:tc>
          <w:tcPr>
            <w:tcW w:w="1830" w:type="dxa"/>
            <w:vMerge w:val="continue"/>
            <w:shd w:val="clear" w:color="auto" w:fill="auto"/>
          </w:tcPr>
          <w:p>
            <w:pPr>
              <w:rPr>
                <w:rFonts w:ascii="Times New Roman" w:hAnsi="Times New Roman" w:eastAsia="方正书宋简体" w:cs="Times New Roman"/>
                <w:color w:val="auto"/>
                <w:kern w:val="0"/>
                <w:szCs w:val="21"/>
                <w:highlight w:val="none"/>
                <w:lang w:bidi="ar"/>
              </w:rPr>
            </w:pPr>
          </w:p>
        </w:tc>
        <w:tc>
          <w:tcPr>
            <w:tcW w:w="2385" w:type="dxa"/>
            <w:vMerge w:val="continue"/>
            <w:shd w:val="clear" w:color="auto" w:fill="auto"/>
          </w:tcPr>
          <w:p>
            <w:pPr>
              <w:rPr>
                <w:rFonts w:ascii="Times New Roman" w:hAnsi="Times New Roman" w:eastAsia="方正书宋简体" w:cs="Times New Roman"/>
                <w:color w:val="auto"/>
                <w:kern w:val="0"/>
                <w:szCs w:val="21"/>
                <w:highlight w:val="none"/>
                <w:lang w:bidi="ar"/>
              </w:rPr>
            </w:pPr>
          </w:p>
        </w:tc>
        <w:tc>
          <w:tcPr>
            <w:tcW w:w="2070" w:type="dxa"/>
            <w:shd w:val="clear" w:color="auto" w:fill="auto"/>
          </w:tcPr>
          <w:p>
            <w:pPr>
              <w:rPr>
                <w:rFonts w:ascii="Times New Roman" w:hAnsi="Times New Roman" w:eastAsia="方正书宋简体" w:cs="Times New Roman"/>
                <w:color w:val="auto"/>
                <w:kern w:val="0"/>
                <w:szCs w:val="21"/>
                <w:highlight w:val="none"/>
              </w:rPr>
            </w:pPr>
            <w:r>
              <w:rPr>
                <w:rFonts w:hint="eastAsia" w:ascii="Times New Roman" w:hAnsi="Times New Roman" w:eastAsia="方正书宋简体" w:cs="Times New Roman"/>
                <w:color w:val="auto"/>
                <w:kern w:val="0"/>
                <w:szCs w:val="21"/>
                <w:highlight w:val="none"/>
              </w:rPr>
              <w:t>1、</w:t>
            </w:r>
            <w:r>
              <w:rPr>
                <w:rFonts w:ascii="Times New Roman" w:hAnsi="Times New Roman" w:eastAsia="方正书宋简体" w:cs="Times New Roman"/>
                <w:color w:val="auto"/>
                <w:kern w:val="0"/>
                <w:szCs w:val="21"/>
                <w:highlight w:val="none"/>
              </w:rPr>
              <w:t>初次</w:t>
            </w:r>
            <w:r>
              <w:rPr>
                <w:rFonts w:hint="eastAsia" w:ascii="Times New Roman" w:hAnsi="Times New Roman" w:eastAsia="方正书宋简体" w:cs="Times New Roman"/>
                <w:color w:val="auto"/>
                <w:kern w:val="0"/>
                <w:szCs w:val="21"/>
                <w:highlight w:val="none"/>
              </w:rPr>
              <w:t>违反，造成后果的；</w:t>
            </w:r>
          </w:p>
          <w:p>
            <w:pPr>
              <w:numPr>
                <w:ilvl w:val="0"/>
                <w:numId w:val="3"/>
              </w:numPr>
              <w:rPr>
                <w:rFonts w:ascii="Times New Roman" w:hAnsi="Times New Roman" w:eastAsia="方正书宋简体" w:cs="Times New Roman"/>
                <w:color w:val="auto"/>
                <w:kern w:val="0"/>
                <w:szCs w:val="21"/>
                <w:highlight w:val="none"/>
              </w:rPr>
            </w:pPr>
            <w:r>
              <w:rPr>
                <w:rFonts w:hint="eastAsia" w:asciiTheme="minorEastAsia" w:hAnsiTheme="minorEastAsia" w:cstheme="minorEastAsia"/>
                <w:color w:val="auto"/>
                <w:kern w:val="0"/>
                <w:szCs w:val="21"/>
                <w:highlight w:val="none"/>
                <w:lang w:bidi="ar"/>
              </w:rPr>
              <w:t>两年内曾违反此规定</w:t>
            </w:r>
            <w:r>
              <w:rPr>
                <w:rFonts w:hint="eastAsia" w:asciiTheme="minorEastAsia" w:hAnsiTheme="minorEastAsia" w:cstheme="minorEastAsia"/>
                <w:color w:val="auto"/>
                <w:kern w:val="0"/>
                <w:szCs w:val="21"/>
                <w:highlight w:val="none"/>
                <w:lang w:val="en-US" w:eastAsia="zh-CN" w:bidi="ar"/>
              </w:rPr>
              <w:t>的</w:t>
            </w:r>
            <w:r>
              <w:rPr>
                <w:rFonts w:hint="eastAsia" w:ascii="Times New Roman" w:hAnsi="Times New Roman" w:eastAsia="方正书宋简体" w:cs="Times New Roman"/>
                <w:color w:val="auto"/>
                <w:kern w:val="0"/>
                <w:szCs w:val="21"/>
                <w:highlight w:val="none"/>
              </w:rPr>
              <w:t>。</w:t>
            </w:r>
          </w:p>
          <w:p>
            <w:pPr>
              <w:rPr>
                <w:rFonts w:ascii="Times New Roman" w:hAnsi="Times New Roman" w:eastAsia="方正书宋简体" w:cs="Times New Roman"/>
                <w:color w:val="auto"/>
                <w:kern w:val="0"/>
                <w:szCs w:val="21"/>
                <w:highlight w:val="none"/>
              </w:rPr>
            </w:pPr>
          </w:p>
        </w:tc>
        <w:tc>
          <w:tcPr>
            <w:tcW w:w="1200" w:type="dxa"/>
            <w:gridSpan w:val="2"/>
            <w:shd w:val="clear" w:color="auto" w:fill="auto"/>
          </w:tcPr>
          <w:p>
            <w:pPr>
              <w:rPr>
                <w:rFonts w:ascii="Times New Roman" w:hAnsi="Times New Roman" w:eastAsia="方正书宋简体" w:cs="Times New Roman"/>
                <w:color w:val="auto"/>
                <w:kern w:val="0"/>
                <w:szCs w:val="21"/>
                <w:highlight w:val="none"/>
              </w:rPr>
            </w:pPr>
            <w:r>
              <w:rPr>
                <w:rFonts w:ascii="Times New Roman" w:hAnsi="Times New Roman" w:eastAsia="方正书宋简体" w:cs="Times New Roman"/>
                <w:color w:val="auto"/>
                <w:kern w:val="0"/>
                <w:szCs w:val="21"/>
                <w:highlight w:val="none"/>
              </w:rPr>
              <w:t>责令改正，可以</w:t>
            </w:r>
            <w:r>
              <w:rPr>
                <w:rFonts w:hint="eastAsia" w:ascii="Times New Roman" w:hAnsi="Times New Roman" w:eastAsia="方正书宋简体" w:cs="Times New Roman"/>
                <w:color w:val="auto"/>
                <w:kern w:val="0"/>
                <w:szCs w:val="21"/>
                <w:highlight w:val="none"/>
              </w:rPr>
              <w:t>处5000元</w:t>
            </w:r>
          </w:p>
          <w:p>
            <w:pPr>
              <w:rPr>
                <w:rFonts w:ascii="Times New Roman" w:hAnsi="Times New Roman" w:eastAsia="方正书宋简体" w:cs="Times New Roman"/>
                <w:color w:val="auto"/>
                <w:kern w:val="0"/>
                <w:szCs w:val="21"/>
                <w:highlight w:val="none"/>
              </w:rPr>
            </w:pPr>
            <w:r>
              <w:rPr>
                <w:rFonts w:hint="eastAsia" w:ascii="Times New Roman" w:hAnsi="Times New Roman" w:eastAsia="方正书宋简体" w:cs="Times New Roman"/>
                <w:color w:val="auto"/>
                <w:kern w:val="0"/>
                <w:szCs w:val="21"/>
                <w:highlight w:val="none"/>
              </w:rPr>
              <w:t>以上</w:t>
            </w:r>
            <w:r>
              <w:rPr>
                <w:rFonts w:ascii="Times New Roman" w:hAnsi="Times New Roman" w:eastAsia="方正书宋简体" w:cs="Times New Roman"/>
                <w:color w:val="auto"/>
                <w:kern w:val="0"/>
                <w:szCs w:val="21"/>
                <w:highlight w:val="none"/>
              </w:rPr>
              <w:t>1万元以下罚款。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0" w:hRule="atLeast"/>
        </w:trPr>
        <w:tc>
          <w:tcPr>
            <w:tcW w:w="1830" w:type="dxa"/>
            <w:vMerge w:val="continue"/>
            <w:shd w:val="clear" w:color="auto" w:fill="auto"/>
          </w:tcPr>
          <w:p>
            <w:pPr>
              <w:rPr>
                <w:rFonts w:ascii="Times New Roman" w:hAnsi="Times New Roman" w:eastAsia="方正书宋简体" w:cs="Times New Roman"/>
                <w:color w:val="auto"/>
                <w:kern w:val="0"/>
                <w:szCs w:val="21"/>
                <w:highlight w:val="none"/>
                <w:lang w:bidi="ar"/>
              </w:rPr>
            </w:pPr>
          </w:p>
        </w:tc>
        <w:tc>
          <w:tcPr>
            <w:tcW w:w="2385" w:type="dxa"/>
            <w:vMerge w:val="continue"/>
            <w:shd w:val="clear" w:color="auto" w:fill="auto"/>
          </w:tcPr>
          <w:p>
            <w:pPr>
              <w:rPr>
                <w:rFonts w:ascii="Times New Roman" w:hAnsi="Times New Roman" w:eastAsia="方正书宋简体" w:cs="Times New Roman"/>
                <w:color w:val="auto"/>
                <w:kern w:val="0"/>
                <w:szCs w:val="21"/>
                <w:highlight w:val="none"/>
                <w:lang w:bidi="ar"/>
              </w:rPr>
            </w:pPr>
          </w:p>
        </w:tc>
        <w:tc>
          <w:tcPr>
            <w:tcW w:w="2070" w:type="dxa"/>
            <w:shd w:val="clear" w:color="auto" w:fill="auto"/>
          </w:tcPr>
          <w:p>
            <w:pPr>
              <w:rPr>
                <w:rFonts w:ascii="Times New Roman" w:hAnsi="Times New Roman" w:eastAsia="方正书宋简体" w:cs="Times New Roman"/>
                <w:color w:val="auto"/>
                <w:kern w:val="0"/>
                <w:szCs w:val="21"/>
                <w:highlight w:val="none"/>
              </w:rPr>
            </w:pPr>
            <w:r>
              <w:rPr>
                <w:rFonts w:ascii="Times New Roman" w:hAnsi="Times New Roman" w:eastAsia="方正书宋简体" w:cs="Times New Roman"/>
                <w:color w:val="auto"/>
                <w:kern w:val="0"/>
                <w:szCs w:val="21"/>
                <w:highlight w:val="none"/>
              </w:rPr>
              <w:t>拒不改正，未造成严重后果</w:t>
            </w:r>
            <w:r>
              <w:rPr>
                <w:rFonts w:hint="eastAsia" w:ascii="Times New Roman" w:hAnsi="Times New Roman" w:eastAsia="方正书宋简体" w:cs="Times New Roman"/>
                <w:color w:val="auto"/>
                <w:kern w:val="0"/>
                <w:szCs w:val="21"/>
                <w:highlight w:val="none"/>
                <w:lang w:val="en-US" w:eastAsia="zh-CN"/>
              </w:rPr>
              <w:t>的</w:t>
            </w:r>
            <w:r>
              <w:rPr>
                <w:rFonts w:ascii="Times New Roman" w:hAnsi="Times New Roman" w:eastAsia="方正书宋简体" w:cs="Times New Roman"/>
                <w:color w:val="auto"/>
                <w:kern w:val="0"/>
                <w:szCs w:val="21"/>
                <w:highlight w:val="none"/>
              </w:rPr>
              <w:t>。</w:t>
            </w:r>
          </w:p>
          <w:p>
            <w:pPr>
              <w:rPr>
                <w:rFonts w:ascii="Times New Roman" w:hAnsi="Times New Roman" w:eastAsia="方正书宋简体" w:cs="Times New Roman"/>
                <w:color w:val="auto"/>
                <w:kern w:val="0"/>
                <w:szCs w:val="21"/>
                <w:highlight w:val="none"/>
              </w:rPr>
            </w:pPr>
          </w:p>
        </w:tc>
        <w:tc>
          <w:tcPr>
            <w:tcW w:w="1200" w:type="dxa"/>
            <w:gridSpan w:val="2"/>
            <w:shd w:val="clear" w:color="auto" w:fill="auto"/>
          </w:tcPr>
          <w:p>
            <w:pPr>
              <w:rPr>
                <w:rFonts w:ascii="Times New Roman" w:hAnsi="Times New Roman" w:eastAsia="方正书宋简体" w:cs="Times New Roman"/>
                <w:color w:val="auto"/>
                <w:kern w:val="0"/>
                <w:szCs w:val="21"/>
                <w:highlight w:val="none"/>
              </w:rPr>
            </w:pPr>
            <w:r>
              <w:rPr>
                <w:rFonts w:ascii="Times New Roman" w:hAnsi="Times New Roman" w:eastAsia="方正书宋简体" w:cs="Times New Roman"/>
                <w:color w:val="auto"/>
                <w:kern w:val="0"/>
                <w:szCs w:val="21"/>
                <w:highlight w:val="none"/>
              </w:rPr>
              <w:t>处1万元以上</w:t>
            </w:r>
            <w:r>
              <w:rPr>
                <w:rFonts w:hint="eastAsia" w:ascii="Times New Roman" w:hAnsi="Times New Roman" w:eastAsia="方正书宋简体" w:cs="Times New Roman"/>
                <w:color w:val="auto"/>
                <w:kern w:val="0"/>
                <w:szCs w:val="21"/>
                <w:highlight w:val="none"/>
              </w:rPr>
              <w:t>3</w:t>
            </w:r>
            <w:r>
              <w:rPr>
                <w:rFonts w:ascii="Times New Roman" w:hAnsi="Times New Roman" w:eastAsia="方正书宋简体" w:cs="Times New Roman"/>
                <w:color w:val="auto"/>
                <w:kern w:val="0"/>
                <w:szCs w:val="21"/>
                <w:highlight w:val="none"/>
              </w:rPr>
              <w:t>元以下的罚款。</w:t>
            </w:r>
          </w:p>
          <w:p>
            <w:pPr>
              <w:rPr>
                <w:rFonts w:ascii="Times New Roman" w:hAnsi="Times New Roman" w:eastAsia="方正书宋简体" w:cs="Times New Roman"/>
                <w:color w:val="auto"/>
                <w:kern w:val="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0" w:hRule="atLeast"/>
        </w:trPr>
        <w:tc>
          <w:tcPr>
            <w:tcW w:w="1830" w:type="dxa"/>
            <w:vMerge w:val="continue"/>
            <w:shd w:val="clear" w:color="auto" w:fill="auto"/>
          </w:tcPr>
          <w:p>
            <w:pPr>
              <w:rPr>
                <w:rFonts w:ascii="Times New Roman" w:hAnsi="Times New Roman" w:eastAsia="方正书宋简体" w:cs="Times New Roman"/>
                <w:color w:val="auto"/>
                <w:kern w:val="0"/>
                <w:szCs w:val="21"/>
                <w:highlight w:val="none"/>
                <w:lang w:bidi="ar"/>
              </w:rPr>
            </w:pPr>
          </w:p>
        </w:tc>
        <w:tc>
          <w:tcPr>
            <w:tcW w:w="2385" w:type="dxa"/>
            <w:vMerge w:val="continue"/>
            <w:shd w:val="clear" w:color="auto" w:fill="auto"/>
          </w:tcPr>
          <w:p>
            <w:pPr>
              <w:rPr>
                <w:rFonts w:ascii="Times New Roman" w:hAnsi="Times New Roman" w:eastAsia="方正书宋简体" w:cs="Times New Roman"/>
                <w:color w:val="auto"/>
                <w:kern w:val="0"/>
                <w:szCs w:val="21"/>
                <w:highlight w:val="none"/>
                <w:lang w:bidi="ar"/>
              </w:rPr>
            </w:pPr>
          </w:p>
        </w:tc>
        <w:tc>
          <w:tcPr>
            <w:tcW w:w="2070" w:type="dxa"/>
            <w:shd w:val="clear" w:color="auto" w:fill="auto"/>
          </w:tcPr>
          <w:p>
            <w:pPr>
              <w:rPr>
                <w:rFonts w:ascii="Times New Roman" w:hAnsi="Times New Roman" w:eastAsia="方正书宋简体" w:cs="Times New Roman"/>
                <w:color w:val="auto"/>
                <w:kern w:val="0"/>
                <w:szCs w:val="21"/>
                <w:highlight w:val="none"/>
              </w:rPr>
            </w:pPr>
            <w:r>
              <w:rPr>
                <w:rFonts w:ascii="Times New Roman" w:hAnsi="Times New Roman" w:eastAsia="方正书宋简体" w:cs="Times New Roman"/>
                <w:color w:val="auto"/>
                <w:kern w:val="0"/>
                <w:szCs w:val="21"/>
                <w:highlight w:val="none"/>
              </w:rPr>
              <w:t>拒不改正，且造成</w:t>
            </w:r>
            <w:r>
              <w:rPr>
                <w:rFonts w:hint="eastAsia" w:ascii="Times New Roman" w:hAnsi="Times New Roman" w:eastAsia="方正书宋简体" w:cs="Times New Roman"/>
                <w:color w:val="auto"/>
                <w:kern w:val="0"/>
                <w:szCs w:val="21"/>
                <w:highlight w:val="none"/>
              </w:rPr>
              <w:t>人身</w:t>
            </w:r>
            <w:r>
              <w:rPr>
                <w:rFonts w:ascii="Times New Roman" w:hAnsi="Times New Roman" w:eastAsia="方正书宋简体" w:cs="Times New Roman"/>
                <w:color w:val="auto"/>
                <w:kern w:val="0"/>
                <w:szCs w:val="21"/>
                <w:highlight w:val="none"/>
              </w:rPr>
              <w:t>伤亡、财产损失，</w:t>
            </w:r>
            <w:r>
              <w:rPr>
                <w:rFonts w:hint="eastAsia" w:ascii="Times New Roman" w:hAnsi="Times New Roman" w:eastAsia="方正书宋简体" w:cs="Times New Roman"/>
                <w:color w:val="auto"/>
                <w:kern w:val="0"/>
                <w:szCs w:val="21"/>
                <w:highlight w:val="none"/>
              </w:rPr>
              <w:t>或其他社会影响</w:t>
            </w:r>
            <w:r>
              <w:rPr>
                <w:rFonts w:hint="eastAsia" w:ascii="Times New Roman" w:hAnsi="Times New Roman" w:eastAsia="方正书宋简体" w:cs="Times New Roman"/>
                <w:color w:val="auto"/>
                <w:kern w:val="0"/>
                <w:szCs w:val="21"/>
                <w:highlight w:val="none"/>
                <w:lang w:val="en-US" w:eastAsia="zh-CN"/>
              </w:rPr>
              <w:t>的</w:t>
            </w:r>
            <w:r>
              <w:rPr>
                <w:rFonts w:ascii="Times New Roman" w:hAnsi="Times New Roman" w:eastAsia="方正书宋简体" w:cs="Times New Roman"/>
                <w:color w:val="auto"/>
                <w:kern w:val="0"/>
                <w:szCs w:val="21"/>
                <w:highlight w:val="none"/>
              </w:rPr>
              <w:t>。</w:t>
            </w:r>
          </w:p>
          <w:p>
            <w:pPr>
              <w:rPr>
                <w:rFonts w:ascii="Times New Roman" w:hAnsi="Times New Roman" w:eastAsia="方正书宋简体" w:cs="Times New Roman"/>
                <w:color w:val="auto"/>
                <w:kern w:val="0"/>
                <w:szCs w:val="21"/>
                <w:highlight w:val="none"/>
              </w:rPr>
            </w:pPr>
          </w:p>
          <w:p>
            <w:pPr>
              <w:rPr>
                <w:rFonts w:ascii="Times New Roman" w:hAnsi="Times New Roman" w:eastAsia="方正书宋简体" w:cs="Times New Roman"/>
                <w:color w:val="auto"/>
                <w:kern w:val="0"/>
                <w:szCs w:val="21"/>
                <w:highlight w:val="none"/>
              </w:rPr>
            </w:pPr>
          </w:p>
        </w:tc>
        <w:tc>
          <w:tcPr>
            <w:tcW w:w="1200" w:type="dxa"/>
            <w:gridSpan w:val="2"/>
            <w:shd w:val="clear" w:color="auto" w:fill="auto"/>
          </w:tcPr>
          <w:p>
            <w:pPr>
              <w:rPr>
                <w:rFonts w:ascii="Times New Roman" w:hAnsi="Times New Roman" w:eastAsia="方正书宋简体" w:cs="Times New Roman"/>
                <w:color w:val="auto"/>
                <w:kern w:val="0"/>
                <w:szCs w:val="21"/>
                <w:highlight w:val="none"/>
                <w:lang w:bidi="ar"/>
              </w:rPr>
            </w:pPr>
            <w:r>
              <w:rPr>
                <w:rFonts w:ascii="Times New Roman" w:hAnsi="Times New Roman" w:eastAsia="方正书宋简体" w:cs="Times New Roman"/>
                <w:color w:val="auto"/>
                <w:kern w:val="0"/>
                <w:szCs w:val="21"/>
                <w:highlight w:val="none"/>
              </w:rPr>
              <w:t>处</w:t>
            </w:r>
            <w:r>
              <w:rPr>
                <w:rFonts w:hint="eastAsia" w:ascii="Times New Roman" w:hAnsi="Times New Roman" w:eastAsia="方正书宋简体" w:cs="Times New Roman"/>
                <w:color w:val="auto"/>
                <w:kern w:val="0"/>
                <w:szCs w:val="21"/>
                <w:highlight w:val="none"/>
              </w:rPr>
              <w:t>3万</w:t>
            </w:r>
            <w:r>
              <w:rPr>
                <w:rFonts w:ascii="Times New Roman" w:hAnsi="Times New Roman" w:eastAsia="方正书宋简体" w:cs="Times New Roman"/>
                <w:color w:val="auto"/>
                <w:kern w:val="0"/>
                <w:szCs w:val="21"/>
                <w:highlight w:val="none"/>
              </w:rPr>
              <w:t>元以上5万元以下的罚款。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c>
          <w:tcPr>
            <w:tcW w:w="1830" w:type="dxa"/>
            <w:vMerge w:val="restart"/>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不具有相关许可证件或者证明文件的单位购买剧毒化学品、易制爆危险化学品，或者个人购买剧毒化学品（属于剧毒化学品的农药除外）、易制爆危险化学品。</w:t>
            </w:r>
          </w:p>
        </w:tc>
        <w:tc>
          <w:tcPr>
            <w:tcW w:w="2385" w:type="dxa"/>
            <w:vMerge w:val="restart"/>
            <w:tcBorders>
              <w:tl2br w:val="nil"/>
              <w:tr2bl w:val="nil"/>
            </w:tcBorders>
            <w:shd w:val="clear" w:color="auto" w:fill="auto"/>
          </w:tcPr>
          <w:p>
            <w:pPr>
              <w:widowControl/>
              <w:spacing w:line="300" w:lineRule="exact"/>
              <w:jc w:val="lef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第八十四条第二款  不具有本条例第三十八条第一款、第二款规定的相关许可证件或者证明文件的单位购买剧毒化学品、易制爆危险化学品，或者个人购买剧毒化学品（属于剧毒化学品的农药除外）、易制爆危险化学品的，由公安机关没收所购买的剧毒化学品、易制爆危险化学品，可以并处</w:t>
            </w:r>
            <w:r>
              <w:rPr>
                <w:rFonts w:ascii="Times New Roman" w:hAnsi="Times New Roman" w:eastAsia="方正书宋简体" w:cs="Times New Roman"/>
                <w:color w:val="auto"/>
                <w:kern w:val="0"/>
                <w:szCs w:val="21"/>
                <w:highlight w:val="none"/>
                <w:lang w:bidi="ar"/>
              </w:rPr>
              <w:t>5000</w:t>
            </w:r>
            <w:r>
              <w:rPr>
                <w:rFonts w:hint="eastAsia" w:ascii="Times New Roman" w:hAnsi="Times New Roman" w:eastAsia="方正书宋简体" w:cs="Times New Roman"/>
                <w:color w:val="auto"/>
                <w:kern w:val="0"/>
                <w:szCs w:val="21"/>
                <w:highlight w:val="none"/>
                <w:lang w:bidi="ar"/>
              </w:rPr>
              <w:t>元以下的罚款。</w:t>
            </w:r>
          </w:p>
          <w:p>
            <w:pPr>
              <w:widowControl/>
              <w:spacing w:line="300" w:lineRule="exact"/>
              <w:jc w:val="left"/>
              <w:textAlignment w:val="top"/>
              <w:rPr>
                <w:rFonts w:ascii="Times New Roman" w:hAnsi="Times New Roman" w:eastAsia="方正书宋简体" w:cs="Times New Roman"/>
                <w:color w:val="auto"/>
                <w:kern w:val="0"/>
                <w:szCs w:val="21"/>
                <w:highlight w:val="none"/>
                <w:lang w:bidi="ar"/>
              </w:rPr>
            </w:pPr>
          </w:p>
          <w:p>
            <w:pPr>
              <w:widowControl/>
              <w:spacing w:line="300" w:lineRule="exact"/>
              <w:jc w:val="lef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第三十八条第一款  依法取得危险化学品安全生产许可证、危险化学品安全使用许可证、危险化学品</w:t>
            </w:r>
          </w:p>
          <w:p>
            <w:pPr>
              <w:widowControl/>
              <w:spacing w:line="300" w:lineRule="exact"/>
              <w:jc w:val="lef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经营许可证的企业，凭相</w:t>
            </w:r>
          </w:p>
          <w:p>
            <w:pPr>
              <w:widowControl/>
              <w:spacing w:line="300" w:lineRule="exact"/>
              <w:jc w:val="lef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应的许可证件购买剧毒化</w:t>
            </w:r>
          </w:p>
          <w:p>
            <w:pPr>
              <w:widowControl/>
              <w:spacing w:line="300" w:lineRule="exact"/>
              <w:jc w:val="lef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学品、易制爆危险化学品。民用爆炸物品生产企业凭民用爆炸物品生产许可证购买易制爆危险化学品。</w:t>
            </w:r>
          </w:p>
          <w:p>
            <w:pPr>
              <w:widowControl/>
              <w:spacing w:line="300" w:lineRule="exact"/>
              <w:jc w:val="left"/>
              <w:textAlignment w:val="top"/>
              <w:rPr>
                <w:rFonts w:ascii="Times New Roman" w:hAnsi="Times New Roman" w:eastAsia="方正书宋简体" w:cs="Times New Roman"/>
                <w:color w:val="auto"/>
                <w:kern w:val="0"/>
                <w:szCs w:val="21"/>
                <w:highlight w:val="none"/>
                <w:lang w:bidi="ar"/>
              </w:rPr>
            </w:pPr>
          </w:p>
          <w:p>
            <w:pPr>
              <w:widowControl/>
              <w:spacing w:line="300" w:lineRule="exact"/>
              <w:jc w:val="lef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第三十八条第二款  前款规定以外的单位购买剧毒化学品的，应当向所在地县级人民政府公安机关申请取得剧毒化学品购买许可证；购买易制爆危险化学品的，应当持本单位出具的合法用途说明。</w:t>
            </w:r>
          </w:p>
          <w:p>
            <w:pPr>
              <w:widowControl/>
              <w:spacing w:line="300" w:lineRule="exact"/>
              <w:jc w:val="left"/>
              <w:textAlignment w:val="top"/>
              <w:rPr>
                <w:rFonts w:ascii="Times New Roman" w:hAnsi="Times New Roman" w:eastAsia="方正书宋简体" w:cs="Times New Roman"/>
                <w:color w:val="auto"/>
                <w:kern w:val="0"/>
                <w:szCs w:val="21"/>
                <w:highlight w:val="none"/>
                <w:lang w:bidi="ar"/>
              </w:rPr>
            </w:pPr>
          </w:p>
          <w:p>
            <w:pPr>
              <w:widowControl/>
              <w:spacing w:line="300" w:lineRule="exact"/>
              <w:jc w:val="left"/>
              <w:textAlignment w:val="top"/>
              <w:rPr>
                <w:rFonts w:ascii="Times New Roman" w:hAnsi="Times New Roman" w:eastAsia="方正书宋简体" w:cs="Times New Roman"/>
                <w:color w:val="auto"/>
                <w:kern w:val="0"/>
                <w:szCs w:val="21"/>
                <w:highlight w:val="none"/>
                <w:lang w:bidi="ar"/>
              </w:rPr>
            </w:pPr>
          </w:p>
          <w:p>
            <w:pPr>
              <w:widowControl/>
              <w:spacing w:line="300" w:lineRule="exact"/>
              <w:jc w:val="left"/>
              <w:textAlignment w:val="top"/>
              <w:rPr>
                <w:rFonts w:ascii="Times New Roman" w:hAnsi="Times New Roman" w:eastAsia="方正书宋简体" w:cs="Times New Roman"/>
                <w:color w:val="auto"/>
                <w:kern w:val="0"/>
                <w:szCs w:val="21"/>
                <w:highlight w:val="none"/>
                <w:lang w:bidi="ar"/>
              </w:rPr>
            </w:pPr>
          </w:p>
        </w:tc>
        <w:tc>
          <w:tcPr>
            <w:tcW w:w="2070" w:type="dxa"/>
            <w:tcBorders>
              <w:tl2br w:val="nil"/>
              <w:tr2bl w:val="nil"/>
            </w:tcBorders>
            <w:shd w:val="clear" w:color="auto" w:fill="auto"/>
          </w:tcPr>
          <w:p>
            <w:pPr>
              <w:rPr>
                <w:rFonts w:ascii="Times New Roman" w:hAnsi="Times New Roman" w:eastAsia="方正书宋简体" w:cs="Times New Roman"/>
                <w:color w:val="auto"/>
                <w:kern w:val="0"/>
                <w:szCs w:val="21"/>
                <w:highlight w:val="none"/>
                <w:lang w:bidi="ar"/>
              </w:rPr>
            </w:pPr>
            <w:r>
              <w:rPr>
                <w:rFonts w:ascii="Times New Roman" w:hAnsi="Times New Roman" w:eastAsia="方正书宋简体" w:cs="Times New Roman"/>
                <w:color w:val="auto"/>
                <w:kern w:val="0"/>
                <w:szCs w:val="21"/>
                <w:highlight w:val="none"/>
              </w:rPr>
              <w:t>初次违法，无危害后果</w:t>
            </w:r>
            <w:r>
              <w:rPr>
                <w:rFonts w:hint="eastAsia" w:ascii="Times New Roman" w:hAnsi="Times New Roman" w:eastAsia="方正书宋简体" w:cs="Times New Roman"/>
                <w:color w:val="auto"/>
                <w:kern w:val="0"/>
                <w:szCs w:val="21"/>
                <w:highlight w:val="none"/>
                <w:lang w:val="en-US" w:eastAsia="zh-CN"/>
              </w:rPr>
              <w:t>的</w:t>
            </w:r>
            <w:r>
              <w:rPr>
                <w:rFonts w:ascii="Times New Roman" w:hAnsi="Times New Roman" w:eastAsia="方正书宋简体" w:cs="Times New Roman"/>
                <w:color w:val="auto"/>
                <w:kern w:val="0"/>
                <w:szCs w:val="21"/>
                <w:highlight w:val="none"/>
              </w:rPr>
              <w:t>。</w:t>
            </w:r>
          </w:p>
        </w:tc>
        <w:tc>
          <w:tcPr>
            <w:tcW w:w="1200" w:type="dxa"/>
            <w:gridSpan w:val="2"/>
            <w:tcBorders>
              <w:tl2br w:val="nil"/>
              <w:tr2bl w:val="nil"/>
            </w:tcBorders>
            <w:shd w:val="clear" w:color="auto" w:fill="auto"/>
          </w:tcPr>
          <w:p>
            <w:pPr>
              <w:rPr>
                <w:rFonts w:ascii="Times New Roman" w:hAnsi="Times New Roman" w:eastAsia="方正书宋简体" w:cs="Times New Roman"/>
                <w:color w:val="auto"/>
                <w:kern w:val="0"/>
                <w:szCs w:val="21"/>
                <w:highlight w:val="none"/>
              </w:rPr>
            </w:pPr>
            <w:r>
              <w:rPr>
                <w:rFonts w:ascii="Times New Roman" w:hAnsi="Times New Roman" w:eastAsia="方正书宋简体" w:cs="Times New Roman"/>
                <w:color w:val="auto"/>
                <w:kern w:val="0"/>
                <w:szCs w:val="21"/>
                <w:highlight w:val="none"/>
              </w:rPr>
              <w:t>没收所购买的剧毒化学品、易制爆危险化学品，可以并处</w:t>
            </w:r>
            <w:r>
              <w:rPr>
                <w:rFonts w:hint="eastAsia" w:ascii="Times New Roman" w:hAnsi="Times New Roman" w:eastAsia="方正书宋简体" w:cs="Times New Roman"/>
                <w:color w:val="auto"/>
                <w:kern w:val="0"/>
                <w:szCs w:val="21"/>
                <w:highlight w:val="none"/>
              </w:rPr>
              <w:t>3000</w:t>
            </w:r>
            <w:r>
              <w:rPr>
                <w:rFonts w:ascii="Times New Roman" w:hAnsi="Times New Roman" w:eastAsia="方正书宋简体" w:cs="Times New Roman"/>
                <w:color w:val="auto"/>
                <w:kern w:val="0"/>
                <w:szCs w:val="21"/>
                <w:highlight w:val="none"/>
              </w:rPr>
              <w:t>元以下的罚款。</w:t>
            </w:r>
          </w:p>
          <w:p>
            <w:pPr>
              <w:rPr>
                <w:rFonts w:ascii="Times New Roman" w:hAnsi="Times New Roman" w:eastAsia="方正书宋简体" w:cs="Times New Roman"/>
                <w:color w:val="auto"/>
                <w:kern w:val="0"/>
                <w:szCs w:val="21"/>
                <w:highlight w:val="none"/>
              </w:rPr>
            </w:pPr>
          </w:p>
          <w:p>
            <w:pPr>
              <w:rPr>
                <w:rFonts w:ascii="Times New Roman" w:hAnsi="Times New Roman" w:eastAsia="方正书宋简体" w:cs="Times New Roman"/>
                <w:color w:val="auto"/>
                <w:kern w:val="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146" w:hRule="atLeast"/>
        </w:trPr>
        <w:tc>
          <w:tcPr>
            <w:tcW w:w="1830"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85"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070" w:type="dxa"/>
            <w:tcBorders>
              <w:tl2br w:val="nil"/>
              <w:tr2bl w:val="nil"/>
            </w:tcBorders>
            <w:shd w:val="clear" w:color="auto" w:fill="auto"/>
          </w:tcPr>
          <w:p>
            <w:pPr>
              <w:rPr>
                <w:rFonts w:ascii="Times New Roman" w:hAnsi="Times New Roman" w:eastAsia="方正书宋简体" w:cs="Times New Roman"/>
                <w:color w:val="auto"/>
                <w:kern w:val="0"/>
                <w:szCs w:val="21"/>
                <w:highlight w:val="none"/>
              </w:rPr>
            </w:pPr>
            <w:r>
              <w:rPr>
                <w:rFonts w:hint="eastAsia" w:ascii="Times New Roman" w:hAnsi="Times New Roman" w:eastAsia="方正书宋简体" w:cs="Times New Roman"/>
                <w:color w:val="auto"/>
                <w:kern w:val="0"/>
                <w:szCs w:val="21"/>
                <w:highlight w:val="none"/>
              </w:rPr>
              <w:t>1、</w:t>
            </w:r>
            <w:r>
              <w:rPr>
                <w:rFonts w:hint="eastAsia" w:asciiTheme="minorEastAsia" w:hAnsiTheme="minorEastAsia" w:cstheme="minorEastAsia"/>
                <w:color w:val="auto"/>
                <w:kern w:val="0"/>
                <w:szCs w:val="21"/>
                <w:highlight w:val="none"/>
                <w:lang w:bidi="ar"/>
              </w:rPr>
              <w:t>两年内曾违反此规定</w:t>
            </w:r>
            <w:r>
              <w:rPr>
                <w:rFonts w:hint="eastAsia" w:ascii="Times New Roman" w:hAnsi="Times New Roman" w:eastAsia="方正书宋简体" w:cs="Times New Roman"/>
                <w:color w:val="auto"/>
                <w:kern w:val="0"/>
                <w:szCs w:val="21"/>
                <w:highlight w:val="none"/>
              </w:rPr>
              <w:t>；</w:t>
            </w:r>
          </w:p>
          <w:p>
            <w:pPr>
              <w:rPr>
                <w:rFonts w:ascii="Times New Roman" w:hAnsi="Times New Roman" w:eastAsia="方正书宋简体" w:cs="Times New Roman"/>
                <w:color w:val="auto"/>
                <w:kern w:val="0"/>
                <w:szCs w:val="21"/>
                <w:highlight w:val="none"/>
              </w:rPr>
            </w:pPr>
            <w:r>
              <w:rPr>
                <w:rFonts w:hint="eastAsia" w:ascii="Times New Roman" w:hAnsi="Times New Roman" w:eastAsia="方正书宋简体" w:cs="Times New Roman"/>
                <w:color w:val="auto"/>
                <w:kern w:val="0"/>
                <w:szCs w:val="21"/>
                <w:highlight w:val="none"/>
              </w:rPr>
              <w:t>2、</w:t>
            </w:r>
            <w:r>
              <w:rPr>
                <w:rFonts w:ascii="Times New Roman" w:hAnsi="Times New Roman" w:eastAsia="方正书宋简体" w:cs="Times New Roman"/>
                <w:color w:val="auto"/>
                <w:kern w:val="0"/>
                <w:szCs w:val="21"/>
                <w:highlight w:val="none"/>
              </w:rPr>
              <w:t>造成</w:t>
            </w:r>
            <w:r>
              <w:rPr>
                <w:rFonts w:hint="eastAsia" w:ascii="Times New Roman" w:hAnsi="Times New Roman" w:eastAsia="方正书宋简体" w:cs="Times New Roman"/>
                <w:color w:val="auto"/>
                <w:kern w:val="0"/>
                <w:szCs w:val="21"/>
                <w:highlight w:val="none"/>
              </w:rPr>
              <w:t>人身和</w:t>
            </w:r>
            <w:r>
              <w:rPr>
                <w:rFonts w:ascii="Times New Roman" w:hAnsi="Times New Roman" w:eastAsia="方正书宋简体" w:cs="Times New Roman"/>
                <w:color w:val="auto"/>
                <w:kern w:val="0"/>
                <w:szCs w:val="21"/>
                <w:highlight w:val="none"/>
              </w:rPr>
              <w:t>财产损失，</w:t>
            </w:r>
            <w:r>
              <w:rPr>
                <w:rFonts w:hint="eastAsia" w:ascii="Times New Roman" w:hAnsi="Times New Roman" w:eastAsia="方正书宋简体" w:cs="Times New Roman"/>
                <w:color w:val="auto"/>
                <w:kern w:val="0"/>
                <w:szCs w:val="21"/>
                <w:highlight w:val="none"/>
              </w:rPr>
              <w:t>或其他</w:t>
            </w:r>
            <w:r>
              <w:rPr>
                <w:rFonts w:ascii="Times New Roman" w:hAnsi="Times New Roman" w:eastAsia="方正书宋简体" w:cs="Times New Roman"/>
                <w:color w:val="auto"/>
                <w:kern w:val="0"/>
                <w:szCs w:val="21"/>
                <w:highlight w:val="none"/>
              </w:rPr>
              <w:t>社会影响</w:t>
            </w:r>
            <w:r>
              <w:rPr>
                <w:rFonts w:hint="eastAsia" w:ascii="Times New Roman" w:hAnsi="Times New Roman" w:eastAsia="方正书宋简体" w:cs="Times New Roman"/>
                <w:color w:val="auto"/>
                <w:kern w:val="0"/>
                <w:szCs w:val="21"/>
                <w:highlight w:val="none"/>
                <w:lang w:val="en-US" w:eastAsia="zh-CN"/>
              </w:rPr>
              <w:t>的</w:t>
            </w:r>
            <w:r>
              <w:rPr>
                <w:rFonts w:ascii="Times New Roman" w:hAnsi="Times New Roman" w:eastAsia="方正书宋简体" w:cs="Times New Roman"/>
                <w:color w:val="auto"/>
                <w:kern w:val="0"/>
                <w:szCs w:val="21"/>
                <w:highlight w:val="none"/>
              </w:rPr>
              <w:t>。</w:t>
            </w:r>
          </w:p>
          <w:p>
            <w:pPr>
              <w:rPr>
                <w:rFonts w:ascii="Times New Roman" w:hAnsi="Times New Roman" w:eastAsia="方正书宋简体" w:cs="Times New Roman"/>
                <w:color w:val="auto"/>
                <w:kern w:val="0"/>
                <w:szCs w:val="21"/>
                <w:highlight w:val="none"/>
              </w:rPr>
            </w:pPr>
          </w:p>
        </w:tc>
        <w:tc>
          <w:tcPr>
            <w:tcW w:w="1200" w:type="dxa"/>
            <w:gridSpan w:val="2"/>
            <w:tcBorders>
              <w:tl2br w:val="nil"/>
              <w:tr2bl w:val="nil"/>
            </w:tcBorders>
            <w:shd w:val="clear" w:color="auto" w:fill="auto"/>
          </w:tcPr>
          <w:p>
            <w:pPr>
              <w:rPr>
                <w:rFonts w:ascii="Times New Roman" w:hAnsi="Times New Roman" w:eastAsia="方正书宋简体" w:cs="Times New Roman"/>
                <w:color w:val="auto"/>
                <w:kern w:val="0"/>
                <w:szCs w:val="21"/>
                <w:highlight w:val="none"/>
              </w:rPr>
            </w:pPr>
            <w:r>
              <w:rPr>
                <w:rFonts w:ascii="Times New Roman" w:hAnsi="Times New Roman" w:eastAsia="方正书宋简体" w:cs="Times New Roman"/>
                <w:color w:val="auto"/>
                <w:kern w:val="0"/>
                <w:szCs w:val="21"/>
                <w:highlight w:val="none"/>
              </w:rPr>
              <w:t>没收所购买的剧毒化学品、易制爆危险化学品，可以并处</w:t>
            </w:r>
            <w:r>
              <w:rPr>
                <w:rFonts w:hint="eastAsia" w:ascii="Times New Roman" w:hAnsi="Times New Roman" w:eastAsia="方正书宋简体" w:cs="Times New Roman"/>
                <w:color w:val="auto"/>
                <w:kern w:val="0"/>
                <w:szCs w:val="21"/>
                <w:highlight w:val="none"/>
              </w:rPr>
              <w:t>3000</w:t>
            </w:r>
            <w:r>
              <w:rPr>
                <w:rFonts w:ascii="Times New Roman" w:hAnsi="Times New Roman" w:eastAsia="方正书宋简体" w:cs="Times New Roman"/>
                <w:color w:val="auto"/>
                <w:kern w:val="0"/>
                <w:szCs w:val="21"/>
                <w:highlight w:val="none"/>
              </w:rPr>
              <w:t>元以上5000元以下的罚款。</w:t>
            </w:r>
          </w:p>
          <w:p>
            <w:pPr>
              <w:rPr>
                <w:rFonts w:ascii="Times New Roman" w:hAnsi="Times New Roman" w:eastAsia="方正书宋简体" w:cs="Times New Roman"/>
                <w:color w:val="auto"/>
                <w:kern w:val="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737" w:hRule="atLeast"/>
        </w:trPr>
        <w:tc>
          <w:tcPr>
            <w:tcW w:w="1830" w:type="dxa"/>
            <w:vMerge w:val="restart"/>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rPr>
              <w:t>使用剧毒化学品、易制爆危险化学品的单位出借或者向不具有本条例第三十八条第一款、第二款规定的相关许可证件的单位转让其购买的剧毒化学品、易制爆危险化学品，或者向个人转让其购买的剧毒化学品（属于剧毒化学品的农药除外）、易制爆危险化学品。</w:t>
            </w:r>
          </w:p>
        </w:tc>
        <w:tc>
          <w:tcPr>
            <w:tcW w:w="2385" w:type="dxa"/>
            <w:vMerge w:val="restart"/>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第八十四条第三款</w:t>
            </w:r>
            <w:r>
              <w:rPr>
                <w:rFonts w:ascii="Times New Roman" w:hAnsi="Times New Roman" w:eastAsia="方正书宋简体" w:cs="Times New Roman"/>
                <w:color w:val="auto"/>
                <w:kern w:val="0"/>
                <w:szCs w:val="21"/>
                <w:highlight w:val="none"/>
                <w:lang w:bidi="ar"/>
              </w:rPr>
              <w:t xml:space="preserve"> </w:t>
            </w:r>
            <w:r>
              <w:rPr>
                <w:rFonts w:hint="eastAsia" w:ascii="Times New Roman" w:hAnsi="Times New Roman" w:eastAsia="方正书宋简体" w:cs="Times New Roman"/>
                <w:color w:val="auto"/>
                <w:kern w:val="0"/>
                <w:szCs w:val="21"/>
                <w:highlight w:val="none"/>
                <w:lang w:bidi="ar"/>
              </w:rPr>
              <w:t xml:space="preserve"> 使用剧毒化学品、易制爆危险化学品的单位出借或者向不具有本条例第三十八条第一款、第二款规定的相关许可证件的单位转让其购买的剧毒化学品、易制爆危险化学品，或者向个人转让其购买的剧毒化学品（属于剧毒化学品的农药除外）、易制爆危险化学品的，由公安机关责令改正，处</w:t>
            </w:r>
            <w:r>
              <w:rPr>
                <w:rFonts w:ascii="Times New Roman" w:hAnsi="Times New Roman" w:eastAsia="方正书宋简体" w:cs="Times New Roman"/>
                <w:color w:val="auto"/>
                <w:kern w:val="0"/>
                <w:szCs w:val="21"/>
                <w:highlight w:val="none"/>
                <w:lang w:bidi="ar"/>
              </w:rPr>
              <w:t>10</w:t>
            </w:r>
            <w:r>
              <w:rPr>
                <w:rFonts w:hint="eastAsia" w:ascii="Times New Roman" w:hAnsi="Times New Roman" w:eastAsia="方正书宋简体" w:cs="Times New Roman"/>
                <w:color w:val="auto"/>
                <w:kern w:val="0"/>
                <w:szCs w:val="21"/>
                <w:highlight w:val="none"/>
                <w:lang w:bidi="ar"/>
              </w:rPr>
              <w:t>万元以上</w:t>
            </w:r>
            <w:r>
              <w:rPr>
                <w:rFonts w:ascii="Times New Roman" w:hAnsi="Times New Roman" w:eastAsia="方正书宋简体" w:cs="Times New Roman"/>
                <w:color w:val="auto"/>
                <w:kern w:val="0"/>
                <w:szCs w:val="21"/>
                <w:highlight w:val="none"/>
                <w:lang w:bidi="ar"/>
              </w:rPr>
              <w:t>20</w:t>
            </w:r>
            <w:r>
              <w:rPr>
                <w:rFonts w:hint="eastAsia" w:ascii="Times New Roman" w:hAnsi="Times New Roman" w:eastAsia="方正书宋简体" w:cs="Times New Roman"/>
                <w:color w:val="auto"/>
                <w:kern w:val="0"/>
                <w:szCs w:val="21"/>
                <w:highlight w:val="none"/>
                <w:lang w:bidi="ar"/>
              </w:rPr>
              <w:t>万元以下的罚款；拒不改正的，责令停产停业整顿。</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070" w:type="dxa"/>
            <w:tcBorders>
              <w:tl2br w:val="nil"/>
              <w:tr2bl w:val="nil"/>
            </w:tcBorders>
            <w:shd w:val="clear" w:color="auto" w:fill="auto"/>
          </w:tcPr>
          <w:p>
            <w:pPr>
              <w:rPr>
                <w:rFonts w:ascii="Times New Roman" w:hAnsi="Times New Roman" w:eastAsia="方正书宋简体" w:cs="Times New Roman"/>
                <w:color w:val="auto"/>
                <w:kern w:val="0"/>
                <w:szCs w:val="21"/>
                <w:highlight w:val="none"/>
                <w:lang w:bidi="ar"/>
              </w:rPr>
            </w:pPr>
            <w:r>
              <w:rPr>
                <w:rFonts w:ascii="Times New Roman" w:hAnsi="Times New Roman" w:eastAsia="方正书宋简体" w:cs="Times New Roman"/>
                <w:color w:val="auto"/>
                <w:kern w:val="0"/>
                <w:szCs w:val="21"/>
                <w:highlight w:val="none"/>
              </w:rPr>
              <w:t>初次</w:t>
            </w:r>
            <w:r>
              <w:rPr>
                <w:rFonts w:hint="eastAsia" w:ascii="Times New Roman" w:hAnsi="Times New Roman" w:eastAsia="方正书宋简体" w:cs="Times New Roman"/>
                <w:color w:val="auto"/>
                <w:kern w:val="0"/>
                <w:szCs w:val="21"/>
                <w:highlight w:val="none"/>
              </w:rPr>
              <w:t>违反此规定</w:t>
            </w:r>
            <w:r>
              <w:rPr>
                <w:rFonts w:ascii="Times New Roman" w:hAnsi="Times New Roman" w:eastAsia="方正书宋简体" w:cs="Times New Roman"/>
                <w:color w:val="auto"/>
                <w:kern w:val="0"/>
                <w:szCs w:val="21"/>
                <w:highlight w:val="none"/>
              </w:rPr>
              <w:t>，无危害后果</w:t>
            </w:r>
            <w:r>
              <w:rPr>
                <w:rFonts w:hint="eastAsia" w:ascii="Times New Roman" w:hAnsi="Times New Roman" w:eastAsia="方正书宋简体" w:cs="Times New Roman"/>
                <w:color w:val="auto"/>
                <w:kern w:val="0"/>
                <w:szCs w:val="21"/>
                <w:highlight w:val="none"/>
                <w:lang w:val="en-US" w:eastAsia="zh-CN"/>
              </w:rPr>
              <w:t>的</w:t>
            </w:r>
            <w:r>
              <w:rPr>
                <w:rFonts w:ascii="Times New Roman" w:hAnsi="Times New Roman" w:eastAsia="方正书宋简体" w:cs="Times New Roman"/>
                <w:color w:val="auto"/>
                <w:kern w:val="0"/>
                <w:szCs w:val="21"/>
                <w:highlight w:val="none"/>
              </w:rPr>
              <w:t>。</w:t>
            </w:r>
          </w:p>
        </w:tc>
        <w:tc>
          <w:tcPr>
            <w:tcW w:w="1200" w:type="dxa"/>
            <w:gridSpan w:val="2"/>
            <w:tcBorders>
              <w:tl2br w:val="nil"/>
              <w:tr2bl w:val="nil"/>
            </w:tcBorders>
            <w:shd w:val="clear" w:color="auto" w:fill="auto"/>
          </w:tcPr>
          <w:p>
            <w:pPr>
              <w:rPr>
                <w:rFonts w:ascii="Times New Roman" w:hAnsi="Times New Roman" w:eastAsia="方正书宋简体" w:cs="Times New Roman"/>
                <w:color w:val="auto"/>
                <w:kern w:val="0"/>
                <w:szCs w:val="21"/>
                <w:highlight w:val="none"/>
              </w:rPr>
            </w:pPr>
            <w:r>
              <w:rPr>
                <w:rFonts w:ascii="Times New Roman" w:hAnsi="Times New Roman" w:eastAsia="方正书宋简体" w:cs="Times New Roman"/>
                <w:color w:val="auto"/>
                <w:kern w:val="0"/>
                <w:szCs w:val="21"/>
                <w:highlight w:val="none"/>
              </w:rPr>
              <w:t>责令改正，处10万元以上1</w:t>
            </w:r>
            <w:r>
              <w:rPr>
                <w:rFonts w:hint="eastAsia" w:ascii="Times New Roman" w:hAnsi="Times New Roman" w:eastAsia="方正书宋简体" w:cs="Times New Roman"/>
                <w:color w:val="auto"/>
                <w:kern w:val="0"/>
                <w:szCs w:val="21"/>
                <w:highlight w:val="none"/>
              </w:rPr>
              <w:t>5</w:t>
            </w:r>
            <w:r>
              <w:rPr>
                <w:rFonts w:ascii="Times New Roman" w:hAnsi="Times New Roman" w:eastAsia="方正书宋简体" w:cs="Times New Roman"/>
                <w:color w:val="auto"/>
                <w:kern w:val="0"/>
                <w:szCs w:val="21"/>
                <w:highlight w:val="none"/>
              </w:rPr>
              <w:t>万元以下的罚款。</w:t>
            </w:r>
          </w:p>
          <w:p>
            <w:pPr>
              <w:rPr>
                <w:rFonts w:ascii="Times New Roman" w:hAnsi="Times New Roman" w:eastAsia="方正书宋简体" w:cs="Times New Roman"/>
                <w:color w:val="auto"/>
                <w:kern w:val="0"/>
                <w:szCs w:val="21"/>
                <w:highlight w:val="none"/>
              </w:rPr>
            </w:pPr>
          </w:p>
          <w:p>
            <w:pPr>
              <w:rPr>
                <w:rFonts w:ascii="Times New Roman" w:hAnsi="Times New Roman" w:eastAsia="方正书宋简体" w:cs="Times New Roman"/>
                <w:color w:val="auto"/>
                <w:kern w:val="0"/>
                <w:szCs w:val="21"/>
                <w:highlight w:val="none"/>
              </w:rPr>
            </w:pPr>
          </w:p>
          <w:p>
            <w:pPr>
              <w:rPr>
                <w:rFonts w:ascii="Times New Roman" w:hAnsi="Times New Roman" w:eastAsia="方正书宋简体" w:cs="Times New Roman"/>
                <w:color w:val="auto"/>
                <w:kern w:val="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0" w:hRule="atLeast"/>
        </w:trPr>
        <w:tc>
          <w:tcPr>
            <w:tcW w:w="1830"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85"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070" w:type="dxa"/>
            <w:tcBorders>
              <w:tl2br w:val="nil"/>
              <w:tr2bl w:val="nil"/>
            </w:tcBorders>
            <w:shd w:val="clear" w:color="auto" w:fill="auto"/>
          </w:tcPr>
          <w:p>
            <w:pPr>
              <w:numPr>
                <w:ilvl w:val="0"/>
                <w:numId w:val="4"/>
              </w:numPr>
              <w:rPr>
                <w:rFonts w:ascii="Times New Roman" w:hAnsi="Times New Roman" w:eastAsia="方正书宋简体" w:cs="Times New Roman"/>
                <w:color w:val="auto"/>
                <w:kern w:val="0"/>
                <w:szCs w:val="21"/>
                <w:highlight w:val="none"/>
              </w:rPr>
            </w:pPr>
            <w:r>
              <w:rPr>
                <w:rFonts w:hint="eastAsia" w:asciiTheme="minorEastAsia" w:hAnsiTheme="minorEastAsia" w:cstheme="minorEastAsia"/>
                <w:color w:val="auto"/>
                <w:kern w:val="0"/>
                <w:szCs w:val="21"/>
                <w:highlight w:val="none"/>
                <w:lang w:bidi="ar"/>
              </w:rPr>
              <w:t>两年内曾违反此规定</w:t>
            </w:r>
            <w:r>
              <w:rPr>
                <w:rFonts w:hint="eastAsia" w:ascii="Times New Roman" w:hAnsi="Times New Roman" w:eastAsia="方正书宋简体" w:cs="Times New Roman"/>
                <w:color w:val="auto"/>
                <w:kern w:val="0"/>
                <w:szCs w:val="21"/>
                <w:highlight w:val="none"/>
              </w:rPr>
              <w:t>；</w:t>
            </w:r>
          </w:p>
          <w:p>
            <w:pPr>
              <w:numPr>
                <w:ilvl w:val="0"/>
                <w:numId w:val="4"/>
              </w:numPr>
              <w:rPr>
                <w:rFonts w:ascii="Times New Roman" w:hAnsi="Times New Roman" w:eastAsia="方正书宋简体" w:cs="Times New Roman"/>
                <w:color w:val="auto"/>
                <w:kern w:val="0"/>
                <w:szCs w:val="21"/>
                <w:highlight w:val="none"/>
              </w:rPr>
            </w:pPr>
            <w:r>
              <w:rPr>
                <w:rFonts w:ascii="Times New Roman" w:hAnsi="Times New Roman" w:eastAsia="方正书宋简体" w:cs="Times New Roman"/>
                <w:color w:val="auto"/>
                <w:kern w:val="0"/>
                <w:szCs w:val="21"/>
                <w:highlight w:val="none"/>
              </w:rPr>
              <w:t>造成</w:t>
            </w:r>
            <w:r>
              <w:rPr>
                <w:rFonts w:hint="eastAsia" w:ascii="Times New Roman" w:hAnsi="Times New Roman" w:eastAsia="方正书宋简体" w:cs="Times New Roman"/>
                <w:color w:val="auto"/>
                <w:kern w:val="0"/>
                <w:szCs w:val="21"/>
                <w:highlight w:val="none"/>
              </w:rPr>
              <w:t>人身和</w:t>
            </w:r>
            <w:r>
              <w:rPr>
                <w:rFonts w:ascii="Times New Roman" w:hAnsi="Times New Roman" w:eastAsia="方正书宋简体" w:cs="Times New Roman"/>
                <w:color w:val="auto"/>
                <w:kern w:val="0"/>
                <w:szCs w:val="21"/>
                <w:highlight w:val="none"/>
              </w:rPr>
              <w:t>财产损失，</w:t>
            </w:r>
            <w:r>
              <w:rPr>
                <w:rFonts w:hint="eastAsia" w:ascii="Times New Roman" w:hAnsi="Times New Roman" w:eastAsia="方正书宋简体" w:cs="Times New Roman"/>
                <w:color w:val="auto"/>
                <w:kern w:val="0"/>
                <w:szCs w:val="21"/>
                <w:highlight w:val="none"/>
              </w:rPr>
              <w:t>或其他</w:t>
            </w:r>
            <w:r>
              <w:rPr>
                <w:rFonts w:ascii="Times New Roman" w:hAnsi="Times New Roman" w:eastAsia="方正书宋简体" w:cs="Times New Roman"/>
                <w:color w:val="auto"/>
                <w:kern w:val="0"/>
                <w:szCs w:val="21"/>
                <w:highlight w:val="none"/>
              </w:rPr>
              <w:t>社会影响</w:t>
            </w:r>
            <w:r>
              <w:rPr>
                <w:rFonts w:hint="eastAsia" w:ascii="Times New Roman" w:hAnsi="Times New Roman" w:eastAsia="方正书宋简体" w:cs="Times New Roman"/>
                <w:color w:val="auto"/>
                <w:kern w:val="0"/>
                <w:szCs w:val="21"/>
                <w:highlight w:val="none"/>
                <w:lang w:val="en-US" w:eastAsia="zh-CN"/>
              </w:rPr>
              <w:t>的</w:t>
            </w:r>
            <w:r>
              <w:rPr>
                <w:rFonts w:ascii="Times New Roman" w:hAnsi="Times New Roman" w:eastAsia="方正书宋简体" w:cs="Times New Roman"/>
                <w:color w:val="auto"/>
                <w:kern w:val="0"/>
                <w:szCs w:val="21"/>
                <w:highlight w:val="none"/>
              </w:rPr>
              <w:t>。</w:t>
            </w:r>
          </w:p>
          <w:p>
            <w:pPr>
              <w:rPr>
                <w:rFonts w:ascii="Times New Roman" w:hAnsi="Times New Roman" w:eastAsia="方正书宋简体" w:cs="Times New Roman"/>
                <w:color w:val="auto"/>
                <w:kern w:val="0"/>
                <w:szCs w:val="21"/>
                <w:highlight w:val="none"/>
              </w:rPr>
            </w:pPr>
          </w:p>
          <w:p>
            <w:pPr>
              <w:rPr>
                <w:rFonts w:ascii="Times New Roman" w:hAnsi="Times New Roman" w:eastAsia="方正书宋简体" w:cs="Times New Roman"/>
                <w:color w:val="auto"/>
                <w:kern w:val="0"/>
                <w:szCs w:val="21"/>
                <w:highlight w:val="none"/>
              </w:rPr>
            </w:pPr>
          </w:p>
        </w:tc>
        <w:tc>
          <w:tcPr>
            <w:tcW w:w="1200" w:type="dxa"/>
            <w:gridSpan w:val="2"/>
            <w:tcBorders>
              <w:tl2br w:val="nil"/>
              <w:tr2bl w:val="nil"/>
            </w:tcBorders>
            <w:shd w:val="clear" w:color="auto" w:fill="auto"/>
          </w:tcPr>
          <w:p>
            <w:pPr>
              <w:rPr>
                <w:rFonts w:ascii="Times New Roman" w:hAnsi="Times New Roman" w:eastAsia="方正书宋简体" w:cs="Times New Roman"/>
                <w:color w:val="auto"/>
                <w:kern w:val="0"/>
                <w:szCs w:val="21"/>
                <w:highlight w:val="none"/>
                <w:lang w:bidi="ar"/>
              </w:rPr>
            </w:pPr>
            <w:r>
              <w:rPr>
                <w:rFonts w:ascii="Times New Roman" w:hAnsi="Times New Roman" w:eastAsia="方正书宋简体" w:cs="Times New Roman"/>
                <w:color w:val="auto"/>
                <w:kern w:val="0"/>
                <w:szCs w:val="21"/>
                <w:highlight w:val="none"/>
              </w:rPr>
              <w:t>责令改正，处15万元以上20万元以下的罚款。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967" w:hRule="atLeast"/>
        </w:trPr>
        <w:tc>
          <w:tcPr>
            <w:tcW w:w="1830"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85"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070" w:type="dxa"/>
            <w:tcBorders>
              <w:tl2br w:val="nil"/>
              <w:tr2bl w:val="nil"/>
            </w:tcBorders>
            <w:shd w:val="clear" w:color="auto" w:fill="auto"/>
          </w:tcPr>
          <w:p>
            <w:pPr>
              <w:rPr>
                <w:rFonts w:hint="eastAsia" w:ascii="Times New Roman" w:hAnsi="Times New Roman" w:eastAsia="方正书宋简体" w:cs="Times New Roman"/>
                <w:color w:val="auto"/>
                <w:kern w:val="0"/>
                <w:szCs w:val="21"/>
                <w:highlight w:val="none"/>
                <w:lang w:val="en-US" w:eastAsia="zh-CN"/>
              </w:rPr>
            </w:pPr>
            <w:r>
              <w:rPr>
                <w:rFonts w:ascii="Times New Roman" w:hAnsi="Times New Roman" w:eastAsia="方正书宋简体" w:cs="Times New Roman"/>
                <w:color w:val="auto"/>
                <w:kern w:val="0"/>
                <w:szCs w:val="21"/>
                <w:highlight w:val="none"/>
              </w:rPr>
              <w:t>拒不改正</w:t>
            </w:r>
            <w:r>
              <w:rPr>
                <w:rFonts w:hint="eastAsia" w:ascii="Times New Roman" w:hAnsi="Times New Roman" w:eastAsia="方正书宋简体" w:cs="Times New Roman"/>
                <w:color w:val="auto"/>
                <w:kern w:val="0"/>
                <w:szCs w:val="21"/>
                <w:highlight w:val="none"/>
                <w:lang w:val="en-US" w:eastAsia="zh-CN"/>
              </w:rPr>
              <w:t>的。</w:t>
            </w:r>
          </w:p>
        </w:tc>
        <w:tc>
          <w:tcPr>
            <w:tcW w:w="1200" w:type="dxa"/>
            <w:gridSpan w:val="2"/>
            <w:tcBorders>
              <w:tl2br w:val="nil"/>
              <w:tr2bl w:val="nil"/>
            </w:tcBorders>
            <w:shd w:val="clear" w:color="auto" w:fill="auto"/>
          </w:tcPr>
          <w:p>
            <w:pPr>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责令停产停业整顿</w:t>
            </w:r>
          </w:p>
          <w:p>
            <w:pPr>
              <w:rPr>
                <w:rFonts w:ascii="Times New Roman" w:hAnsi="Times New Roman" w:eastAsia="方正书宋简体" w:cs="Times New Roman"/>
                <w:color w:val="auto"/>
                <w:kern w:val="0"/>
                <w:szCs w:val="21"/>
                <w:highlight w:val="none"/>
                <w:lang w:bidi="ar"/>
              </w:rPr>
            </w:pPr>
          </w:p>
          <w:p>
            <w:pPr>
              <w:rPr>
                <w:rFonts w:ascii="Times New Roman" w:hAnsi="Times New Roman" w:eastAsia="方正书宋简体" w:cs="Times New Roman"/>
                <w:color w:val="auto"/>
                <w:kern w:val="0"/>
                <w:szCs w:val="21"/>
                <w:highlight w:val="none"/>
                <w:lang w:bidi="ar"/>
              </w:rPr>
            </w:pPr>
          </w:p>
          <w:p>
            <w:pPr>
              <w:rPr>
                <w:rFonts w:ascii="Times New Roman" w:hAnsi="Times New Roman" w:eastAsia="方正书宋简体" w:cs="Times New Roman"/>
                <w:color w:val="auto"/>
                <w:kern w:val="0"/>
                <w:szCs w:val="21"/>
                <w:highlight w:val="none"/>
                <w:lang w:bidi="ar"/>
              </w:rPr>
            </w:pPr>
          </w:p>
          <w:p>
            <w:pPr>
              <w:rPr>
                <w:rFonts w:ascii="Times New Roman" w:hAnsi="Times New Roman" w:eastAsia="方正书宋简体" w:cs="Times New Roman"/>
                <w:color w:val="auto"/>
                <w:kern w:val="0"/>
                <w:szCs w:val="21"/>
                <w:highlight w:val="none"/>
                <w:lang w:bidi="ar"/>
              </w:rPr>
            </w:pPr>
          </w:p>
          <w:p>
            <w:pPr>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310" w:hRule="atLeast"/>
        </w:trPr>
        <w:tc>
          <w:tcPr>
            <w:tcW w:w="1830" w:type="dxa"/>
            <w:vMerge w:val="restart"/>
            <w:tcBorders>
              <w:tl2br w:val="nil"/>
              <w:tr2bl w:val="nil"/>
            </w:tcBorders>
            <w:shd w:val="clear" w:color="auto" w:fill="auto"/>
          </w:tcPr>
          <w:p>
            <w:pPr>
              <w:widowControl/>
              <w:numPr>
                <w:ilvl w:val="0"/>
                <w:numId w:val="5"/>
              </w:numPr>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超过运输车辆的核定载质量装载危险化学品；</w:t>
            </w:r>
            <w:r>
              <w:rPr>
                <w:rFonts w:hint="eastAsia" w:ascii="Times New Roman" w:hAnsi="Times New Roman" w:eastAsia="方正书宋简体" w:cs="Times New Roman"/>
                <w:color w:val="auto"/>
                <w:kern w:val="0"/>
                <w:szCs w:val="21"/>
                <w:highlight w:val="none"/>
                <w:lang w:bidi="ar"/>
              </w:rPr>
              <w:br w:type="textWrapping"/>
            </w:r>
            <w:r>
              <w:rPr>
                <w:rFonts w:ascii="Times New Roman" w:hAnsi="Times New Roman" w:eastAsia="方正书宋简体" w:cs="Times New Roman"/>
                <w:color w:val="auto"/>
                <w:kern w:val="0"/>
                <w:szCs w:val="21"/>
                <w:highlight w:val="none"/>
                <w:lang w:bidi="ar"/>
              </w:rPr>
              <w:t>2</w:t>
            </w:r>
            <w:r>
              <w:rPr>
                <w:rFonts w:hint="eastAsia" w:ascii="Times New Roman" w:hAnsi="Times New Roman" w:eastAsia="方正书宋简体" w:cs="Times New Roman"/>
                <w:color w:val="auto"/>
                <w:kern w:val="0"/>
                <w:szCs w:val="21"/>
                <w:highlight w:val="none"/>
                <w:lang w:bidi="ar"/>
              </w:rPr>
              <w:t>、使用安全技术条</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件不符合国家标准要求的车辆运输危险化学品；</w:t>
            </w:r>
            <w:r>
              <w:rPr>
                <w:rFonts w:hint="eastAsia" w:ascii="Times New Roman" w:hAnsi="Times New Roman" w:eastAsia="方正书宋简体" w:cs="Times New Roman"/>
                <w:color w:val="auto"/>
                <w:kern w:val="0"/>
                <w:szCs w:val="21"/>
                <w:highlight w:val="none"/>
                <w:lang w:bidi="ar"/>
              </w:rPr>
              <w:br w:type="textWrapping"/>
            </w:r>
            <w:r>
              <w:rPr>
                <w:rFonts w:ascii="Times New Roman" w:hAnsi="Times New Roman" w:eastAsia="方正书宋简体" w:cs="Times New Roman"/>
                <w:color w:val="auto"/>
                <w:kern w:val="0"/>
                <w:szCs w:val="21"/>
                <w:highlight w:val="none"/>
                <w:lang w:bidi="ar"/>
              </w:rPr>
              <w:t>3</w:t>
            </w:r>
            <w:r>
              <w:rPr>
                <w:rFonts w:hint="eastAsia" w:ascii="Times New Roman" w:hAnsi="Times New Roman" w:eastAsia="方正书宋简体" w:cs="Times New Roman"/>
                <w:color w:val="auto"/>
                <w:kern w:val="0"/>
                <w:szCs w:val="21"/>
                <w:highlight w:val="none"/>
                <w:lang w:bidi="ar"/>
              </w:rPr>
              <w:t>、运输危险化学品的车辆未经公安机关批准进入危险化学品运输车辆限制通行的区域；</w:t>
            </w:r>
            <w:r>
              <w:rPr>
                <w:rFonts w:hint="eastAsia" w:ascii="Times New Roman" w:hAnsi="Times New Roman" w:eastAsia="方正书宋简体" w:cs="Times New Roman"/>
                <w:color w:val="auto"/>
                <w:kern w:val="0"/>
                <w:szCs w:val="21"/>
                <w:highlight w:val="none"/>
                <w:lang w:bidi="ar"/>
              </w:rPr>
              <w:br w:type="textWrapping"/>
            </w:r>
            <w:r>
              <w:rPr>
                <w:rFonts w:ascii="Times New Roman" w:hAnsi="Times New Roman" w:eastAsia="方正书宋简体" w:cs="Times New Roman"/>
                <w:color w:val="auto"/>
                <w:kern w:val="0"/>
                <w:szCs w:val="21"/>
                <w:highlight w:val="none"/>
                <w:lang w:bidi="ar"/>
              </w:rPr>
              <w:t>4</w:t>
            </w:r>
            <w:r>
              <w:rPr>
                <w:rFonts w:hint="eastAsia" w:ascii="Times New Roman" w:hAnsi="Times New Roman" w:eastAsia="方正书宋简体" w:cs="Times New Roman"/>
                <w:color w:val="auto"/>
                <w:kern w:val="0"/>
                <w:szCs w:val="21"/>
                <w:highlight w:val="none"/>
                <w:lang w:bidi="ar"/>
              </w:rPr>
              <w:t>、未取得剧毒化学品道路运输通行证，通过道路运输剧毒化学品。</w:t>
            </w:r>
          </w:p>
        </w:tc>
        <w:tc>
          <w:tcPr>
            <w:tcW w:w="2385" w:type="dxa"/>
            <w:vMerge w:val="restart"/>
            <w:tcBorders>
              <w:tl2br w:val="nil"/>
              <w:tr2bl w:val="nil"/>
            </w:tcBorders>
            <w:shd w:val="clear" w:color="auto" w:fill="auto"/>
          </w:tcPr>
          <w:p>
            <w:pPr>
              <w:widowControl/>
              <w:spacing w:line="300" w:lineRule="exact"/>
              <w:jc w:val="lef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第八十八条</w:t>
            </w:r>
            <w:r>
              <w:rPr>
                <w:rFonts w:ascii="Times New Roman" w:hAnsi="Times New Roman" w:eastAsia="方正书宋简体" w:cs="Times New Roman"/>
                <w:color w:val="auto"/>
                <w:kern w:val="0"/>
                <w:szCs w:val="21"/>
                <w:highlight w:val="none"/>
                <w:lang w:bidi="ar"/>
              </w:rPr>
              <w:t xml:space="preserve"> </w:t>
            </w:r>
            <w:r>
              <w:rPr>
                <w:rFonts w:hint="eastAsia" w:ascii="Times New Roman" w:hAnsi="Times New Roman" w:eastAsia="方正书宋简体" w:cs="Times New Roman"/>
                <w:color w:val="auto"/>
                <w:kern w:val="0"/>
                <w:szCs w:val="21"/>
                <w:highlight w:val="none"/>
                <w:lang w:bidi="ar"/>
              </w:rPr>
              <w:t xml:space="preserve"> </w:t>
            </w:r>
            <w:r>
              <w:rPr>
                <w:rFonts w:hint="eastAsia" w:ascii="Times New Roman" w:hAnsi="Times New Roman" w:eastAsia="方正书宋简体" w:cs="Times New Roman"/>
                <w:color w:val="auto"/>
                <w:kern w:val="0"/>
                <w:szCs w:val="21"/>
                <w:highlight w:val="none"/>
                <w:lang w:eastAsia="zh-CN" w:bidi="ar"/>
              </w:rPr>
              <w:t>有下列情形之一的</w:t>
            </w:r>
            <w:r>
              <w:rPr>
                <w:rFonts w:hint="eastAsia" w:ascii="Times New Roman" w:hAnsi="Times New Roman" w:eastAsia="方正书宋简体" w:cs="Times New Roman"/>
                <w:color w:val="auto"/>
                <w:kern w:val="0"/>
                <w:szCs w:val="21"/>
                <w:highlight w:val="none"/>
                <w:lang w:bidi="ar"/>
              </w:rPr>
              <w:t>，由公安机关责令改正，处</w:t>
            </w:r>
            <w:r>
              <w:rPr>
                <w:rFonts w:ascii="Times New Roman" w:hAnsi="Times New Roman" w:eastAsia="方正书宋简体" w:cs="Times New Roman"/>
                <w:color w:val="auto"/>
                <w:kern w:val="0"/>
                <w:szCs w:val="21"/>
                <w:highlight w:val="none"/>
                <w:lang w:bidi="ar"/>
              </w:rPr>
              <w:t>5</w:t>
            </w:r>
            <w:r>
              <w:rPr>
                <w:rFonts w:hint="eastAsia" w:ascii="Times New Roman" w:hAnsi="Times New Roman" w:eastAsia="方正书宋简体" w:cs="Times New Roman"/>
                <w:color w:val="auto"/>
                <w:kern w:val="0"/>
                <w:szCs w:val="21"/>
                <w:highlight w:val="none"/>
                <w:lang w:bidi="ar"/>
              </w:rPr>
              <w:t>万元以上</w:t>
            </w:r>
            <w:r>
              <w:rPr>
                <w:rFonts w:ascii="Times New Roman" w:hAnsi="Times New Roman" w:eastAsia="方正书宋简体" w:cs="Times New Roman"/>
                <w:color w:val="auto"/>
                <w:kern w:val="0"/>
                <w:szCs w:val="21"/>
                <w:highlight w:val="none"/>
                <w:lang w:bidi="ar"/>
              </w:rPr>
              <w:t>10</w:t>
            </w:r>
            <w:r>
              <w:rPr>
                <w:rFonts w:hint="eastAsia" w:ascii="Times New Roman" w:hAnsi="Times New Roman" w:eastAsia="方正书宋简体" w:cs="Times New Roman"/>
                <w:color w:val="auto"/>
                <w:kern w:val="0"/>
                <w:szCs w:val="21"/>
                <w:highlight w:val="none"/>
                <w:lang w:bidi="ar"/>
              </w:rPr>
              <w:t>万元以下的罚款；构成违反</w:t>
            </w:r>
          </w:p>
          <w:p>
            <w:pPr>
              <w:widowControl/>
              <w:spacing w:line="300" w:lineRule="exact"/>
              <w:jc w:val="lef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治安管理行为的，依法给予治安管理处罚；构成犯罪的，依法追究刑事责任：</w:t>
            </w:r>
            <w:r>
              <w:rPr>
                <w:rFonts w:ascii="Times New Roman" w:hAnsi="Times New Roman" w:eastAsia="方正书宋简体" w:cs="Times New Roman"/>
                <w:color w:val="auto"/>
                <w:kern w:val="0"/>
                <w:szCs w:val="21"/>
                <w:highlight w:val="none"/>
                <w:lang w:bidi="ar"/>
              </w:rPr>
              <w:t xml:space="preserve">                    </w:t>
            </w:r>
            <w:r>
              <w:rPr>
                <w:rFonts w:hint="eastAsia" w:ascii="Times New Roman" w:hAnsi="Times New Roman" w:eastAsia="方正书宋简体" w:cs="Times New Roman"/>
                <w:color w:val="auto"/>
                <w:kern w:val="0"/>
                <w:szCs w:val="21"/>
                <w:highlight w:val="none"/>
                <w:lang w:bidi="ar"/>
              </w:rPr>
              <w:t>（一）超过运输车辆的核定载质量装载危险化学品的；</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（二）使用安全技术条件不符合国家标准要求的车辆运输危险化学品的；</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（三）运输危险化学品的车辆未经公安机关批</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准进入危险化学品运输车辆限制通行的区域的；</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（四）未取得剧毒化学品道路运输通行证，通过道路运输剧毒化学品的。</w:t>
            </w:r>
          </w:p>
          <w:p>
            <w:pPr>
              <w:widowControl/>
              <w:spacing w:line="300" w:lineRule="exact"/>
              <w:jc w:val="left"/>
              <w:textAlignment w:val="top"/>
              <w:rPr>
                <w:rFonts w:ascii="Times New Roman" w:hAnsi="Times New Roman" w:eastAsia="方正书宋简体" w:cs="Times New Roman"/>
                <w:color w:val="auto"/>
                <w:kern w:val="0"/>
                <w:szCs w:val="21"/>
                <w:highlight w:val="none"/>
                <w:lang w:bidi="ar"/>
              </w:rPr>
            </w:pPr>
          </w:p>
          <w:p>
            <w:pPr>
              <w:widowControl/>
              <w:spacing w:line="300" w:lineRule="exact"/>
              <w:jc w:val="left"/>
              <w:textAlignment w:val="top"/>
              <w:rPr>
                <w:rFonts w:ascii="Times New Roman" w:hAnsi="Times New Roman" w:eastAsia="方正书宋简体" w:cs="Times New Roman"/>
                <w:color w:val="auto"/>
                <w:kern w:val="0"/>
                <w:szCs w:val="21"/>
                <w:highlight w:val="none"/>
                <w:lang w:bidi="ar"/>
              </w:rPr>
            </w:pPr>
          </w:p>
        </w:tc>
        <w:tc>
          <w:tcPr>
            <w:tcW w:w="2070" w:type="dxa"/>
            <w:tcBorders>
              <w:tl2br w:val="nil"/>
              <w:tr2bl w:val="nil"/>
            </w:tcBorders>
            <w:shd w:val="clear" w:color="auto" w:fill="auto"/>
          </w:tcPr>
          <w:p>
            <w:pPr>
              <w:widowControl/>
              <w:spacing w:line="300" w:lineRule="exact"/>
              <w:textAlignment w:val="top"/>
              <w:rPr>
                <w:rFonts w:hint="eastAsia" w:ascii="Times New Roman" w:hAnsi="Times New Roman" w:eastAsia="方正书宋简体" w:cs="Times New Roman"/>
                <w:color w:val="auto"/>
                <w:kern w:val="0"/>
                <w:szCs w:val="21"/>
                <w:highlight w:val="none"/>
                <w:lang w:val="en-US" w:eastAsia="zh-CN"/>
              </w:rPr>
            </w:pPr>
            <w:r>
              <w:rPr>
                <w:rFonts w:ascii="Times New Roman" w:hAnsi="Times New Roman" w:eastAsia="方正书宋简体" w:cs="Times New Roman"/>
                <w:color w:val="auto"/>
                <w:kern w:val="0"/>
                <w:szCs w:val="21"/>
                <w:highlight w:val="none"/>
              </w:rPr>
              <w:t>初次</w:t>
            </w:r>
            <w:r>
              <w:rPr>
                <w:rFonts w:hint="eastAsia" w:ascii="Times New Roman" w:hAnsi="Times New Roman" w:eastAsia="方正书宋简体" w:cs="Times New Roman"/>
                <w:color w:val="auto"/>
                <w:kern w:val="0"/>
                <w:szCs w:val="21"/>
                <w:highlight w:val="none"/>
              </w:rPr>
              <w:t>违反此规定</w:t>
            </w:r>
            <w:r>
              <w:rPr>
                <w:rFonts w:ascii="Times New Roman" w:hAnsi="Times New Roman" w:eastAsia="方正书宋简体" w:cs="Times New Roman"/>
                <w:color w:val="auto"/>
                <w:kern w:val="0"/>
                <w:szCs w:val="21"/>
                <w:highlight w:val="none"/>
              </w:rPr>
              <w:t>，无危害后果</w:t>
            </w:r>
            <w:r>
              <w:rPr>
                <w:rFonts w:hint="eastAsia" w:ascii="Times New Roman" w:hAnsi="Times New Roman" w:eastAsia="方正书宋简体" w:cs="Times New Roman"/>
                <w:color w:val="auto"/>
                <w:kern w:val="0"/>
                <w:szCs w:val="21"/>
                <w:highlight w:val="none"/>
                <w:lang w:val="en-US" w:eastAsia="zh-CN"/>
              </w:rPr>
              <w:t>的</w:t>
            </w:r>
            <w:r>
              <w:rPr>
                <w:rFonts w:hint="eastAsia" w:ascii="Times New Roman" w:hAnsi="Times New Roman" w:eastAsia="方正书宋简体" w:cs="Times New Roman"/>
                <w:color w:val="auto"/>
                <w:kern w:val="0"/>
                <w:szCs w:val="21"/>
                <w:highlight w:val="none"/>
                <w:lang w:val="en-US" w:eastAsia="zh-CN" w:bidi="ar"/>
              </w:rPr>
              <w:t>。</w:t>
            </w:r>
          </w:p>
        </w:tc>
        <w:tc>
          <w:tcPr>
            <w:tcW w:w="1200" w:type="dxa"/>
            <w:gridSpan w:val="2"/>
            <w:tcBorders>
              <w:tl2br w:val="nil"/>
              <w:tr2bl w:val="nil"/>
            </w:tcBorders>
            <w:shd w:val="clear" w:color="auto" w:fill="auto"/>
          </w:tcPr>
          <w:p>
            <w:pPr>
              <w:widowControl/>
              <w:spacing w:line="300" w:lineRule="exact"/>
              <w:textAlignment w:val="top"/>
              <w:rPr>
                <w:rFonts w:hint="eastAsia" w:ascii="Times New Roman" w:hAnsi="Times New Roman" w:eastAsia="方正书宋简体" w:cs="Times New Roman"/>
                <w:color w:val="auto"/>
                <w:kern w:val="0"/>
                <w:szCs w:val="21"/>
                <w:highlight w:val="none"/>
                <w:lang w:eastAsia="zh-CN" w:bidi="ar"/>
              </w:rPr>
            </w:pPr>
            <w:r>
              <w:rPr>
                <w:rFonts w:hint="eastAsia" w:ascii="Times New Roman" w:hAnsi="Times New Roman" w:eastAsia="方正书宋简体" w:cs="Times New Roman"/>
                <w:color w:val="auto"/>
                <w:kern w:val="0"/>
                <w:szCs w:val="21"/>
                <w:highlight w:val="none"/>
                <w:lang w:bidi="ar"/>
              </w:rPr>
              <w:t>处</w:t>
            </w:r>
            <w:r>
              <w:rPr>
                <w:rFonts w:ascii="Times New Roman" w:hAnsi="Times New Roman" w:eastAsia="方正书宋简体" w:cs="Times New Roman"/>
                <w:color w:val="auto"/>
                <w:kern w:val="0"/>
                <w:szCs w:val="21"/>
                <w:highlight w:val="none"/>
                <w:lang w:bidi="ar"/>
              </w:rPr>
              <w:t>5</w:t>
            </w:r>
            <w:r>
              <w:rPr>
                <w:rFonts w:hint="eastAsia" w:ascii="Times New Roman" w:hAnsi="Times New Roman" w:eastAsia="方正书宋简体" w:cs="Times New Roman"/>
                <w:color w:val="auto"/>
                <w:kern w:val="0"/>
                <w:szCs w:val="21"/>
                <w:highlight w:val="none"/>
                <w:lang w:bidi="ar"/>
              </w:rPr>
              <w:t>万元以上</w:t>
            </w:r>
            <w:r>
              <w:rPr>
                <w:rFonts w:ascii="Times New Roman" w:hAnsi="Times New Roman" w:eastAsia="方正书宋简体" w:cs="Times New Roman"/>
                <w:color w:val="auto"/>
                <w:kern w:val="0"/>
                <w:szCs w:val="21"/>
                <w:highlight w:val="none"/>
                <w:lang w:bidi="ar"/>
              </w:rPr>
              <w:t>7</w:t>
            </w:r>
            <w:r>
              <w:rPr>
                <w:rFonts w:hint="eastAsia" w:ascii="Times New Roman" w:hAnsi="Times New Roman" w:eastAsia="方正书宋简体" w:cs="Times New Roman"/>
                <w:color w:val="auto"/>
                <w:kern w:val="0"/>
                <w:szCs w:val="21"/>
                <w:highlight w:val="none"/>
                <w:lang w:bidi="ar"/>
              </w:rPr>
              <w:t>万元以下的罚款</w:t>
            </w:r>
            <w:r>
              <w:rPr>
                <w:rFonts w:hint="eastAsia" w:ascii="Times New Roman" w:hAnsi="Times New Roman" w:eastAsia="方正书宋简体" w:cs="Times New Roman"/>
                <w:color w:val="auto"/>
                <w:kern w:val="0"/>
                <w:szCs w:val="21"/>
                <w:highlight w:val="none"/>
                <w:lang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970" w:hRule="atLeast"/>
        </w:trPr>
        <w:tc>
          <w:tcPr>
            <w:tcW w:w="1830"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85"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070" w:type="dxa"/>
            <w:tcBorders>
              <w:tl2br w:val="nil"/>
              <w:tr2bl w:val="nil"/>
            </w:tcBorders>
            <w:shd w:val="clear" w:color="auto" w:fill="auto"/>
          </w:tcPr>
          <w:p>
            <w:pPr>
              <w:numPr>
                <w:ilvl w:val="0"/>
                <w:numId w:val="0"/>
              </w:numPr>
              <w:rPr>
                <w:rFonts w:ascii="Times New Roman" w:hAnsi="Times New Roman" w:eastAsia="方正书宋简体" w:cs="Times New Roman"/>
                <w:color w:val="auto"/>
                <w:kern w:val="0"/>
                <w:szCs w:val="21"/>
                <w:highlight w:val="none"/>
              </w:rPr>
            </w:pPr>
            <w:r>
              <w:rPr>
                <w:rFonts w:hint="eastAsia" w:asciiTheme="minorEastAsia" w:hAnsiTheme="minorEastAsia" w:cstheme="minorEastAsia"/>
                <w:color w:val="auto"/>
                <w:kern w:val="0"/>
                <w:szCs w:val="21"/>
                <w:highlight w:val="none"/>
                <w:lang w:val="en-US" w:eastAsia="zh-CN" w:bidi="ar"/>
              </w:rPr>
              <w:t>1、</w:t>
            </w:r>
            <w:r>
              <w:rPr>
                <w:rFonts w:hint="eastAsia" w:asciiTheme="minorEastAsia" w:hAnsiTheme="minorEastAsia" w:cstheme="minorEastAsia"/>
                <w:color w:val="auto"/>
                <w:kern w:val="0"/>
                <w:szCs w:val="21"/>
                <w:highlight w:val="none"/>
                <w:lang w:bidi="ar"/>
              </w:rPr>
              <w:t>两年内曾违反此规定</w:t>
            </w:r>
            <w:r>
              <w:rPr>
                <w:rFonts w:hint="eastAsia" w:ascii="Times New Roman" w:hAnsi="Times New Roman" w:eastAsia="方正书宋简体" w:cs="Times New Roman"/>
                <w:color w:val="auto"/>
                <w:kern w:val="0"/>
                <w:szCs w:val="21"/>
                <w:highlight w:val="none"/>
              </w:rPr>
              <w:t>；</w:t>
            </w:r>
          </w:p>
          <w:p>
            <w:pPr>
              <w:numPr>
                <w:ilvl w:val="0"/>
                <w:numId w:val="0"/>
              </w:numPr>
              <w:rPr>
                <w:rFonts w:ascii="Times New Roman" w:hAnsi="Times New Roman" w:eastAsia="方正书宋简体" w:cs="Times New Roman"/>
                <w:color w:val="auto"/>
                <w:kern w:val="0"/>
                <w:szCs w:val="21"/>
                <w:highlight w:val="none"/>
              </w:rPr>
            </w:pPr>
            <w:r>
              <w:rPr>
                <w:rFonts w:hint="eastAsia" w:ascii="Times New Roman" w:hAnsi="Times New Roman" w:eastAsia="方正书宋简体" w:cs="Times New Roman"/>
                <w:color w:val="auto"/>
                <w:kern w:val="0"/>
                <w:szCs w:val="21"/>
                <w:highlight w:val="none"/>
                <w:lang w:val="en-US" w:eastAsia="zh-CN"/>
              </w:rPr>
              <w:t>2、</w:t>
            </w:r>
            <w:r>
              <w:rPr>
                <w:rFonts w:ascii="Times New Roman" w:hAnsi="Times New Roman" w:eastAsia="方正书宋简体" w:cs="Times New Roman"/>
                <w:color w:val="auto"/>
                <w:kern w:val="0"/>
                <w:szCs w:val="21"/>
                <w:highlight w:val="none"/>
              </w:rPr>
              <w:t>造成严重后果，</w:t>
            </w:r>
            <w:r>
              <w:rPr>
                <w:rFonts w:hint="eastAsia" w:ascii="Times New Roman" w:hAnsi="Times New Roman" w:eastAsia="方正书宋简体" w:cs="Times New Roman"/>
                <w:color w:val="auto"/>
                <w:kern w:val="0"/>
                <w:szCs w:val="21"/>
                <w:highlight w:val="none"/>
              </w:rPr>
              <w:t>人身和</w:t>
            </w:r>
            <w:r>
              <w:rPr>
                <w:rFonts w:ascii="Times New Roman" w:hAnsi="Times New Roman" w:eastAsia="方正书宋简体" w:cs="Times New Roman"/>
                <w:color w:val="auto"/>
                <w:kern w:val="0"/>
                <w:szCs w:val="21"/>
                <w:highlight w:val="none"/>
              </w:rPr>
              <w:t>财产损失，</w:t>
            </w:r>
            <w:r>
              <w:rPr>
                <w:rFonts w:hint="eastAsia" w:ascii="Times New Roman" w:hAnsi="Times New Roman" w:eastAsia="方正书宋简体" w:cs="Times New Roman"/>
                <w:color w:val="auto"/>
                <w:kern w:val="0"/>
                <w:szCs w:val="21"/>
                <w:highlight w:val="none"/>
              </w:rPr>
              <w:t>或其他严重</w:t>
            </w:r>
            <w:r>
              <w:rPr>
                <w:rFonts w:ascii="Times New Roman" w:hAnsi="Times New Roman" w:eastAsia="方正书宋简体" w:cs="Times New Roman"/>
                <w:color w:val="auto"/>
                <w:kern w:val="0"/>
                <w:szCs w:val="21"/>
                <w:highlight w:val="none"/>
              </w:rPr>
              <w:t>社会影响</w:t>
            </w:r>
            <w:r>
              <w:rPr>
                <w:rFonts w:hint="eastAsia" w:ascii="Times New Roman" w:hAnsi="Times New Roman" w:eastAsia="方正书宋简体" w:cs="Times New Roman"/>
                <w:color w:val="auto"/>
                <w:kern w:val="0"/>
                <w:szCs w:val="21"/>
                <w:highlight w:val="none"/>
                <w:lang w:val="en-US" w:eastAsia="zh-CN"/>
              </w:rPr>
              <w:t>的</w:t>
            </w:r>
            <w:r>
              <w:rPr>
                <w:rFonts w:ascii="Times New Roman" w:hAnsi="Times New Roman" w:eastAsia="方正书宋简体" w:cs="Times New Roman"/>
                <w:color w:val="auto"/>
                <w:kern w:val="0"/>
                <w:szCs w:val="21"/>
                <w:highlight w:val="none"/>
              </w:rPr>
              <w:t>。</w:t>
            </w:r>
          </w:p>
          <w:p>
            <w:pPr>
              <w:widowControl/>
              <w:spacing w:line="300" w:lineRule="exact"/>
              <w:textAlignment w:val="top"/>
              <w:rPr>
                <w:rFonts w:hint="eastAsia" w:ascii="Times New Roman" w:hAnsi="Times New Roman" w:eastAsia="方正书宋简体" w:cs="Times New Roman"/>
                <w:color w:val="auto"/>
                <w:kern w:val="0"/>
                <w:szCs w:val="21"/>
                <w:highlight w:val="none"/>
                <w:lang w:val="en-US" w:eastAsia="zh-CN" w:bidi="ar"/>
              </w:rPr>
            </w:pPr>
          </w:p>
        </w:tc>
        <w:tc>
          <w:tcPr>
            <w:tcW w:w="1200" w:type="dxa"/>
            <w:gridSpan w:val="2"/>
            <w:tcBorders>
              <w:tl2br w:val="nil"/>
              <w:tr2bl w:val="nil"/>
            </w:tcBorders>
            <w:shd w:val="clear" w:color="auto" w:fill="auto"/>
          </w:tcPr>
          <w:p>
            <w:pPr>
              <w:widowControl/>
              <w:spacing w:line="300" w:lineRule="exact"/>
              <w:textAlignment w:val="top"/>
              <w:rPr>
                <w:rFonts w:hint="eastAsia" w:ascii="Times New Roman" w:hAnsi="Times New Roman" w:eastAsia="方正书宋简体" w:cs="Times New Roman"/>
                <w:color w:val="auto"/>
                <w:kern w:val="0"/>
                <w:szCs w:val="21"/>
                <w:highlight w:val="none"/>
                <w:lang w:eastAsia="zh-CN" w:bidi="ar"/>
              </w:rPr>
            </w:pPr>
            <w:r>
              <w:rPr>
                <w:rFonts w:hint="eastAsia" w:ascii="Times New Roman" w:hAnsi="Times New Roman" w:eastAsia="方正书宋简体" w:cs="Times New Roman"/>
                <w:color w:val="auto"/>
                <w:kern w:val="0"/>
                <w:szCs w:val="21"/>
                <w:highlight w:val="none"/>
                <w:lang w:bidi="ar"/>
              </w:rPr>
              <w:t>处</w:t>
            </w:r>
            <w:r>
              <w:rPr>
                <w:rFonts w:ascii="Times New Roman" w:hAnsi="Times New Roman" w:eastAsia="方正书宋简体" w:cs="Times New Roman"/>
                <w:color w:val="auto"/>
                <w:kern w:val="0"/>
                <w:szCs w:val="21"/>
                <w:highlight w:val="none"/>
                <w:lang w:bidi="ar"/>
              </w:rPr>
              <w:t>7</w:t>
            </w:r>
            <w:r>
              <w:rPr>
                <w:rFonts w:hint="eastAsia" w:ascii="Times New Roman" w:hAnsi="Times New Roman" w:eastAsia="方正书宋简体" w:cs="Times New Roman"/>
                <w:color w:val="auto"/>
                <w:kern w:val="0"/>
                <w:szCs w:val="21"/>
                <w:highlight w:val="none"/>
                <w:lang w:bidi="ar"/>
              </w:rPr>
              <w:t>万元以上</w:t>
            </w:r>
            <w:r>
              <w:rPr>
                <w:rFonts w:ascii="Times New Roman" w:hAnsi="Times New Roman" w:eastAsia="方正书宋简体" w:cs="Times New Roman"/>
                <w:color w:val="auto"/>
                <w:kern w:val="0"/>
                <w:szCs w:val="21"/>
                <w:highlight w:val="none"/>
                <w:lang w:bidi="ar"/>
              </w:rPr>
              <w:t>10</w:t>
            </w:r>
            <w:r>
              <w:rPr>
                <w:rFonts w:hint="eastAsia" w:ascii="Times New Roman" w:hAnsi="Times New Roman" w:eastAsia="方正书宋简体" w:cs="Times New Roman"/>
                <w:color w:val="auto"/>
                <w:kern w:val="0"/>
                <w:szCs w:val="21"/>
                <w:highlight w:val="none"/>
                <w:lang w:bidi="ar"/>
              </w:rPr>
              <w:t>万元以下的罚款</w:t>
            </w:r>
            <w:r>
              <w:rPr>
                <w:rFonts w:hint="eastAsia" w:ascii="Times New Roman" w:hAnsi="Times New Roman" w:eastAsia="方正书宋简体" w:cs="Times New Roman"/>
                <w:color w:val="auto"/>
                <w:kern w:val="0"/>
                <w:szCs w:val="21"/>
                <w:highlight w:val="none"/>
                <w:lang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205" w:hRule="atLeast"/>
        </w:trPr>
        <w:tc>
          <w:tcPr>
            <w:tcW w:w="1830" w:type="dxa"/>
            <w:vMerge w:val="restart"/>
            <w:tcBorders>
              <w:tl2br w:val="nil"/>
              <w:tr2bl w:val="nil"/>
            </w:tcBorders>
            <w:shd w:val="clear" w:color="auto" w:fill="auto"/>
          </w:tcPr>
          <w:p>
            <w:pPr>
              <w:widowControl/>
              <w:numPr>
                <w:ilvl w:val="0"/>
                <w:numId w:val="6"/>
              </w:numPr>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危险化学品运输车辆未悬挂或者喷涂警示标志，或者悬挂或者喷涂的警示标志不符合国家标准要求；</w:t>
            </w:r>
            <w:r>
              <w:rPr>
                <w:rFonts w:hint="eastAsia" w:ascii="Times New Roman" w:hAnsi="Times New Roman" w:eastAsia="方正书宋简体" w:cs="Times New Roman"/>
                <w:color w:val="auto"/>
                <w:kern w:val="0"/>
                <w:szCs w:val="21"/>
                <w:highlight w:val="none"/>
                <w:lang w:bidi="ar"/>
              </w:rPr>
              <w:br w:type="textWrapping"/>
            </w:r>
            <w:r>
              <w:rPr>
                <w:rFonts w:ascii="Times New Roman" w:hAnsi="Times New Roman" w:eastAsia="方正书宋简体" w:cs="Times New Roman"/>
                <w:color w:val="auto"/>
                <w:kern w:val="0"/>
                <w:szCs w:val="21"/>
                <w:highlight w:val="none"/>
                <w:lang w:bidi="ar"/>
              </w:rPr>
              <w:t>2</w:t>
            </w:r>
            <w:r>
              <w:rPr>
                <w:rFonts w:hint="eastAsia" w:ascii="Times New Roman" w:hAnsi="Times New Roman" w:eastAsia="方正书宋简体" w:cs="Times New Roman"/>
                <w:color w:val="auto"/>
                <w:kern w:val="0"/>
                <w:szCs w:val="21"/>
                <w:highlight w:val="none"/>
                <w:lang w:bidi="ar"/>
              </w:rPr>
              <w:t>、通过道路运输危险化学品，不配备押运人员；</w:t>
            </w:r>
            <w:r>
              <w:rPr>
                <w:rFonts w:hint="eastAsia" w:ascii="Times New Roman" w:hAnsi="Times New Roman" w:eastAsia="方正书宋简体" w:cs="Times New Roman"/>
                <w:color w:val="auto"/>
                <w:kern w:val="0"/>
                <w:szCs w:val="21"/>
                <w:highlight w:val="none"/>
                <w:lang w:bidi="ar"/>
              </w:rPr>
              <w:br w:type="textWrapping"/>
            </w:r>
            <w:r>
              <w:rPr>
                <w:rFonts w:ascii="Times New Roman" w:hAnsi="Times New Roman" w:eastAsia="方正书宋简体" w:cs="Times New Roman"/>
                <w:color w:val="auto"/>
                <w:kern w:val="0"/>
                <w:szCs w:val="21"/>
                <w:highlight w:val="none"/>
                <w:lang w:bidi="ar"/>
              </w:rPr>
              <w:t>3</w:t>
            </w:r>
            <w:r>
              <w:rPr>
                <w:rFonts w:hint="eastAsia" w:ascii="Times New Roman" w:hAnsi="Times New Roman" w:eastAsia="方正书宋简体" w:cs="Times New Roman"/>
                <w:color w:val="auto"/>
                <w:kern w:val="0"/>
                <w:szCs w:val="21"/>
                <w:highlight w:val="none"/>
                <w:lang w:bidi="ar"/>
              </w:rPr>
              <w:t>、运输剧毒化学品或者易制爆危险化学品途中需要较长时间停车，驾驶人员、押运人员不向当地公安机关报告；</w:t>
            </w:r>
            <w:r>
              <w:rPr>
                <w:rFonts w:hint="eastAsia" w:ascii="Times New Roman" w:hAnsi="Times New Roman" w:eastAsia="方正书宋简体" w:cs="Times New Roman"/>
                <w:color w:val="auto"/>
                <w:kern w:val="0"/>
                <w:szCs w:val="21"/>
                <w:highlight w:val="none"/>
                <w:lang w:bidi="ar"/>
              </w:rPr>
              <w:br w:type="textWrapping"/>
            </w:r>
            <w:r>
              <w:rPr>
                <w:rFonts w:ascii="Times New Roman" w:hAnsi="Times New Roman" w:eastAsia="方正书宋简体" w:cs="Times New Roman"/>
                <w:color w:val="auto"/>
                <w:kern w:val="0"/>
                <w:szCs w:val="21"/>
                <w:highlight w:val="none"/>
                <w:lang w:bidi="ar"/>
              </w:rPr>
              <w:t>4</w:t>
            </w:r>
            <w:r>
              <w:rPr>
                <w:rFonts w:hint="eastAsia" w:ascii="Times New Roman" w:hAnsi="Times New Roman" w:eastAsia="方正书宋简体" w:cs="Times New Roman"/>
                <w:color w:val="auto"/>
                <w:kern w:val="0"/>
                <w:szCs w:val="21"/>
                <w:highlight w:val="none"/>
                <w:lang w:bidi="ar"/>
              </w:rPr>
              <w:t>、剧毒化学品、易</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制爆危险化学品在</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道路运输途中丢失、被盗、被抢或者发生流散、泄露等情况，驾驶人员、押运人员不采取必要的警示措施和安全措施，或者不向当地公安机关报告。</w:t>
            </w:r>
          </w:p>
        </w:tc>
        <w:tc>
          <w:tcPr>
            <w:tcW w:w="2385" w:type="dxa"/>
            <w:vMerge w:val="restart"/>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第八十九条</w:t>
            </w:r>
            <w:r>
              <w:rPr>
                <w:rFonts w:ascii="Times New Roman" w:hAnsi="Times New Roman" w:eastAsia="方正书宋简体" w:cs="Times New Roman"/>
                <w:color w:val="auto"/>
                <w:kern w:val="0"/>
                <w:szCs w:val="21"/>
                <w:highlight w:val="none"/>
                <w:lang w:bidi="ar"/>
              </w:rPr>
              <w:t xml:space="preserve"> </w:t>
            </w:r>
            <w:r>
              <w:rPr>
                <w:rFonts w:hint="eastAsia" w:ascii="Times New Roman" w:hAnsi="Times New Roman" w:eastAsia="方正书宋简体" w:cs="Times New Roman"/>
                <w:color w:val="auto"/>
                <w:kern w:val="0"/>
                <w:szCs w:val="21"/>
                <w:highlight w:val="none"/>
                <w:lang w:bidi="ar"/>
              </w:rPr>
              <w:t xml:space="preserve"> </w:t>
            </w:r>
            <w:r>
              <w:rPr>
                <w:rFonts w:hint="eastAsia" w:ascii="Times New Roman" w:hAnsi="Times New Roman" w:eastAsia="方正书宋简体" w:cs="Times New Roman"/>
                <w:color w:val="auto"/>
                <w:kern w:val="0"/>
                <w:szCs w:val="21"/>
                <w:highlight w:val="none"/>
                <w:lang w:eastAsia="zh-CN" w:bidi="ar"/>
              </w:rPr>
              <w:t>有下列情形之一的</w:t>
            </w:r>
            <w:r>
              <w:rPr>
                <w:rFonts w:hint="eastAsia" w:ascii="Times New Roman" w:hAnsi="Times New Roman" w:eastAsia="方正书宋简体" w:cs="Times New Roman"/>
                <w:color w:val="auto"/>
                <w:kern w:val="0"/>
                <w:szCs w:val="21"/>
                <w:highlight w:val="none"/>
                <w:lang w:bidi="ar"/>
              </w:rPr>
              <w:t>，由公安机关责令改正，处</w:t>
            </w:r>
            <w:r>
              <w:rPr>
                <w:rFonts w:ascii="Times New Roman" w:hAnsi="Times New Roman" w:eastAsia="方正书宋简体" w:cs="Times New Roman"/>
                <w:color w:val="auto"/>
                <w:kern w:val="0"/>
                <w:szCs w:val="21"/>
                <w:highlight w:val="none"/>
                <w:lang w:bidi="ar"/>
              </w:rPr>
              <w:t>1</w:t>
            </w:r>
            <w:r>
              <w:rPr>
                <w:rFonts w:hint="eastAsia" w:ascii="Times New Roman" w:hAnsi="Times New Roman" w:eastAsia="方正书宋简体" w:cs="Times New Roman"/>
                <w:color w:val="auto"/>
                <w:kern w:val="0"/>
                <w:szCs w:val="21"/>
                <w:highlight w:val="none"/>
                <w:lang w:bidi="ar"/>
              </w:rPr>
              <w:t>万元以上</w:t>
            </w:r>
            <w:r>
              <w:rPr>
                <w:rFonts w:ascii="Times New Roman" w:hAnsi="Times New Roman" w:eastAsia="方正书宋简体" w:cs="Times New Roman"/>
                <w:color w:val="auto"/>
                <w:kern w:val="0"/>
                <w:szCs w:val="21"/>
                <w:highlight w:val="none"/>
                <w:lang w:bidi="ar"/>
              </w:rPr>
              <w:t>5</w:t>
            </w:r>
            <w:r>
              <w:rPr>
                <w:rFonts w:hint="eastAsia" w:ascii="Times New Roman" w:hAnsi="Times New Roman" w:eastAsia="方正书宋简体" w:cs="Times New Roman"/>
                <w:color w:val="auto"/>
                <w:kern w:val="0"/>
                <w:szCs w:val="21"/>
                <w:highlight w:val="none"/>
                <w:lang w:bidi="ar"/>
              </w:rPr>
              <w:t>万元以下的罚款；构成违反治安管理行为的，依法给予治安管理处罚：</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（一）危险化学品运输车辆未悬挂或者喷涂警示标志，或者悬挂或者喷涂的警示标志不符合国家标准要求的；</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（二）通过道路运输危险化学品，不配备押运人员的；</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（三）运输剧毒化学品或</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者易制爆危险化学品途中</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需要较长时间停车，驾驶</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人员、押运人员不向当地公安机关报告的；</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（四）剧毒化学品、易制</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爆危险化学品在道路运输途中丢失、被盗、被抢或者发生流散、泄露等情况，驾驶人员、押运人员不采取必要的警示措施和安全措施，或者不向当地公安机关报告的。</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070" w:type="dxa"/>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ascii="Times New Roman" w:hAnsi="Times New Roman" w:eastAsia="方正书宋简体" w:cs="Times New Roman"/>
                <w:color w:val="auto"/>
                <w:kern w:val="0"/>
                <w:szCs w:val="21"/>
                <w:highlight w:val="none"/>
              </w:rPr>
              <w:t>初次</w:t>
            </w:r>
            <w:r>
              <w:rPr>
                <w:rFonts w:hint="eastAsia" w:ascii="Times New Roman" w:hAnsi="Times New Roman" w:eastAsia="方正书宋简体" w:cs="Times New Roman"/>
                <w:color w:val="auto"/>
                <w:kern w:val="0"/>
                <w:szCs w:val="21"/>
                <w:highlight w:val="none"/>
              </w:rPr>
              <w:t>违反此规定</w:t>
            </w:r>
            <w:r>
              <w:rPr>
                <w:rFonts w:ascii="Times New Roman" w:hAnsi="Times New Roman" w:eastAsia="方正书宋简体" w:cs="Times New Roman"/>
                <w:color w:val="auto"/>
                <w:kern w:val="0"/>
                <w:szCs w:val="21"/>
                <w:highlight w:val="none"/>
              </w:rPr>
              <w:t>，无危害后果</w:t>
            </w:r>
            <w:r>
              <w:rPr>
                <w:rFonts w:hint="eastAsia" w:ascii="Times New Roman" w:hAnsi="Times New Roman" w:eastAsia="方正书宋简体" w:cs="Times New Roman"/>
                <w:color w:val="auto"/>
                <w:kern w:val="0"/>
                <w:szCs w:val="21"/>
                <w:highlight w:val="none"/>
                <w:lang w:val="en-US" w:eastAsia="zh-CN"/>
              </w:rPr>
              <w:t>的。</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1200" w:type="dxa"/>
            <w:gridSpan w:val="2"/>
            <w:tcBorders>
              <w:tl2br w:val="nil"/>
              <w:tr2bl w:val="nil"/>
            </w:tcBorders>
            <w:shd w:val="clear" w:color="auto" w:fill="auto"/>
          </w:tcPr>
          <w:p>
            <w:pPr>
              <w:widowControl/>
              <w:spacing w:line="300" w:lineRule="exact"/>
              <w:textAlignment w:val="top"/>
              <w:rPr>
                <w:rFonts w:hint="eastAsia" w:ascii="Times New Roman" w:hAnsi="Times New Roman" w:eastAsia="方正书宋简体" w:cs="Times New Roman"/>
                <w:color w:val="auto"/>
                <w:kern w:val="0"/>
                <w:szCs w:val="21"/>
                <w:highlight w:val="none"/>
                <w:lang w:eastAsia="zh-CN" w:bidi="ar"/>
              </w:rPr>
            </w:pPr>
            <w:r>
              <w:rPr>
                <w:rFonts w:hint="eastAsia" w:ascii="Times New Roman" w:hAnsi="Times New Roman" w:eastAsia="方正书宋简体" w:cs="Times New Roman"/>
                <w:color w:val="auto"/>
                <w:kern w:val="0"/>
                <w:szCs w:val="21"/>
                <w:highlight w:val="none"/>
                <w:lang w:bidi="ar"/>
              </w:rPr>
              <w:t>处</w:t>
            </w:r>
            <w:r>
              <w:rPr>
                <w:rFonts w:ascii="Times New Roman" w:hAnsi="Times New Roman" w:eastAsia="方正书宋简体" w:cs="Times New Roman"/>
                <w:color w:val="auto"/>
                <w:kern w:val="0"/>
                <w:szCs w:val="21"/>
                <w:highlight w:val="none"/>
                <w:lang w:bidi="ar"/>
              </w:rPr>
              <w:t>1</w:t>
            </w:r>
            <w:r>
              <w:rPr>
                <w:rFonts w:hint="eastAsia" w:ascii="Times New Roman" w:hAnsi="Times New Roman" w:eastAsia="方正书宋简体" w:cs="Times New Roman"/>
                <w:color w:val="auto"/>
                <w:kern w:val="0"/>
                <w:szCs w:val="21"/>
                <w:highlight w:val="none"/>
                <w:lang w:bidi="ar"/>
              </w:rPr>
              <w:t>万元以上</w:t>
            </w:r>
            <w:r>
              <w:rPr>
                <w:rFonts w:ascii="Times New Roman" w:hAnsi="Times New Roman" w:eastAsia="方正书宋简体" w:cs="Times New Roman"/>
                <w:color w:val="auto"/>
                <w:kern w:val="0"/>
                <w:szCs w:val="21"/>
                <w:highlight w:val="none"/>
                <w:lang w:bidi="ar"/>
              </w:rPr>
              <w:t>3</w:t>
            </w:r>
            <w:r>
              <w:rPr>
                <w:rFonts w:hint="eastAsia" w:ascii="Times New Roman" w:hAnsi="Times New Roman" w:eastAsia="方正书宋简体" w:cs="Times New Roman"/>
                <w:color w:val="auto"/>
                <w:kern w:val="0"/>
                <w:szCs w:val="21"/>
                <w:highlight w:val="none"/>
                <w:lang w:bidi="ar"/>
              </w:rPr>
              <w:t>万元以下的罚款</w:t>
            </w:r>
            <w:r>
              <w:rPr>
                <w:rFonts w:hint="eastAsia" w:ascii="Times New Roman" w:hAnsi="Times New Roman" w:eastAsia="方正书宋简体" w:cs="Times New Roman"/>
                <w:color w:val="auto"/>
                <w:kern w:val="0"/>
                <w:szCs w:val="21"/>
                <w:highlight w:val="none"/>
                <w:lang w:eastAsia="zh-CN" w:bidi="ar"/>
              </w:rPr>
              <w:t>。</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0" w:hRule="atLeast"/>
        </w:trPr>
        <w:tc>
          <w:tcPr>
            <w:tcW w:w="1830"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85"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070" w:type="dxa"/>
            <w:tcBorders>
              <w:tl2br w:val="nil"/>
              <w:tr2bl w:val="nil"/>
            </w:tcBorders>
            <w:shd w:val="clear" w:color="auto" w:fill="auto"/>
          </w:tcPr>
          <w:p>
            <w:pPr>
              <w:numPr>
                <w:ilvl w:val="0"/>
                <w:numId w:val="0"/>
              </w:numPr>
              <w:rPr>
                <w:rFonts w:ascii="Times New Roman" w:hAnsi="Times New Roman" w:eastAsia="方正书宋简体" w:cs="Times New Roman"/>
                <w:color w:val="auto"/>
                <w:kern w:val="0"/>
                <w:szCs w:val="21"/>
                <w:highlight w:val="none"/>
              </w:rPr>
            </w:pPr>
            <w:r>
              <w:rPr>
                <w:rFonts w:hint="eastAsia" w:asciiTheme="minorEastAsia" w:hAnsiTheme="minorEastAsia" w:cstheme="minorEastAsia"/>
                <w:color w:val="auto"/>
                <w:kern w:val="0"/>
                <w:szCs w:val="21"/>
                <w:highlight w:val="none"/>
                <w:lang w:val="en-US" w:eastAsia="zh-CN" w:bidi="ar"/>
              </w:rPr>
              <w:t>1、</w:t>
            </w:r>
            <w:r>
              <w:rPr>
                <w:rFonts w:hint="eastAsia" w:asciiTheme="minorEastAsia" w:hAnsiTheme="minorEastAsia" w:cstheme="minorEastAsia"/>
                <w:color w:val="auto"/>
                <w:kern w:val="0"/>
                <w:szCs w:val="21"/>
                <w:highlight w:val="none"/>
                <w:lang w:bidi="ar"/>
              </w:rPr>
              <w:t>两年内曾违反此规定</w:t>
            </w:r>
            <w:r>
              <w:rPr>
                <w:rFonts w:hint="eastAsia" w:ascii="Times New Roman" w:hAnsi="Times New Roman" w:eastAsia="方正书宋简体" w:cs="Times New Roman"/>
                <w:color w:val="auto"/>
                <w:kern w:val="0"/>
                <w:szCs w:val="21"/>
                <w:highlight w:val="none"/>
              </w:rPr>
              <w:t>；</w:t>
            </w:r>
          </w:p>
          <w:p>
            <w:pPr>
              <w:numPr>
                <w:ilvl w:val="0"/>
                <w:numId w:val="0"/>
              </w:numPr>
              <w:rPr>
                <w:rFonts w:ascii="Times New Roman" w:hAnsi="Times New Roman" w:eastAsia="方正书宋简体" w:cs="Times New Roman"/>
                <w:color w:val="auto"/>
                <w:kern w:val="0"/>
                <w:szCs w:val="21"/>
                <w:highlight w:val="none"/>
              </w:rPr>
            </w:pPr>
            <w:r>
              <w:rPr>
                <w:rFonts w:hint="eastAsia" w:ascii="Times New Roman" w:hAnsi="Times New Roman" w:eastAsia="方正书宋简体" w:cs="Times New Roman"/>
                <w:color w:val="auto"/>
                <w:kern w:val="0"/>
                <w:szCs w:val="21"/>
                <w:highlight w:val="none"/>
                <w:lang w:val="en-US" w:eastAsia="zh-CN"/>
              </w:rPr>
              <w:t>2、</w:t>
            </w:r>
            <w:r>
              <w:rPr>
                <w:rFonts w:ascii="Times New Roman" w:hAnsi="Times New Roman" w:eastAsia="方正书宋简体" w:cs="Times New Roman"/>
                <w:color w:val="auto"/>
                <w:kern w:val="0"/>
                <w:szCs w:val="21"/>
                <w:highlight w:val="none"/>
              </w:rPr>
              <w:t>造成</w:t>
            </w:r>
            <w:r>
              <w:rPr>
                <w:rFonts w:hint="eastAsia" w:ascii="Times New Roman" w:hAnsi="Times New Roman" w:eastAsia="方正书宋简体" w:cs="Times New Roman"/>
                <w:color w:val="auto"/>
                <w:kern w:val="0"/>
                <w:szCs w:val="21"/>
                <w:highlight w:val="none"/>
              </w:rPr>
              <w:t>人身和</w:t>
            </w:r>
            <w:r>
              <w:rPr>
                <w:rFonts w:ascii="Times New Roman" w:hAnsi="Times New Roman" w:eastAsia="方正书宋简体" w:cs="Times New Roman"/>
                <w:color w:val="auto"/>
                <w:kern w:val="0"/>
                <w:szCs w:val="21"/>
                <w:highlight w:val="none"/>
              </w:rPr>
              <w:t>财产损失，</w:t>
            </w:r>
            <w:r>
              <w:rPr>
                <w:rFonts w:hint="eastAsia" w:ascii="Times New Roman" w:hAnsi="Times New Roman" w:eastAsia="方正书宋简体" w:cs="Times New Roman"/>
                <w:color w:val="auto"/>
                <w:kern w:val="0"/>
                <w:szCs w:val="21"/>
                <w:highlight w:val="none"/>
              </w:rPr>
              <w:t>或其他</w:t>
            </w:r>
            <w:r>
              <w:rPr>
                <w:rFonts w:ascii="Times New Roman" w:hAnsi="Times New Roman" w:eastAsia="方正书宋简体" w:cs="Times New Roman"/>
                <w:color w:val="auto"/>
                <w:kern w:val="0"/>
                <w:szCs w:val="21"/>
                <w:highlight w:val="none"/>
              </w:rPr>
              <w:t>社会影响</w:t>
            </w:r>
            <w:r>
              <w:rPr>
                <w:rFonts w:hint="eastAsia" w:ascii="Times New Roman" w:hAnsi="Times New Roman" w:eastAsia="方正书宋简体" w:cs="Times New Roman"/>
                <w:color w:val="auto"/>
                <w:kern w:val="0"/>
                <w:szCs w:val="21"/>
                <w:highlight w:val="none"/>
                <w:lang w:val="en-US" w:eastAsia="zh-CN"/>
              </w:rPr>
              <w:t>的</w:t>
            </w:r>
            <w:r>
              <w:rPr>
                <w:rFonts w:ascii="Times New Roman" w:hAnsi="Times New Roman" w:eastAsia="方正书宋简体" w:cs="Times New Roman"/>
                <w:color w:val="auto"/>
                <w:kern w:val="0"/>
                <w:szCs w:val="21"/>
                <w:highlight w:val="none"/>
              </w:rPr>
              <w:t>。</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1200" w:type="dxa"/>
            <w:gridSpan w:val="2"/>
            <w:tcBorders>
              <w:tl2br w:val="nil"/>
              <w:tr2bl w:val="nil"/>
            </w:tcBorders>
            <w:shd w:val="clear" w:color="auto" w:fill="auto"/>
          </w:tcPr>
          <w:p>
            <w:pPr>
              <w:widowControl/>
              <w:spacing w:line="300" w:lineRule="exact"/>
              <w:textAlignment w:val="top"/>
              <w:rPr>
                <w:rFonts w:hint="eastAsia" w:ascii="Times New Roman" w:hAnsi="Times New Roman" w:eastAsia="方正书宋简体" w:cs="Times New Roman"/>
                <w:color w:val="auto"/>
                <w:kern w:val="0"/>
                <w:szCs w:val="21"/>
                <w:highlight w:val="none"/>
                <w:lang w:eastAsia="zh-CN" w:bidi="ar"/>
              </w:rPr>
            </w:pPr>
            <w:r>
              <w:rPr>
                <w:rFonts w:hint="eastAsia" w:ascii="Times New Roman" w:hAnsi="Times New Roman" w:eastAsia="方正书宋简体" w:cs="Times New Roman"/>
                <w:color w:val="auto"/>
                <w:kern w:val="0"/>
                <w:szCs w:val="21"/>
                <w:highlight w:val="none"/>
                <w:lang w:bidi="ar"/>
              </w:rPr>
              <w:t>处</w:t>
            </w:r>
            <w:r>
              <w:rPr>
                <w:rFonts w:ascii="Times New Roman" w:hAnsi="Times New Roman" w:eastAsia="方正书宋简体" w:cs="Times New Roman"/>
                <w:color w:val="auto"/>
                <w:kern w:val="0"/>
                <w:szCs w:val="21"/>
                <w:highlight w:val="none"/>
                <w:lang w:bidi="ar"/>
              </w:rPr>
              <w:t>3</w:t>
            </w:r>
            <w:r>
              <w:rPr>
                <w:rFonts w:hint="eastAsia" w:ascii="Times New Roman" w:hAnsi="Times New Roman" w:eastAsia="方正书宋简体" w:cs="Times New Roman"/>
                <w:color w:val="auto"/>
                <w:kern w:val="0"/>
                <w:szCs w:val="21"/>
                <w:highlight w:val="none"/>
                <w:lang w:bidi="ar"/>
              </w:rPr>
              <w:t>万元以上</w:t>
            </w:r>
            <w:r>
              <w:rPr>
                <w:rFonts w:ascii="Times New Roman" w:hAnsi="Times New Roman" w:eastAsia="方正书宋简体" w:cs="Times New Roman"/>
                <w:color w:val="auto"/>
                <w:kern w:val="0"/>
                <w:szCs w:val="21"/>
                <w:highlight w:val="none"/>
                <w:lang w:bidi="ar"/>
              </w:rPr>
              <w:t>5</w:t>
            </w:r>
            <w:r>
              <w:rPr>
                <w:rFonts w:hint="eastAsia" w:ascii="Times New Roman" w:hAnsi="Times New Roman" w:eastAsia="方正书宋简体" w:cs="Times New Roman"/>
                <w:color w:val="auto"/>
                <w:kern w:val="0"/>
                <w:szCs w:val="21"/>
                <w:highlight w:val="none"/>
                <w:lang w:bidi="ar"/>
              </w:rPr>
              <w:t>万元以下的罚款</w:t>
            </w:r>
            <w:r>
              <w:rPr>
                <w:rFonts w:hint="eastAsia" w:ascii="Times New Roman" w:hAnsi="Times New Roman" w:eastAsia="方正书宋简体" w:cs="Times New Roman"/>
                <w:color w:val="auto"/>
                <w:kern w:val="0"/>
                <w:szCs w:val="21"/>
                <w:highlight w:val="none"/>
                <w:lang w:eastAsia="zh-CN" w:bidi="ar"/>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531" w:hRule="atLeast"/>
        </w:trPr>
        <w:tc>
          <w:tcPr>
            <w:tcW w:w="1830" w:type="dxa"/>
            <w:vMerge w:val="restart"/>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1、伪造、变造或者出租、出借、转让本条例规定的其他许可证；</w:t>
            </w:r>
          </w:p>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2、使用伪造、变造的本条例规定的其他许可证。</w:t>
            </w:r>
          </w:p>
        </w:tc>
        <w:tc>
          <w:tcPr>
            <w:tcW w:w="2385" w:type="dxa"/>
            <w:vMerge w:val="restart"/>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第九十三条第二款  伪造、变造或者出租、出借、转让本条例规定的其他许可证，或者使用伪造、变造的本条例规定的其他许可证的，分别由相关许可证的颁发管理机关处</w:t>
            </w:r>
            <w:r>
              <w:rPr>
                <w:rFonts w:ascii="Times New Roman" w:hAnsi="Times New Roman" w:eastAsia="方正书宋简体" w:cs="Times New Roman"/>
                <w:color w:val="auto"/>
                <w:kern w:val="0"/>
                <w:szCs w:val="21"/>
                <w:highlight w:val="none"/>
                <w:lang w:bidi="ar"/>
              </w:rPr>
              <w:t>10</w:t>
            </w:r>
            <w:r>
              <w:rPr>
                <w:rFonts w:hint="eastAsia" w:ascii="Times New Roman" w:hAnsi="Times New Roman" w:eastAsia="方正书宋简体" w:cs="Times New Roman"/>
                <w:color w:val="auto"/>
                <w:kern w:val="0"/>
                <w:szCs w:val="21"/>
                <w:highlight w:val="none"/>
                <w:lang w:bidi="ar"/>
              </w:rPr>
              <w:t>万元以上</w:t>
            </w:r>
            <w:r>
              <w:rPr>
                <w:rFonts w:ascii="Times New Roman" w:hAnsi="Times New Roman" w:eastAsia="方正书宋简体" w:cs="Times New Roman"/>
                <w:color w:val="auto"/>
                <w:kern w:val="0"/>
                <w:szCs w:val="21"/>
                <w:highlight w:val="none"/>
                <w:lang w:bidi="ar"/>
              </w:rPr>
              <w:t>20</w:t>
            </w:r>
            <w:r>
              <w:rPr>
                <w:rFonts w:hint="eastAsia" w:ascii="Times New Roman" w:hAnsi="Times New Roman" w:eastAsia="方正书宋简体" w:cs="Times New Roman"/>
                <w:color w:val="auto"/>
                <w:kern w:val="0"/>
                <w:szCs w:val="21"/>
                <w:highlight w:val="none"/>
                <w:lang w:bidi="ar"/>
              </w:rPr>
              <w:t>万元以下的罚款，有违法所得的，没收违法所得；构成违反治安管理行为的，依法给予治安管理处罚；构成犯罪的，依法追究刑事责任。</w:t>
            </w:r>
          </w:p>
          <w:p>
            <w:pPr>
              <w:widowControl/>
              <w:spacing w:line="300" w:lineRule="exact"/>
              <w:textAlignment w:val="top"/>
              <w:rPr>
                <w:rFonts w:ascii="Times New Roman" w:hAnsi="Times New Roman" w:eastAsia="方正书宋简体" w:cs="Times New Roman"/>
                <w:color w:val="auto"/>
                <w:kern w:val="0"/>
                <w:szCs w:val="21"/>
                <w:highlight w:val="none"/>
                <w:lang w:bidi="ar"/>
              </w:rPr>
            </w:pPr>
          </w:p>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070" w:type="dxa"/>
            <w:tcBorders>
              <w:tl2br w:val="nil"/>
              <w:tr2bl w:val="nil"/>
            </w:tcBorders>
            <w:shd w:val="clear" w:color="auto" w:fill="auto"/>
          </w:tcPr>
          <w:p>
            <w:pPr>
              <w:rPr>
                <w:rFonts w:hint="eastAsia" w:ascii="Times New Roman" w:hAnsi="Times New Roman" w:eastAsia="方正书宋简体" w:cs="Times New Roman"/>
                <w:color w:val="auto"/>
                <w:kern w:val="0"/>
                <w:szCs w:val="21"/>
                <w:highlight w:val="none"/>
                <w:lang w:val="en-US" w:eastAsia="zh-CN" w:bidi="ar"/>
              </w:rPr>
            </w:pPr>
            <w:r>
              <w:rPr>
                <w:rFonts w:ascii="Times New Roman" w:hAnsi="Times New Roman" w:eastAsia="方正书宋简体" w:cs="Times New Roman"/>
                <w:color w:val="auto"/>
                <w:kern w:val="0"/>
                <w:szCs w:val="21"/>
                <w:highlight w:val="none"/>
              </w:rPr>
              <w:t>初次</w:t>
            </w:r>
            <w:r>
              <w:rPr>
                <w:rFonts w:hint="eastAsia" w:ascii="Times New Roman" w:hAnsi="Times New Roman" w:eastAsia="方正书宋简体" w:cs="Times New Roman"/>
                <w:color w:val="auto"/>
                <w:kern w:val="0"/>
                <w:szCs w:val="21"/>
                <w:highlight w:val="none"/>
              </w:rPr>
              <w:t>违反此规定</w:t>
            </w:r>
            <w:r>
              <w:rPr>
                <w:rFonts w:hint="eastAsia" w:ascii="Times New Roman" w:hAnsi="Times New Roman" w:eastAsia="方正书宋简体" w:cs="Times New Roman"/>
                <w:color w:val="auto"/>
                <w:kern w:val="0"/>
                <w:szCs w:val="21"/>
                <w:highlight w:val="none"/>
                <w:lang w:val="en-US" w:eastAsia="zh-CN"/>
              </w:rPr>
              <w:t>的。</w:t>
            </w:r>
          </w:p>
        </w:tc>
        <w:tc>
          <w:tcPr>
            <w:tcW w:w="1200" w:type="dxa"/>
            <w:gridSpan w:val="2"/>
            <w:tcBorders>
              <w:tl2br w:val="nil"/>
              <w:tr2bl w:val="nil"/>
            </w:tcBorders>
            <w:shd w:val="clear" w:color="auto" w:fill="auto"/>
          </w:tcPr>
          <w:p>
            <w:pPr>
              <w:rPr>
                <w:rFonts w:ascii="Times New Roman" w:hAnsi="Times New Roman" w:eastAsia="方正书宋简体" w:cs="Times New Roman"/>
                <w:color w:val="auto"/>
                <w:kern w:val="0"/>
                <w:szCs w:val="21"/>
                <w:highlight w:val="none"/>
                <w:lang w:bidi="ar"/>
              </w:rPr>
            </w:pPr>
            <w:r>
              <w:rPr>
                <w:rFonts w:ascii="Times New Roman" w:hAnsi="Times New Roman" w:eastAsia="方正书宋简体" w:cs="Times New Roman"/>
                <w:color w:val="auto"/>
                <w:kern w:val="0"/>
                <w:szCs w:val="21"/>
                <w:highlight w:val="none"/>
              </w:rPr>
              <w:t>处10万元以上12万元以下的罚款</w:t>
            </w:r>
            <w:r>
              <w:rPr>
                <w:rFonts w:hint="eastAsia" w:ascii="Times New Roman" w:hAnsi="Times New Roman" w:eastAsia="方正书宋简体" w:cs="Times New Roman"/>
                <w:color w:val="auto"/>
                <w:kern w:val="0"/>
                <w:szCs w:val="21"/>
                <w:highlight w:val="none"/>
              </w:rPr>
              <w:t>，</w:t>
            </w:r>
            <w:r>
              <w:rPr>
                <w:rFonts w:hint="eastAsia" w:ascii="Times New Roman" w:hAnsi="Times New Roman" w:eastAsia="方正书宋简体" w:cs="Times New Roman"/>
                <w:color w:val="auto"/>
                <w:kern w:val="0"/>
                <w:szCs w:val="21"/>
                <w:highlight w:val="none"/>
                <w:lang w:bidi="ar"/>
              </w:rPr>
              <w:t>有违法所得的，没收违法所得；构成违反治安管理行为的，依法给予治安管理处罚；构成犯罪的，依法追究刑事责任。</w:t>
            </w:r>
          </w:p>
          <w:p>
            <w:pPr>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gridAfter w:val="1"/>
          <w:wAfter w:w="6" w:type="dxa"/>
          <w:trHeight w:val="4256" w:hRule="atLeast"/>
        </w:trPr>
        <w:tc>
          <w:tcPr>
            <w:tcW w:w="1830"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85"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070" w:type="dxa"/>
            <w:tcBorders>
              <w:tl2br w:val="nil"/>
              <w:tr2bl w:val="nil"/>
            </w:tcBorders>
            <w:shd w:val="clear" w:color="auto" w:fill="auto"/>
          </w:tcPr>
          <w:p>
            <w:pPr>
              <w:rPr>
                <w:rFonts w:hint="eastAsia" w:ascii="Times New Roman" w:hAnsi="Times New Roman" w:cs="Times New Roman" w:eastAsiaTheme="minorEastAsia"/>
                <w:color w:val="auto"/>
                <w:kern w:val="0"/>
                <w:szCs w:val="21"/>
                <w:highlight w:val="none"/>
                <w:lang w:val="en-US" w:eastAsia="zh-CN" w:bidi="ar"/>
              </w:rPr>
            </w:pPr>
            <w:r>
              <w:rPr>
                <w:rFonts w:hint="eastAsia" w:asciiTheme="minorEastAsia" w:hAnsiTheme="minorEastAsia" w:cstheme="minorEastAsia"/>
                <w:color w:val="auto"/>
                <w:kern w:val="0"/>
                <w:szCs w:val="21"/>
                <w:highlight w:val="none"/>
                <w:lang w:bidi="ar"/>
              </w:rPr>
              <w:t>两年内再次违反此规定</w:t>
            </w:r>
            <w:r>
              <w:rPr>
                <w:rFonts w:hint="eastAsia" w:asciiTheme="minorEastAsia" w:hAnsiTheme="minorEastAsia" w:cstheme="minorEastAsia"/>
                <w:color w:val="auto"/>
                <w:kern w:val="0"/>
                <w:szCs w:val="21"/>
                <w:highlight w:val="none"/>
                <w:lang w:val="en-US" w:eastAsia="zh-CN" w:bidi="ar"/>
              </w:rPr>
              <w:t>的。</w:t>
            </w:r>
          </w:p>
        </w:tc>
        <w:tc>
          <w:tcPr>
            <w:tcW w:w="1194" w:type="dxa"/>
            <w:tcBorders>
              <w:tl2br w:val="nil"/>
              <w:tr2bl w:val="nil"/>
            </w:tcBorders>
            <w:shd w:val="clear" w:color="auto" w:fill="auto"/>
          </w:tcPr>
          <w:p>
            <w:pPr>
              <w:rPr>
                <w:rFonts w:ascii="Times New Roman" w:hAnsi="Times New Roman" w:eastAsia="方正书宋简体" w:cs="Times New Roman"/>
                <w:color w:val="auto"/>
                <w:kern w:val="0"/>
                <w:szCs w:val="21"/>
                <w:highlight w:val="none"/>
                <w:lang w:bidi="ar"/>
              </w:rPr>
            </w:pPr>
            <w:r>
              <w:rPr>
                <w:rFonts w:ascii="Times New Roman" w:hAnsi="Times New Roman" w:eastAsia="方正书宋简体" w:cs="Times New Roman"/>
                <w:color w:val="auto"/>
                <w:kern w:val="0"/>
                <w:szCs w:val="21"/>
                <w:highlight w:val="none"/>
              </w:rPr>
              <w:t>处12万元以上15万元以下的罚款</w:t>
            </w:r>
            <w:r>
              <w:rPr>
                <w:rFonts w:hint="eastAsia" w:ascii="Times New Roman" w:hAnsi="Times New Roman" w:eastAsia="方正书宋简体" w:cs="Times New Roman"/>
                <w:color w:val="auto"/>
                <w:kern w:val="0"/>
                <w:szCs w:val="21"/>
                <w:highlight w:val="none"/>
              </w:rPr>
              <w:t>，</w:t>
            </w:r>
            <w:r>
              <w:rPr>
                <w:rFonts w:hint="eastAsia" w:ascii="Times New Roman" w:hAnsi="Times New Roman" w:eastAsia="方正书宋简体" w:cs="Times New Roman"/>
                <w:color w:val="auto"/>
                <w:kern w:val="0"/>
                <w:szCs w:val="21"/>
                <w:highlight w:val="none"/>
                <w:lang w:bidi="ar"/>
              </w:rPr>
              <w:t>有违法所得的，没收违法所得；构成违反治安管理行为的，依法给予治安管理处罚；构成犯罪的，依法追究刑事责任。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gridAfter w:val="1"/>
          <w:wAfter w:w="6" w:type="dxa"/>
          <w:trHeight w:val="5039" w:hRule="atLeast"/>
        </w:trPr>
        <w:tc>
          <w:tcPr>
            <w:tcW w:w="1830"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385" w:type="dxa"/>
            <w:vMerge w:val="continue"/>
            <w:tcBorders>
              <w:tl2br w:val="nil"/>
              <w:tr2bl w:val="nil"/>
            </w:tcBorders>
            <w:shd w:val="clear" w:color="auto" w:fill="auto"/>
          </w:tcPr>
          <w:p>
            <w:pPr>
              <w:widowControl/>
              <w:spacing w:line="300" w:lineRule="exact"/>
              <w:textAlignment w:val="top"/>
              <w:rPr>
                <w:rFonts w:ascii="Times New Roman" w:hAnsi="Times New Roman" w:eastAsia="方正书宋简体" w:cs="Times New Roman"/>
                <w:color w:val="auto"/>
                <w:kern w:val="0"/>
                <w:szCs w:val="21"/>
                <w:highlight w:val="none"/>
                <w:lang w:bidi="ar"/>
              </w:rPr>
            </w:pPr>
          </w:p>
        </w:tc>
        <w:tc>
          <w:tcPr>
            <w:tcW w:w="2070" w:type="dxa"/>
            <w:tcBorders>
              <w:tl2br w:val="nil"/>
              <w:tr2bl w:val="nil"/>
            </w:tcBorders>
            <w:shd w:val="clear" w:color="auto" w:fill="auto"/>
          </w:tcPr>
          <w:p>
            <w:pPr>
              <w:rPr>
                <w:rFonts w:hint="eastAsia" w:ascii="Times New Roman" w:hAnsi="Times New Roman" w:eastAsia="方正书宋简体" w:cs="Times New Roman"/>
                <w:color w:val="auto"/>
                <w:kern w:val="0"/>
                <w:szCs w:val="21"/>
                <w:highlight w:val="none"/>
                <w:lang w:eastAsia="zh-CN"/>
              </w:rPr>
            </w:pPr>
            <w:r>
              <w:rPr>
                <w:rFonts w:ascii="Times New Roman" w:hAnsi="Times New Roman" w:eastAsia="方正书宋简体" w:cs="Times New Roman"/>
                <w:color w:val="auto"/>
                <w:kern w:val="0"/>
                <w:szCs w:val="21"/>
                <w:highlight w:val="none"/>
              </w:rPr>
              <w:t>造成</w:t>
            </w:r>
            <w:r>
              <w:rPr>
                <w:rFonts w:hint="eastAsia" w:ascii="Times New Roman" w:hAnsi="Times New Roman" w:eastAsia="方正书宋简体" w:cs="Times New Roman"/>
                <w:color w:val="auto"/>
                <w:kern w:val="0"/>
                <w:szCs w:val="21"/>
                <w:highlight w:val="none"/>
              </w:rPr>
              <w:t>人身和</w:t>
            </w:r>
            <w:r>
              <w:rPr>
                <w:rFonts w:ascii="Times New Roman" w:hAnsi="Times New Roman" w:eastAsia="方正书宋简体" w:cs="Times New Roman"/>
                <w:color w:val="auto"/>
                <w:kern w:val="0"/>
                <w:szCs w:val="21"/>
                <w:highlight w:val="none"/>
              </w:rPr>
              <w:t>财产损失，</w:t>
            </w:r>
            <w:r>
              <w:rPr>
                <w:rFonts w:hint="eastAsia" w:ascii="Times New Roman" w:hAnsi="Times New Roman" w:eastAsia="方正书宋简体" w:cs="Times New Roman"/>
                <w:color w:val="auto"/>
                <w:kern w:val="0"/>
                <w:szCs w:val="21"/>
                <w:highlight w:val="none"/>
              </w:rPr>
              <w:t>或其他</w:t>
            </w:r>
            <w:r>
              <w:rPr>
                <w:rFonts w:ascii="Times New Roman" w:hAnsi="Times New Roman" w:eastAsia="方正书宋简体" w:cs="Times New Roman"/>
                <w:color w:val="auto"/>
                <w:kern w:val="0"/>
                <w:szCs w:val="21"/>
                <w:highlight w:val="none"/>
              </w:rPr>
              <w:t>社会影响的</w:t>
            </w:r>
            <w:r>
              <w:rPr>
                <w:rFonts w:hint="eastAsia" w:ascii="Times New Roman" w:hAnsi="Times New Roman" w:eastAsia="方正书宋简体" w:cs="Times New Roman"/>
                <w:color w:val="auto"/>
                <w:kern w:val="0"/>
                <w:szCs w:val="21"/>
                <w:highlight w:val="none"/>
                <w:lang w:eastAsia="zh-CN"/>
              </w:rPr>
              <w:t>。</w:t>
            </w:r>
          </w:p>
          <w:p>
            <w:pPr>
              <w:rPr>
                <w:rFonts w:asciiTheme="minorEastAsia" w:hAnsiTheme="minorEastAsia" w:cstheme="minorEastAsia"/>
                <w:color w:val="auto"/>
                <w:kern w:val="0"/>
                <w:szCs w:val="21"/>
                <w:highlight w:val="none"/>
                <w:lang w:bidi="ar"/>
              </w:rPr>
            </w:pPr>
          </w:p>
        </w:tc>
        <w:tc>
          <w:tcPr>
            <w:tcW w:w="1194" w:type="dxa"/>
            <w:tcBorders>
              <w:tl2br w:val="nil"/>
              <w:tr2bl w:val="nil"/>
            </w:tcBorders>
            <w:shd w:val="clear" w:color="auto" w:fill="auto"/>
          </w:tcPr>
          <w:p>
            <w:pPr>
              <w:rPr>
                <w:rFonts w:ascii="Times New Roman" w:hAnsi="Times New Roman" w:eastAsia="方正书宋简体" w:cs="Times New Roman"/>
                <w:color w:val="auto"/>
                <w:kern w:val="0"/>
                <w:szCs w:val="21"/>
                <w:highlight w:val="none"/>
              </w:rPr>
            </w:pPr>
            <w:r>
              <w:rPr>
                <w:rFonts w:ascii="Times New Roman" w:hAnsi="Times New Roman" w:eastAsia="方正书宋简体" w:cs="Times New Roman"/>
                <w:color w:val="auto"/>
                <w:kern w:val="0"/>
                <w:szCs w:val="21"/>
                <w:highlight w:val="none"/>
              </w:rPr>
              <w:t>处15万元以上20万元以下的罚款</w:t>
            </w:r>
            <w:r>
              <w:rPr>
                <w:rFonts w:hint="eastAsia" w:ascii="Times New Roman" w:hAnsi="Times New Roman" w:eastAsia="方正书宋简体" w:cs="Times New Roman"/>
                <w:color w:val="auto"/>
                <w:kern w:val="0"/>
                <w:szCs w:val="21"/>
                <w:highlight w:val="none"/>
              </w:rPr>
              <w:t>，</w:t>
            </w:r>
            <w:r>
              <w:rPr>
                <w:rFonts w:hint="eastAsia" w:ascii="Times New Roman" w:hAnsi="Times New Roman" w:eastAsia="方正书宋简体" w:cs="Times New Roman"/>
                <w:color w:val="auto"/>
                <w:kern w:val="0"/>
                <w:szCs w:val="21"/>
                <w:highlight w:val="none"/>
                <w:lang w:bidi="ar"/>
              </w:rPr>
              <w:t>有违法所得的，没收违法所得；构成违反治安管理行为的，依法给予治安管理处罚；构成犯罪的，依法追究刑事责任。</w:t>
            </w:r>
          </w:p>
        </w:tc>
      </w:tr>
    </w:tbl>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仿宋_GB2312"/>
    <w:panose1 w:val="03000509000000000000"/>
    <w:charset w:val="86"/>
    <w:family w:val="auto"/>
    <w:pitch w:val="default"/>
    <w:sig w:usb0="00000000" w:usb1="00000000" w:usb2="00000000" w:usb3="00000000" w:csb0="00040000" w:csb1="00000000"/>
  </w:font>
  <w:font w:name="方正书宋简体">
    <w:altName w:val="宋体"/>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left" w:pos="2694"/>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asciiTheme="majorEastAsia" w:hAnsiTheme="majorEastAsia" w:eastAsiaTheme="majorEastAsia" w:cstheme="majorEastAsia"/>
                              <w:sz w:val="20"/>
                              <w:szCs w:val="20"/>
                            </w:rPr>
                            <w:fldChar w:fldCharType="begin"/>
                          </w:r>
                          <w:r>
                            <w:rPr>
                              <w:rFonts w:hint="eastAsia" w:asciiTheme="majorEastAsia" w:hAnsiTheme="majorEastAsia" w:eastAsiaTheme="majorEastAsia" w:cstheme="majorEastAsia"/>
                              <w:sz w:val="20"/>
                              <w:szCs w:val="20"/>
                            </w:rPr>
                            <w:instrText xml:space="preserve"> PAGE  \* MERGEFORMAT </w:instrText>
                          </w:r>
                          <w:r>
                            <w:rPr>
                              <w:rFonts w:hint="eastAsia" w:asciiTheme="majorEastAsia" w:hAnsiTheme="majorEastAsia" w:eastAsiaTheme="majorEastAsia" w:cstheme="majorEastAsia"/>
                              <w:sz w:val="20"/>
                              <w:szCs w:val="20"/>
                            </w:rPr>
                            <w:fldChar w:fldCharType="separate"/>
                          </w:r>
                          <w:r>
                            <w:rPr>
                              <w:rFonts w:hint="eastAsia" w:asciiTheme="majorEastAsia" w:hAnsiTheme="majorEastAsia" w:eastAsiaTheme="majorEastAsia" w:cstheme="majorEastAsia"/>
                              <w:sz w:val="20"/>
                              <w:szCs w:val="20"/>
                            </w:rPr>
                            <w:t>- 1 -</w:t>
                          </w:r>
                          <w:r>
                            <w:rPr>
                              <w:rFonts w:hint="eastAsia" w:asciiTheme="majorEastAsia" w:hAnsiTheme="majorEastAsia" w:eastAsiaTheme="majorEastAsia" w:cstheme="majorEastAsia"/>
                              <w:sz w:val="20"/>
                              <w:szCs w:val="20"/>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snapToGrid w:val="0"/>
                      <w:rPr>
                        <w:sz w:val="18"/>
                      </w:rPr>
                    </w:pPr>
                    <w:r>
                      <w:rPr>
                        <w:rFonts w:hint="eastAsia" w:asciiTheme="majorEastAsia" w:hAnsiTheme="majorEastAsia" w:eastAsiaTheme="majorEastAsia" w:cstheme="majorEastAsia"/>
                        <w:sz w:val="20"/>
                        <w:szCs w:val="20"/>
                      </w:rPr>
                      <w:fldChar w:fldCharType="begin"/>
                    </w:r>
                    <w:r>
                      <w:rPr>
                        <w:rFonts w:hint="eastAsia" w:asciiTheme="majorEastAsia" w:hAnsiTheme="majorEastAsia" w:eastAsiaTheme="majorEastAsia" w:cstheme="majorEastAsia"/>
                        <w:sz w:val="20"/>
                        <w:szCs w:val="20"/>
                      </w:rPr>
                      <w:instrText xml:space="preserve"> PAGE  \* MERGEFORMAT </w:instrText>
                    </w:r>
                    <w:r>
                      <w:rPr>
                        <w:rFonts w:hint="eastAsia" w:asciiTheme="majorEastAsia" w:hAnsiTheme="majorEastAsia" w:eastAsiaTheme="majorEastAsia" w:cstheme="majorEastAsia"/>
                        <w:sz w:val="20"/>
                        <w:szCs w:val="20"/>
                      </w:rPr>
                      <w:fldChar w:fldCharType="separate"/>
                    </w:r>
                    <w:r>
                      <w:rPr>
                        <w:rFonts w:hint="eastAsia" w:asciiTheme="majorEastAsia" w:hAnsiTheme="majorEastAsia" w:eastAsiaTheme="majorEastAsia" w:cstheme="majorEastAsia"/>
                        <w:sz w:val="20"/>
                        <w:szCs w:val="20"/>
                      </w:rPr>
                      <w:t>- 1 -</w:t>
                    </w:r>
                    <w:r>
                      <w:rPr>
                        <w:rFonts w:hint="eastAsia" w:asciiTheme="majorEastAsia" w:hAnsiTheme="majorEastAsia" w:eastAsiaTheme="majorEastAsia" w:cstheme="majorEastAsia"/>
                        <w:sz w:val="20"/>
                        <w:szCs w:val="20"/>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F21ED4"/>
    <w:multiLevelType w:val="singleLevel"/>
    <w:tmpl w:val="9BF21ED4"/>
    <w:lvl w:ilvl="0" w:tentative="0">
      <w:start w:val="1"/>
      <w:numFmt w:val="decimal"/>
      <w:suff w:val="nothing"/>
      <w:lvlText w:val="%1、"/>
      <w:lvlJc w:val="left"/>
    </w:lvl>
  </w:abstractNum>
  <w:abstractNum w:abstractNumId="1">
    <w:nsid w:val="DD411935"/>
    <w:multiLevelType w:val="singleLevel"/>
    <w:tmpl w:val="DD411935"/>
    <w:lvl w:ilvl="0" w:tentative="0">
      <w:start w:val="1"/>
      <w:numFmt w:val="decimal"/>
      <w:suff w:val="nothing"/>
      <w:lvlText w:val="%1、"/>
      <w:lvlJc w:val="left"/>
    </w:lvl>
  </w:abstractNum>
  <w:abstractNum w:abstractNumId="2">
    <w:nsid w:val="09A3612D"/>
    <w:multiLevelType w:val="singleLevel"/>
    <w:tmpl w:val="09A3612D"/>
    <w:lvl w:ilvl="0" w:tentative="0">
      <w:start w:val="1"/>
      <w:numFmt w:val="decimal"/>
      <w:suff w:val="nothing"/>
      <w:lvlText w:val="%1、"/>
      <w:lvlJc w:val="left"/>
      <w:rPr>
        <w:rFonts w:hint="default"/>
        <w:color w:val="auto"/>
      </w:rPr>
    </w:lvl>
  </w:abstractNum>
  <w:abstractNum w:abstractNumId="3">
    <w:nsid w:val="6369CECB"/>
    <w:multiLevelType w:val="singleLevel"/>
    <w:tmpl w:val="6369CECB"/>
    <w:lvl w:ilvl="0" w:tentative="0">
      <w:start w:val="1"/>
      <w:numFmt w:val="decimal"/>
      <w:suff w:val="nothing"/>
      <w:lvlText w:val="%1、"/>
      <w:lvlJc w:val="left"/>
    </w:lvl>
  </w:abstractNum>
  <w:abstractNum w:abstractNumId="4">
    <w:nsid w:val="636B4D3A"/>
    <w:multiLevelType w:val="singleLevel"/>
    <w:tmpl w:val="636B4D3A"/>
    <w:lvl w:ilvl="0" w:tentative="0">
      <w:start w:val="1"/>
      <w:numFmt w:val="decimal"/>
      <w:suff w:val="nothing"/>
      <w:lvlText w:val="%1、"/>
      <w:lvlJc w:val="left"/>
    </w:lvl>
  </w:abstractNum>
  <w:abstractNum w:abstractNumId="5">
    <w:nsid w:val="636B4D8A"/>
    <w:multiLevelType w:val="singleLevel"/>
    <w:tmpl w:val="636B4D8A"/>
    <w:lvl w:ilvl="0" w:tentative="0">
      <w:start w:val="1"/>
      <w:numFmt w:val="decimal"/>
      <w:suff w:val="nothing"/>
      <w:lvlText w:val="%1、"/>
      <w:lvlJc w:val="left"/>
    </w:lvl>
  </w:abstractNum>
  <w:num w:numId="1">
    <w:abstractNumId w:val="1"/>
  </w:num>
  <w:num w:numId="2">
    <w:abstractNumId w:val="2"/>
  </w:num>
  <w:num w:numId="3">
    <w:abstractNumId w:val="3"/>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zOWIyZjRkYmM5MzVkNzU5NTM2OTg2MjI1YmViZDEifQ=="/>
  </w:docVars>
  <w:rsids>
    <w:rsidRoot w:val="12600DB9"/>
    <w:rsid w:val="12600DB9"/>
    <w:rsid w:val="1E896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2024-05-13T07:40:00Z</dcterms:created>
  <dc:creator>Administrator</dc:creator>
  <cp:lastModifiedBy>Administrator</cp:lastModifiedBy>
  <dcterms:modified xsi:type="dcterms:W3CDTF">2024-05-13T12:05:14Z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4236F7DE2F04490899C5ABC25CD904CC_11</vt:lpwstr>
  </property>
</Properties>
</file>