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60"/>
        </w:tabs>
        <w:spacing w:after="250" w:afterLines="80" w:line="460" w:lineRule="exact"/>
        <w:ind w:firstLine="720" w:firstLineChars="200"/>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违反《民用爆炸物品安全管理条例》处罚裁量基准</w:t>
      </w:r>
    </w:p>
    <w:tbl>
      <w:tblPr>
        <w:tblStyle w:val="4"/>
        <w:tblW w:w="739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8"/>
        <w:gridCol w:w="2371"/>
        <w:gridCol w:w="1979"/>
        <w:gridCol w:w="12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8" w:hRule="atLeast"/>
          <w:tblHeader/>
        </w:trPr>
        <w:tc>
          <w:tcPr>
            <w:tcW w:w="1808" w:type="dxa"/>
            <w:tcBorders>
              <w:tl2br w:val="nil"/>
              <w:tr2bl w:val="nil"/>
            </w:tcBorders>
            <w:shd w:val="clear" w:color="auto" w:fill="auto"/>
            <w:vAlign w:val="center"/>
          </w:tcPr>
          <w:p>
            <w:pPr>
              <w:widowControl/>
              <w:spacing w:line="30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违法行为</w:t>
            </w:r>
          </w:p>
        </w:tc>
        <w:tc>
          <w:tcPr>
            <w:tcW w:w="2371" w:type="dxa"/>
            <w:tcBorders>
              <w:tl2br w:val="nil"/>
              <w:tr2bl w:val="nil"/>
            </w:tcBorders>
            <w:shd w:val="clear" w:color="auto" w:fill="auto"/>
            <w:vAlign w:val="center"/>
          </w:tcPr>
          <w:p>
            <w:pPr>
              <w:widowControl/>
              <w:spacing w:line="30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法律依据</w:t>
            </w:r>
          </w:p>
        </w:tc>
        <w:tc>
          <w:tcPr>
            <w:tcW w:w="1979" w:type="dxa"/>
            <w:tcBorders>
              <w:tl2br w:val="nil"/>
              <w:tr2bl w:val="nil"/>
            </w:tcBorders>
            <w:shd w:val="clear" w:color="auto" w:fill="auto"/>
            <w:vAlign w:val="center"/>
          </w:tcPr>
          <w:p>
            <w:pPr>
              <w:widowControl/>
              <w:spacing w:line="30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违法情节</w:t>
            </w:r>
          </w:p>
        </w:tc>
        <w:tc>
          <w:tcPr>
            <w:tcW w:w="1234" w:type="dxa"/>
            <w:tcBorders>
              <w:tl2br w:val="nil"/>
              <w:tr2bl w:val="nil"/>
            </w:tcBorders>
            <w:shd w:val="clear" w:color="auto" w:fill="auto"/>
            <w:vAlign w:val="center"/>
          </w:tcPr>
          <w:p>
            <w:pPr>
              <w:widowControl/>
              <w:spacing w:line="30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未经许可购买、运输民用爆炸物品。</w:t>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第四十四条第四款  违反本条例规定，未经许可购买、运输民用爆炸物品或者从事爆破作业的，由公安机关责令停止非法购买、运输、爆破作业活动，处5万元以上20万元以下的罚款，并没收非法购买、运输以及从事爆破作业使用的民用爆炸物品及其违法所得。</w:t>
            </w:r>
          </w:p>
        </w:tc>
        <w:tc>
          <w:tcPr>
            <w:tcW w:w="1979" w:type="dxa"/>
            <w:vMerge w:val="restart"/>
            <w:tcBorders>
              <w:tl2br w:val="nil"/>
              <w:tr2bl w:val="nil"/>
            </w:tcBorders>
            <w:shd w:val="clear" w:color="auto" w:fill="auto"/>
          </w:tcPr>
          <w:p>
            <w:pPr>
              <w:widowControl/>
              <w:numPr>
                <w:ilvl w:val="0"/>
                <w:numId w:val="1"/>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未经许可购买、运输炸药300克及以下；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2、未经许可购买、运输雷管10枚及以下；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3、未经许可购买、运输索类爆炸物品10米及以下；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4、未经许可购买、运输其他种类民用爆炸物品数量较少。</w:t>
            </w:r>
          </w:p>
          <w:p>
            <w:pPr>
              <w:widowControl/>
              <w:spacing w:line="300" w:lineRule="exact"/>
              <w:jc w:val="left"/>
              <w:textAlignment w:val="top"/>
              <w:rPr>
                <w:rFonts w:asciiTheme="minorEastAsia" w:hAnsiTheme="minorEastAsia" w:cstheme="minorEastAsia"/>
                <w:color w:val="auto"/>
                <w:kern w:val="0"/>
                <w:szCs w:val="21"/>
                <w:highlight w:val="none"/>
                <w:lang w:bidi="ar"/>
              </w:rPr>
            </w:pPr>
          </w:p>
        </w:tc>
        <w:tc>
          <w:tcPr>
            <w:tcW w:w="1234"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责令停止非法购买、运输，处5万元以上10万元以下罚款，并没收非法购买、运输的民用爆炸物品及违法所得。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28"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restart"/>
            <w:tcBorders>
              <w:tl2br w:val="nil"/>
              <w:tr2bl w:val="nil"/>
            </w:tcBorders>
            <w:shd w:val="clear" w:color="auto" w:fill="auto"/>
          </w:tcPr>
          <w:p>
            <w:pPr>
              <w:widowControl/>
              <w:numPr>
                <w:ilvl w:val="0"/>
                <w:numId w:val="2"/>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未经许可购买、运输炸药300克以上600克及以下；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2、未经许可购买、运输雷管10枚以上20枚及以下；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3、未经许可购买、运输索类爆炸物品10米以上20米及以下；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4、未经许可购买、运输其他种类民用爆炸物品数量较多。</w:t>
            </w:r>
          </w:p>
          <w:p>
            <w:pPr>
              <w:widowControl/>
              <w:spacing w:line="300" w:lineRule="exact"/>
              <w:jc w:val="left"/>
              <w:textAlignment w:val="top"/>
              <w:rPr>
                <w:rFonts w:asciiTheme="minorEastAsia" w:hAnsiTheme="minorEastAsia" w:cstheme="minorEastAsia"/>
                <w:color w:val="auto"/>
                <w:kern w:val="0"/>
                <w:szCs w:val="21"/>
                <w:highlight w:val="none"/>
                <w:lang w:bidi="ar"/>
              </w:rPr>
            </w:pPr>
          </w:p>
        </w:tc>
        <w:tc>
          <w:tcPr>
            <w:tcW w:w="1234"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责令停止非法购买、运输，处10万元以上15万元以下罚款，并没收非法购买、运输的民用爆炸物品及违法所得。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0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restart"/>
            <w:tcBorders>
              <w:tl2br w:val="nil"/>
              <w:tr2bl w:val="nil"/>
            </w:tcBorders>
            <w:shd w:val="clear" w:color="auto" w:fill="auto"/>
          </w:tcPr>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1、未经许可购买、运输炸药600克以上1000克以下；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2、未经许可购买、运输</w:t>
            </w:r>
            <w:r>
              <w:rPr>
                <w:rFonts w:hint="eastAsia" w:asciiTheme="minorEastAsia" w:hAnsiTheme="minorEastAsia" w:cstheme="minorEastAsia"/>
                <w:color w:val="auto"/>
                <w:spacing w:val="-6"/>
                <w:kern w:val="0"/>
                <w:szCs w:val="21"/>
                <w:highlight w:val="none"/>
                <w:lang w:bidi="ar"/>
              </w:rPr>
              <w:t>雷管20枚以上30枚以下；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3、未经许可购买、运输索类爆炸物品20米以上30米以下；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4、未经许可购买、运输其他种类民用爆炸物品造成后果。</w:t>
            </w:r>
          </w:p>
        </w:tc>
        <w:tc>
          <w:tcPr>
            <w:tcW w:w="1234"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责令停止非法购买、运输，处15万元以上20万元以下罚款，并没收非法购买、运输的民用爆炸物品及违法所得。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55"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未经许可从事爆破作业</w:t>
            </w: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第四十四条第四款  违反本条例规定，未经许可购买、运输民用爆炸物品或者从事爆破作业的，由公安机关责令停止非法购买、运输、爆破作业活动，处5万元以上20万元以下的罚款，并没收非法购买、运输以及从事爆破作业使用的民用爆炸物品及其违法所得。</w:t>
            </w:r>
          </w:p>
        </w:tc>
        <w:tc>
          <w:tcPr>
            <w:tcW w:w="1979"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未经许可，在镇区或省级人民政府认定的省级风景名胜区附近从事爆破作业。</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责令停止非法爆破作业活动，处5万元以上15万元以下罚款，并没收非法从事爆破作业使用的民用爆炸物品及违法所得。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44"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未经许可，在城区、重要工程设施或国务院审批认定的国家级风景名胜区附近从事爆破作业。</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责令停止非法爆破作业活动，处15万元以上20万元以下罚</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款，并没收非法从事爆破</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作业使用的民用爆炸物品及违法所得。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01"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未按照规定对民用爆炸物品做出警示标识、登记标识或者未对雷管编码打号。</w:t>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（一）未按照规定对民用爆炸物品做出警示标识、登记标识或者未对雷管编码打号的；</w:t>
            </w:r>
            <w:r>
              <w:rPr>
                <w:rFonts w:hint="eastAsia" w:asciiTheme="minorEastAsia" w:hAnsiTheme="minorEastAsia" w:cstheme="minorEastAsia"/>
                <w:color w:val="auto"/>
                <w:kern w:val="0"/>
                <w:szCs w:val="21"/>
                <w:highlight w:val="none"/>
                <w:lang w:bidi="ar"/>
              </w:rPr>
              <w:br w:type="textWrapping"/>
            </w: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未按照规定对民用爆炸物品做出警示标识、登记标识涉及民用爆炸物品数量在5箱（袋、桶）及以下，未编码打号雷管数量在10枚及以下。</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未按照规定对民用爆炸物品做出警示标识、登记标识涉及民用爆炸物品数量在5箱（袋、桶）以上20箱（袋、桶）及以下，未编码打号雷管数量在10枚以上100枚及以下。</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责令限期改正，处10万元以上15万元以下的罚款；逾期不改正的，责令停产停业整顿。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未按照规定对民用爆炸物品做出警示标识、登记标识涉及民用爆炸物品数量在20箱（袋、桶）以上，未编码打号雷管数量在100枚以上。</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责令限期改正，处15万元以上20万元以下的罚款；逾期不改正的，责令停产停业整顿。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40"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超出购买许可的品种、数量购买民用爆炸物品。</w:t>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（二）超出购买许可的品种、数量购买民用爆炸物品的；</w:t>
            </w:r>
            <w:r>
              <w:rPr>
                <w:rFonts w:hint="eastAsia" w:asciiTheme="minorEastAsia" w:hAnsiTheme="minorEastAsia" w:cstheme="minorEastAsia"/>
                <w:color w:val="auto"/>
                <w:kern w:val="0"/>
                <w:szCs w:val="21"/>
                <w:highlight w:val="none"/>
                <w:lang w:bidi="ar"/>
              </w:rPr>
              <w:br w:type="textWrapping"/>
            </w: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1、超出许可购买炸药300克及以下的；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2、超出许可购买雷管10枚及以下；</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3、超出许可购买索类爆炸物品10米及以下；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4、超出许可购买其他种类民用爆炸物品数量较少。</w:t>
            </w:r>
            <w:r>
              <w:rPr>
                <w:rFonts w:hint="eastAsia" w:asciiTheme="minorEastAsia" w:hAnsiTheme="minorEastAsia" w:cstheme="minorEastAsia"/>
                <w:color w:val="auto"/>
                <w:kern w:val="0"/>
                <w:szCs w:val="21"/>
                <w:highlight w:val="none"/>
                <w:lang w:bidi="ar"/>
              </w:rPr>
              <w:br w:type="textWrapping"/>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30"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numPr>
                <w:ilvl w:val="0"/>
                <w:numId w:val="3"/>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超出许可购买炸药300克以上600克及以下；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2、超出许可购买雷管10枚以上20枚及以下；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3、超出许可购买索类爆炸物</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品10米以上</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20米及以下；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4、超出许可购买其他种类民用爆炸物品数量较多。</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责令限期改正，处10万元以上15万元以下的罚款；逾期不改正的，责令停产停业整顿。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83"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numPr>
                <w:ilvl w:val="0"/>
                <w:numId w:val="4"/>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超出许可购买炸药600克以上1000克及以下；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2、超出许可购买雷管20枚以上30枚及以下；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3、超出许可购买索类爆炸物品20米以上30米及以下；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4、超出许可购买其他种类民用爆炸物品造成后果。</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责令限期改正，处15万元以上20万元以下的罚款；逾期不改正的，责令停产停业整顿。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使用现金或者实物进行民用爆炸物品交易</w:t>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（三）使用现金或者实物进行民用爆炸物品交易的；</w:t>
            </w:r>
            <w:r>
              <w:rPr>
                <w:rFonts w:hint="eastAsia" w:asciiTheme="minorEastAsia" w:hAnsiTheme="minorEastAsia" w:cstheme="minorEastAsia"/>
                <w:color w:val="auto"/>
                <w:kern w:val="0"/>
                <w:szCs w:val="21"/>
                <w:highlight w:val="none"/>
                <w:lang w:bidi="ar"/>
              </w:rPr>
              <w:br w:type="textWrapping"/>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bidi="ar"/>
              </w:rPr>
              <w:t>使用现金或者实物进行民用爆炸物品交易额在5000元及以下</w:t>
            </w:r>
            <w:r>
              <w:rPr>
                <w:rFonts w:hint="eastAsia" w:asciiTheme="minorEastAsia" w:hAnsiTheme="minorEastAsia" w:cstheme="minorEastAsia"/>
                <w:color w:val="auto"/>
                <w:kern w:val="0"/>
                <w:szCs w:val="21"/>
                <w:highlight w:val="none"/>
                <w:lang w:val="en-US" w:eastAsia="zh-CN" w:bidi="ar"/>
              </w:rPr>
              <w:t>的</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13"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bidi="ar"/>
              </w:rPr>
              <w:t>使用现金或者实物进行民用爆炸物品交易额在5000元以上2万元及以下</w:t>
            </w:r>
            <w:r>
              <w:rPr>
                <w:rFonts w:hint="eastAsia" w:asciiTheme="minorEastAsia" w:hAnsiTheme="minorEastAsia" w:cstheme="minorEastAsia"/>
                <w:color w:val="auto"/>
                <w:kern w:val="0"/>
                <w:szCs w:val="21"/>
                <w:highlight w:val="none"/>
                <w:lang w:val="en-US" w:eastAsia="zh-CN" w:bidi="ar"/>
              </w:rPr>
              <w:t>的</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责令限期改正，处10万元以上15万元以下的罚款；逾期不改正的，责令停产停业整顿。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bidi="ar"/>
              </w:rPr>
              <w:t>使用现金或者实物进行民用爆炸物品交易额在2万元以上</w:t>
            </w:r>
            <w:r>
              <w:rPr>
                <w:rFonts w:hint="eastAsia" w:asciiTheme="minorEastAsia" w:hAnsiTheme="minorEastAsia" w:cstheme="minorEastAsia"/>
                <w:color w:val="auto"/>
                <w:kern w:val="0"/>
                <w:szCs w:val="21"/>
                <w:highlight w:val="none"/>
                <w:lang w:val="en-US" w:eastAsia="zh-CN" w:bidi="ar"/>
              </w:rPr>
              <w:t>的</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责令限期改正，处15万元以上20万元以下的罚款；逾期不改正的，责令停产停业整顿。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未按照规定保存购买单位的许可证、银行账户转账凭证、经办人的身份证明</w:t>
            </w:r>
            <w:bookmarkStart w:id="0" w:name="_GoBack"/>
            <w:bookmarkEnd w:id="0"/>
            <w:r>
              <w:rPr>
                <w:rFonts w:hint="eastAsia" w:asciiTheme="minorEastAsia" w:hAnsiTheme="minorEastAsia" w:cstheme="minorEastAsia"/>
                <w:color w:val="auto"/>
                <w:kern w:val="0"/>
                <w:szCs w:val="21"/>
                <w:highlight w:val="none"/>
                <w:lang w:bidi="ar"/>
              </w:rPr>
              <w:t>复印件。</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（四）未按照规定保存购买单位的许可证、银行账户转账凭证、经办人的身份证明复印件的；</w:t>
            </w:r>
            <w:r>
              <w:rPr>
                <w:rFonts w:hint="eastAsia" w:asciiTheme="minorEastAsia" w:hAnsiTheme="minorEastAsia" w:cstheme="minorEastAsia"/>
                <w:color w:val="auto"/>
                <w:kern w:val="0"/>
                <w:szCs w:val="21"/>
                <w:highlight w:val="none"/>
                <w:lang w:bidi="ar"/>
              </w:rPr>
              <w:br w:type="textWrapping"/>
            </w: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未按照规定保存购买单位的许可证、银行帐户转账凭证、经办人的身份证明复印件1次</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未按照规定保存购买单位的许可证、银行帐户转账凭证、经办人的身份证明复印件1次以上3次及以下</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责令限期改正，处10万元以上15万元以下的罚款；逾期不改正的，责令停产停业整顿。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未按照规定保存购买单位的许可证、银行帐户转账凭证、经办人的身份证明复印件3次以上</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责令限期改正，处15万元以上20万元以下的罚款；逾期不改正的，责令停产停业整顿。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01"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销售、购买、进出口民用爆炸物品，未按照规定向公安机关备案。</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（五）销售、购买、进出口民用爆炸物品，未按照规定向公安机关备案的；</w:t>
            </w:r>
            <w:r>
              <w:rPr>
                <w:rFonts w:hint="eastAsia" w:asciiTheme="minorEastAsia" w:hAnsiTheme="minorEastAsia" w:cstheme="minorEastAsia"/>
                <w:color w:val="auto"/>
                <w:kern w:val="0"/>
                <w:szCs w:val="21"/>
                <w:highlight w:val="none"/>
                <w:lang w:bidi="ar"/>
              </w:rPr>
              <w:br w:type="textWrapping"/>
            </w: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销售、购买、进出口民用爆炸物品，未按照规定向公安机关备案1次</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r>
              <w:rPr>
                <w:rFonts w:hint="eastAsia" w:asciiTheme="minorEastAsia" w:hAnsiTheme="minorEastAsia" w:cstheme="minorEastAsia"/>
                <w:color w:val="auto"/>
                <w:kern w:val="0"/>
                <w:szCs w:val="21"/>
                <w:highlight w:val="none"/>
                <w:lang w:bidi="ar"/>
              </w:rPr>
              <w:br w:type="textWrapping"/>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01"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销售、购买、进出口民用爆炸物品，未按照规定向公安机关备案1次以上3次及以下</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责令限期改正，处10万元以上15万元以下的罚款；逾期不改正的，责令停产停业整顿。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销售、购买、进出口民用爆炸物品，未按照规定向公安机关备案3次以上</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责令限期改正，处15万元以上20万元以下的罚款；逾期不改正的，责令停产停业整顿。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08" w:hRule="atLeast"/>
        </w:trPr>
        <w:tc>
          <w:tcPr>
            <w:tcW w:w="1808" w:type="dxa"/>
            <w:vMerge w:val="restart"/>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未按照规定建立民用爆炸物品登记制度，如实将本单位生产、销售、购买、运输、储存、使用民用爆炸物品的品种、数量和流向信息输入计算机系统。</w:t>
            </w:r>
          </w:p>
        </w:tc>
        <w:tc>
          <w:tcPr>
            <w:tcW w:w="2371" w:type="dxa"/>
            <w:vMerge w:val="restart"/>
            <w:tcBorders>
              <w:top w:val="single" w:color="auto" w:sz="4" w:space="0"/>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（六）未按照规定建立民用爆炸物品登记制度，如实将本单位生产、销售、购买、运输、储存、使用民用爆炸物品的品种、数量和流向信息输入计算机系统的；</w:t>
            </w:r>
          </w:p>
        </w:tc>
        <w:tc>
          <w:tcPr>
            <w:tcW w:w="1979" w:type="dxa"/>
            <w:shd w:val="clear" w:color="auto" w:fill="auto"/>
          </w:tcPr>
          <w:p>
            <w:pPr>
              <w:widowControl/>
              <w:numPr>
                <w:ilvl w:val="0"/>
                <w:numId w:val="5"/>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涉及炸药1000克及以下；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2、涉及雷管30枚及以下；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3、涉及索类爆炸物品30米及以下；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4、涉及其他种类民用爆炸物品数量较少。</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44"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numPr>
                <w:ilvl w:val="0"/>
                <w:numId w:val="6"/>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涉及炸药1000克以上；</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2、涉及雷管30枚以上；</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3、涉及索类爆炸物品30米以上；</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4、涉及其他种类民用爆炸物品数量较多。</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责令限期改正，处10万元以上20万元以下的罚款；逾期不改正的，责令停产停业整顿。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未按照规定将《民用</w:t>
            </w:r>
            <w:r>
              <w:rPr>
                <w:rFonts w:hint="eastAsia" w:asciiTheme="minorEastAsia" w:hAnsiTheme="minorEastAsia" w:cstheme="minorEastAsia"/>
                <w:color w:val="auto"/>
                <w:spacing w:val="-11"/>
                <w:kern w:val="0"/>
                <w:szCs w:val="21"/>
                <w:highlight w:val="none"/>
                <w:lang w:bidi="ar"/>
              </w:rPr>
              <w:t>爆炸物品运输许可证》交回发证机关核销</w:t>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第四十六条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，由公安机关责令限期改正，处5万元以上20万元以下的罚款；逾期不改正的，责令停产停业整顿：</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（七）未按照规定将《民用爆炸物品运输许可证》交回发证机关核销的。</w:t>
            </w: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未按照规定将《民用爆炸物品运输许可证》交回发证机关核销，超出规定时间3日及以下</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责令限期改正，处5万元以上10万元以下的罚款；逾期不改正的，责令停产停业整顿。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未按照规定将《民用爆炸物品运输许可证》交回发证机关核销，超出规定时间3日以上5日及以下</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责令限期改正，处10万元以上15万元以下的罚款；逾期不改正的，责令停产停业整顿。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未按照规定将《民用爆炸物品运输许可证》交回发证机关核销，超出规定时间5日以上</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责令限期改正，处15万元以上20万元以下的罚款；逾期不改正的，责令停产停业整顿。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58"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违反运输许可事项</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第四十七条  违反本条例规定，经由道路运输民用爆炸物品，</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 xml:space="preserve">，由公安机关责令改正，处5万元以上20万元以下的罚款：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（一）违反运输许可事项的；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 </w:t>
            </w:r>
          </w:p>
        </w:tc>
        <w:tc>
          <w:tcPr>
            <w:tcW w:w="1979" w:type="dxa"/>
            <w:tcBorders>
              <w:tl2br w:val="nil"/>
              <w:tr2bl w:val="nil"/>
            </w:tcBorders>
            <w:shd w:val="clear" w:color="auto" w:fill="auto"/>
          </w:tcPr>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违反1项运输许可事项</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 xml:space="preserve">             </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责令改正，处5万元以上10万元以下的罚款。</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58"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numPr>
                <w:ilvl w:val="0"/>
                <w:numId w:val="7"/>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违反2项运输许可事项；</w:t>
            </w:r>
          </w:p>
          <w:p>
            <w:pPr>
              <w:widowControl/>
              <w:numPr>
                <w:ilvl w:val="0"/>
                <w:numId w:val="7"/>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两年内曾违反此规定</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 xml:space="preserve">。 </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责令改正，处10万元以上15万元以下的罚款。</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58" w:hRule="atLeast"/>
        </w:trPr>
        <w:tc>
          <w:tcPr>
            <w:tcW w:w="1808"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numPr>
                <w:ilvl w:val="0"/>
                <w:numId w:val="8"/>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违反3项及以上运输许可事项；</w:t>
            </w:r>
          </w:p>
          <w:p>
            <w:pPr>
              <w:widowControl/>
              <w:numPr>
                <w:ilvl w:val="0"/>
                <w:numId w:val="8"/>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造成一定后果或社会影响</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责令改正，处15万元以上20万元以下的罚款。</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12" w:hRule="atLeast"/>
        </w:trPr>
        <w:tc>
          <w:tcPr>
            <w:tcW w:w="1808"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1、未携带《民用爆炸物品运输许可证》；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2、违反有关标准和规范混装民用爆炸物品；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3、运输车辆未按照规定悬挂或者安装符合国家标准的易燃易爆危险物品警示标志；</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4、未按照规定的路线行驶，途中经停没有专人看守或者在许可以外的地点经停；</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5、装载民用爆炸物品的车厢载人；</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6、出现危险情况未立即采取必要的应急处置措施、报告当地公安机关。</w:t>
            </w: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第四十七条  违反本条例规定，经由道路运输民用爆炸物品，</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，由公安机关责令改正，处5万元以上20万元以下的罚款：</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（二）未携带《民用爆炸物品运输许可证》的；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（三）违反有关标准和规范混装民用爆炸物品的；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（四）运输车辆未按照规定悬挂或者安装符合国家标准的易燃易爆危险物品警示标志的；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w:t>
            </w:r>
            <w:r>
              <w:rPr>
                <w:rFonts w:hint="eastAsia" w:asciiTheme="minorEastAsia" w:hAnsiTheme="minorEastAsia" w:cstheme="minorEastAsia"/>
                <w:color w:val="auto"/>
                <w:spacing w:val="-3"/>
                <w:kern w:val="0"/>
                <w:szCs w:val="21"/>
                <w:highlight w:val="none"/>
                <w:lang w:bidi="ar"/>
              </w:rPr>
              <w:t>五）未按照规定的路线行驶，途中经停没有专人看守或者在许可以外的地点经停的；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（六）装载民用爆炸物品的车厢载人的；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（七）出现危险情况未立即采取必要的应急处置措施、报告当地公安机关的。</w:t>
            </w:r>
          </w:p>
        </w:tc>
        <w:tc>
          <w:tcPr>
            <w:tcW w:w="1979" w:type="dxa"/>
            <w:tcBorders>
              <w:top w:val="single" w:color="auto" w:sz="4" w:space="0"/>
              <w:bottom w:val="single" w:color="auto" w:sz="4" w:space="0"/>
              <w:tl2br w:val="nil"/>
              <w:tr2bl w:val="nil"/>
            </w:tcBorders>
            <w:shd w:val="clear" w:color="auto" w:fill="auto"/>
          </w:tcPr>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val="en-US" w:eastAsia="zh-CN" w:bidi="ar"/>
              </w:rPr>
              <w:t>初</w:t>
            </w:r>
            <w:r>
              <w:rPr>
                <w:rFonts w:hint="eastAsia" w:asciiTheme="minorEastAsia" w:hAnsiTheme="minorEastAsia" w:cstheme="minorEastAsia"/>
                <w:color w:val="auto"/>
                <w:kern w:val="0"/>
                <w:szCs w:val="21"/>
                <w:highlight w:val="none"/>
                <w:lang w:bidi="ar"/>
              </w:rPr>
              <w:t>次违反，且无危害后果</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r>
              <w:rPr>
                <w:rFonts w:hint="eastAsia" w:asciiTheme="minorEastAsia" w:hAnsiTheme="minorEastAsia" w:cstheme="minorEastAsia"/>
                <w:color w:val="auto"/>
                <w:kern w:val="0"/>
                <w:szCs w:val="21"/>
                <w:highlight w:val="none"/>
                <w:lang w:bidi="ar"/>
              </w:rPr>
              <w:br w:type="textWrapping"/>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责令改正，处5万元以上10万元以下的罚款。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05" w:hRule="atLeast"/>
        </w:trPr>
        <w:tc>
          <w:tcPr>
            <w:tcW w:w="1808"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两年内再次违反，且无危害后果</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责令改正，处10万元以上20万元以下的罚款。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31"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爆破作业单位未按照其资质等级从事爆破作业</w:t>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第四十八条第一款  违反本条例规定，从事爆破作业的单位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，由公安机关责令停止违法行为或者限期改正，处10万元以上50万元以下的罚款；逾期不改正的，责令停产停业整顿；情节严重的，吊销《爆破作业单位许可证》：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（一）爆破作业单位未按照其资质等级从事爆破作业的；</w:t>
            </w:r>
          </w:p>
        </w:tc>
        <w:tc>
          <w:tcPr>
            <w:tcW w:w="1979" w:type="dxa"/>
            <w:tcBorders>
              <w:tl2br w:val="nil"/>
              <w:tr2bl w:val="nil"/>
            </w:tcBorders>
            <w:shd w:val="clear" w:color="auto" w:fill="auto"/>
          </w:tcPr>
          <w:p>
            <w:pPr>
              <w:pStyle w:val="2"/>
              <w:widowControl/>
              <w:spacing w:line="240" w:lineRule="exact"/>
              <w:rPr>
                <w:rFonts w:hint="eastAsia" w:asciiTheme="minorEastAsia" w:hAnsiTheme="minorEastAsia" w:eastAsiaTheme="minorEastAsia" w:cstheme="minorEastAsia"/>
                <w:color w:val="auto"/>
                <w:kern w:val="0"/>
                <w:highlight w:val="none"/>
                <w:lang w:val="en-US" w:eastAsia="zh-CN" w:bidi="ar"/>
              </w:rPr>
            </w:pPr>
            <w:r>
              <w:rPr>
                <w:rFonts w:hint="eastAsia" w:asciiTheme="minorEastAsia" w:hAnsiTheme="minorEastAsia" w:cstheme="minorEastAsia"/>
                <w:color w:val="auto"/>
                <w:kern w:val="0"/>
                <w:highlight w:val="none"/>
                <w:lang w:bidi="ar"/>
              </w:rPr>
              <w:t>未按照资质等级从事D级及以下爆破工程爆破作业</w:t>
            </w:r>
            <w:r>
              <w:rPr>
                <w:rFonts w:hint="eastAsia" w:asciiTheme="minorEastAsia" w:hAnsiTheme="minorEastAsia" w:cstheme="minorEastAsia"/>
                <w:color w:val="auto"/>
                <w:kern w:val="0"/>
                <w:highlight w:val="none"/>
                <w:lang w:val="en-US" w:eastAsia="zh-CN" w:bidi="ar"/>
              </w:rPr>
              <w:t>的。</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pStyle w:val="2"/>
              <w:widowControl/>
              <w:spacing w:line="240" w:lineRule="exact"/>
              <w:rPr>
                <w:rFonts w:asciiTheme="minorEastAsia" w:hAnsiTheme="minorEastAsia" w:cstheme="minorEastAsia"/>
                <w:color w:val="auto"/>
                <w:kern w:val="0"/>
                <w:highlight w:val="none"/>
                <w:lang w:bidi="ar"/>
              </w:rPr>
            </w:pPr>
            <w:r>
              <w:rPr>
                <w:rFonts w:hint="eastAsia" w:asciiTheme="minorEastAsia" w:hAnsiTheme="minorEastAsia" w:cstheme="minorEastAsia"/>
                <w:color w:val="auto"/>
                <w:kern w:val="0"/>
                <w:highlight w:val="none"/>
                <w:lang w:bidi="ar"/>
              </w:rPr>
              <w:t>责令停止违法行为或者限期改正，处10万元以上20万元以下的罚款；逾期不改正的，责令停产停业整顿。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54"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szCs w:val="21"/>
                <w:highlight w:val="none"/>
              </w:rPr>
              <w:t>未按照资质等级从事C级爆破工程爆破作业</w:t>
            </w:r>
            <w:r>
              <w:rPr>
                <w:rFonts w:hint="eastAsia" w:asciiTheme="minorEastAsia" w:hAnsiTheme="minorEastAsia" w:cstheme="minorEastAsia"/>
                <w:color w:val="auto"/>
                <w:szCs w:val="21"/>
                <w:highlight w:val="none"/>
                <w:lang w:val="en-US" w:eastAsia="zh-CN"/>
              </w:rPr>
              <w:t>的。</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责令停止违法行为或者限期改正，处20万元以上30万元以下的罚款；逾期不改正的，责令停产停业整顿。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pStyle w:val="2"/>
              <w:widowControl/>
              <w:spacing w:line="24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cstheme="minorEastAsia"/>
                <w:color w:val="auto"/>
                <w:highlight w:val="none"/>
              </w:rPr>
              <w:t>未按照资质等级从事B级爆破工程爆破作业</w:t>
            </w:r>
            <w:r>
              <w:rPr>
                <w:rFonts w:hint="eastAsia" w:asciiTheme="minorEastAsia" w:hAnsiTheme="minorEastAsia" w:cstheme="minorEastAsia"/>
                <w:color w:val="auto"/>
                <w:highlight w:val="none"/>
                <w:lang w:val="en-US" w:eastAsia="zh-CN"/>
              </w:rPr>
              <w:t>的。</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责令停止违法行为或者限期改正，处30万元以上40万元以下的罚款；逾期不改正的，责令停产停业整顿。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cstheme="minorEastAsia"/>
                <w:color w:val="auto"/>
                <w:szCs w:val="21"/>
                <w:highlight w:val="none"/>
              </w:rPr>
              <w:t>未按照资质等级从事A级爆破工程爆破作业</w:t>
            </w:r>
            <w:r>
              <w:rPr>
                <w:rFonts w:hint="eastAsia" w:asciiTheme="minorEastAsia" w:hAnsiTheme="minorEastAsia" w:cstheme="minorEastAsia"/>
                <w:color w:val="auto"/>
                <w:szCs w:val="21"/>
                <w:highlight w:val="none"/>
                <w:lang w:val="en-US" w:eastAsia="zh-CN"/>
              </w:rPr>
              <w:t>的</w:t>
            </w:r>
            <w:r>
              <w:rPr>
                <w:rFonts w:hint="eastAsia" w:asciiTheme="minorEastAsia" w:hAnsiTheme="minorEastAsia" w:cstheme="minorEastAsia"/>
                <w:color w:val="auto"/>
                <w:szCs w:val="21"/>
                <w:highlight w:val="none"/>
                <w:lang w:eastAsia="zh-CN"/>
              </w:rPr>
              <w:t>。</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责令停止违法行为或者限期改正，处40万元以上50万元以下的罚款；逾期不改正的，责令停产停业整顿。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92" w:hRule="atLeast"/>
        </w:trPr>
        <w:tc>
          <w:tcPr>
            <w:tcW w:w="1808"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240" w:lineRule="exact"/>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以下情形，属于“情节严重”：     </w:t>
            </w:r>
          </w:p>
          <w:p>
            <w:pPr>
              <w:widowControl/>
              <w:spacing w:line="240" w:lineRule="exact"/>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1、多次未按照资质等级从事爆破作业；</w:t>
            </w:r>
          </w:p>
          <w:p>
            <w:pPr>
              <w:widowControl/>
              <w:spacing w:line="240" w:lineRule="exact"/>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2、故意未按照资质等级从事爆破作业；</w:t>
            </w:r>
          </w:p>
          <w:p>
            <w:pPr>
              <w:widowControl/>
              <w:spacing w:line="240" w:lineRule="exact"/>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3、未按照资质等级从事爆破作业，导致发生重大及以上爆破作业责任事故；</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4、其他情节严重情形。</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情节严重</w:t>
            </w:r>
            <w:r>
              <w:rPr>
                <w:rFonts w:hint="eastAsia" w:asciiTheme="minorEastAsia" w:hAnsiTheme="minorEastAsia" w:cstheme="minorEastAsia"/>
                <w:color w:val="auto"/>
                <w:szCs w:val="21"/>
                <w:highlight w:val="none"/>
                <w:lang w:eastAsia="zh-CN"/>
              </w:rPr>
              <w:t>的，</w:t>
            </w:r>
            <w:r>
              <w:rPr>
                <w:rFonts w:hint="eastAsia" w:asciiTheme="minorEastAsia" w:hAnsiTheme="minorEastAsia" w:cstheme="minorEastAsia"/>
                <w:color w:val="auto"/>
                <w:kern w:val="0"/>
                <w:szCs w:val="21"/>
                <w:highlight w:val="none"/>
                <w:lang w:bidi="ar"/>
              </w:rPr>
              <w:t>吊销《爆破作业单位许可证》</w:t>
            </w:r>
            <w:r>
              <w:rPr>
                <w:rFonts w:hint="eastAsia" w:asciiTheme="minorEastAsia" w:hAnsiTheme="minorEastAsia" w:cstheme="minorEastAsia"/>
                <w:color w:val="auto"/>
                <w:kern w:val="0"/>
                <w:szCs w:val="21"/>
                <w:highlight w:val="none"/>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63"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营业性爆破作业单位跨省、自治区、直辖市行政区域实施爆破作业，未按照规定事先向爆破作业所在地的县级人民政府公安机关报告。</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第四十八条第一款  违反本条例规定，从事爆破作业的单位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，由公安机关责令停止违法行为或者限期改正，处10万元以上50万元以下的罚款；逾期不改正的，责令停产停业整顿；情节严重的，吊销《爆破作业单位许可证》：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（二）营业性爆破作业单位跨省、自治区、直辖市行政区域实施爆破作业，未按照规定事先向爆破作业所在地的县级人民政府公安机关报告的；</w:t>
            </w:r>
            <w:r>
              <w:rPr>
                <w:rFonts w:hint="eastAsia" w:asciiTheme="minorEastAsia" w:hAnsiTheme="minorEastAsia" w:cstheme="minorEastAsia"/>
                <w:color w:val="auto"/>
                <w:kern w:val="0"/>
                <w:szCs w:val="21"/>
                <w:highlight w:val="none"/>
                <w:lang w:bidi="ar"/>
              </w:rPr>
              <w:br w:type="textWrapping"/>
            </w: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初</w:t>
            </w:r>
            <w:r>
              <w:rPr>
                <w:rFonts w:hint="eastAsia" w:asciiTheme="minorEastAsia" w:hAnsiTheme="minorEastAsia" w:cstheme="minorEastAsia"/>
                <w:color w:val="auto"/>
                <w:szCs w:val="21"/>
                <w:highlight w:val="none"/>
              </w:rPr>
              <w:t>次未按照规定事先向爆破作业所在地的县级人民政府公安机关报告</w:t>
            </w:r>
            <w:r>
              <w:rPr>
                <w:rFonts w:hint="eastAsia" w:asciiTheme="minorEastAsia" w:hAnsiTheme="minorEastAsia" w:cstheme="minorEastAsia"/>
                <w:color w:val="auto"/>
                <w:szCs w:val="21"/>
                <w:highlight w:val="none"/>
                <w:lang w:val="en-US" w:eastAsia="zh-CN"/>
              </w:rPr>
              <w:t>的。</w:t>
            </w:r>
          </w:p>
          <w:p>
            <w:pPr>
              <w:widowControl/>
              <w:spacing w:line="300" w:lineRule="exact"/>
              <w:textAlignment w:val="top"/>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责令停止违法行为或者限期改正，处10万元以上30万元以下的罚款；</w:t>
            </w:r>
            <w:r>
              <w:rPr>
                <w:rFonts w:hint="eastAsia" w:asciiTheme="minorEastAsia" w:hAnsiTheme="minorEastAsia" w:cstheme="minorEastAsia"/>
                <w:color w:val="auto"/>
                <w:szCs w:val="21"/>
                <w:highlight w:val="none"/>
              </w:rPr>
              <w:t>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rPr>
              <w:t>多次未按照规定事先向爆破作业所在地的县级人民政府公安机关报告</w:t>
            </w:r>
            <w:r>
              <w:rPr>
                <w:rFonts w:hint="eastAsia" w:asciiTheme="minorEastAsia" w:hAnsiTheme="minorEastAsia" w:cstheme="minorEastAsia"/>
                <w:color w:val="auto"/>
                <w:szCs w:val="21"/>
                <w:highlight w:val="none"/>
                <w:lang w:val="en-US" w:eastAsia="zh-CN"/>
              </w:rPr>
              <w:t>的。</w:t>
            </w:r>
          </w:p>
          <w:p>
            <w:pPr>
              <w:widowControl/>
              <w:spacing w:line="300" w:lineRule="exact"/>
              <w:textAlignment w:val="top"/>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责令停止违法行为或者限期改正，处30万元以上50万元以下的罚款；</w:t>
            </w:r>
            <w:r>
              <w:rPr>
                <w:rFonts w:hint="eastAsia" w:asciiTheme="minorEastAsia" w:hAnsiTheme="minorEastAsia" w:cstheme="minorEastAsia"/>
                <w:color w:val="auto"/>
                <w:szCs w:val="21"/>
                <w:highlight w:val="none"/>
              </w:rPr>
              <w:t>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6" w:hRule="atLeast"/>
        </w:trPr>
        <w:tc>
          <w:tcPr>
            <w:tcW w:w="1808"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营业性爆破作业单位跨省、自治区、直辖市行政区域实施爆破作业未备案，两年内曾被处罚。</w:t>
            </w:r>
          </w:p>
          <w:p>
            <w:pPr>
              <w:widowControl/>
              <w:spacing w:line="300" w:lineRule="exact"/>
              <w:textAlignment w:val="top"/>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吊销《爆破作业单位许可证》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7" w:hRule="atLeast"/>
        </w:trPr>
        <w:tc>
          <w:tcPr>
            <w:tcW w:w="1808"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爆破作业单位未按照规定建立民用爆炸物品领取登记制度、保存领取登记记录。</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第四十八条第一款  违反本条例规定，从事爆破作业的单位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，由公安机关责令停止违法行为或者限期改正，处10万元以上50万元以下的罚款；逾期不改正的，责令停产停业整顿；情节严重的，吊销《爆破作业单位许可证》：</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（三）爆破作业单位未按照规定建立民用爆炸物品领取登记制度、保存领取登记记录的；</w:t>
            </w:r>
          </w:p>
        </w:tc>
        <w:tc>
          <w:tcPr>
            <w:tcW w:w="1979" w:type="dxa"/>
            <w:tcBorders>
              <w:tl2br w:val="nil"/>
              <w:tr2bl w:val="nil"/>
            </w:tcBorders>
            <w:shd w:val="clear" w:color="auto" w:fill="auto"/>
          </w:tcPr>
          <w:p>
            <w:pPr>
              <w:widowControl/>
              <w:spacing w:line="240" w:lineRule="exact"/>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1、涉及炸药1000克以下；</w:t>
            </w:r>
          </w:p>
          <w:p>
            <w:pPr>
              <w:widowControl/>
              <w:spacing w:line="240" w:lineRule="exact"/>
              <w:jc w:val="lef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2、涉及雷管30枚以下；</w:t>
            </w:r>
          </w:p>
          <w:p>
            <w:pPr>
              <w:widowControl/>
              <w:spacing w:line="300" w:lineRule="exact"/>
              <w:jc w:val="lef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3、涉及索类爆炸物品30米以下；          4、涉及其他种类民用爆炸物品数量较少。</w:t>
            </w:r>
          </w:p>
          <w:p>
            <w:pPr>
              <w:widowControl/>
              <w:spacing w:line="300" w:lineRule="exact"/>
              <w:jc w:val="left"/>
              <w:textAlignment w:val="top"/>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责令停止违法行为或者限期改正，处10万元以上30万元以下的罚款；</w:t>
            </w:r>
            <w:r>
              <w:rPr>
                <w:rFonts w:hint="eastAsia" w:asciiTheme="minorEastAsia" w:hAnsiTheme="minorEastAsia" w:cstheme="minorEastAsia"/>
                <w:color w:val="auto"/>
                <w:szCs w:val="21"/>
                <w:highlight w:val="none"/>
              </w:rPr>
              <w:t>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58"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1</w:t>
            </w:r>
            <w:r>
              <w:rPr>
                <w:rFonts w:hint="eastAsia" w:asciiTheme="minorEastAsia" w:hAnsiTheme="minorEastAsia" w:cstheme="minorEastAsia"/>
                <w:color w:val="auto"/>
                <w:kern w:val="0"/>
                <w:szCs w:val="21"/>
                <w:highlight w:val="none"/>
                <w:lang w:bidi="ar"/>
              </w:rPr>
              <w:t>、涉及炸药1000克以上；</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2、涉及雷管30枚以上；</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3、涉及索类爆炸物品30米以上；</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4、涉及其他种类民用爆炸物品数量较多。</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责令停止违法行为或者限期改正，处30万元以上50万元以下的罚款；</w:t>
            </w:r>
            <w:r>
              <w:rPr>
                <w:rFonts w:hint="eastAsia" w:asciiTheme="minorEastAsia" w:hAnsiTheme="minorEastAsia" w:cstheme="minorEastAsia"/>
                <w:color w:val="auto"/>
                <w:szCs w:val="21"/>
                <w:highlight w:val="none"/>
              </w:rPr>
              <w:t>逾期不改正的，责令停产停业整顿。</w:t>
            </w: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96" w:hRule="atLeast"/>
        </w:trPr>
        <w:tc>
          <w:tcPr>
            <w:tcW w:w="1808"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right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以下情形，属于属于“情节严重”：                                                  1、多次未按照规定建立民用爆炸物品领取登记制度、保存领取登记记录；</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2、故意未按照规定建立民用爆炸物品领取登记制度、保存领取登记记录的；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3、未按照规定建立民用爆炸物品领取登记制度、保存领取登记记录，导致民用爆炸物品非法流失造成严重后果的；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4、其他情节严重情形。</w:t>
            </w:r>
          </w:p>
          <w:p>
            <w:pPr>
              <w:pStyle w:val="2"/>
              <w:widowControl/>
              <w:spacing w:line="240" w:lineRule="exact"/>
              <w:rPr>
                <w:rFonts w:asciiTheme="minorEastAsia" w:hAnsiTheme="minorEastAsia" w:cstheme="minorEastAsia"/>
                <w:color w:val="auto"/>
                <w:highlight w:val="none"/>
              </w:rPr>
            </w:pPr>
          </w:p>
        </w:tc>
        <w:tc>
          <w:tcPr>
            <w:tcW w:w="1234" w:type="dxa"/>
            <w:tcBorders>
              <w:left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吊销《爆破作业单位许可证》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44"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违反国家有关标准和规范实施爆破作业</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第四十八条第一款  违反本条例规定，从事爆破作业的单位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，由公安机关责令停止违法行为或者限期改正，处10万元以上50万元以下的罚款；逾期不改正的，责令停产停业整顿；情节严重的，吊销《爆破作业单位许可证》：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（四）违反国家有关标准和规范实施爆破作业的。</w:t>
            </w:r>
          </w:p>
        </w:tc>
        <w:tc>
          <w:tcPr>
            <w:tcW w:w="1979" w:type="dxa"/>
            <w:tcBorders>
              <w:right w:val="single" w:color="auto" w:sz="4" w:space="0"/>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bidi="ar"/>
              </w:rPr>
              <w:t>违反国家公共安全行业标准和相关规范实施爆破作业</w:t>
            </w:r>
            <w:r>
              <w:rPr>
                <w:rFonts w:hint="eastAsia" w:asciiTheme="minorEastAsia" w:hAnsiTheme="minorEastAsia" w:cstheme="minorEastAsia"/>
                <w:color w:val="auto"/>
                <w:kern w:val="0"/>
                <w:szCs w:val="21"/>
                <w:highlight w:val="none"/>
                <w:lang w:val="en-US" w:eastAsia="zh-CN" w:bidi="ar"/>
              </w:rPr>
              <w:t>的。</w:t>
            </w:r>
          </w:p>
        </w:tc>
        <w:tc>
          <w:tcPr>
            <w:tcW w:w="1234" w:type="dxa"/>
            <w:tcBorders>
              <w:left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责令停止违法行为或者限期改正，处10万元以上30万元以下的罚款；</w:t>
            </w:r>
            <w:r>
              <w:rPr>
                <w:rFonts w:hint="eastAsia" w:asciiTheme="minorEastAsia" w:hAnsiTheme="minorEastAsia" w:cstheme="minorEastAsia"/>
                <w:color w:val="auto"/>
                <w:szCs w:val="21"/>
                <w:highlight w:val="none"/>
              </w:rPr>
              <w:t>逾期不改正的，责令停产停业整顿。</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44"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1979"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bidi="ar"/>
              </w:rPr>
              <w:t>违反国家标准和相关规范实施爆破作业</w:t>
            </w:r>
            <w:r>
              <w:rPr>
                <w:rFonts w:hint="eastAsia" w:asciiTheme="minorEastAsia" w:hAnsiTheme="minorEastAsia" w:cstheme="minorEastAsia"/>
                <w:color w:val="auto"/>
                <w:kern w:val="0"/>
                <w:szCs w:val="21"/>
                <w:highlight w:val="none"/>
                <w:lang w:val="en-US" w:eastAsia="zh-CN" w:bidi="ar"/>
              </w:rPr>
              <w:t>的。</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责令停止违法行为或者限期改正，处30万元以上50万元以下的罚款；</w:t>
            </w:r>
            <w:r>
              <w:rPr>
                <w:rFonts w:hint="eastAsia" w:asciiTheme="minorEastAsia" w:hAnsiTheme="minorEastAsia" w:cstheme="minorEastAsia"/>
                <w:color w:val="auto"/>
                <w:szCs w:val="21"/>
                <w:highlight w:val="none"/>
              </w:rPr>
              <w:t>逾期不改正的，责令停产停业整顿。</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01"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以下情形，属于“情节严重”：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1、多次违反国家有关标准和规范实施爆破作业的；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2、故意违反国家有关标准和规范实施爆破作业的；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3、违反国家有关标准和规范实施爆破作业，导致发生重大及以上爆破作业责任事故的；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4、其他情节严重情形。</w:t>
            </w:r>
          </w:p>
          <w:p>
            <w:pPr>
              <w:pStyle w:val="2"/>
              <w:widowControl/>
              <w:spacing w:line="240" w:lineRule="exact"/>
              <w:rPr>
                <w:rFonts w:asciiTheme="minorEastAsia" w:hAnsiTheme="minorEastAsia" w:cstheme="minorEastAsia"/>
                <w:color w:val="auto"/>
                <w:highlight w:val="none"/>
              </w:rPr>
            </w:pPr>
          </w:p>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 xml:space="preserve">    </w:t>
            </w: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吊销《爆破作业单位许可证》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29"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爆破作业人员违反国家有关标准和规范的规定实施爆破作业</w:t>
            </w:r>
          </w:p>
        </w:tc>
        <w:tc>
          <w:tcPr>
            <w:tcW w:w="2371"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第四十八条第二款  爆破作业人员违反国家有关标准和规范的规定实施爆破作业的，由公安机关责令限期改正，情节严重的，吊销《爆破作业人员许可证》。</w:t>
            </w:r>
          </w:p>
        </w:tc>
        <w:tc>
          <w:tcPr>
            <w:tcW w:w="1979" w:type="dxa"/>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违反国家有关标准和规范的规定实施爆破作业，且无危害后果</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p>
            <w:pPr>
              <w:widowControl/>
              <w:spacing w:line="240" w:lineRule="exact"/>
              <w:jc w:val="left"/>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公安机关责令限期改正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71"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p>
        </w:tc>
        <w:tc>
          <w:tcPr>
            <w:tcW w:w="1979"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以下情形，属于“情节严重”：   </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1、多次违反国家有关标准和规范实施爆破作业；</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2、故意违反国家有关标准和规范实施爆破作业；</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3、违反国家有关标准和规范实施爆破作业，导致发生重大及以上爆破作业责任事故；</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4、其他情节严重情形。</w:t>
            </w:r>
          </w:p>
          <w:p>
            <w:pPr>
              <w:widowControl/>
              <w:spacing w:line="240" w:lineRule="exact"/>
              <w:jc w:val="left"/>
              <w:rPr>
                <w:rFonts w:asciiTheme="minorEastAsia" w:hAnsiTheme="minorEastAsia" w:cstheme="minorEastAsia"/>
                <w:color w:val="auto"/>
                <w:szCs w:val="21"/>
                <w:highlight w:val="none"/>
              </w:rPr>
            </w:pPr>
          </w:p>
          <w:p>
            <w:pPr>
              <w:widowControl/>
              <w:spacing w:line="240" w:lineRule="exact"/>
              <w:jc w:val="left"/>
              <w:rPr>
                <w:rFonts w:asciiTheme="minorEastAsia" w:hAnsiTheme="minorEastAsia" w:cstheme="minorEastAsia"/>
                <w:color w:val="auto"/>
                <w:szCs w:val="21"/>
                <w:highlight w:val="none"/>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吊销《爆破作业人员许可证》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未按照规定在专用仓库设置技术防范设施</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第四十九条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，由民用爆炸物品行业主管部门、公安机关按照职责责令限期改正，可以并处5万元以上20万元以下的罚款；逾期不改正的，责令停产停业整顿；情节严重的，吊销许可证：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（一）未按照规定在专用仓库设置技术防范设施的；</w:t>
            </w:r>
          </w:p>
        </w:tc>
        <w:tc>
          <w:tcPr>
            <w:tcW w:w="1979" w:type="dxa"/>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1处未按照规定在专用仓库设置技术防范设施的</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责令限期改正，可以并处5万元以上10万元以下的罚款；逾期不改正的，责令停产停业整顿。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left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2处未按照规定在专用仓库设置技术防范设施的</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责令限期改正，可以并处10万元以上15万元以下的罚款；逾期不改正的，责令停产停业整顿。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82"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3处及以上未按照规定在专用仓库设置技术防范设施的</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责令限期改正，可以并处15万元以上20万元以下的罚款；逾期不改正的，责令停产停业整顿。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30"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以下情形，属于“情节严重”：   </w:t>
            </w:r>
          </w:p>
          <w:p>
            <w:pPr>
              <w:widowControl/>
              <w:numPr>
                <w:ilvl w:val="0"/>
                <w:numId w:val="9"/>
              </w:numPr>
              <w:spacing w:line="300" w:lineRule="exact"/>
              <w:textAlignment w:val="top"/>
              <w:rPr>
                <w:rFonts w:asciiTheme="minorEastAsia" w:hAnsiTheme="minorEastAsia" w:cstheme="minorEastAsia"/>
                <w:color w:val="auto"/>
                <w:spacing w:val="-17"/>
                <w:kern w:val="0"/>
                <w:szCs w:val="21"/>
                <w:highlight w:val="none"/>
                <w:lang w:bidi="ar"/>
              </w:rPr>
            </w:pPr>
            <w:r>
              <w:rPr>
                <w:rFonts w:hint="eastAsia" w:asciiTheme="minorEastAsia" w:hAnsiTheme="minorEastAsia" w:cstheme="minorEastAsia"/>
                <w:color w:val="auto"/>
                <w:kern w:val="0"/>
                <w:szCs w:val="21"/>
                <w:highlight w:val="none"/>
                <w:lang w:bidi="ar"/>
              </w:rPr>
              <w:t>多次未按照规定在专用仓库设置技术防范设施；</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2、故意未按照规定在专用仓库设置技术防范设施；</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3、未按照规定在专用仓库设置技术防范设施，导致民用爆炸物品丢失、被盗、被抢造成严重后果；</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4、其他情节严重情形</w:t>
            </w:r>
            <w:r>
              <w:rPr>
                <w:rFonts w:hint="eastAsia" w:asciiTheme="minorEastAsia" w:hAnsiTheme="minorEastAsia" w:cstheme="minorEastAsia"/>
                <w:color w:val="auto"/>
                <w:spacing w:val="-17"/>
                <w:kern w:val="0"/>
                <w:szCs w:val="21"/>
                <w:highlight w:val="none"/>
                <w:lang w:bidi="ar"/>
              </w:rPr>
              <w:t>。</w:t>
            </w:r>
          </w:p>
          <w:p>
            <w:pPr>
              <w:widowControl/>
              <w:spacing w:line="300" w:lineRule="exact"/>
              <w:textAlignment w:val="top"/>
              <w:rPr>
                <w:rFonts w:asciiTheme="minorEastAsia" w:hAnsiTheme="minorEastAsia" w:cstheme="minorEastAsia"/>
                <w:color w:val="auto"/>
                <w:spacing w:val="-17"/>
                <w:kern w:val="0"/>
                <w:szCs w:val="21"/>
                <w:highlight w:val="none"/>
                <w:lang w:bidi="ar"/>
              </w:rPr>
            </w:pPr>
          </w:p>
          <w:p>
            <w:pPr>
              <w:widowControl/>
              <w:spacing w:line="300" w:lineRule="exact"/>
              <w:textAlignment w:val="top"/>
              <w:rPr>
                <w:rFonts w:asciiTheme="minorEastAsia" w:hAnsiTheme="minorEastAsia" w:cstheme="minorEastAsia"/>
                <w:color w:val="auto"/>
                <w:spacing w:val="-17"/>
                <w:kern w:val="0"/>
                <w:szCs w:val="21"/>
                <w:highlight w:val="none"/>
                <w:lang w:bidi="ar"/>
              </w:rPr>
            </w:pP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未按照规定建立出入库检查、登记制度或者收存和发放民用爆炸物品，致使账物不符。</w:t>
            </w:r>
            <w:r>
              <w:rPr>
                <w:rFonts w:hint="eastAsia" w:asciiTheme="minorEastAsia" w:hAnsiTheme="minorEastAsia" w:cstheme="minorEastAsia"/>
                <w:color w:val="auto"/>
                <w:kern w:val="0"/>
                <w:szCs w:val="21"/>
                <w:highlight w:val="none"/>
                <w:lang w:bidi="ar"/>
              </w:rPr>
              <w:br w:type="textWrapping"/>
            </w: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第四十九条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，由民用爆炸物品行业主管部门、公安机关按照职责责令限期改正，可以并处5万元以上20万元以下的罚款；逾期不改正的，责令停产停业整顿；情节严重的，吊销许可证：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（二）未按照规定建立出入库检查、登记制度或者收存和发放民用爆炸物品，致使账物不符的；</w:t>
            </w:r>
            <w:r>
              <w:rPr>
                <w:rFonts w:hint="eastAsia" w:asciiTheme="minorEastAsia" w:hAnsiTheme="minorEastAsia" w:cstheme="minorEastAsia"/>
                <w:color w:val="auto"/>
                <w:kern w:val="0"/>
                <w:szCs w:val="21"/>
                <w:highlight w:val="none"/>
                <w:lang w:bidi="ar"/>
              </w:rPr>
              <w:br w:type="textWrapping"/>
            </w:r>
          </w:p>
        </w:tc>
        <w:tc>
          <w:tcPr>
            <w:tcW w:w="1979"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1、涉及炸药1000克及以下；</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2、涉及雷管30枚及以下的；</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3、涉及索类爆炸物品30米及以下；</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4、涉及其他种类民用爆炸物品数量较少。</w:t>
            </w:r>
          </w:p>
          <w:p>
            <w:pPr>
              <w:pStyle w:val="2"/>
              <w:widowControl/>
              <w:spacing w:line="240" w:lineRule="exact"/>
              <w:rPr>
                <w:rFonts w:asciiTheme="minorEastAsia" w:hAnsiTheme="minorEastAsia" w:cstheme="minorEastAsia"/>
                <w:color w:val="auto"/>
                <w:highlight w:val="none"/>
              </w:rPr>
            </w:pP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责令限期改正，</w:t>
            </w:r>
            <w:r>
              <w:rPr>
                <w:rFonts w:hint="eastAsia" w:asciiTheme="minorEastAsia" w:hAnsiTheme="minorEastAsia" w:cstheme="minorEastAsia"/>
                <w:color w:val="auto"/>
                <w:kern w:val="0"/>
                <w:szCs w:val="21"/>
                <w:highlight w:val="none"/>
                <w:lang w:bidi="ar"/>
              </w:rPr>
              <w:t>可以并</w:t>
            </w:r>
            <w:r>
              <w:rPr>
                <w:rFonts w:hint="eastAsia" w:asciiTheme="minorEastAsia" w:hAnsiTheme="minorEastAsia" w:cstheme="minorEastAsia"/>
                <w:color w:val="auto"/>
                <w:szCs w:val="21"/>
                <w:highlight w:val="none"/>
              </w:rPr>
              <w:t>处5万元以上10万元以下的罚款；逾期不改正的，责令停产停业整顿。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1、涉及炸药1000克以上；</w:t>
            </w:r>
          </w:p>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2、涉及雷管30枚以上；</w:t>
            </w:r>
          </w:p>
          <w:p>
            <w:pPr>
              <w:widowControl/>
              <w:spacing w:line="300" w:lineRule="exact"/>
              <w:jc w:val="lef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3、涉及索类爆炸物品30米以上；           4、涉及其他种类民用爆炸物品数量较多。</w:t>
            </w:r>
          </w:p>
          <w:p>
            <w:pPr>
              <w:widowControl/>
              <w:spacing w:line="300" w:lineRule="exact"/>
              <w:jc w:val="left"/>
              <w:textAlignment w:val="top"/>
              <w:rPr>
                <w:rFonts w:asciiTheme="minorEastAsia" w:hAnsiTheme="minorEastAsia" w:cstheme="minorEastAsia"/>
                <w:color w:val="auto"/>
                <w:szCs w:val="21"/>
                <w:highlight w:val="none"/>
              </w:rPr>
            </w:pP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责令限期改正，</w:t>
            </w:r>
            <w:r>
              <w:rPr>
                <w:rFonts w:hint="eastAsia" w:asciiTheme="minorEastAsia" w:hAnsiTheme="minorEastAsia" w:cstheme="minorEastAsia"/>
                <w:color w:val="auto"/>
                <w:kern w:val="0"/>
                <w:szCs w:val="21"/>
                <w:highlight w:val="none"/>
                <w:lang w:bidi="ar"/>
              </w:rPr>
              <w:t>可以并</w:t>
            </w:r>
            <w:r>
              <w:rPr>
                <w:rFonts w:hint="eastAsia" w:asciiTheme="minorEastAsia" w:hAnsiTheme="minorEastAsia" w:cstheme="minorEastAsia"/>
                <w:color w:val="auto"/>
                <w:szCs w:val="21"/>
                <w:highlight w:val="none"/>
              </w:rPr>
              <w:t>处10万元以上20万元以下的罚款；逾期不改正的，责令停产停业整顿。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68"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以下情形，属于“情节严重”：  </w:t>
            </w:r>
          </w:p>
          <w:p>
            <w:pPr>
              <w:widowControl/>
              <w:numPr>
                <w:ilvl w:val="0"/>
                <w:numId w:val="10"/>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多次未按照规定建立出入库检查、登记制度或者收存和发放民用爆炸物品，致使账物不符的；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2、故意未按照规定建立出入库检查、登记制度或者收存和发放民用爆炸物品，致使账物不符；</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 xml:space="preserve">3、未按照规定建立出入库检查、登记制度或者收存和发放民用爆炸物品，致使账物不符，导致民用爆炸物品非法流失造成严重后果；       </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4、其他情节严重情形。</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吊销许可证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01"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1、超量储存、在非专用仓库储存或者违反储存标准和规范储存民用爆炸物品；</w:t>
            </w:r>
            <w:r>
              <w:rPr>
                <w:rFonts w:hint="eastAsia" w:asciiTheme="minorEastAsia" w:hAnsiTheme="minorEastAsia" w:cstheme="minorEastAsia"/>
                <w:color w:val="auto"/>
                <w:szCs w:val="21"/>
                <w:highlight w:val="none"/>
              </w:rPr>
              <w:br w:type="textWrapping"/>
            </w:r>
            <w:r>
              <w:rPr>
                <w:rFonts w:hint="eastAsia" w:asciiTheme="minorEastAsia" w:hAnsiTheme="minorEastAsia" w:cstheme="minorEastAsia"/>
                <w:color w:val="auto"/>
                <w:szCs w:val="21"/>
                <w:highlight w:val="none"/>
              </w:rPr>
              <w:t>2、有本条例规定的其他违反民用爆炸物品储存管理规定</w:t>
            </w:r>
            <w:r>
              <w:rPr>
                <w:rFonts w:hint="eastAsia" w:asciiTheme="minorEastAsia" w:hAnsiTheme="minorEastAsia" w:cstheme="minorEastAsia"/>
                <w:color w:val="auto"/>
                <w:kern w:val="0"/>
                <w:szCs w:val="21"/>
                <w:highlight w:val="none"/>
                <w:lang w:bidi="ar"/>
              </w:rPr>
              <w:t>行为。</w:t>
            </w: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第四十九条  违反本条例规定，</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，由民用爆炸物品行业主管部门、公安机关按照职责责令限期改正，可以并处5万元以上20万元以下的罚款；逾期不改正的，责令停产停业整顿；情节严重的，吊销许可证：</w:t>
            </w:r>
          </w:p>
          <w:p>
            <w:pPr>
              <w:widowControl/>
              <w:numPr>
                <w:ilvl w:val="0"/>
                <w:numId w:val="11"/>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超量储存、在非专用仓库储存或者违反储存标准和规范储存民用爆炸物品的；</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（四）有本条例规定的其他违反民用爆炸物品储存管理规定行为的。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br w:type="textWrapping"/>
            </w: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实施违法行为，无危害后果</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w:t>
            </w:r>
            <w:r>
              <w:rPr>
                <w:rFonts w:hint="eastAsia" w:asciiTheme="minorEastAsia" w:hAnsiTheme="minorEastAsia" w:cstheme="minorEastAsia"/>
                <w:color w:val="auto"/>
                <w:kern w:val="0"/>
                <w:szCs w:val="21"/>
                <w:highlight w:val="none"/>
                <w:lang w:val="en-US" w:eastAsia="zh-CN" w:bidi="ar"/>
              </w:rPr>
              <w:t>可以并</w:t>
            </w:r>
            <w:r>
              <w:rPr>
                <w:rFonts w:hint="eastAsia" w:asciiTheme="minorEastAsia" w:hAnsiTheme="minorEastAsia" w:cstheme="minorEastAsia"/>
                <w:color w:val="auto"/>
                <w:kern w:val="0"/>
                <w:szCs w:val="21"/>
                <w:highlight w:val="none"/>
                <w:lang w:bidi="ar"/>
              </w:rPr>
              <w:t>处5万元以上10万元以下的罚款；逾期不改正的，责令停产停业整顿。</w:t>
            </w:r>
          </w:p>
          <w:p>
            <w:pPr>
              <w:widowControl/>
              <w:spacing w:line="300" w:lineRule="exact"/>
              <w:textAlignment w:val="top"/>
              <w:rPr>
                <w:rFonts w:asciiTheme="minorEastAsia" w:hAnsiTheme="minorEastAsia" w:cstheme="minorEastAsia"/>
                <w:color w:val="auto"/>
                <w:szCs w:val="21"/>
                <w:highlight w:val="none"/>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实施违法行为，造成一般责任事故</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责令限期改正，</w:t>
            </w:r>
            <w:r>
              <w:rPr>
                <w:rFonts w:hint="eastAsia" w:asciiTheme="minorEastAsia" w:hAnsiTheme="minorEastAsia" w:cstheme="minorEastAsia"/>
                <w:color w:val="auto"/>
                <w:kern w:val="0"/>
                <w:szCs w:val="21"/>
                <w:highlight w:val="none"/>
                <w:lang w:val="en-US" w:eastAsia="zh-CN" w:bidi="ar"/>
              </w:rPr>
              <w:t>可以</w:t>
            </w:r>
            <w:r>
              <w:rPr>
                <w:rFonts w:hint="eastAsia" w:asciiTheme="minorEastAsia" w:hAnsiTheme="minorEastAsia" w:cstheme="minorEastAsia"/>
                <w:color w:val="auto"/>
                <w:kern w:val="0"/>
                <w:szCs w:val="21"/>
                <w:highlight w:val="none"/>
                <w:lang w:bidi="ar"/>
              </w:rPr>
              <w:t>处10万元以上20万元以下的罚款；逾期不改正的，责令停产停业整顿。</w:t>
            </w: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534"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以下情形，属于“情节严重”：   </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1、多次超量储存、在非专业仓库储存或者违反储存标准和规范储存民用爆炸物品；</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2、多次违反本条例规定的其他民用爆炸物品储存管理规定；</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3、超量储存、在非专业仓库储存或者违反储存标准和规范储存民用爆炸物品，导致发生较大及以上责任事故；</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4、违反本条例规定的其他民用爆炸物品储存管理规定，导致发生较大及以上责任事故；</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5、其他情节严重情形。</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240" w:lineRule="exact"/>
              <w:jc w:val="left"/>
              <w:rPr>
                <w:rFonts w:asciiTheme="minorEastAsia" w:hAnsiTheme="minorEastAsia" w:cstheme="minorEastAsia"/>
                <w:color w:val="auto"/>
                <w:szCs w:val="21"/>
                <w:highlight w:val="none"/>
              </w:rPr>
            </w:pPr>
          </w:p>
        </w:tc>
        <w:tc>
          <w:tcPr>
            <w:tcW w:w="1234" w:type="dxa"/>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szCs w:val="21"/>
                <w:highlight w:val="none"/>
              </w:rPr>
              <w:t>吊销许可证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30" w:hRule="atLeast"/>
        </w:trPr>
        <w:tc>
          <w:tcPr>
            <w:tcW w:w="1808"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违反安全管理制度，致使民用爆炸物品丢失、被盗、被抢。</w:t>
            </w: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第五十条  违反本条例规定，民用爆炸物品从业单位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，由公安机关处2万元以上10万元以下的罚款；情节严重的，吊销其许可证；有违反治安管理行为的，依法给予治安管理处罚：</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（一）违反安全管理制度，致使民用爆炸物品丢失、被盗、被抢的；</w:t>
            </w:r>
            <w:r>
              <w:rPr>
                <w:rFonts w:hint="eastAsia" w:asciiTheme="minorEastAsia" w:hAnsiTheme="minorEastAsia" w:cstheme="minorEastAsia"/>
                <w:color w:val="auto"/>
                <w:kern w:val="0"/>
                <w:szCs w:val="21"/>
                <w:highlight w:val="none"/>
                <w:lang w:bidi="ar"/>
              </w:rPr>
              <w:br w:type="textWrapping"/>
            </w:r>
          </w:p>
        </w:tc>
        <w:tc>
          <w:tcPr>
            <w:tcW w:w="1979" w:type="dxa"/>
            <w:tcBorders>
              <w:top w:val="single" w:color="auto" w:sz="4" w:space="0"/>
              <w:tl2br w:val="nil"/>
              <w:tr2bl w:val="nil"/>
            </w:tcBorders>
            <w:shd w:val="clear" w:color="auto" w:fill="auto"/>
          </w:tcPr>
          <w:p>
            <w:pPr>
              <w:widowControl/>
              <w:numPr>
                <w:ilvl w:val="0"/>
                <w:numId w:val="12"/>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违反安全管理制度，致使30枚及以下雷管丢失、被盗、被抢；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2、违反安全管理制度，致使1000克及以下炸药丢失、被盗、被抢；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3、违反安全管理制度，致使30米及以下索类民用爆炸物品丢失、被盗、被抢；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4、违反安全管理制度，致使数量较少的其他种类民用爆炸物品丢失、被盗、被抢。</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处2万元以上5万元以下的罚款；有违反治安管理行为的，依法给予治安管理处罚。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83"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tl2br w:val="nil"/>
              <w:tr2bl w:val="nil"/>
            </w:tcBorders>
            <w:shd w:val="clear" w:color="auto" w:fill="auto"/>
          </w:tcPr>
          <w:p>
            <w:pPr>
              <w:widowControl/>
              <w:numPr>
                <w:ilvl w:val="0"/>
                <w:numId w:val="13"/>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违反安全管理制度，致使30枚以上雷管丢失、被盗、被抢；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2、违反安全管理制度，致使1000克以上炸药丢失、被盗、被抢；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3、违反安全管理制度，致使30米以上索类民用爆炸物品丢失、被盗、被抢；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4、违反安全管理制度，致使数量较多的其他种类民用爆炸物品丢失、被盗、被抢。</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处5万元以上10万元以下的罚款；有违反治安管理行为的，依法给予治安管理处罚。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6" w:hRule="atLeast"/>
        </w:trPr>
        <w:tc>
          <w:tcPr>
            <w:tcW w:w="1808"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以下情形，属于“情节严重”：</w:t>
            </w:r>
          </w:p>
          <w:p>
            <w:pPr>
              <w:widowControl/>
              <w:numPr>
                <w:ilvl w:val="0"/>
                <w:numId w:val="14"/>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违反安全管理制度，致使民用爆炸物品多次丢失、被盗、被抢；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2、违反安全管理制度，致使民用爆炸物品丢失、被盗、被抢造成严重后果；</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3、多次民用爆炸物品丢失、被盗、被抢，未按照规定向当地公安机关报告或者故意隐瞒不报；</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4、民用爆炸物品丢失、被盗、被抢，未按照规定向当地公安机关报告或者故意隐瞒不报造成严重后果。</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吊销其许可证；有违反治安管理行为</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的，依法给予治安管理处罚。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民用爆炸物品丢失、被盗、被抢，未按照规定向当地公安机关报告或者故意隐瞒不报。</w:t>
            </w:r>
          </w:p>
        </w:tc>
        <w:tc>
          <w:tcPr>
            <w:tcW w:w="2371" w:type="dxa"/>
            <w:vMerge w:val="restart"/>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第五十条  违反本条例规定，民用爆炸物品从业单位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，由公安机关处2万元以上10万元以下的罚款；情节严重的，吊销其许可证；有违反治安管理行为的，依法给予治安管理处罚：</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（二）民用爆炸物品丢失、被盗、被抢，未按照规定向当地公安机关报告或者故意隐瞒不报的；</w:t>
            </w:r>
          </w:p>
        </w:tc>
        <w:tc>
          <w:tcPr>
            <w:tcW w:w="1979"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发现民用爆炸物品丢失、被盗、被抢，3小时内未向当地公安机关报告</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r>
              <w:rPr>
                <w:rFonts w:hint="eastAsia" w:asciiTheme="minorEastAsia" w:hAnsiTheme="minorEastAsia" w:cstheme="minorEastAsia"/>
                <w:color w:val="auto"/>
                <w:kern w:val="0"/>
                <w:szCs w:val="21"/>
                <w:highlight w:val="none"/>
                <w:lang w:bidi="ar"/>
              </w:rPr>
              <w:br w:type="textWrapping"/>
            </w: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处2万元以上5万元以下的罚款；有违反治安管理行为的，依法给予治安管理处罚。</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lang w:bidi="ar"/>
              </w:rPr>
              <w:t>发现民用爆炸物品丢失、被盗、被抢，超过3小时未向当地公安机关报告或者故意隐瞒不报</w:t>
            </w:r>
            <w:r>
              <w:rPr>
                <w:rFonts w:hint="eastAsia" w:asciiTheme="minorEastAsia" w:hAnsiTheme="minorEastAsia" w:cstheme="minorEastAsia"/>
                <w:color w:val="auto"/>
                <w:kern w:val="0"/>
                <w:szCs w:val="21"/>
                <w:highlight w:val="none"/>
                <w:lang w:val="en-US" w:eastAsia="zh-CN" w:bidi="ar"/>
              </w:rPr>
              <w:t>的</w:t>
            </w:r>
            <w:r>
              <w:rPr>
                <w:rFonts w:hint="eastAsia" w:asciiTheme="minorEastAsia" w:hAnsiTheme="minorEastAsia" w:cstheme="minorEastAsia"/>
                <w:color w:val="auto"/>
                <w:kern w:val="0"/>
                <w:szCs w:val="21"/>
                <w:highlight w:val="none"/>
                <w:lang w:bidi="ar"/>
              </w:rPr>
              <w:t>。</w:t>
            </w:r>
            <w:r>
              <w:rPr>
                <w:rFonts w:hint="eastAsia" w:asciiTheme="minorEastAsia" w:hAnsiTheme="minorEastAsia" w:cstheme="minorEastAsia"/>
                <w:color w:val="auto"/>
                <w:kern w:val="0"/>
                <w:szCs w:val="21"/>
                <w:highlight w:val="none"/>
                <w:lang w:bidi="ar"/>
              </w:rPr>
              <w:br w:type="textWrapping"/>
            </w: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处5万元以上10万元以下</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的罚款；有违反治安管理行为的，依法给予治安管理处罚。</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 w:hRule="atLeast"/>
        </w:trPr>
        <w:tc>
          <w:tcPr>
            <w:tcW w:w="1808" w:type="dxa"/>
            <w:vMerge w:val="continue"/>
            <w:tcBorders>
              <w:tl2br w:val="nil"/>
              <w:tr2bl w:val="nil"/>
            </w:tcBorders>
            <w:shd w:val="clear" w:color="auto" w:fill="auto"/>
          </w:tcPr>
          <w:p>
            <w:pPr>
              <w:widowControl/>
              <w:spacing w:line="300" w:lineRule="exact"/>
              <w:textAlignment w:val="top"/>
              <w:rPr>
                <w:color w:val="auto"/>
                <w:highlight w:val="none"/>
              </w:rPr>
            </w:pPr>
          </w:p>
        </w:tc>
        <w:tc>
          <w:tcPr>
            <w:tcW w:w="2371" w:type="dxa"/>
            <w:vMerge w:val="continue"/>
            <w:tcBorders>
              <w:tl2br w:val="nil"/>
              <w:tr2bl w:val="nil"/>
            </w:tcBorders>
            <w:shd w:val="clear" w:color="auto" w:fill="auto"/>
          </w:tcPr>
          <w:p>
            <w:pPr>
              <w:widowControl/>
              <w:spacing w:line="300" w:lineRule="exact"/>
              <w:textAlignment w:val="top"/>
              <w:rPr>
                <w:color w:val="auto"/>
                <w:highlight w:val="none"/>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民用爆炸物品丢失、被盗、被抢，未按照规定向当地公安机关报告或者故意隐瞒不报，造成严重后果。</w:t>
            </w:r>
          </w:p>
          <w:p>
            <w:pPr>
              <w:widowControl/>
              <w:spacing w:line="300" w:lineRule="exact"/>
              <w:textAlignment w:val="top"/>
              <w:rPr>
                <w:color w:val="auto"/>
                <w:highlight w:val="none"/>
              </w:rPr>
            </w:pP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吊销其许可证；有违反治安管理行为的，依法给予治安管理处罚。</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40"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转让、出借、转借、抵押、赠送民用爆炸物品。</w:t>
            </w:r>
          </w:p>
        </w:tc>
        <w:tc>
          <w:tcPr>
            <w:tcW w:w="2371"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第五十条  违反本条例规定，民用爆炸物品从业单位</w:t>
            </w:r>
            <w:r>
              <w:rPr>
                <w:rFonts w:hint="eastAsia" w:asciiTheme="minorEastAsia" w:hAnsiTheme="minorEastAsia" w:cstheme="minorEastAsia"/>
                <w:color w:val="auto"/>
                <w:kern w:val="0"/>
                <w:szCs w:val="21"/>
                <w:highlight w:val="none"/>
                <w:lang w:eastAsia="zh-CN" w:bidi="ar"/>
              </w:rPr>
              <w:t>有下列情形之一的</w:t>
            </w:r>
            <w:r>
              <w:rPr>
                <w:rFonts w:hint="eastAsia" w:asciiTheme="minorEastAsia" w:hAnsiTheme="minorEastAsia" w:cstheme="minorEastAsia"/>
                <w:color w:val="auto"/>
                <w:kern w:val="0"/>
                <w:szCs w:val="21"/>
                <w:highlight w:val="none"/>
                <w:lang w:bidi="ar"/>
              </w:rPr>
              <w:t>，由公安机关处2万元以上10万元以下的罚款；情节严重的，吊销其许可证；有违反治安管理行为的，依法给予治安管理处罚：</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（三）转让、出借、转借、抵押、赠送民用爆炸物品的。</w:t>
            </w:r>
          </w:p>
        </w:tc>
        <w:tc>
          <w:tcPr>
            <w:tcW w:w="1979" w:type="dxa"/>
            <w:tcBorders>
              <w:top w:val="single" w:color="auto" w:sz="4" w:space="0"/>
              <w:tl2br w:val="nil"/>
              <w:tr2bl w:val="nil"/>
            </w:tcBorders>
            <w:shd w:val="clear" w:color="auto" w:fill="auto"/>
          </w:tcPr>
          <w:p>
            <w:pPr>
              <w:widowControl/>
              <w:numPr>
                <w:ilvl w:val="0"/>
                <w:numId w:val="15"/>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转让、出借、转借、抵押、赠送炸药500克以下；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2、转让、出借、转借、抵押、赠送雷管10枚以下；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3、转让、出借、转借、抵押、赠送索类爆炸物品10米以下；</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4、转让、出借、转借、抵押、赠送其他种类民用爆炸物品数量较少。</w:t>
            </w:r>
          </w:p>
        </w:tc>
        <w:tc>
          <w:tcPr>
            <w:tcW w:w="1234"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处2万元以上5万元以下的罚款；有违反治安管理行为的，依法给予治安管理处罚。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0"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numPr>
                <w:ilvl w:val="0"/>
                <w:numId w:val="16"/>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转让、出借、转借、抵押、赠送炸药500克以上；</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2、转让、出借、转借、抵押、赠送雷管10枚以上；</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3、转让、出借、转借、抵押、赠送索类爆炸物品10米以上；</w:t>
            </w:r>
          </w:p>
          <w:p>
            <w:pPr>
              <w:widowControl/>
              <w:numPr>
                <w:ilvl w:val="0"/>
                <w:numId w:val="17"/>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转让、出借、转借、抵押、赠送其他种类民用爆炸物品数量较多。</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处5万元以上10万元以下的罚款；有违反治安管理行为的，依法给予治安管理处罚。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44"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以下情形，属于“情节严重”：</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1、多次转让、出借、转借、抵押、赠送民用爆炸物品；</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2、转让、出借、转借、抵押、赠送民用爆炸物品造成严重后果；</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3、其他情节严重情形。</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吊销其许可证；有违反治安管理行为的，依法给予治安管理处罚。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8"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携带民用爆炸物品搭乘公共交通工具或者进入公共场所，邮寄或者在托运的货物、行李、包裹、邮件中夹带民用爆炸物品，尚不构成犯罪。</w:t>
            </w:r>
          </w:p>
        </w:tc>
        <w:tc>
          <w:tcPr>
            <w:tcW w:w="2371" w:type="dxa"/>
            <w:vMerge w:val="restart"/>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第五十一条  违反本条例规定，携带民用爆炸物品搭乘公共交通工具或者进入公共场所，邮寄或者在托运的货物、行李、包裹、邮件中夹带民用爆炸物品，构成犯罪的，依法追究刑事责任；尚不构成犯罪的，由公安机关依法给予治安管理处罚，没收非法的民用爆炸物品，处1000元以上1万元以下的罚款。</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restart"/>
            <w:tcBorders>
              <w:tl2br w:val="nil"/>
              <w:tr2bl w:val="nil"/>
            </w:tcBorders>
            <w:shd w:val="clear" w:color="auto" w:fill="auto"/>
          </w:tcPr>
          <w:p>
            <w:pPr>
              <w:widowControl/>
              <w:numPr>
                <w:ilvl w:val="0"/>
                <w:numId w:val="18"/>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携带炸药100克及以下搭乘公共交通工具或者进入公共场所；                 2、携带雷管5枚及以下搭乘公共交通工具或者进入公共场所；                   3、携带导火索或者导爆索5米及以下搭乘公共交通工具或者进入公共场所；                           4、邮寄或者在托运的货物、行李、包裹、邮件中夹带炸药500克及以下；                       5、邮寄或者在托运的货物、行李、包裹、邮件中夹带雷管15枚及以下;                          6、邮寄或者在托运的货物、行李、包裹、邮件中夹带导火索或者导爆索15米及以下。</w:t>
            </w:r>
          </w:p>
          <w:p>
            <w:pPr>
              <w:widowControl/>
              <w:spacing w:line="300" w:lineRule="exact"/>
              <w:jc w:val="left"/>
              <w:textAlignment w:val="top"/>
              <w:rPr>
                <w:rFonts w:asciiTheme="minorEastAsia" w:hAnsiTheme="minorEastAsia" w:cstheme="minorEastAsia"/>
                <w:color w:val="auto"/>
                <w:kern w:val="0"/>
                <w:szCs w:val="21"/>
                <w:highlight w:val="none"/>
                <w:lang w:bidi="ar"/>
              </w:rPr>
            </w:pPr>
          </w:p>
        </w:tc>
        <w:tc>
          <w:tcPr>
            <w:tcW w:w="1234" w:type="dxa"/>
            <w:vMerge w:val="restart"/>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依法给予治安管理处罚，没收非法的民用爆炸物品，处1000元以上5000元以下的罚款。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532"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vMerge w:val="continue"/>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07" w:hRule="atLeast"/>
        </w:trPr>
        <w:tc>
          <w:tcPr>
            <w:tcW w:w="1808"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vMerge w:val="continue"/>
            <w:tcBorders>
              <w:top w:val="single" w:color="auto" w:sz="4" w:space="0"/>
              <w:bottom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p>
        </w:tc>
        <w:tc>
          <w:tcPr>
            <w:tcW w:w="1979" w:type="dxa"/>
            <w:tcBorders>
              <w:tl2br w:val="nil"/>
              <w:tr2bl w:val="nil"/>
            </w:tcBorders>
            <w:shd w:val="clear" w:color="auto" w:fill="auto"/>
          </w:tcPr>
          <w:p>
            <w:pPr>
              <w:widowControl/>
              <w:numPr>
                <w:ilvl w:val="0"/>
                <w:numId w:val="19"/>
              </w:numPr>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携带炸药100克以上搭乘公共交通工具或者进入公共场所；                 2、携带雷管5枚以上搭乘公共交通工具或者进入公共场所；                   3、携带导火索或者导爆索5米以上搭乘公共交通工具或者进入公共场所；                           4、邮寄或者在托运的货物、行李、包裹、</w:t>
            </w:r>
          </w:p>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邮件中夹带炸药500克以上；</w:t>
            </w:r>
          </w:p>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5、邮寄或者在托运的货物、行李、包裹、</w:t>
            </w:r>
          </w:p>
          <w:p>
            <w:pPr>
              <w:widowControl/>
              <w:spacing w:line="300" w:lineRule="exact"/>
              <w:jc w:val="lef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邮件中夹带雷管15枚以上；                          6、邮寄或者在托运的货物、行李、包裹、邮件中夹带导火索或者导爆索15米以上。</w:t>
            </w:r>
          </w:p>
          <w:p>
            <w:pPr>
              <w:widowControl/>
              <w:spacing w:line="300" w:lineRule="exact"/>
              <w:jc w:val="left"/>
              <w:textAlignment w:val="top"/>
              <w:rPr>
                <w:rFonts w:asciiTheme="minorEastAsia" w:hAnsiTheme="minorEastAsia" w:cstheme="minorEastAsia"/>
                <w:color w:val="auto"/>
                <w:kern w:val="0"/>
                <w:szCs w:val="21"/>
                <w:highlight w:val="none"/>
                <w:lang w:bidi="ar"/>
              </w:rPr>
            </w:pPr>
          </w:p>
          <w:p>
            <w:pPr>
              <w:widowControl/>
              <w:spacing w:line="300" w:lineRule="exact"/>
              <w:jc w:val="left"/>
              <w:textAlignment w:val="top"/>
              <w:rPr>
                <w:rFonts w:asciiTheme="minorEastAsia" w:hAnsiTheme="minorEastAsia" w:cstheme="minorEastAsia"/>
                <w:color w:val="auto"/>
                <w:kern w:val="0"/>
                <w:szCs w:val="21"/>
                <w:highlight w:val="none"/>
                <w:lang w:bidi="ar"/>
              </w:rPr>
            </w:pPr>
          </w:p>
          <w:p>
            <w:pPr>
              <w:widowControl/>
              <w:spacing w:line="300" w:lineRule="exact"/>
              <w:jc w:val="left"/>
              <w:textAlignment w:val="top"/>
              <w:rPr>
                <w:rFonts w:asciiTheme="minorEastAsia" w:hAnsiTheme="minorEastAsia" w:cstheme="minorEastAsia"/>
                <w:color w:val="auto"/>
                <w:kern w:val="0"/>
                <w:szCs w:val="21"/>
                <w:highlight w:val="none"/>
                <w:lang w:bidi="ar"/>
              </w:rPr>
            </w:pPr>
          </w:p>
          <w:p>
            <w:pPr>
              <w:widowControl/>
              <w:spacing w:line="300" w:lineRule="exact"/>
              <w:jc w:val="left"/>
              <w:textAlignment w:val="top"/>
              <w:rPr>
                <w:rFonts w:asciiTheme="minorEastAsia" w:hAnsiTheme="minorEastAsia" w:cstheme="minorEastAsia"/>
                <w:color w:val="auto"/>
                <w:kern w:val="0"/>
                <w:szCs w:val="21"/>
                <w:highlight w:val="none"/>
                <w:lang w:bidi="ar"/>
              </w:rPr>
            </w:pPr>
          </w:p>
          <w:p>
            <w:pPr>
              <w:widowControl/>
              <w:spacing w:line="300" w:lineRule="exact"/>
              <w:jc w:val="lef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依法给予治安管理处罚，没收非法的民用爆炸物品，处5000元以上1万元以下的罚款。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92" w:hRule="atLeast"/>
        </w:trPr>
        <w:tc>
          <w:tcPr>
            <w:tcW w:w="1808" w:type="dxa"/>
            <w:tcBorders>
              <w:top w:val="single" w:color="auto" w:sz="4" w:space="0"/>
              <w:tl2br w:val="nil"/>
              <w:tr2bl w:val="nil"/>
            </w:tcBorders>
            <w:shd w:val="clear" w:color="auto" w:fill="auto"/>
          </w:tcPr>
          <w:p>
            <w:pPr>
              <w:pStyle w:val="3"/>
              <w:spacing w:line="280" w:lineRule="exact"/>
              <w:rPr>
                <w:rFonts w:asciiTheme="minorEastAsia" w:hAnsiTheme="minorEastAsia" w:cstheme="minorEastAsia"/>
                <w:color w:val="auto"/>
                <w:sz w:val="21"/>
                <w:szCs w:val="21"/>
                <w:highlight w:val="none"/>
              </w:rPr>
            </w:pPr>
            <w:r>
              <w:rPr>
                <w:rFonts w:hint="eastAsia" w:asciiTheme="minorEastAsia" w:hAnsiTheme="minorEastAsia" w:cstheme="minorEastAsia"/>
                <w:color w:val="auto"/>
                <w:sz w:val="21"/>
                <w:szCs w:val="21"/>
                <w:highlight w:val="none"/>
                <w:lang w:bidi="ar"/>
              </w:rPr>
              <w:t>民用爆炸物品从业单位的主要负责人未履行本条例规定的安全管理责任，导致发生重大伤亡事故或者造成其他严重后果，尚不构成犯罪</w:t>
            </w:r>
            <w:r>
              <w:rPr>
                <w:rFonts w:hint="eastAsia" w:asciiTheme="minorEastAsia" w:hAnsiTheme="minorEastAsia" w:cstheme="minorEastAsia"/>
                <w:color w:val="auto"/>
                <w:sz w:val="21"/>
                <w:szCs w:val="21"/>
                <w:highlight w:val="none"/>
              </w:rPr>
              <w:t>。</w:t>
            </w:r>
          </w:p>
          <w:p>
            <w:pPr>
              <w:widowControl/>
              <w:spacing w:line="300" w:lineRule="exact"/>
              <w:textAlignment w:val="top"/>
              <w:rPr>
                <w:rFonts w:asciiTheme="minorEastAsia" w:hAnsiTheme="minorEastAsia" w:cstheme="minorEastAsia"/>
                <w:color w:val="auto"/>
                <w:kern w:val="0"/>
                <w:szCs w:val="21"/>
                <w:highlight w:val="none"/>
                <w:lang w:bidi="ar"/>
              </w:rPr>
            </w:pPr>
          </w:p>
        </w:tc>
        <w:tc>
          <w:tcPr>
            <w:tcW w:w="2371" w:type="dxa"/>
            <w:tcBorders>
              <w:top w:val="single" w:color="auto" w:sz="4" w:space="0"/>
              <w:tl2br w:val="nil"/>
              <w:tr2bl w:val="nil"/>
            </w:tcBorders>
            <w:shd w:val="clear" w:color="auto" w:fill="auto"/>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第五十二条  民用爆炸物品从业单位的主要负责人未履行本条例规定的安全管理责任，导致发生重大伤亡事故或者造成其他严重后果，构成犯罪的，依法追究刑事责任；尚不构成犯罪的，对主要负责人给予撤职处分，对个人经营的投资人处2万元以上20万元以下的罚款。</w:t>
            </w:r>
          </w:p>
        </w:tc>
        <w:tc>
          <w:tcPr>
            <w:tcW w:w="1979" w:type="dxa"/>
            <w:tcBorders>
              <w:tl2br w:val="nil"/>
              <w:tr2bl w:val="nil"/>
            </w:tcBorders>
            <w:shd w:val="clear" w:color="auto" w:fill="auto"/>
          </w:tcPr>
          <w:p>
            <w:pPr>
              <w:widowControl/>
              <w:numPr>
                <w:ilvl w:val="0"/>
                <w:numId w:val="20"/>
              </w:numPr>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民用爆炸物品从业单位的主要负责人未履行本条例规定的安全管理责任，导致发生一般伤亡事故；</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2、民用爆炸物品从业单位的主要负责人未履行本条例规定的安全管理责任，导致民用爆炸物品非法流失；</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3、民用爆炸物品从业单位的主要负责人未履行本条例规定的安全管理责任，导致民用爆炸物品丢失、被盗、被抢；</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4、民用爆炸物品从业单位的主要负责人未履行本条例规定的安全管理责任，造成其他后果。</w:t>
            </w: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p>
            <w:pPr>
              <w:widowControl/>
              <w:spacing w:line="30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280" w:lineRule="exac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对主要负责人给予撤职处分，对个人经营的投资</w:t>
            </w:r>
          </w:p>
          <w:p>
            <w:pPr>
              <w:widowControl/>
              <w:spacing w:line="280" w:lineRule="exact"/>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人处2万元以上10万元以下的罚款。</w:t>
            </w:r>
          </w:p>
          <w:p>
            <w:pPr>
              <w:widowControl/>
              <w:spacing w:line="300" w:lineRule="exact"/>
              <w:textAlignment w:val="top"/>
              <w:rPr>
                <w:rFonts w:asciiTheme="minorEastAsia" w:hAnsiTheme="minorEastAsia" w:cstheme="minorEastAsia"/>
                <w:color w:val="auto"/>
                <w:kern w:val="0"/>
                <w:szCs w:val="21"/>
                <w:highlight w:val="none"/>
                <w:lang w:bidi="ar"/>
              </w:rPr>
            </w:pPr>
          </w:p>
        </w:tc>
      </w:tr>
    </w:tbl>
    <w:p>
      <w:pPr>
        <w:spacing w:after="250" w:afterLines="80" w:line="460" w:lineRule="exact"/>
        <w:ind w:firstLine="720" w:firstLineChars="200"/>
        <w:rPr>
          <w:rFonts w:hint="eastAsia" w:ascii="方正小标宋简体" w:hAnsi="方正小标宋简体" w:eastAsia="方正小标宋简体" w:cs="方正小标宋简体"/>
          <w:color w:val="auto"/>
          <w:sz w:val="36"/>
          <w:szCs w:val="36"/>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820B9E"/>
    <w:multiLevelType w:val="singleLevel"/>
    <w:tmpl w:val="D7820B9E"/>
    <w:lvl w:ilvl="0" w:tentative="0">
      <w:start w:val="1"/>
      <w:numFmt w:val="decimal"/>
      <w:suff w:val="nothing"/>
      <w:lvlText w:val="%1、"/>
      <w:lvlJc w:val="left"/>
    </w:lvl>
  </w:abstractNum>
  <w:abstractNum w:abstractNumId="1">
    <w:nsid w:val="0DE3D0F6"/>
    <w:multiLevelType w:val="singleLevel"/>
    <w:tmpl w:val="0DE3D0F6"/>
    <w:lvl w:ilvl="0" w:tentative="0">
      <w:start w:val="1"/>
      <w:numFmt w:val="decimal"/>
      <w:suff w:val="nothing"/>
      <w:lvlText w:val="%1、"/>
      <w:lvlJc w:val="left"/>
    </w:lvl>
  </w:abstractNum>
  <w:abstractNum w:abstractNumId="2">
    <w:nsid w:val="4673E4DE"/>
    <w:multiLevelType w:val="singleLevel"/>
    <w:tmpl w:val="4673E4DE"/>
    <w:lvl w:ilvl="0" w:tentative="0">
      <w:start w:val="1"/>
      <w:numFmt w:val="decimal"/>
      <w:suff w:val="nothing"/>
      <w:lvlText w:val="%1、"/>
      <w:lvlJc w:val="left"/>
    </w:lvl>
  </w:abstractNum>
  <w:abstractNum w:abstractNumId="3">
    <w:nsid w:val="6368DC32"/>
    <w:multiLevelType w:val="singleLevel"/>
    <w:tmpl w:val="6368DC32"/>
    <w:lvl w:ilvl="0" w:tentative="0">
      <w:start w:val="1"/>
      <w:numFmt w:val="decimal"/>
      <w:suff w:val="nothing"/>
      <w:lvlText w:val="%1、"/>
      <w:lvlJc w:val="left"/>
    </w:lvl>
  </w:abstractNum>
  <w:abstractNum w:abstractNumId="4">
    <w:nsid w:val="6368DC46"/>
    <w:multiLevelType w:val="singleLevel"/>
    <w:tmpl w:val="6368DC46"/>
    <w:lvl w:ilvl="0" w:tentative="0">
      <w:start w:val="1"/>
      <w:numFmt w:val="decimal"/>
      <w:suff w:val="nothing"/>
      <w:lvlText w:val="%1、"/>
      <w:lvlJc w:val="left"/>
    </w:lvl>
  </w:abstractNum>
  <w:abstractNum w:abstractNumId="5">
    <w:nsid w:val="6368DE8D"/>
    <w:multiLevelType w:val="singleLevel"/>
    <w:tmpl w:val="6368DE8D"/>
    <w:lvl w:ilvl="0" w:tentative="0">
      <w:start w:val="1"/>
      <w:numFmt w:val="decimal"/>
      <w:suff w:val="nothing"/>
      <w:lvlText w:val="%1、"/>
      <w:lvlJc w:val="left"/>
    </w:lvl>
  </w:abstractNum>
  <w:abstractNum w:abstractNumId="6">
    <w:nsid w:val="6368DEBC"/>
    <w:multiLevelType w:val="singleLevel"/>
    <w:tmpl w:val="6368DEBC"/>
    <w:lvl w:ilvl="0" w:tentative="0">
      <w:start w:val="1"/>
      <w:numFmt w:val="decimal"/>
      <w:suff w:val="nothing"/>
      <w:lvlText w:val="%1、"/>
      <w:lvlJc w:val="left"/>
    </w:lvl>
  </w:abstractNum>
  <w:abstractNum w:abstractNumId="7">
    <w:nsid w:val="6368E007"/>
    <w:multiLevelType w:val="singleLevel"/>
    <w:tmpl w:val="6368E007"/>
    <w:lvl w:ilvl="0" w:tentative="0">
      <w:start w:val="1"/>
      <w:numFmt w:val="decimal"/>
      <w:suff w:val="nothing"/>
      <w:lvlText w:val="%1、"/>
      <w:lvlJc w:val="left"/>
    </w:lvl>
  </w:abstractNum>
  <w:abstractNum w:abstractNumId="8">
    <w:nsid w:val="6368E02A"/>
    <w:multiLevelType w:val="singleLevel"/>
    <w:tmpl w:val="6368E02A"/>
    <w:lvl w:ilvl="0" w:tentative="0">
      <w:start w:val="1"/>
      <w:numFmt w:val="decimal"/>
      <w:suff w:val="nothing"/>
      <w:lvlText w:val="%1、"/>
      <w:lvlJc w:val="left"/>
    </w:lvl>
  </w:abstractNum>
  <w:abstractNum w:abstractNumId="9">
    <w:nsid w:val="6369C153"/>
    <w:multiLevelType w:val="singleLevel"/>
    <w:tmpl w:val="6369C153"/>
    <w:lvl w:ilvl="0" w:tentative="0">
      <w:start w:val="1"/>
      <w:numFmt w:val="decimal"/>
      <w:suff w:val="nothing"/>
      <w:lvlText w:val="%1、"/>
      <w:lvlJc w:val="left"/>
    </w:lvl>
  </w:abstractNum>
  <w:abstractNum w:abstractNumId="10">
    <w:nsid w:val="6369C373"/>
    <w:multiLevelType w:val="singleLevel"/>
    <w:tmpl w:val="6369C373"/>
    <w:lvl w:ilvl="0" w:tentative="0">
      <w:start w:val="1"/>
      <w:numFmt w:val="decimal"/>
      <w:suff w:val="nothing"/>
      <w:lvlText w:val="%1、"/>
      <w:lvlJc w:val="left"/>
    </w:lvl>
  </w:abstractNum>
  <w:abstractNum w:abstractNumId="11">
    <w:nsid w:val="6369C3BB"/>
    <w:multiLevelType w:val="singleLevel"/>
    <w:tmpl w:val="6369C3BB"/>
    <w:lvl w:ilvl="0" w:tentative="0">
      <w:start w:val="1"/>
      <w:numFmt w:val="decimal"/>
      <w:suff w:val="nothing"/>
      <w:lvlText w:val="%1、"/>
      <w:lvlJc w:val="left"/>
    </w:lvl>
  </w:abstractNum>
  <w:abstractNum w:abstractNumId="12">
    <w:nsid w:val="6369C406"/>
    <w:multiLevelType w:val="singleLevel"/>
    <w:tmpl w:val="6369C406"/>
    <w:lvl w:ilvl="0" w:tentative="0">
      <w:start w:val="1"/>
      <w:numFmt w:val="decimal"/>
      <w:suff w:val="nothing"/>
      <w:lvlText w:val="%1、"/>
      <w:lvlJc w:val="left"/>
    </w:lvl>
  </w:abstractNum>
  <w:abstractNum w:abstractNumId="13">
    <w:nsid w:val="6369C49F"/>
    <w:multiLevelType w:val="singleLevel"/>
    <w:tmpl w:val="6369C49F"/>
    <w:lvl w:ilvl="0" w:tentative="0">
      <w:start w:val="1"/>
      <w:numFmt w:val="decimal"/>
      <w:suff w:val="nothing"/>
      <w:lvlText w:val="%1、"/>
      <w:lvlJc w:val="left"/>
    </w:lvl>
  </w:abstractNum>
  <w:abstractNum w:abstractNumId="14">
    <w:nsid w:val="6369C4CD"/>
    <w:multiLevelType w:val="singleLevel"/>
    <w:tmpl w:val="6369C4CD"/>
    <w:lvl w:ilvl="0" w:tentative="0">
      <w:start w:val="4"/>
      <w:numFmt w:val="decimal"/>
      <w:suff w:val="nothing"/>
      <w:lvlText w:val="%1、"/>
      <w:lvlJc w:val="left"/>
    </w:lvl>
  </w:abstractNum>
  <w:abstractNum w:abstractNumId="15">
    <w:nsid w:val="6369C53D"/>
    <w:multiLevelType w:val="singleLevel"/>
    <w:tmpl w:val="6369C53D"/>
    <w:lvl w:ilvl="0" w:tentative="0">
      <w:start w:val="1"/>
      <w:numFmt w:val="decimal"/>
      <w:suff w:val="nothing"/>
      <w:lvlText w:val="%1、"/>
      <w:lvlJc w:val="left"/>
    </w:lvl>
  </w:abstractNum>
  <w:abstractNum w:abstractNumId="16">
    <w:nsid w:val="6369C568"/>
    <w:multiLevelType w:val="singleLevel"/>
    <w:tmpl w:val="6369C568"/>
    <w:lvl w:ilvl="0" w:tentative="0">
      <w:start w:val="1"/>
      <w:numFmt w:val="decimal"/>
      <w:suff w:val="nothing"/>
      <w:lvlText w:val="%1、"/>
      <w:lvlJc w:val="left"/>
    </w:lvl>
  </w:abstractNum>
  <w:abstractNum w:abstractNumId="17">
    <w:nsid w:val="6369C598"/>
    <w:multiLevelType w:val="singleLevel"/>
    <w:tmpl w:val="6369C598"/>
    <w:lvl w:ilvl="0" w:tentative="0">
      <w:start w:val="1"/>
      <w:numFmt w:val="decimal"/>
      <w:suff w:val="nothing"/>
      <w:lvlText w:val="%1、"/>
      <w:lvlJc w:val="left"/>
    </w:lvl>
  </w:abstractNum>
  <w:abstractNum w:abstractNumId="18">
    <w:nsid w:val="636A2A26"/>
    <w:multiLevelType w:val="singleLevel"/>
    <w:tmpl w:val="636A2A26"/>
    <w:lvl w:ilvl="0" w:tentative="0">
      <w:start w:val="3"/>
      <w:numFmt w:val="chineseCounting"/>
      <w:suff w:val="nothing"/>
      <w:lvlText w:val="（%1）"/>
      <w:lvlJc w:val="left"/>
    </w:lvl>
  </w:abstractNum>
  <w:abstractNum w:abstractNumId="19">
    <w:nsid w:val="642FE108"/>
    <w:multiLevelType w:val="singleLevel"/>
    <w:tmpl w:val="642FE108"/>
    <w:lvl w:ilvl="0" w:tentative="0">
      <w:start w:val="1"/>
      <w:numFmt w:val="decimal"/>
      <w:suff w:val="nothing"/>
      <w:lvlText w:val="%1、"/>
      <w:lvlJc w:val="left"/>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1"/>
  </w:num>
  <w:num w:numId="8">
    <w:abstractNumId w:val="0"/>
  </w:num>
  <w:num w:numId="9">
    <w:abstractNumId w:val="9"/>
  </w:num>
  <w:num w:numId="10">
    <w:abstractNumId w:val="19"/>
  </w:num>
  <w:num w:numId="11">
    <w:abstractNumId w:val="18"/>
  </w:num>
  <w:num w:numId="12">
    <w:abstractNumId w:val="10"/>
  </w:num>
  <w:num w:numId="13">
    <w:abstractNumId w:val="11"/>
  </w:num>
  <w:num w:numId="14">
    <w:abstractNumId w:val="12"/>
  </w:num>
  <w:num w:numId="15">
    <w:abstractNumId w:val="13"/>
  </w:num>
  <w:num w:numId="16">
    <w:abstractNumId w:val="2"/>
  </w:num>
  <w:num w:numId="17">
    <w:abstractNumId w:val="14"/>
  </w:num>
  <w:num w:numId="18">
    <w:abstractNumId w:val="15"/>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6F172C0F"/>
    <w:rsid w:val="6F172C0F"/>
    <w:rsid w:val="7A4B3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2024-05-13T07:39:00Z</dcterms:created>
  <dc:creator>Administrator</dc:creator>
  <cp:lastModifiedBy>Administrator</cp:lastModifiedBy>
  <dcterms:modified xsi:type="dcterms:W3CDTF">2024-05-13T12:04:38Z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932E07830CDB4846911A7665BD53F552_11</vt:lpwstr>
  </property>
</Properties>
</file>