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违反《大型群众性活动安全管理条例》处罚裁量基准</w:t>
      </w:r>
    </w:p>
    <w:tbl>
      <w:tblPr>
        <w:tblStyle w:val="2"/>
        <w:tblW w:w="748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15"/>
        <w:gridCol w:w="2400"/>
        <w:gridCol w:w="2034"/>
        <w:gridCol w:w="12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815" w:type="dxa"/>
            <w:tcBorders>
              <w:tl2br w:val="nil"/>
              <w:tr2bl w:val="nil"/>
            </w:tcBorders>
            <w:shd w:val="clear" w:color="auto" w:fill="auto"/>
            <w:vAlign w:val="center"/>
          </w:tcPr>
          <w:p>
            <w:pPr>
              <w:widowControl/>
              <w:spacing w:line="340" w:lineRule="exact"/>
              <w:jc w:val="center"/>
              <w:textAlignment w:val="top"/>
              <w:rPr>
                <w:rFonts w:asciiTheme="minorEastAsia" w:hAnsiTheme="minorEastAsia" w:cstheme="minorEastAsia"/>
                <w:b/>
                <w:bCs/>
                <w:color w:val="auto"/>
                <w:kern w:val="0"/>
                <w:szCs w:val="21"/>
                <w:highlight w:val="none"/>
              </w:rPr>
            </w:pPr>
            <w:bookmarkStart w:id="0" w:name="_GoBack"/>
            <w:bookmarkEnd w:id="0"/>
            <w:r>
              <w:rPr>
                <w:rFonts w:hint="eastAsia" w:asciiTheme="minorEastAsia" w:hAnsiTheme="minorEastAsia" w:cstheme="minorEastAsia"/>
                <w:b/>
                <w:bCs/>
                <w:color w:val="auto"/>
                <w:kern w:val="0"/>
                <w:szCs w:val="21"/>
                <w:highlight w:val="none"/>
              </w:rPr>
              <w:t>违法行为</w:t>
            </w:r>
          </w:p>
        </w:tc>
        <w:tc>
          <w:tcPr>
            <w:tcW w:w="2400" w:type="dxa"/>
            <w:tcBorders>
              <w:tl2br w:val="nil"/>
              <w:tr2bl w:val="nil"/>
            </w:tcBorders>
            <w:shd w:val="clear" w:color="auto" w:fill="auto"/>
            <w:vAlign w:val="center"/>
          </w:tcPr>
          <w:p>
            <w:pPr>
              <w:widowControl/>
              <w:spacing w:line="340" w:lineRule="exact"/>
              <w:jc w:val="center"/>
              <w:textAlignment w:val="top"/>
              <w:rPr>
                <w:rFonts w:asciiTheme="minorEastAsia" w:hAnsiTheme="minorEastAsia" w:cstheme="minorEastAsia"/>
                <w:b/>
                <w:bCs/>
                <w:color w:val="auto"/>
                <w:kern w:val="0"/>
                <w:szCs w:val="21"/>
                <w:highlight w:val="none"/>
              </w:rPr>
            </w:pPr>
            <w:r>
              <w:rPr>
                <w:rFonts w:hint="eastAsia" w:asciiTheme="minorEastAsia" w:hAnsiTheme="minorEastAsia" w:cstheme="minorEastAsia"/>
                <w:b/>
                <w:bCs/>
                <w:color w:val="auto"/>
                <w:kern w:val="0"/>
                <w:szCs w:val="21"/>
                <w:highlight w:val="none"/>
              </w:rPr>
              <w:t>法律依据</w:t>
            </w:r>
          </w:p>
        </w:tc>
        <w:tc>
          <w:tcPr>
            <w:tcW w:w="2034" w:type="dxa"/>
            <w:tcBorders>
              <w:tl2br w:val="nil"/>
              <w:tr2bl w:val="nil"/>
            </w:tcBorders>
            <w:shd w:val="clear" w:color="auto" w:fill="auto"/>
            <w:vAlign w:val="center"/>
          </w:tcPr>
          <w:p>
            <w:pPr>
              <w:widowControl/>
              <w:spacing w:line="340" w:lineRule="exact"/>
              <w:jc w:val="center"/>
              <w:textAlignment w:val="top"/>
              <w:rPr>
                <w:rFonts w:asciiTheme="minorEastAsia" w:hAnsiTheme="minorEastAsia" w:cstheme="minorEastAsia"/>
                <w:b/>
                <w:bCs/>
                <w:color w:val="auto"/>
                <w:kern w:val="0"/>
                <w:szCs w:val="21"/>
                <w:highlight w:val="none"/>
              </w:rPr>
            </w:pPr>
            <w:r>
              <w:rPr>
                <w:rFonts w:hint="eastAsia" w:asciiTheme="minorEastAsia" w:hAnsiTheme="minorEastAsia" w:cstheme="minorEastAsia"/>
                <w:b/>
                <w:bCs/>
                <w:color w:val="auto"/>
                <w:kern w:val="0"/>
                <w:szCs w:val="21"/>
                <w:highlight w:val="none"/>
              </w:rPr>
              <w:t>违法情节</w:t>
            </w:r>
          </w:p>
        </w:tc>
        <w:tc>
          <w:tcPr>
            <w:tcW w:w="1235" w:type="dxa"/>
            <w:tcBorders>
              <w:tl2br w:val="nil"/>
              <w:tr2bl w:val="nil"/>
            </w:tcBorders>
            <w:shd w:val="clear" w:color="auto" w:fill="auto"/>
            <w:vAlign w:val="center"/>
          </w:tcPr>
          <w:p>
            <w:pPr>
              <w:widowControl/>
              <w:spacing w:line="340" w:lineRule="exact"/>
              <w:jc w:val="center"/>
              <w:textAlignment w:val="top"/>
              <w:rPr>
                <w:rFonts w:asciiTheme="minorEastAsia" w:hAnsiTheme="minorEastAsia" w:cstheme="minorEastAsia"/>
                <w:b/>
                <w:bCs/>
                <w:color w:val="auto"/>
                <w:kern w:val="0"/>
                <w:szCs w:val="21"/>
                <w:highlight w:val="none"/>
              </w:rPr>
            </w:pPr>
            <w:r>
              <w:rPr>
                <w:rFonts w:hint="eastAsia" w:asciiTheme="minorEastAsia" w:hAnsiTheme="minorEastAsia" w:cstheme="minorEastAsia"/>
                <w:b/>
                <w:bCs/>
                <w:color w:val="auto"/>
                <w:kern w:val="0"/>
                <w:szCs w:val="21"/>
                <w:highlight w:val="none"/>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18" w:hRule="atLeast"/>
        </w:trPr>
        <w:tc>
          <w:tcPr>
            <w:tcW w:w="1815"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擅自变更大型活动的时间、地点、内容或者扩大大型活动举办规模。</w:t>
            </w:r>
          </w:p>
        </w:tc>
        <w:tc>
          <w:tcPr>
            <w:tcW w:w="2400"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第二十条第一款  承办者擅自变更大型活动的时间、地点、内容或者擅自扩大大型活动举办规模的，由公安机关处1万元以上5万元以下罚款；有违法所得的，没收违法所得。</w:t>
            </w:r>
          </w:p>
        </w:tc>
        <w:tc>
          <w:tcPr>
            <w:tcW w:w="20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及时改正，未造成后果。</w:t>
            </w:r>
          </w:p>
        </w:tc>
        <w:tc>
          <w:tcPr>
            <w:tcW w:w="1235"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处1万元以上3万元以下罚款，有违法所得的，没收违法所得。</w:t>
            </w:r>
          </w:p>
          <w:p>
            <w:pPr>
              <w:widowControl/>
              <w:spacing w:line="340" w:lineRule="exact"/>
              <w:textAlignment w:val="top"/>
              <w:rPr>
                <w:rFonts w:asciiTheme="minorEastAsia" w:hAnsiTheme="minorEastAsia" w:cstheme="minorEastAsia"/>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26" w:hRule="atLeast"/>
        </w:trPr>
        <w:tc>
          <w:tcPr>
            <w:tcW w:w="181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034" w:type="dxa"/>
            <w:tcBorders>
              <w:tl2br w:val="nil"/>
              <w:tr2bl w:val="nil"/>
            </w:tcBorders>
            <w:shd w:val="clear" w:color="auto" w:fill="auto"/>
          </w:tcPr>
          <w:p>
            <w:pPr>
              <w:widowControl/>
              <w:numPr>
                <w:ilvl w:val="0"/>
                <w:numId w:val="1"/>
              </w:numPr>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lang w:bidi="ar"/>
              </w:rPr>
              <w:t>两年内曾违反此规定的</w:t>
            </w:r>
            <w:r>
              <w:rPr>
                <w:rFonts w:hint="eastAsia" w:asciiTheme="minorEastAsia" w:hAnsiTheme="minorEastAsia" w:cstheme="minorEastAsia"/>
                <w:color w:val="auto"/>
                <w:kern w:val="0"/>
                <w:szCs w:val="21"/>
                <w:highlight w:val="none"/>
              </w:rPr>
              <w:t>；</w:t>
            </w:r>
          </w:p>
          <w:p>
            <w:pPr>
              <w:widowControl/>
              <w:numPr>
                <w:ilvl w:val="0"/>
                <w:numId w:val="1"/>
              </w:numPr>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发生现实危害后果。</w:t>
            </w: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tc>
        <w:tc>
          <w:tcPr>
            <w:tcW w:w="1235"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处3万元以上5万元以下罚款，有违法所得的，没收违法所得。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1815"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依法应当取得安全许可但未经公安机关安全许可，擅自组织大型活动。</w:t>
            </w:r>
          </w:p>
        </w:tc>
        <w:tc>
          <w:tcPr>
            <w:tcW w:w="2400"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第二十条第二款  未经公安机关安全许可的大型群众性活动的，由公安机关予以取缔，对承办者处10万元以上30万元以下罚款。</w:t>
            </w:r>
          </w:p>
        </w:tc>
        <w:tc>
          <w:tcPr>
            <w:tcW w:w="2034"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活动举办规模在1万人以下或者展位总数在2000以下的，且未造成后果。</w:t>
            </w:r>
          </w:p>
          <w:p>
            <w:pPr>
              <w:widowControl/>
              <w:spacing w:line="340" w:lineRule="exact"/>
              <w:textAlignment w:val="top"/>
              <w:rPr>
                <w:rFonts w:asciiTheme="minorEastAsia" w:hAnsiTheme="minorEastAsia" w:cstheme="minorEastAsia"/>
                <w:color w:val="auto"/>
                <w:kern w:val="0"/>
                <w:szCs w:val="21"/>
                <w:highlight w:val="none"/>
              </w:rPr>
            </w:pPr>
          </w:p>
        </w:tc>
        <w:tc>
          <w:tcPr>
            <w:tcW w:w="1235"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予以取缔，处10万元以上20万元以下罚款。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181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034"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123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181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034"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123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181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034"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123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60" w:hRule="atLeast"/>
        </w:trPr>
        <w:tc>
          <w:tcPr>
            <w:tcW w:w="181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034" w:type="dxa"/>
            <w:tcBorders>
              <w:tl2br w:val="nil"/>
              <w:tr2bl w:val="nil"/>
            </w:tcBorders>
            <w:shd w:val="clear" w:color="auto" w:fill="auto"/>
          </w:tcPr>
          <w:p>
            <w:pPr>
              <w:widowControl/>
              <w:numPr>
                <w:ilvl w:val="0"/>
                <w:numId w:val="2"/>
              </w:numPr>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活动举办规模在1万人以上或者展位总数在2000以上的；</w:t>
            </w:r>
          </w:p>
          <w:p>
            <w:pPr>
              <w:widowControl/>
              <w:numPr>
                <w:ilvl w:val="0"/>
                <w:numId w:val="2"/>
              </w:numPr>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发生现实危害后果。</w:t>
            </w: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tc>
        <w:tc>
          <w:tcPr>
            <w:tcW w:w="1235"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予以取缔，处20万元以上30万元以下罚款。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83" w:hRule="atLeast"/>
        </w:trPr>
        <w:tc>
          <w:tcPr>
            <w:tcW w:w="1815"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承办者、场所管理者违反本条例规定致使发生重大伤亡事故、治安案件或者造</w:t>
            </w:r>
          </w:p>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成其他严重后果，尚不构成犯罪。</w:t>
            </w:r>
          </w:p>
          <w:p>
            <w:pPr>
              <w:widowControl/>
              <w:spacing w:line="340" w:lineRule="exact"/>
              <w:textAlignment w:val="top"/>
              <w:rPr>
                <w:rFonts w:asciiTheme="minorEastAsia" w:hAnsiTheme="minorEastAsia" w:cstheme="minorEastAsia"/>
                <w:color w:val="auto"/>
                <w:kern w:val="0"/>
                <w:szCs w:val="21"/>
                <w:highlight w:val="none"/>
              </w:rPr>
            </w:pPr>
          </w:p>
        </w:tc>
        <w:tc>
          <w:tcPr>
            <w:tcW w:w="2400"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第二十一条  承办者或者大型群众性活动场所管理者违反本条例规定致使发生重大伤亡事故、治安案</w:t>
            </w:r>
          </w:p>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件或者造成其他严重后果构成犯罪的，依法追究刑事责任；尚不构成犯罪的，对安全责任人和其他直接责任人员依法给予处分、治安管理处罚，对单位处1万元以上5万元以下罚款。</w:t>
            </w:r>
          </w:p>
        </w:tc>
        <w:tc>
          <w:tcPr>
            <w:tcW w:w="20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szCs w:val="21"/>
                <w:highlight w:val="none"/>
              </w:rPr>
            </w:pPr>
            <w:r>
              <w:rPr>
                <w:rFonts w:hint="eastAsia" w:asciiTheme="minorEastAsia" w:hAnsiTheme="minorEastAsia" w:cstheme="minorEastAsia"/>
                <w:color w:val="auto"/>
                <w:kern w:val="0"/>
                <w:szCs w:val="21"/>
                <w:highlight w:val="none"/>
              </w:rPr>
              <w:t>承办者、场所管理者违反本条例规定致使发生人员受伤事故、治安案件。</w:t>
            </w:r>
          </w:p>
        </w:tc>
        <w:tc>
          <w:tcPr>
            <w:tcW w:w="1235"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对安全责任人和其他直接责任人员依法给予治</w:t>
            </w:r>
          </w:p>
          <w:p>
            <w:pPr>
              <w:widowControl/>
              <w:spacing w:line="340" w:lineRule="exact"/>
              <w:textAlignment w:val="top"/>
              <w:rPr>
                <w:rFonts w:hint="eastAsia"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安管理处罚，对单位处1万元以上3万元以下罚款。</w:t>
            </w:r>
          </w:p>
          <w:p>
            <w:pPr>
              <w:widowControl/>
              <w:spacing w:line="340" w:lineRule="exact"/>
              <w:textAlignment w:val="top"/>
              <w:rPr>
                <w:rFonts w:hint="eastAsia" w:asciiTheme="minorEastAsia" w:hAnsiTheme="minorEastAsia" w:cstheme="minorEastAsia"/>
                <w:color w:val="auto"/>
                <w:kern w:val="0"/>
                <w:szCs w:val="21"/>
                <w:highlight w:val="none"/>
              </w:rPr>
            </w:pPr>
          </w:p>
          <w:p>
            <w:pPr>
              <w:widowControl/>
              <w:spacing w:line="340" w:lineRule="exact"/>
              <w:textAlignment w:val="top"/>
              <w:rPr>
                <w:rFonts w:hint="eastAsia" w:asciiTheme="minorEastAsia" w:hAnsiTheme="minorEastAsia" w:cstheme="minorEastAsia"/>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70" w:hRule="atLeast"/>
        </w:trPr>
        <w:tc>
          <w:tcPr>
            <w:tcW w:w="181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0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发生伤亡事故，或者造成其他较重后果。</w:t>
            </w:r>
          </w:p>
        </w:tc>
        <w:tc>
          <w:tcPr>
            <w:tcW w:w="1235"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对安全责任人和其他直接责任人员依法给予治安管理处罚，对单位处3万元以上5万元以下罚款。</w:t>
            </w: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70" w:hRule="atLeast"/>
        </w:trPr>
        <w:tc>
          <w:tcPr>
            <w:tcW w:w="1815"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在大型活动举办过程中发生公共安全事故，安全责任人不立即启动应急救援预案或者不立即向公安机关报告。</w:t>
            </w:r>
          </w:p>
        </w:tc>
        <w:tc>
          <w:tcPr>
            <w:tcW w:w="2400" w:type="dxa"/>
            <w:vMerge w:val="restart"/>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第二十二条  在大型活动举办过程中发生公共安全事故，安全责任人不立即启动应急救援预案或者不立即向公安机关报告的，由公安机关对安全责任人和其他直接责任人员处5000元以上5万元以下罚款。</w:t>
            </w:r>
          </w:p>
        </w:tc>
        <w:tc>
          <w:tcPr>
            <w:tcW w:w="20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未发生重大伤亡事故，或者未造成其他严重后果。</w:t>
            </w:r>
          </w:p>
        </w:tc>
        <w:tc>
          <w:tcPr>
            <w:tcW w:w="1235"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对安全责任人和其他直接责任人员处5000元以上3万元以下罚款</w:t>
            </w: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880" w:hRule="atLeast"/>
        </w:trPr>
        <w:tc>
          <w:tcPr>
            <w:tcW w:w="1815"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400" w:type="dxa"/>
            <w:vMerge w:val="continue"/>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p>
        </w:tc>
        <w:tc>
          <w:tcPr>
            <w:tcW w:w="2034"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1、</w:t>
            </w:r>
            <w:r>
              <w:rPr>
                <w:rFonts w:hint="eastAsia" w:asciiTheme="minorEastAsia" w:hAnsiTheme="minorEastAsia" w:cstheme="minorEastAsia"/>
                <w:color w:val="auto"/>
                <w:kern w:val="0"/>
                <w:szCs w:val="21"/>
                <w:highlight w:val="none"/>
                <w:lang w:bidi="ar"/>
              </w:rPr>
              <w:t>两年内曾违反此规定的</w:t>
            </w:r>
            <w:r>
              <w:rPr>
                <w:rFonts w:hint="eastAsia" w:asciiTheme="minorEastAsia" w:hAnsiTheme="minorEastAsia" w:cstheme="minorEastAsia"/>
                <w:color w:val="auto"/>
                <w:kern w:val="0"/>
                <w:szCs w:val="21"/>
                <w:highlight w:val="none"/>
              </w:rPr>
              <w:t>；</w:t>
            </w:r>
          </w:p>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2、发生伤亡事故，或造成其他较重后果。</w:t>
            </w:r>
          </w:p>
          <w:p>
            <w:pPr>
              <w:widowControl/>
              <w:spacing w:line="340" w:lineRule="exact"/>
              <w:textAlignment w:val="top"/>
              <w:rPr>
                <w:rFonts w:asciiTheme="minorEastAsia" w:hAnsiTheme="minorEastAsia" w:cstheme="minorEastAsia"/>
                <w:color w:val="auto"/>
                <w:kern w:val="0"/>
                <w:szCs w:val="21"/>
                <w:highlight w:val="none"/>
              </w:rPr>
            </w:pPr>
          </w:p>
        </w:tc>
        <w:tc>
          <w:tcPr>
            <w:tcW w:w="1235" w:type="dxa"/>
            <w:tcBorders>
              <w:tl2br w:val="nil"/>
              <w:tr2bl w:val="nil"/>
            </w:tcBorders>
            <w:shd w:val="clear" w:color="auto" w:fill="auto"/>
          </w:tcPr>
          <w:p>
            <w:pPr>
              <w:widowControl/>
              <w:spacing w:line="340" w:lineRule="exact"/>
              <w:textAlignment w:val="top"/>
              <w:rPr>
                <w:rFonts w:asciiTheme="minorEastAsia" w:hAnsiTheme="minorEastAsia" w:cstheme="minorEastAsia"/>
                <w:color w:val="auto"/>
                <w:kern w:val="0"/>
                <w:szCs w:val="21"/>
                <w:highlight w:val="none"/>
              </w:rPr>
            </w:pPr>
            <w:r>
              <w:rPr>
                <w:rFonts w:hint="eastAsia" w:asciiTheme="minorEastAsia" w:hAnsiTheme="minorEastAsia" w:cstheme="minorEastAsia"/>
                <w:color w:val="auto"/>
                <w:kern w:val="0"/>
                <w:szCs w:val="21"/>
                <w:highlight w:val="none"/>
              </w:rPr>
              <w:t>对安全责任人和其他直接责任人员处3万元以上5万元以下罚款</w:t>
            </w: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p>
            <w:pPr>
              <w:widowControl/>
              <w:spacing w:line="340" w:lineRule="exact"/>
              <w:textAlignment w:val="top"/>
              <w:rPr>
                <w:rFonts w:asciiTheme="minorEastAsia" w:hAnsiTheme="minorEastAsia" w:cstheme="minorEastAsia"/>
                <w:color w:val="auto"/>
                <w:kern w:val="0"/>
                <w:szCs w:val="21"/>
                <w:highlight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CE21EE"/>
    <w:multiLevelType w:val="singleLevel"/>
    <w:tmpl w:val="BCCE21EE"/>
    <w:lvl w:ilvl="0" w:tentative="0">
      <w:start w:val="1"/>
      <w:numFmt w:val="decimal"/>
      <w:suff w:val="nothing"/>
      <w:lvlText w:val="%1、"/>
      <w:lvlJc w:val="left"/>
    </w:lvl>
  </w:abstractNum>
  <w:abstractNum w:abstractNumId="1">
    <w:nsid w:val="142FF827"/>
    <w:multiLevelType w:val="singleLevel"/>
    <w:tmpl w:val="142FF82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38F053B4"/>
    <w:rsid w:val="38F053B4"/>
    <w:rsid w:val="78A14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2024-05-13T07:38:00Z</dcterms:created>
  <dc:creator>Administrator</dc:creator>
  <cp:lastModifiedBy>Administrator</cp:lastModifiedBy>
  <dcterms:modified xsi:type="dcterms:W3CDTF">2024-05-13T12:08:30Z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371BAB43A25645379A61B994C3BEB251_11</vt:lpwstr>
  </property>
</Properties>
</file>