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80" w:line="460" w:lineRule="exact"/>
        <w:jc w:val="center"/>
        <w:rPr>
          <w:rFonts w:hint="eastAsia"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 xml:space="preserve">   违反《营业性演出管理条例》处罚裁量基准</w:t>
      </w:r>
    </w:p>
    <w:tbl>
      <w:tblPr>
        <w:tblStyle w:val="2"/>
        <w:tblW w:w="72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2357"/>
        <w:gridCol w:w="2253"/>
        <w:gridCol w:w="1254"/>
        <w:gridCol w:w="1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2357" w:type="dxa"/>
            <w:tcBorders>
              <w:tl2br w:val="nil"/>
              <w:tr2bl w:val="nil"/>
            </w:tcBorders>
            <w:shd w:val="clear" w:color="auto" w:fill="auto"/>
            <w:vAlign w:val="center"/>
          </w:tcPr>
          <w:p>
            <w:pPr>
              <w:widowControl/>
              <w:spacing w:line="340" w:lineRule="exact"/>
              <w:jc w:val="center"/>
              <w:textAlignment w:val="top"/>
              <w:rPr>
                <w:rFonts w:ascii="Times New Roman" w:hAnsi="Times New Roman" w:eastAsia="方正黑体简体" w:cs="Times New Roman"/>
                <w:bCs/>
                <w:color w:val="auto"/>
                <w:szCs w:val="21"/>
                <w:highlight w:val="none"/>
              </w:rPr>
            </w:pPr>
            <w:bookmarkStart w:id="0" w:name="_GoBack"/>
            <w:bookmarkEnd w:id="0"/>
            <w:r>
              <w:rPr>
                <w:rFonts w:ascii="Times New Roman" w:hAnsi="Times New Roman" w:eastAsia="方正黑体简体" w:cs="Times New Roman"/>
                <w:bCs/>
                <w:color w:val="auto"/>
                <w:kern w:val="0"/>
                <w:szCs w:val="21"/>
                <w:highlight w:val="none"/>
              </w:rPr>
              <w:t>违法行为</w:t>
            </w:r>
          </w:p>
        </w:tc>
        <w:tc>
          <w:tcPr>
            <w:tcW w:w="2253" w:type="dxa"/>
            <w:tcBorders>
              <w:tl2br w:val="nil"/>
              <w:tr2bl w:val="nil"/>
            </w:tcBorders>
            <w:shd w:val="clear" w:color="auto" w:fill="auto"/>
            <w:vAlign w:val="center"/>
          </w:tcPr>
          <w:p>
            <w:pPr>
              <w:widowControl/>
              <w:spacing w:line="340" w:lineRule="exact"/>
              <w:jc w:val="center"/>
              <w:textAlignment w:val="top"/>
              <w:rPr>
                <w:rFonts w:ascii="Times New Roman" w:hAnsi="Times New Roman" w:eastAsia="方正黑体简体" w:cs="Times New Roman"/>
                <w:bCs/>
                <w:color w:val="auto"/>
                <w:szCs w:val="21"/>
                <w:highlight w:val="none"/>
              </w:rPr>
            </w:pPr>
            <w:r>
              <w:rPr>
                <w:rFonts w:ascii="Times New Roman" w:hAnsi="Times New Roman" w:eastAsia="方正黑体简体" w:cs="Times New Roman"/>
                <w:bCs/>
                <w:color w:val="auto"/>
                <w:kern w:val="0"/>
                <w:szCs w:val="21"/>
                <w:highlight w:val="none"/>
              </w:rPr>
              <w:t>法律依据</w:t>
            </w:r>
          </w:p>
        </w:tc>
        <w:tc>
          <w:tcPr>
            <w:tcW w:w="1254" w:type="dxa"/>
            <w:tcBorders>
              <w:tl2br w:val="nil"/>
              <w:tr2bl w:val="nil"/>
            </w:tcBorders>
            <w:shd w:val="clear" w:color="auto" w:fill="auto"/>
            <w:vAlign w:val="center"/>
          </w:tcPr>
          <w:p>
            <w:pPr>
              <w:widowControl/>
              <w:spacing w:line="340" w:lineRule="exact"/>
              <w:jc w:val="center"/>
              <w:textAlignment w:val="top"/>
              <w:rPr>
                <w:rFonts w:ascii="Times New Roman" w:hAnsi="Times New Roman" w:eastAsia="方正黑体简体" w:cs="Times New Roman"/>
                <w:bCs/>
                <w:color w:val="auto"/>
                <w:szCs w:val="21"/>
                <w:highlight w:val="none"/>
              </w:rPr>
            </w:pPr>
            <w:r>
              <w:rPr>
                <w:rFonts w:ascii="Times New Roman" w:hAnsi="Times New Roman" w:eastAsia="方正黑体简体" w:cs="Times New Roman"/>
                <w:bCs/>
                <w:color w:val="auto"/>
                <w:kern w:val="0"/>
                <w:szCs w:val="21"/>
                <w:highlight w:val="none"/>
              </w:rPr>
              <w:t>违法情节</w:t>
            </w:r>
          </w:p>
        </w:tc>
        <w:tc>
          <w:tcPr>
            <w:tcW w:w="1410" w:type="dxa"/>
            <w:tcBorders>
              <w:tl2br w:val="nil"/>
              <w:tr2bl w:val="nil"/>
            </w:tcBorders>
            <w:shd w:val="clear" w:color="auto" w:fill="auto"/>
            <w:vAlign w:val="center"/>
          </w:tcPr>
          <w:p>
            <w:pPr>
              <w:widowControl/>
              <w:spacing w:line="340" w:lineRule="exact"/>
              <w:jc w:val="center"/>
              <w:textAlignment w:val="top"/>
              <w:rPr>
                <w:rFonts w:ascii="Times New Roman" w:hAnsi="Times New Roman" w:eastAsia="方正黑体简体" w:cs="Times New Roman"/>
                <w:bCs/>
                <w:color w:val="auto"/>
                <w:szCs w:val="21"/>
                <w:highlight w:val="none"/>
              </w:rPr>
            </w:pPr>
            <w:r>
              <w:rPr>
                <w:rFonts w:ascii="Times New Roman" w:hAnsi="Times New Roman" w:eastAsia="方正黑体简体" w:cs="Times New Roman"/>
                <w:bCs/>
                <w:color w:val="auto"/>
                <w:kern w:val="0"/>
                <w:szCs w:val="21"/>
                <w:highlight w:val="none"/>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564" w:hRule="atLeast"/>
        </w:trPr>
        <w:tc>
          <w:tcPr>
            <w:tcW w:w="2357" w:type="dxa"/>
            <w:vMerge w:val="restart"/>
            <w:tcBorders>
              <w:tl2br w:val="nil"/>
              <w:tr2bl w:val="nil"/>
            </w:tcBorders>
            <w:shd w:val="clear" w:color="auto" w:fill="auto"/>
          </w:tcPr>
          <w:p>
            <w:pPr>
              <w:widowControl/>
              <w:spacing w:line="340" w:lineRule="exact"/>
              <w:jc w:val="lef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演出场所经营单位、演出举办单位发现营业性演出有本条例第二十</w:t>
            </w:r>
            <w:r>
              <w:rPr>
                <w:rFonts w:hint="eastAsia" w:ascii="Times New Roman" w:hAnsi="Times New Roman" w:eastAsia="方正书宋简体" w:cs="Times New Roman"/>
                <w:color w:val="auto"/>
                <w:kern w:val="0"/>
                <w:szCs w:val="21"/>
                <w:highlight w:val="none"/>
                <w:lang w:eastAsia="zh-CN"/>
              </w:rPr>
              <w:t>五</w:t>
            </w:r>
            <w:r>
              <w:rPr>
                <w:rFonts w:ascii="Times New Roman" w:hAnsi="Times New Roman" w:eastAsia="方正书宋简体" w:cs="Times New Roman"/>
                <w:color w:val="auto"/>
                <w:kern w:val="0"/>
                <w:szCs w:val="21"/>
                <w:highlight w:val="none"/>
              </w:rPr>
              <w:t>条禁止情形未采取措施予以制止。</w:t>
            </w:r>
            <w:r>
              <w:rPr>
                <w:rFonts w:ascii="Times New Roman" w:hAnsi="Times New Roman" w:eastAsia="方正书宋简体" w:cs="Times New Roman"/>
                <w:color w:val="auto"/>
                <w:kern w:val="0"/>
                <w:szCs w:val="21"/>
                <w:highlight w:val="none"/>
              </w:rPr>
              <w:br w:type="textWrapping"/>
            </w:r>
          </w:p>
          <w:p>
            <w:pPr>
              <w:widowControl/>
              <w:spacing w:line="340" w:lineRule="exact"/>
              <w:jc w:val="left"/>
              <w:textAlignment w:val="top"/>
              <w:rPr>
                <w:rFonts w:ascii="Times New Roman" w:hAnsi="Times New Roman" w:eastAsia="方正书宋简体" w:cs="Times New Roman"/>
                <w:color w:val="auto"/>
                <w:szCs w:val="21"/>
                <w:highlight w:val="none"/>
              </w:rPr>
            </w:pPr>
          </w:p>
        </w:tc>
        <w:tc>
          <w:tcPr>
            <w:tcW w:w="2253"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第四十六条第二款</w:t>
            </w:r>
            <w:r>
              <w:rPr>
                <w:rFonts w:hint="eastAsia" w:ascii="Times New Roman" w:hAnsi="Times New Roman" w:eastAsia="方正书宋简体" w:cs="Times New Roman"/>
                <w:color w:val="auto"/>
                <w:kern w:val="0"/>
                <w:szCs w:val="21"/>
                <w:highlight w:val="none"/>
              </w:rPr>
              <w:t xml:space="preserve"> </w:t>
            </w:r>
            <w:r>
              <w:rPr>
                <w:rFonts w:ascii="Times New Roman" w:hAnsi="Times New Roman" w:eastAsia="方正书宋简体" w:cs="Times New Roman"/>
                <w:color w:val="auto"/>
                <w:kern w:val="0"/>
                <w:szCs w:val="21"/>
                <w:highlight w:val="none"/>
              </w:rPr>
              <w:t>演出场所经营单位、演出举办单位发现营业性演出有本条例第二十</w:t>
            </w:r>
            <w:r>
              <w:rPr>
                <w:rFonts w:hint="eastAsia" w:ascii="Times New Roman" w:hAnsi="Times New Roman" w:eastAsia="方正书宋简体" w:cs="Times New Roman"/>
                <w:color w:val="auto"/>
                <w:kern w:val="0"/>
                <w:szCs w:val="21"/>
                <w:highlight w:val="none"/>
                <w:lang w:eastAsia="zh-CN"/>
              </w:rPr>
              <w:t>五</w:t>
            </w:r>
            <w:r>
              <w:rPr>
                <w:rFonts w:ascii="Times New Roman" w:hAnsi="Times New Roman" w:eastAsia="方正书宋简体" w:cs="Times New Roman"/>
                <w:color w:val="auto"/>
                <w:kern w:val="0"/>
                <w:szCs w:val="21"/>
                <w:highlight w:val="none"/>
              </w:rPr>
              <w:t>条禁止情形未采取措施予以制止的，由县级人民政府文化主管部门、公安部门依据法定职权给予警告，并处5万元以上10万元以下的罚款；未依照本条例第二十</w:t>
            </w:r>
            <w:r>
              <w:rPr>
                <w:rFonts w:hint="eastAsia" w:ascii="Times New Roman" w:hAnsi="Times New Roman" w:eastAsia="方正书宋简体" w:cs="Times New Roman"/>
                <w:color w:val="auto"/>
                <w:kern w:val="0"/>
                <w:szCs w:val="21"/>
                <w:highlight w:val="none"/>
                <w:lang w:eastAsia="zh-CN"/>
              </w:rPr>
              <w:t>六</w:t>
            </w:r>
            <w:r>
              <w:rPr>
                <w:rFonts w:ascii="Times New Roman" w:hAnsi="Times New Roman" w:eastAsia="方正书宋简体" w:cs="Times New Roman"/>
                <w:color w:val="auto"/>
                <w:kern w:val="0"/>
                <w:szCs w:val="21"/>
                <w:highlight w:val="none"/>
              </w:rPr>
              <w:t>条规定报告的，由县级人民政府文化主管部门、公安部门依据法定职权给予警告，并处5000元以上1万元以下的罚款。</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第二十五条</w:t>
            </w:r>
            <w:r>
              <w:rPr>
                <w:rFonts w:hint="eastAsia" w:ascii="Times New Roman" w:hAnsi="Times New Roman" w:eastAsia="方正书宋简体" w:cs="Times New Roman"/>
                <w:color w:val="auto"/>
                <w:kern w:val="0"/>
                <w:szCs w:val="21"/>
                <w:highlight w:val="none"/>
                <w:lang w:val="en-US" w:eastAsia="zh-CN"/>
              </w:rPr>
              <w:t xml:space="preserve"> </w:t>
            </w:r>
            <w:r>
              <w:rPr>
                <w:rFonts w:ascii="Times New Roman" w:hAnsi="Times New Roman" w:eastAsia="方正书宋简体" w:cs="Times New Roman"/>
                <w:color w:val="auto"/>
                <w:kern w:val="0"/>
                <w:szCs w:val="21"/>
                <w:highlight w:val="none"/>
              </w:rPr>
              <w:t xml:space="preserve"> 营业性演出不得有下列情形：</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（一）反对</w:t>
            </w:r>
            <w:r>
              <w:rPr>
                <w:rFonts w:ascii="Times New Roman" w:hAnsi="Times New Roman" w:eastAsia="方正书宋简体" w:cs="Times New Roman"/>
                <w:color w:val="auto"/>
                <w:kern w:val="0"/>
                <w:szCs w:val="21"/>
                <w:highlight w:val="none"/>
              </w:rPr>
              <w:fldChar w:fldCharType="begin"/>
            </w:r>
            <w:r>
              <w:rPr>
                <w:rFonts w:ascii="Times New Roman" w:hAnsi="Times New Roman" w:eastAsia="方正书宋简体" w:cs="Times New Roman"/>
                <w:color w:val="auto"/>
                <w:kern w:val="0"/>
                <w:szCs w:val="21"/>
                <w:highlight w:val="none"/>
              </w:rPr>
              <w:instrText xml:space="preserve"> HYPERLINK "http://14.41.33.157:168/web\\\\/golaw?dbnm=gjfg&amp;flid=111101200401" \t "http://14.41.33.157:168/_blank" </w:instrText>
            </w:r>
            <w:r>
              <w:rPr>
                <w:rFonts w:ascii="Times New Roman" w:hAnsi="Times New Roman" w:eastAsia="方正书宋简体" w:cs="Times New Roman"/>
                <w:color w:val="auto"/>
                <w:kern w:val="0"/>
                <w:szCs w:val="21"/>
                <w:highlight w:val="none"/>
              </w:rPr>
              <w:fldChar w:fldCharType="separate"/>
            </w:r>
            <w:r>
              <w:rPr>
                <w:rFonts w:ascii="Times New Roman" w:hAnsi="Times New Roman" w:eastAsia="方正书宋简体" w:cs="Times New Roman"/>
                <w:color w:val="auto"/>
                <w:kern w:val="0"/>
                <w:szCs w:val="21"/>
                <w:highlight w:val="none"/>
              </w:rPr>
              <w:t>宪法</w:t>
            </w:r>
            <w:r>
              <w:rPr>
                <w:rFonts w:ascii="Times New Roman" w:hAnsi="Times New Roman" w:eastAsia="方正书宋简体" w:cs="Times New Roman"/>
                <w:color w:val="auto"/>
                <w:kern w:val="0"/>
                <w:szCs w:val="21"/>
                <w:highlight w:val="none"/>
              </w:rPr>
              <w:fldChar w:fldCharType="end"/>
            </w:r>
            <w:r>
              <w:rPr>
                <w:rFonts w:ascii="Times New Roman" w:hAnsi="Times New Roman" w:eastAsia="方正书宋简体" w:cs="Times New Roman"/>
                <w:color w:val="auto"/>
                <w:kern w:val="0"/>
                <w:szCs w:val="21"/>
                <w:highlight w:val="none"/>
              </w:rPr>
              <w:t>确定的基本原则的；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（二）危害国家统一、主权和领土完整，危害国家安全，或者损害国家荣誉和利益的；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（三）煽动民族仇恨、民族歧视，侵害民族风俗习惯，伤害民族感情，破坏民族团结，违反宗教政策的；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（四）扰乱社会秩序，破坏社会稳定的；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（五）危害社会公德或者民族优秀文化传统的；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（六）宣扬淫秽、色情、邪教、迷信或者渲染暴力的；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（七）侮辱或者诽谤他人，侵害他人合法权益的；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（八）表演方式恐怖、残忍，摧残演员身心健康的；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（九）利用人体缺陷或者以展示人体变异等方式招徕观众的；</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（十）法律、行政法规禁止的其他情形。</w:t>
            </w:r>
          </w:p>
          <w:p>
            <w:pPr>
              <w:widowControl/>
              <w:spacing w:line="340" w:lineRule="exact"/>
              <w:textAlignment w:val="top"/>
              <w:rPr>
                <w:rFonts w:ascii="Times New Roman" w:hAnsi="Times New Roman" w:eastAsia="方正书宋简体" w:cs="Times New Roman"/>
                <w:color w:val="auto"/>
                <w:kern w:val="0"/>
                <w:szCs w:val="21"/>
                <w:highlight w:val="none"/>
              </w:rPr>
            </w:pPr>
          </w:p>
        </w:tc>
        <w:tc>
          <w:tcPr>
            <w:tcW w:w="1254"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一般情况下</w:t>
            </w:r>
          </w:p>
        </w:tc>
        <w:tc>
          <w:tcPr>
            <w:tcW w:w="1410"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给予警告，并处5万元以上7万元以下罚款。</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743" w:hRule="atLeast"/>
        </w:trPr>
        <w:tc>
          <w:tcPr>
            <w:tcW w:w="2357" w:type="dxa"/>
            <w:vMerge w:val="continue"/>
            <w:tcBorders>
              <w:tl2br w:val="nil"/>
              <w:tr2bl w:val="nil"/>
            </w:tcBorders>
            <w:shd w:val="clear" w:color="auto" w:fill="auto"/>
          </w:tcPr>
          <w:p>
            <w:pPr>
              <w:widowControl/>
              <w:spacing w:line="340" w:lineRule="exact"/>
              <w:jc w:val="left"/>
              <w:rPr>
                <w:rFonts w:ascii="Times New Roman" w:hAnsi="Times New Roman" w:eastAsia="方正书宋简体" w:cs="Times New Roman"/>
                <w:color w:val="auto"/>
                <w:szCs w:val="21"/>
                <w:highlight w:val="none"/>
              </w:rPr>
            </w:pPr>
          </w:p>
        </w:tc>
        <w:tc>
          <w:tcPr>
            <w:tcW w:w="2253" w:type="dxa"/>
            <w:vMerge w:val="continue"/>
            <w:tcBorders>
              <w:tl2br w:val="nil"/>
              <w:tr2bl w:val="nil"/>
            </w:tcBorders>
            <w:shd w:val="clear" w:color="auto" w:fill="auto"/>
          </w:tcPr>
          <w:p>
            <w:pPr>
              <w:widowControl/>
              <w:spacing w:line="340" w:lineRule="exact"/>
              <w:rPr>
                <w:rFonts w:ascii="Times New Roman" w:hAnsi="Times New Roman" w:eastAsia="方正书宋简体" w:cs="Times New Roman"/>
                <w:color w:val="auto"/>
                <w:szCs w:val="21"/>
                <w:highlight w:val="none"/>
              </w:rPr>
            </w:pPr>
          </w:p>
        </w:tc>
        <w:tc>
          <w:tcPr>
            <w:tcW w:w="1254"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1、造成严重后果；</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 xml:space="preserve">2、1年内因同类违法行为受到2次以上公安行政处罚； </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3、其他情节严重情形。</w:t>
            </w:r>
          </w:p>
        </w:tc>
        <w:tc>
          <w:tcPr>
            <w:tcW w:w="1410"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给予警告，并处7万元以上至10万元以下罚款。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795" w:hRule="atLeast"/>
        </w:trPr>
        <w:tc>
          <w:tcPr>
            <w:tcW w:w="2357"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演出场所经营单位、演出举办单位发现营业性演出有本条例第二十</w:t>
            </w:r>
            <w:r>
              <w:rPr>
                <w:rFonts w:hint="eastAsia" w:ascii="Times New Roman" w:hAnsi="Times New Roman" w:eastAsia="方正书宋简体" w:cs="Times New Roman"/>
                <w:color w:val="auto"/>
                <w:kern w:val="0"/>
                <w:szCs w:val="21"/>
                <w:highlight w:val="none"/>
                <w:lang w:eastAsia="zh-CN"/>
              </w:rPr>
              <w:t>五</w:t>
            </w:r>
            <w:r>
              <w:rPr>
                <w:rFonts w:ascii="Times New Roman" w:hAnsi="Times New Roman" w:eastAsia="方正书宋简体" w:cs="Times New Roman"/>
                <w:color w:val="auto"/>
                <w:kern w:val="0"/>
                <w:szCs w:val="21"/>
                <w:highlight w:val="none"/>
              </w:rPr>
              <w:t>条禁止情形的，没有立即采取措施予以制止并同时向演出所在地县级人民政府文化主管部门、公安部门报告。</w:t>
            </w:r>
          </w:p>
        </w:tc>
        <w:tc>
          <w:tcPr>
            <w:tcW w:w="2253"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第四十六条第二款</w:t>
            </w:r>
            <w:r>
              <w:rPr>
                <w:rFonts w:hint="eastAsia" w:ascii="Times New Roman" w:hAnsi="Times New Roman" w:eastAsia="方正书宋简体" w:cs="Times New Roman"/>
                <w:color w:val="auto"/>
                <w:kern w:val="0"/>
                <w:szCs w:val="21"/>
                <w:highlight w:val="none"/>
              </w:rPr>
              <w:t xml:space="preserve"> </w:t>
            </w:r>
            <w:r>
              <w:rPr>
                <w:rFonts w:ascii="Times New Roman" w:hAnsi="Times New Roman" w:eastAsia="方正书宋简体" w:cs="Times New Roman"/>
                <w:color w:val="auto"/>
                <w:kern w:val="0"/>
                <w:szCs w:val="21"/>
                <w:highlight w:val="none"/>
              </w:rPr>
              <w:t>演出场所经营单位、演出举办单位发现营业性演出有本条例第二十</w:t>
            </w:r>
            <w:r>
              <w:rPr>
                <w:rFonts w:hint="eastAsia" w:ascii="Times New Roman" w:hAnsi="Times New Roman" w:eastAsia="方正书宋简体" w:cs="Times New Roman"/>
                <w:color w:val="auto"/>
                <w:kern w:val="0"/>
                <w:szCs w:val="21"/>
                <w:highlight w:val="none"/>
                <w:lang w:eastAsia="zh-CN"/>
              </w:rPr>
              <w:t>五</w:t>
            </w:r>
            <w:r>
              <w:rPr>
                <w:rFonts w:ascii="Times New Roman" w:hAnsi="Times New Roman" w:eastAsia="方正书宋简体" w:cs="Times New Roman"/>
                <w:color w:val="auto"/>
                <w:kern w:val="0"/>
                <w:szCs w:val="21"/>
                <w:highlight w:val="none"/>
              </w:rPr>
              <w:t>条禁止情形未采取措施予以制止的，由县级人民政府文化主管部门、公安部门依据法定职权给予警告，并处5万元以上10万元以下的罚款；未依照本条例第二十</w:t>
            </w:r>
            <w:r>
              <w:rPr>
                <w:rFonts w:hint="eastAsia" w:ascii="Times New Roman" w:hAnsi="Times New Roman" w:eastAsia="方正书宋简体" w:cs="Times New Roman"/>
                <w:color w:val="auto"/>
                <w:kern w:val="0"/>
                <w:szCs w:val="21"/>
                <w:highlight w:val="none"/>
                <w:lang w:eastAsia="zh-CN"/>
              </w:rPr>
              <w:t>六</w:t>
            </w:r>
            <w:r>
              <w:rPr>
                <w:rFonts w:ascii="Times New Roman" w:hAnsi="Times New Roman" w:eastAsia="方正书宋简体" w:cs="Times New Roman"/>
                <w:color w:val="auto"/>
                <w:kern w:val="0"/>
                <w:szCs w:val="21"/>
                <w:highlight w:val="none"/>
              </w:rPr>
              <w:t>条规定报告的，由县级人民政府文化主管部门、公安部门依据法定职权给予警告，并处5000元以上1万元以下的罚款。</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 xml:space="preserve">第二十六条 </w:t>
            </w:r>
            <w:r>
              <w:rPr>
                <w:rFonts w:hint="eastAsia" w:ascii="Times New Roman" w:hAnsi="Times New Roman" w:eastAsia="方正书宋简体" w:cs="Times New Roman"/>
                <w:color w:val="auto"/>
                <w:kern w:val="0"/>
                <w:szCs w:val="21"/>
                <w:highlight w:val="none"/>
                <w:lang w:val="en-US" w:eastAsia="zh-CN"/>
              </w:rPr>
              <w:t xml:space="preserve"> </w:t>
            </w:r>
            <w:r>
              <w:rPr>
                <w:rFonts w:ascii="Times New Roman" w:hAnsi="Times New Roman" w:eastAsia="方正书宋简体" w:cs="Times New Roman"/>
                <w:color w:val="auto"/>
                <w:kern w:val="0"/>
                <w:szCs w:val="21"/>
                <w:highlight w:val="none"/>
              </w:rPr>
              <w:t>演出场所经营单位、演出举办单位发现营业性演出有本条例第二十五条禁止情形的，应当立即采取措施予以制止并同时向演出所在地县级人民政府文化主管部门、公安部门报告。</w:t>
            </w:r>
          </w:p>
        </w:tc>
        <w:tc>
          <w:tcPr>
            <w:tcW w:w="1254" w:type="dxa"/>
            <w:tcBorders>
              <w:tl2br w:val="nil"/>
              <w:tr2bl w:val="nil"/>
            </w:tcBorders>
            <w:shd w:val="clear" w:color="auto" w:fill="auto"/>
          </w:tcPr>
          <w:p>
            <w:pPr>
              <w:widowControl/>
              <w:spacing w:line="340" w:lineRule="exact"/>
              <w:jc w:val="lef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一般情况下</w:t>
            </w:r>
          </w:p>
        </w:tc>
        <w:tc>
          <w:tcPr>
            <w:tcW w:w="1410" w:type="dxa"/>
            <w:tcBorders>
              <w:tl2br w:val="nil"/>
              <w:tr2bl w:val="nil"/>
            </w:tcBorders>
            <w:shd w:val="clear" w:color="auto" w:fill="auto"/>
          </w:tcPr>
          <w:p>
            <w:pPr>
              <w:widowControl/>
              <w:spacing w:line="340" w:lineRule="exact"/>
              <w:jc w:val="lef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给予警告，并处5000以上7000元以下罚款。</w:t>
            </w:r>
          </w:p>
          <w:p>
            <w:pPr>
              <w:widowControl/>
              <w:spacing w:line="340" w:lineRule="exact"/>
              <w:jc w:val="left"/>
              <w:textAlignment w:val="top"/>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94" w:hRule="atLeast"/>
        </w:trPr>
        <w:tc>
          <w:tcPr>
            <w:tcW w:w="2357" w:type="dxa"/>
            <w:vMerge w:val="continue"/>
            <w:tcBorders>
              <w:tl2br w:val="nil"/>
              <w:tr2bl w:val="nil"/>
            </w:tcBorders>
            <w:shd w:val="clear" w:color="auto" w:fill="auto"/>
          </w:tcPr>
          <w:p>
            <w:pPr>
              <w:widowControl/>
              <w:spacing w:line="340" w:lineRule="exact"/>
              <w:rPr>
                <w:rFonts w:ascii="Times New Roman" w:hAnsi="Times New Roman" w:eastAsia="方正书宋简体" w:cs="Times New Roman"/>
                <w:color w:val="auto"/>
                <w:szCs w:val="21"/>
                <w:highlight w:val="none"/>
              </w:rPr>
            </w:pPr>
          </w:p>
        </w:tc>
        <w:tc>
          <w:tcPr>
            <w:tcW w:w="2253" w:type="dxa"/>
            <w:vMerge w:val="continue"/>
            <w:tcBorders>
              <w:tl2br w:val="nil"/>
              <w:tr2bl w:val="nil"/>
            </w:tcBorders>
            <w:shd w:val="clear" w:color="auto" w:fill="auto"/>
          </w:tcPr>
          <w:p>
            <w:pPr>
              <w:widowControl/>
              <w:spacing w:line="340" w:lineRule="exact"/>
              <w:rPr>
                <w:rFonts w:ascii="Times New Roman" w:hAnsi="Times New Roman" w:eastAsia="方正书宋简体" w:cs="Times New Roman"/>
                <w:color w:val="auto"/>
                <w:szCs w:val="21"/>
                <w:highlight w:val="none"/>
              </w:rPr>
            </w:pPr>
          </w:p>
        </w:tc>
        <w:tc>
          <w:tcPr>
            <w:tcW w:w="1254" w:type="dxa"/>
            <w:tcBorders>
              <w:tl2br w:val="nil"/>
              <w:tr2bl w:val="nil"/>
            </w:tcBorders>
            <w:shd w:val="clear" w:color="auto" w:fill="auto"/>
          </w:tcPr>
          <w:p>
            <w:pPr>
              <w:widowControl/>
              <w:numPr>
                <w:ilvl w:val="0"/>
                <w:numId w:val="1"/>
              </w:numPr>
              <w:spacing w:line="340" w:lineRule="exact"/>
              <w:jc w:val="lef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造成严重后果；</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2、1年内因同类违法行为受到2次以上公安行政处罚；</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3、其他情节严重情形。</w:t>
            </w:r>
          </w:p>
          <w:p>
            <w:pPr>
              <w:widowControl/>
              <w:numPr>
                <w:ilvl w:val="0"/>
                <w:numId w:val="0"/>
              </w:numPr>
              <w:spacing w:line="340" w:lineRule="exact"/>
              <w:jc w:val="left"/>
              <w:textAlignment w:val="top"/>
              <w:rPr>
                <w:rFonts w:ascii="Times New Roman" w:hAnsi="Times New Roman" w:eastAsia="方正书宋简体" w:cs="Times New Roman"/>
                <w:color w:val="auto"/>
                <w:kern w:val="0"/>
                <w:szCs w:val="21"/>
                <w:highlight w:val="none"/>
              </w:rPr>
            </w:pPr>
          </w:p>
          <w:p>
            <w:pPr>
              <w:widowControl/>
              <w:numPr>
                <w:ilvl w:val="0"/>
                <w:numId w:val="0"/>
              </w:numPr>
              <w:spacing w:line="340" w:lineRule="exact"/>
              <w:jc w:val="left"/>
              <w:textAlignment w:val="top"/>
              <w:rPr>
                <w:rFonts w:ascii="Times New Roman" w:hAnsi="Times New Roman" w:eastAsia="方正书宋简体" w:cs="Times New Roman"/>
                <w:color w:val="auto"/>
                <w:kern w:val="0"/>
                <w:szCs w:val="21"/>
                <w:highlight w:val="none"/>
              </w:rPr>
            </w:pPr>
          </w:p>
          <w:p>
            <w:pPr>
              <w:widowControl/>
              <w:numPr>
                <w:ilvl w:val="0"/>
                <w:numId w:val="0"/>
              </w:numPr>
              <w:spacing w:line="340" w:lineRule="exact"/>
              <w:jc w:val="left"/>
              <w:textAlignment w:val="top"/>
              <w:rPr>
                <w:rFonts w:ascii="Times New Roman" w:hAnsi="Times New Roman" w:eastAsia="方正书宋简体" w:cs="Times New Roman"/>
                <w:color w:val="auto"/>
                <w:kern w:val="0"/>
                <w:szCs w:val="21"/>
                <w:highlight w:val="none"/>
              </w:rPr>
            </w:pPr>
          </w:p>
        </w:tc>
        <w:tc>
          <w:tcPr>
            <w:tcW w:w="1410"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给予警告，并处以7000以上1万元以下罚款。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83" w:hRule="atLeast"/>
        </w:trPr>
        <w:tc>
          <w:tcPr>
            <w:tcW w:w="2357"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演出举办单位印制、出售超过核准观众数量的或者观众区域以外的营业性演出门票。</w:t>
            </w:r>
          </w:p>
        </w:tc>
        <w:tc>
          <w:tcPr>
            <w:tcW w:w="2253"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第五十一条第二款</w:t>
            </w:r>
            <w:r>
              <w:rPr>
                <w:rFonts w:hint="eastAsia" w:ascii="Times New Roman" w:hAnsi="Times New Roman" w:eastAsia="方正书宋简体" w:cs="Times New Roman"/>
                <w:color w:val="auto"/>
                <w:kern w:val="0"/>
                <w:szCs w:val="21"/>
                <w:highlight w:val="none"/>
              </w:rPr>
              <w:t xml:space="preserve"> </w:t>
            </w:r>
            <w:r>
              <w:rPr>
                <w:rFonts w:ascii="Times New Roman" w:hAnsi="Times New Roman" w:eastAsia="方正书宋简体" w:cs="Times New Roman"/>
                <w:color w:val="auto"/>
                <w:kern w:val="0"/>
                <w:szCs w:val="21"/>
                <w:highlight w:val="none"/>
              </w:rPr>
              <w:t>演出举办单位印制、出售超过核准观众数量的或者观众区域以外的营业性演出门票的，由县级以上人民政府公安部门依据各自职权责令改正，没收违法所得，并处违法所得3倍以上5倍以下的罚款；没有违法所得或者违法所得不足1万元的，并处3万元以上5万元以下的罚款</w:t>
            </w:r>
            <w:r>
              <w:rPr>
                <w:rFonts w:hint="eastAsia" w:ascii="Times New Roman" w:hAnsi="Times New Roman" w:eastAsia="方正书宋简体" w:cs="Times New Roman"/>
                <w:color w:val="auto"/>
                <w:kern w:val="0"/>
                <w:szCs w:val="21"/>
                <w:highlight w:val="none"/>
                <w:lang w:eastAsia="zh-CN"/>
              </w:rPr>
              <w:t>；</w:t>
            </w:r>
            <w:r>
              <w:rPr>
                <w:rFonts w:ascii="Times New Roman" w:hAnsi="Times New Roman" w:eastAsia="方正书宋简体" w:cs="Times New Roman"/>
                <w:color w:val="auto"/>
                <w:kern w:val="0"/>
                <w:szCs w:val="21"/>
                <w:highlight w:val="none"/>
              </w:rPr>
              <w:t>造成严重后果的，由原发证机关吊销营业性演出许可证；构成犯罪的，依法追究刑事责任。</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after="240" w:afterAutospacing="0" w:line="340" w:lineRule="exact"/>
              <w:textAlignment w:val="top"/>
              <w:rPr>
                <w:rFonts w:ascii="Times New Roman" w:hAnsi="Times New Roman" w:eastAsia="方正书宋简体" w:cs="Times New Roman"/>
                <w:color w:val="auto"/>
                <w:kern w:val="0"/>
                <w:szCs w:val="21"/>
                <w:highlight w:val="none"/>
              </w:rPr>
            </w:pPr>
          </w:p>
        </w:tc>
        <w:tc>
          <w:tcPr>
            <w:tcW w:w="1254" w:type="dxa"/>
            <w:tcBorders>
              <w:tl2br w:val="nil"/>
              <w:tr2bl w:val="nil"/>
            </w:tcBorders>
            <w:shd w:val="clear" w:color="auto" w:fill="auto"/>
          </w:tcPr>
          <w:p>
            <w:pPr>
              <w:widowControl/>
              <w:spacing w:line="340" w:lineRule="exact"/>
              <w:jc w:val="left"/>
              <w:textAlignment w:val="top"/>
              <w:rPr>
                <w:rFonts w:ascii="Times New Roman" w:hAnsi="Times New Roman" w:eastAsia="方正书宋简体" w:cs="Times New Roman"/>
                <w:color w:val="auto"/>
                <w:szCs w:val="21"/>
                <w:highlight w:val="none"/>
              </w:rPr>
            </w:pPr>
            <w:r>
              <w:rPr>
                <w:rFonts w:ascii="Times New Roman" w:hAnsi="Times New Roman" w:eastAsia="方正书宋简体" w:cs="Times New Roman"/>
                <w:color w:val="auto"/>
                <w:kern w:val="0"/>
                <w:szCs w:val="21"/>
                <w:highlight w:val="none"/>
              </w:rPr>
              <w:t>一般情况下</w:t>
            </w:r>
          </w:p>
        </w:tc>
        <w:tc>
          <w:tcPr>
            <w:tcW w:w="1410"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没收违法所得，并处违法所得3倍以上4倍以下的罚款；没有违法所得或者违法所得不足1万元的，并处3万元以上4万元以下的罚款。</w:t>
            </w:r>
          </w:p>
          <w:p>
            <w:pPr>
              <w:widowControl/>
              <w:spacing w:line="340" w:lineRule="exact"/>
              <w:textAlignment w:val="top"/>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90" w:hRule="atLeast"/>
        </w:trPr>
        <w:tc>
          <w:tcPr>
            <w:tcW w:w="2357" w:type="dxa"/>
            <w:vMerge w:val="continue"/>
            <w:tcBorders>
              <w:tl2br w:val="nil"/>
              <w:tr2bl w:val="nil"/>
            </w:tcBorders>
            <w:shd w:val="clear" w:color="auto" w:fill="auto"/>
          </w:tcPr>
          <w:p>
            <w:pPr>
              <w:widowControl/>
              <w:spacing w:line="340" w:lineRule="exact"/>
              <w:jc w:val="left"/>
              <w:textAlignment w:val="top"/>
              <w:rPr>
                <w:color w:val="auto"/>
                <w:highlight w:val="none"/>
              </w:rPr>
            </w:pPr>
          </w:p>
        </w:tc>
        <w:tc>
          <w:tcPr>
            <w:tcW w:w="2253" w:type="dxa"/>
            <w:vMerge w:val="continue"/>
            <w:tcBorders>
              <w:tl2br w:val="nil"/>
              <w:tr2bl w:val="nil"/>
            </w:tcBorders>
            <w:shd w:val="clear" w:color="auto" w:fill="auto"/>
          </w:tcPr>
          <w:p>
            <w:pPr>
              <w:widowControl/>
              <w:spacing w:line="340" w:lineRule="exact"/>
              <w:jc w:val="left"/>
              <w:textAlignment w:val="top"/>
              <w:rPr>
                <w:color w:val="auto"/>
                <w:highlight w:val="none"/>
              </w:rPr>
            </w:pPr>
          </w:p>
        </w:tc>
        <w:tc>
          <w:tcPr>
            <w:tcW w:w="1254" w:type="dxa"/>
            <w:tcBorders>
              <w:tl2br w:val="nil"/>
              <w:tr2bl w:val="nil"/>
            </w:tcBorders>
            <w:shd w:val="clear" w:color="auto" w:fill="auto"/>
          </w:tcPr>
          <w:p>
            <w:pPr>
              <w:widowControl/>
              <w:numPr>
                <w:ilvl w:val="0"/>
                <w:numId w:val="0"/>
              </w:numPr>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lang w:val="en-US" w:eastAsia="zh-CN"/>
              </w:rPr>
              <w:t>1、</w:t>
            </w:r>
            <w:r>
              <w:rPr>
                <w:rFonts w:ascii="Times New Roman" w:hAnsi="Times New Roman" w:eastAsia="方正书宋简体" w:cs="Times New Roman"/>
                <w:color w:val="auto"/>
                <w:kern w:val="0"/>
                <w:szCs w:val="21"/>
                <w:highlight w:val="none"/>
              </w:rPr>
              <w:t>造成严重后果；</w:t>
            </w:r>
            <w:r>
              <w:rPr>
                <w:rFonts w:ascii="Times New Roman" w:hAnsi="Times New Roman" w:eastAsia="方正书宋简体" w:cs="Times New Roman"/>
                <w:color w:val="auto"/>
                <w:kern w:val="0"/>
                <w:szCs w:val="21"/>
                <w:highlight w:val="none"/>
              </w:rPr>
              <w:br w:type="textWrapping"/>
            </w:r>
            <w:r>
              <w:rPr>
                <w:rFonts w:ascii="Times New Roman" w:hAnsi="Times New Roman" w:eastAsia="方正书宋简体" w:cs="Times New Roman"/>
                <w:color w:val="auto"/>
                <w:kern w:val="0"/>
                <w:szCs w:val="21"/>
                <w:highlight w:val="none"/>
              </w:rPr>
              <w:t>2、1年类因同类违法行为受到2次以上公安行政处罚；</w:t>
            </w:r>
          </w:p>
          <w:p>
            <w:pPr>
              <w:widowControl/>
              <w:spacing w:line="340" w:lineRule="exact"/>
              <w:jc w:val="lef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3、其他情节严重情形。</w:t>
            </w:r>
          </w:p>
        </w:tc>
        <w:tc>
          <w:tcPr>
            <w:tcW w:w="1410" w:type="dxa"/>
            <w:tcBorders>
              <w:tl2br w:val="nil"/>
              <w:tr2bl w:val="nil"/>
            </w:tcBorders>
            <w:shd w:val="clear" w:color="auto" w:fill="auto"/>
          </w:tcPr>
          <w:p>
            <w:pPr>
              <w:widowControl/>
              <w:spacing w:line="340" w:lineRule="exact"/>
              <w:jc w:val="lef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没收违法所得，并处违法所得4倍以上5倍以下的罚款；没有违法所得或者违法所得不足1万元的，并处4万元以上5万元以下的罚款。</w:t>
            </w: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FBDEF"/>
    <w:multiLevelType w:val="singleLevel"/>
    <w:tmpl w:val="648FBDE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51DC2732"/>
    <w:rsid w:val="51DC2732"/>
    <w:rsid w:val="626F6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2024-05-13T07:37:00Z</dcterms:created>
  <dc:creator>Administrator</dc:creator>
  <cp:lastModifiedBy>Administrator</cp:lastModifiedBy>
  <dcterms:modified xsi:type="dcterms:W3CDTF">2024-05-13T12:03:14Z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74AEC840CF0547BEBD6362559FA232C7_11</vt:lpwstr>
  </property>
</Properties>
</file>