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馆陶县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市场监管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局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 xml:space="preserve"> 202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3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 xml:space="preserve"> 年</w:t>
      </w:r>
    </w:p>
    <w:p>
      <w:pPr>
        <w:jc w:val="center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  <w:lang w:val="en-US" w:eastAsia="zh-CN"/>
        </w:rPr>
        <w:t>第二次</w:t>
      </w: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内部联合信用风险分级分类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/>
          <w:bCs/>
          <w:sz w:val="44"/>
          <w:szCs w:val="44"/>
        </w:rPr>
        <w:t>“双随机、一公开”抽查工作方案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 xml:space="preserve">为认真贯彻落实上级部门关于“双随机、一公开”监管工作的部署要求，深入推进“双随机、一公开”监管， 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按照《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eastAsia="zh-CN"/>
        </w:rPr>
        <w:t>馆陶县市场监督管理局关于印发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2023年度内部联合随机抽查工作计划》安排，组织开展县市场监管局 2023 年第二次内部联合信用风险分级分类“双随机、一公开”抽查，制定本方案</w:t>
      </w:r>
      <w:r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一、 抽查时间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2023年5月4日至 2023年6月20日。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二、抽查事项内容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1.食品销售监督检查；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2.食用农产品市场销售质量安全检查；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3.特殊食品销售监督检查：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 xml:space="preserve">4.食盐质量安全监督检查；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5.食品安全监督抽检；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6.价格行为检查；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7.计量监督检查；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 xml:space="preserve">    8.登记事项检查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9.专利真实性监督检查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10、公示信息检查。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三、抽查对象范围及比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(一）</w:t>
      </w:r>
      <w:r>
        <w:rPr>
          <w:rFonts w:hint="eastAsia" w:ascii="CESI宋体-GB2312" w:hAnsi="CESI宋体-GB2312" w:eastAsia="CESI宋体-GB2312" w:cs="CESI宋体-GB2312"/>
          <w:color w:val="auto"/>
          <w:sz w:val="32"/>
          <w:szCs w:val="32"/>
          <w:lang w:val="en-US" w:eastAsia="zh-CN"/>
        </w:rPr>
        <w:t>抽查对象范围。全县已成立状态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的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eastAsia="zh-CN"/>
        </w:rPr>
        <w:t>食品经营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市场主体和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eastAsia="zh-CN"/>
        </w:rPr>
        <w:t>已取得专利技术证书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</w:rPr>
        <w:t>的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eastAsia="zh-CN"/>
        </w:rPr>
        <w:t>企业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（二）抽取比例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运用河北省市场监督管理局企业信用风险分类管理系统推送至《河北省双随机执法监管平台》数据，按照风险等级越高抽取比例越大的原则抽取检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查对象。其中：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 xml:space="preserve">食品经营企业 </w:t>
      </w:r>
      <w:r>
        <w:rPr>
          <w:rFonts w:hint="eastAsia" w:ascii="CESI宋体-GB2312" w:hAnsi="CESI宋体-GB2312" w:eastAsia="CESI宋体-GB2312" w:cs="CESI宋体-GB2312"/>
          <w:b w:val="0"/>
          <w:bCs w:val="0"/>
          <w:sz w:val="32"/>
          <w:szCs w:val="32"/>
          <w:lang w:val="en-US" w:eastAsia="zh-CN"/>
        </w:rPr>
        <w:t>A风险按60%比例抽取，B风险按70%比例抽取，C风险按80%比例抽取，D风险按100%比例抽取；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>食品经营个体工商户</w:t>
      </w:r>
      <w:r>
        <w:rPr>
          <w:rFonts w:hint="eastAsia" w:ascii="CESI宋体-GB2312" w:hAnsi="CESI宋体-GB2312" w:eastAsia="CESI宋体-GB2312" w:cs="CESI宋体-GB2312"/>
          <w:b w:val="0"/>
          <w:bCs w:val="0"/>
          <w:sz w:val="32"/>
          <w:szCs w:val="32"/>
          <w:lang w:val="en-US" w:eastAsia="zh-CN"/>
        </w:rPr>
        <w:t>按</w:t>
      </w:r>
      <w:r>
        <w:rPr>
          <w:rFonts w:hint="eastAsia" w:ascii="CESI宋体-GB2312" w:hAnsi="CESI宋体-GB2312" w:eastAsia="CESI宋体-GB2312" w:cs="CESI宋体-GB2312"/>
          <w:spacing w:val="-6"/>
          <w:sz w:val="32"/>
          <w:szCs w:val="32"/>
          <w:lang w:val="en-US" w:eastAsia="zh-CN"/>
        </w:rPr>
        <w:t>3%比例抽取。</w:t>
      </w: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val="en-US" w:eastAsia="zh-CN"/>
        </w:rPr>
        <w:t xml:space="preserve">取得专利技术证书的企业 </w:t>
      </w:r>
      <w:r>
        <w:rPr>
          <w:rFonts w:hint="eastAsia" w:ascii="CESI宋体-GB2312" w:hAnsi="CESI宋体-GB2312" w:eastAsia="CESI宋体-GB2312" w:cs="CESI宋体-GB2312"/>
          <w:b w:val="0"/>
          <w:bCs w:val="0"/>
          <w:sz w:val="32"/>
          <w:szCs w:val="32"/>
          <w:lang w:val="en-US" w:eastAsia="zh-CN"/>
        </w:rPr>
        <w:t>A风险按40%比例抽取，B风险按50%比例抽取，C风险按100%比例抽取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四、抽查工作流程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（一）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县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局通过“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河北省双随机执法监管平台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”（以下简称 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平台”）按照不同比例抽取检查对象名单，按照管辖区域分派至辖区分局或其相关科室。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（二）各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分局或相关科室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通过“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平台”随机匹配检查人员，由执法人员按照规定的检查事项内容对检查对象进行现场检查。各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局要在抽查对象名单派发后 5 日内在“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平台”中完成执法检查人员的随机匹配工作。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（三）各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分局或相关科室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对每一个检查对象所涉及本次抽查的所有检查事项，实施全覆盖检查，确保一次性完成检查任务。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（四） 按照“谁检查、谁录入、谁公开”的原则， 自检查结束之日起20个工作日内在“工作平台”完成录入、审核并公示抽查结果。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（五）各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单位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对检查中发现的违法线索，及时依法处理或移交有关部门处理，并将后续处理结果录入“</w:t>
      </w: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监管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平台”，确保后续监管到位，形成监管闭环。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60" w:firstLineChars="3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一）加强组织领导。县局成立副局长张海涛任组长，各分局、食品流通安全监督管理科、价格科、知识产权监督管理科、信用监管科等单位主要负责同志为成员的“双随机”联合抽查工作领导小组，组织实施。此次“双随机”抽查，是贯彻落实《市场监管总局关于推进“双随机、一公开”监管工作的通知》要求，按照市局和县局抽查工作计划开展的一次抽查，各分局、相关科室要高度重视，精心组织，周密部署，科学合理分工，确保此次抽查工作依法、有序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二）抓好宣传培训。“双随机”联合抽查涉及广大市场主体，各分局要及时向辖区党委、政府进行专题汇报，争取支持；要通过各种渠道加强宣传报道，积极宣传国务院关于“双随机、一公开”监管的决策部署，扩大市场主体和公众知晓度，营造良好的舆论氛围；要依法公开抽查依据、抽查主体、检查内容、检查方式和抽查时限，使广大市场主体知晓配合抽查的义务和相关权利，使公众了解并主动参与抽查活动，积极举报市场主体违法行为；要组织专题业务培训，提高执法检查人员发现问题的能力，确保“双随机”抽查工作顺利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（三）搞好协调配合。“双随机”抽查工作，涉及单位多，工作流程复杂严密，信用监管科要发挥牵头作用，积极协调推进“双随机”抽查工作，各监管业务科室要做好业务指导，确保按规定时限完成抽查任务。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（四）强化督导检查。县局领导小组不定期对各单位开展“双随机”联合抽查工作的指导、督促和检查。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（五）严格工作纪律。执法人员要求廉洁自律，切实做到“四个不得”，即：不得干预企业正常生产经营;不得收受企业馈赠的有价证券和礼品;不得接受企业宴请;不得参与影响执法的消费。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（六）及时反馈抽查情况。各单位要注重总结“双随机”抽查工作经验，在实施“双随机”抽查检查中遇到的问题，请及时上报县局。请各单位于2023年6月20日前将抽查工作总结及统计报表报县局信用监管科。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CESI宋体-GB2312" w:cs="CESI宋体-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  <w:lang w:val="en-US" w:eastAsia="zh-CN" w:bidi="ar-SA"/>
        </w:rPr>
        <w:t xml:space="preserve">2023年市场主体“双随机”联合抽查情况汇总表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270" w:right="1689" w:bottom="1270" w:left="1689" w:header="0" w:footer="992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3"/>
        <w:tblW w:w="135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751"/>
        <w:gridCol w:w="855"/>
        <w:gridCol w:w="959"/>
        <w:gridCol w:w="1207"/>
        <w:gridCol w:w="855"/>
        <w:gridCol w:w="829"/>
        <w:gridCol w:w="965"/>
        <w:gridCol w:w="817"/>
        <w:gridCol w:w="1013"/>
        <w:gridCol w:w="1525"/>
        <w:gridCol w:w="1034"/>
        <w:gridCol w:w="1432"/>
        <w:gridCol w:w="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5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仿宋_GB2312" w:hAnsi="仿宋_GB2312" w:eastAsia="仿宋_GB2312" w:cs="仿宋_GB2312"/>
                <w:color w:val="auto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附件</w:t>
            </w:r>
            <w:r>
              <w:rPr>
                <w:rFonts w:hint="eastAsia" w:ascii="仿宋_GB2312" w:hAnsi="仿宋_GB2312" w:cs="仿宋_GB2312"/>
                <w:color w:val="auto"/>
                <w:szCs w:val="32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小标宋简体" w:cs="宋体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auto"/>
                <w:spacing w:val="-4"/>
                <w:kern w:val="0"/>
                <w:sz w:val="44"/>
                <w:szCs w:val="44"/>
              </w:rPr>
              <w:t>年市场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44"/>
                <w:szCs w:val="44"/>
              </w:rPr>
              <w:t>主体“双随机”联合抽查情况汇总表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55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063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抽查检查结果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未发现问题</w:t>
            </w: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未按规定公示应当公示的信息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隐瞒真实情况弄虚作假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通过登记住所无法取得联系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不予以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配合检查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责令履行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通知书文号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送达时间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到期时间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核对时间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现场和记录表时间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应列异时间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28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填报日期：   年    月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仿宋_GB2312" w:eastAsia="宋体" w:cs="仿宋_GB2312"/>
          <w:color w:val="auto"/>
          <w:lang w:val="en-US" w:eastAsia="zh-CN"/>
        </w:rPr>
      </w:pPr>
    </w:p>
    <w:sectPr>
      <w:pgSz w:w="16839" w:h="11907" w:orient="landscape"/>
      <w:pgMar w:top="1689" w:right="1270" w:bottom="1689" w:left="1270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EF9E0A-E651-4240-9E26-142C746713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903B95-1697-4F4F-AB22-CE1018D0170E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427DDF1E-7C2B-4765-A431-A8AC3963EA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A5C507-9034-4084-83B0-294363113F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5586D04-C920-449F-851E-1571F4905B2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MxNTg4M2E5ODBiZWM4NjYwZGM5NzliMmRkYTdkODAifQ=="/>
  </w:docVars>
  <w:rsids>
    <w:rsidRoot w:val="00000000"/>
    <w:rsid w:val="01386A4E"/>
    <w:rsid w:val="02FA17AC"/>
    <w:rsid w:val="03055B28"/>
    <w:rsid w:val="033E52F6"/>
    <w:rsid w:val="04DF1BA2"/>
    <w:rsid w:val="0A547696"/>
    <w:rsid w:val="0CF73592"/>
    <w:rsid w:val="14585906"/>
    <w:rsid w:val="1D214EDE"/>
    <w:rsid w:val="284C1C4F"/>
    <w:rsid w:val="2BA53912"/>
    <w:rsid w:val="2BDEDFD0"/>
    <w:rsid w:val="30850E88"/>
    <w:rsid w:val="3AF632EE"/>
    <w:rsid w:val="3C5C3D9E"/>
    <w:rsid w:val="3DFFDA26"/>
    <w:rsid w:val="3FED700D"/>
    <w:rsid w:val="415255CA"/>
    <w:rsid w:val="41F006B3"/>
    <w:rsid w:val="47804A62"/>
    <w:rsid w:val="49D57801"/>
    <w:rsid w:val="4A4A0D21"/>
    <w:rsid w:val="50A13664"/>
    <w:rsid w:val="533A0EE3"/>
    <w:rsid w:val="54823EB7"/>
    <w:rsid w:val="5A1F3C74"/>
    <w:rsid w:val="5F7FA538"/>
    <w:rsid w:val="62F92580"/>
    <w:rsid w:val="646D45D5"/>
    <w:rsid w:val="649F6AD5"/>
    <w:rsid w:val="67DB572B"/>
    <w:rsid w:val="6B282F2A"/>
    <w:rsid w:val="6BEA5A68"/>
    <w:rsid w:val="6BFE09FA"/>
    <w:rsid w:val="71101389"/>
    <w:rsid w:val="76674885"/>
    <w:rsid w:val="77842011"/>
    <w:rsid w:val="7BEA7BFA"/>
    <w:rsid w:val="7D064A03"/>
    <w:rsid w:val="7D7E4262"/>
    <w:rsid w:val="7E9D635D"/>
    <w:rsid w:val="7FA06711"/>
    <w:rsid w:val="B36CC9F6"/>
    <w:rsid w:val="D7FB41CE"/>
    <w:rsid w:val="DA5F2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1828</Words>
  <Characters>1881</Characters>
  <TotalTime>42</TotalTime>
  <ScaleCrop>false</ScaleCrop>
  <LinksUpToDate>false</LinksUpToDate>
  <CharactersWithSpaces>1913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2022-04-19T22:22:00Z</dcterms:created>
  <dc:creator>LDM</dc:creator>
  <cp:lastModifiedBy>倾听</cp:lastModifiedBy>
  <cp:lastPrinted>2022-10-08T16:57:00Z</cp:lastPrinted>
  <dcterms:modified xsi:type="dcterms:W3CDTF">2023-05-04T07:07:10Z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2022-06-28T14:44:06Z</vt:filetime>
  </property>
  <property fmtid="{D5CDD505-2E9C-101B-9397-08002B2CF9AE}" pid="4" name="KSOProductBuildVer">
    <vt:lpwstr>2052-11.1.0.14036</vt:lpwstr>
  </property>
  <property fmtid="{D5CDD505-2E9C-101B-9397-08002B2CF9AE}" pid="5" name="ICV">
    <vt:lpwstr>5818AE679EEC4411B6BCCE91B86D12A7_13</vt:lpwstr>
  </property>
</Properties>
</file>