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馆陶县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市场监管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局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202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年</w:t>
      </w: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第一次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内部联合信用风险分级分类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“双随机、一公开”抽查工作方案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 xml:space="preserve">为认真贯彻落实上级部门关于“双随机、一公开”监管工作的部署要求，深入推进“双随机、一公开”监管， 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按照《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馆陶县市场监督管理局关于印发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2023年度内部联合随机抽查工作计划》安排，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组织开展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县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市场监管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局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 xml:space="preserve"> 202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 xml:space="preserve"> 年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第一次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内部联合信用风险分级分类“双随机、一公开”抽查，制定本方案</w:t>
      </w:r>
      <w:r>
        <w:rPr>
          <w:rFonts w:hint="default" w:ascii="CESI宋体-GB2312" w:hAnsi="CESI宋体-GB2312" w:eastAsia="CESI宋体-GB2312" w:cs="CESI宋体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一、 抽查时间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202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1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日至 202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年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4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月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二、抽查事项内容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1.登记事项检查；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2.公示信息检查；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3.食品生产监督检查：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4.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lang w:val="en-US" w:eastAsia="zh-CN"/>
        </w:rPr>
        <w:t>价格行为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检查；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5.餐饮服务监督检查；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6.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lang w:val="en-US" w:eastAsia="zh-CN"/>
        </w:rPr>
        <w:t>商标使用行为的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</w:rPr>
        <w:t>检查；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三、抽查对象范围及比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(一）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lang w:val="en-US" w:eastAsia="zh-CN"/>
        </w:rPr>
        <w:t>抽查对象范围。全县已成立状态的餐饮服务市场主体和获证食品生产企业。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（二）抽取比例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" w:eastAsia="zh-CN"/>
        </w:rPr>
      </w:pP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1.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餐饮服务市场主体。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</w:rPr>
        <w:t>企业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：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</w:rPr>
        <w:t>与企业信用风险等级相结合，实施差异化抽取。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守信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企业（A 类）按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50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%抽取，一般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失信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企业（B 类）按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70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%抽取，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严重失信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 xml:space="preserve">企业（C 类）按 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"/>
        </w:rPr>
        <w:t>1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00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%抽取，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黑名单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企业（D类）按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"/>
        </w:rPr>
        <w:t>1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-US" w:eastAsia="zh-CN"/>
        </w:rPr>
        <w:t>0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  <w:lang w:val="en"/>
        </w:rPr>
        <w:t>0</w:t>
      </w:r>
      <w:r>
        <w:rPr>
          <w:rFonts w:hint="eastAsia" w:ascii="CESI宋体-GB2312" w:hAnsi="CESI宋体-GB2312" w:eastAsia="CESI宋体-GB2312" w:cs="CESI宋体-GB2312"/>
          <w:spacing w:val="0"/>
          <w:sz w:val="32"/>
          <w:szCs w:val="32"/>
        </w:rPr>
        <w:t>%抽取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。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default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</w:rPr>
        <w:t>个体工商户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：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按3%抽取。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</w:rPr>
        <w:t>.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获证食品生产企业：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按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100%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比例。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四、抽查工作流程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（一）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县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局通过“河北省双随机监管工作平台”（以下简称 “工作平台”）按照不同比例抽取检查对象名单，按照管辖区域分派至辖区分局或其相关科室。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通过“工作平台”随机匹配检查人员，由执法人员按照规定的检查事项内容对检查对象进行现场检查。各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局要在抽查对象名单派发后 5 日内在“工作平台”中完成执法检查人员的随机匹配工作。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（三）各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对每一个检查对象所涉及本次抽查的所有检查事项，实施全覆盖检查，确保一次性完成检查任务。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（四） 按照“谁检查、谁录入、谁公开”的原则， 自检查结束之日起 20 个工作日内在“工作平台”完成录入、审核并公示抽查结果。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（五）各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单位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对检查中发现的违法线索，及时依法处理或移交有关部门处理， 并将后续处理结果录入 “工作平台”，确保后续监管到位，形成监管闭环。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一）加强组织领导。县局成立副局长张海涛任组长，各分局、餐饮服务安全监督管理科、价格科、食品生产安全监督管理科、知识产权监督管理科、网络合同科、信用监管科等单位主要负责同志为成员的“双随机”联合抽查工作领导小组，组织实施。此次“双随机”抽查，是贯彻落实《市场监管总局关于推进“双随机、一公开”监管工作的通知》要求，按照市局和县局抽查工作计划开展的一次抽查，各分局、相关科室要高度重视，精心组织，周密部署，科学合理分工，确保此次抽查工作依法、有序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二）抓好宣传培训。“双随机”联合抽查涉及广大市场主体，各分局要及时向辖区党委、政府进行专题汇报，争取支持；要通过各种渠道加强宣传报道，积极宣传国务院关于“双随机、一公开”监管的决策部署，扩大市场主体和公众知晓度，营造良好的舆论氛围；要依法公开抽查依据、抽查主体、检查内容、检查方式和抽查时限，使广大市场主体知晓配合抽查的义务和相关权利，使公众了解并主动参与抽查活动，积极举报市场主体违法行为；要组织专题业务培训，提高执法检查人员发现问题的能力，确保“双随机”抽查工作顺利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（三）搞好协调配合。“双随机”抽查工作，涉及单位多，工作流程复杂严密，信用监管科要发挥牵头作用，积极协调推进“双随机”抽查工作，各监管业务科室要做好业务指导，确保按规定时限完成抽查任务。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（四）强化督导检查。县局领导小组不定期对各单位开展“双随机”联合抽查工作的指导、督促和检查。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（五）严格工作纪律。执法人员要求廉洁自律，切实做到“四个不得”，即：不得干预企业正常生产经营;不得收受企业馈赠的有价证券和礼品;不得接受企业宴请;不得参与影响执法的消费。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（六）及时反馈抽查情况。各单位要注重总结“双随机”抽查工作经验，在实施“双随机”抽查检查中遇到的问题，请及时上报县局。请各单位于2023年4月1日前将抽查工作总结及统计报表报县局信用监管科。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2023年市场主体“双随机”联合抽查情况汇总表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270" w:right="1689" w:bottom="1270" w:left="1689" w:header="0" w:footer="992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3"/>
        <w:tblW w:w="135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751"/>
        <w:gridCol w:w="855"/>
        <w:gridCol w:w="959"/>
        <w:gridCol w:w="1207"/>
        <w:gridCol w:w="855"/>
        <w:gridCol w:w="829"/>
        <w:gridCol w:w="965"/>
        <w:gridCol w:w="817"/>
        <w:gridCol w:w="1013"/>
        <w:gridCol w:w="1525"/>
        <w:gridCol w:w="1034"/>
        <w:gridCol w:w="1432"/>
        <w:gridCol w:w="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仿宋_GB2312" w:hAnsi="仿宋_GB2312" w:eastAsia="仿宋_GB2312" w:cs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附件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小标宋简体" w:cs="宋体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年市场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</w:rPr>
              <w:t>主体“双随机”联合抽查情况汇总表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63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抽查检查结果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未按规定公示应当公示的信息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隐瞒真实情况弄虚作假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通过登记住所无法取得联系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不予以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配合检查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责令履行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通知书文号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送达时间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核对时间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现场和记录表时间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填报日期：   年    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sectPr>
      <w:pgSz w:w="16839" w:h="11907" w:orient="landscape"/>
      <w:pgMar w:top="1689" w:right="1270" w:bottom="1689" w:left="1270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577A54-CC7A-4800-8FCD-7D69B7E392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9DC7EC-8A79-415C-800D-E3EE64800E08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740CDD0F-C718-4147-A8CB-4670B38FDA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9D40ED-C32A-4145-8369-922AD93A78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F62A93F-8515-4ABA-8B2E-ABF8CB2D61F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MxNTg4M2E5ODBiZWM4NjYwZGM5NzliMmRkYTdkODAifQ=="/>
  </w:docVars>
  <w:rsids>
    <w:rsidRoot w:val="00000000"/>
    <w:rsid w:val="03055B28"/>
    <w:rsid w:val="04DF1BA2"/>
    <w:rsid w:val="0CF73592"/>
    <w:rsid w:val="284C1C4F"/>
    <w:rsid w:val="2BA53912"/>
    <w:rsid w:val="2BDEDFD0"/>
    <w:rsid w:val="30850E88"/>
    <w:rsid w:val="3AF632EE"/>
    <w:rsid w:val="3C5C3D9E"/>
    <w:rsid w:val="3DFFDA26"/>
    <w:rsid w:val="3FED700D"/>
    <w:rsid w:val="415255CA"/>
    <w:rsid w:val="41F006B3"/>
    <w:rsid w:val="49D57801"/>
    <w:rsid w:val="50A13664"/>
    <w:rsid w:val="54823EB7"/>
    <w:rsid w:val="5A1F3C74"/>
    <w:rsid w:val="5F7FA538"/>
    <w:rsid w:val="649F6AD5"/>
    <w:rsid w:val="67DB572B"/>
    <w:rsid w:val="6B282F2A"/>
    <w:rsid w:val="6BFE09FA"/>
    <w:rsid w:val="71101389"/>
    <w:rsid w:val="76674885"/>
    <w:rsid w:val="77842011"/>
    <w:rsid w:val="7BEA7BFA"/>
    <w:rsid w:val="7D7E4262"/>
    <w:rsid w:val="B36CC9F6"/>
    <w:rsid w:val="D7FB41CE"/>
    <w:rsid w:val="DA5F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1737</Words>
  <Characters>1787</Characters>
  <TotalTime>315</TotalTime>
  <ScaleCrop>false</ScaleCrop>
  <LinksUpToDate>false</LinksUpToDate>
  <CharactersWithSpaces>1826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2022-04-19T22:22:00Z</dcterms:created>
  <dc:creator>LDM</dc:creator>
  <cp:lastModifiedBy>倾听</cp:lastModifiedBy>
  <cp:lastPrinted>2022-10-08T16:57:00Z</cp:lastPrinted>
  <dcterms:modified xsi:type="dcterms:W3CDTF">2023-03-02T00:20:57Z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2022-06-28T14:44:06Z</vt:filetime>
  </property>
  <property fmtid="{D5CDD505-2E9C-101B-9397-08002B2CF9AE}" pid="4" name="KSOProductBuildVer">
    <vt:lpwstr>2052-11.1.0.13703</vt:lpwstr>
  </property>
  <property fmtid="{D5CDD505-2E9C-101B-9397-08002B2CF9AE}" pid="5" name="ICV">
    <vt:lpwstr>548D2F779C5F44E488A162C37B33BB52</vt:lpwstr>
  </property>
</Properties>
</file>