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pP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pP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〔2023〕—3号</w:t>
      </w:r>
    </w:p>
    <w:p>
      <w:pPr>
        <w:keepLines w:val="0"/>
        <w:pageBreakBefore w:val="0"/>
        <w:kinsoku/>
        <w:wordWrap/>
        <w:overflowPunct/>
        <w:topLinePunct w:val="0"/>
        <w:autoSpaceDE/>
        <w:autoSpaceDN/>
        <w:bidi w:val="0"/>
        <w:spacing w:after="0" w:line="580" w:lineRule="exact"/>
        <w:jc w:val="both"/>
        <w:textAlignment w:val="auto"/>
        <w:rPr>
          <w:rFonts w:hint="eastAsia" w:ascii="方正小标宋简体" w:hAnsi="华文中宋"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馆陶县</w:t>
      </w:r>
      <w:r>
        <w:rPr>
          <w:rFonts w:hint="eastAsia" w:ascii="方正小标宋简体" w:hAnsi="方正小标宋简体" w:eastAsia="方正小标宋简体" w:cs="方正小标宋简体"/>
          <w:b/>
          <w:bCs/>
          <w:color w:val="auto"/>
          <w:sz w:val="44"/>
          <w:szCs w:val="44"/>
        </w:rPr>
        <w:t>市场</w:t>
      </w:r>
      <w:r>
        <w:rPr>
          <w:rFonts w:hint="eastAsia" w:ascii="方正小标宋简体" w:hAnsi="方正小标宋简体" w:eastAsia="方正小标宋简体" w:cs="方正小标宋简体"/>
          <w:b/>
          <w:bCs/>
          <w:color w:val="auto"/>
          <w:sz w:val="44"/>
          <w:szCs w:val="44"/>
          <w:lang w:eastAsia="zh-CN"/>
        </w:rPr>
        <w:t>监督管理</w:t>
      </w:r>
      <w:r>
        <w:rPr>
          <w:rFonts w:hint="eastAsia" w:ascii="方正小标宋简体" w:hAnsi="方正小标宋简体" w:eastAsia="方正小标宋简体" w:cs="方正小标宋简体"/>
          <w:b/>
          <w:bCs/>
          <w:color w:val="auto"/>
          <w:sz w:val="44"/>
          <w:szCs w:val="44"/>
          <w:lang w:val="en-US" w:eastAsia="zh-CN"/>
        </w:rPr>
        <w:t>局</w:t>
      </w:r>
      <w:r>
        <w:rPr>
          <w:rFonts w:hint="eastAsia" w:ascii="方正小标宋简体" w:hAnsi="方正小标宋简体" w:eastAsia="方正小标宋简体" w:cs="方正小标宋简体"/>
          <w:b/>
          <w:bCs/>
          <w:color w:val="auto"/>
          <w:sz w:val="44"/>
          <w:szCs w:val="44"/>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关于印发《</w:t>
      </w:r>
      <w:r>
        <w:rPr>
          <w:rFonts w:hint="eastAsia" w:ascii="方正小标宋简体" w:hAnsi="方正小标宋简体" w:eastAsia="方正小标宋简体" w:cs="方正小标宋简体"/>
          <w:b/>
          <w:bCs/>
          <w:color w:val="auto"/>
          <w:sz w:val="44"/>
          <w:szCs w:val="44"/>
        </w:rPr>
        <w:t>202</w:t>
      </w:r>
      <w:r>
        <w:rPr>
          <w:rFonts w:hint="eastAsia" w:ascii="方正小标宋简体" w:hAnsi="方正小标宋简体" w:eastAsia="方正小标宋简体" w:cs="方正小标宋简体"/>
          <w:b/>
          <w:bCs/>
          <w:color w:val="auto"/>
          <w:sz w:val="44"/>
          <w:szCs w:val="44"/>
          <w:lang w:val="en-US" w:eastAsia="zh-CN"/>
        </w:rPr>
        <w:t>3</w:t>
      </w:r>
      <w:r>
        <w:rPr>
          <w:rFonts w:hint="eastAsia" w:ascii="方正小标宋简体" w:hAnsi="方正小标宋简体" w:eastAsia="方正小标宋简体" w:cs="方正小标宋简体"/>
          <w:b/>
          <w:bCs/>
          <w:color w:val="auto"/>
          <w:sz w:val="44"/>
          <w:szCs w:val="44"/>
        </w:rPr>
        <w:t>年“双随机、一公开”监管工作实施方案</w:t>
      </w:r>
      <w:r>
        <w:rPr>
          <w:rFonts w:hint="eastAsia" w:ascii="方正小标宋简体" w:hAnsi="方正小标宋简体" w:eastAsia="方正小标宋简体" w:cs="方正小标宋简体"/>
          <w:b/>
          <w:bCs/>
          <w:color w:val="auto"/>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各分局，业务科室、队：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现将《</w:t>
      </w:r>
      <w:r>
        <w:rPr>
          <w:rFonts w:hint="eastAsia" w:ascii="仿宋_GB2312" w:hAnsi="仿宋_GB2312" w:eastAsia="仿宋_GB2312" w:cs="仿宋_GB2312"/>
          <w:color w:val="auto"/>
          <w:sz w:val="32"/>
          <w:szCs w:val="32"/>
          <w:lang w:val="en-US" w:eastAsia="zh-CN"/>
        </w:rPr>
        <w:t>馆陶县</w:t>
      </w:r>
      <w:r>
        <w:rPr>
          <w:rFonts w:hint="eastAsia" w:ascii="仿宋_GB2312" w:hAnsi="仿宋_GB2312" w:eastAsia="仿宋_GB2312" w:cs="仿宋_GB2312"/>
          <w:color w:val="auto"/>
          <w:sz w:val="32"/>
          <w:szCs w:val="32"/>
        </w:rPr>
        <w:t>市场</w:t>
      </w:r>
      <w:r>
        <w:rPr>
          <w:rFonts w:hint="eastAsia" w:ascii="仿宋_GB2312" w:hAnsi="仿宋_GB2312" w:eastAsia="仿宋_GB2312" w:cs="仿宋_GB2312"/>
          <w:color w:val="auto"/>
          <w:sz w:val="32"/>
          <w:szCs w:val="32"/>
          <w:lang w:eastAsia="zh-CN"/>
        </w:rPr>
        <w:t>监督管理</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年“双随机、一公开”监管工作实施方案</w:t>
      </w:r>
      <w:r>
        <w:rPr>
          <w:rFonts w:hint="eastAsia" w:ascii="仿宋_GB2312" w:hAnsi="仿宋_GB2312" w:eastAsia="仿宋_GB2312" w:cs="仿宋_GB2312"/>
          <w:color w:val="auto"/>
          <w:sz w:val="32"/>
          <w:szCs w:val="32"/>
          <w:lang w:eastAsia="zh-CN"/>
        </w:rPr>
        <w:t>》印发给你们，请认真贯彻执行。</w:t>
      </w:r>
    </w:p>
    <w:p>
      <w:pPr>
        <w:keepNext w:val="0"/>
        <w:keepLines w:val="0"/>
        <w:widowControl w:val="0"/>
        <w:kinsoku/>
        <w:overflowPunct/>
        <w:topLinePunct w:val="0"/>
        <w:autoSpaceDE/>
        <w:autoSpaceDN/>
        <w:bidi w:val="0"/>
        <w:spacing w:line="540" w:lineRule="exact"/>
        <w:ind w:firstLine="640"/>
        <w:jc w:val="left"/>
        <w:rPr>
          <w:rFonts w:hint="eastAsia" w:ascii="仿宋_GB2312" w:eastAsia="仿宋_GB2312" w:cs="仿宋_GB2312"/>
          <w:bCs/>
          <w:sz w:val="32"/>
          <w:szCs w:val="32"/>
          <w:lang w:eastAsia="zh-CN"/>
        </w:rPr>
      </w:pPr>
    </w:p>
    <w:p>
      <w:pPr>
        <w:keepNext w:val="0"/>
        <w:keepLines w:val="0"/>
        <w:widowControl w:val="0"/>
        <w:kinsoku/>
        <w:overflowPunct/>
        <w:topLinePunct w:val="0"/>
        <w:autoSpaceDE/>
        <w:autoSpaceDN/>
        <w:bidi w:val="0"/>
        <w:spacing w:line="540" w:lineRule="exact"/>
        <w:ind w:firstLine="640"/>
        <w:jc w:val="left"/>
        <w:rPr>
          <w:rFonts w:hint="default"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 xml:space="preserve">  </w:t>
      </w:r>
    </w:p>
    <w:p>
      <w:pPr>
        <w:keepNext w:val="0"/>
        <w:keepLines w:val="0"/>
        <w:widowControl w:val="0"/>
        <w:kinsoku/>
        <w:wordWrap w:val="0"/>
        <w:overflowPunct/>
        <w:topLinePunct w:val="0"/>
        <w:autoSpaceDE/>
        <w:autoSpaceDN/>
        <w:bidi w:val="0"/>
        <w:spacing w:line="540" w:lineRule="exact"/>
        <w:ind w:firstLine="640"/>
        <w:jc w:val="right"/>
        <w:rPr>
          <w:rFonts w:hint="default"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 xml:space="preserve">   </w:t>
      </w:r>
      <w:r>
        <w:rPr>
          <w:rFonts w:hint="eastAsia" w:ascii="仿宋_GB2312" w:eastAsia="仿宋_GB2312" w:cs="仿宋_GB2312"/>
          <w:bCs/>
          <w:sz w:val="32"/>
          <w:szCs w:val="32"/>
          <w:lang w:eastAsia="zh-CN"/>
        </w:rPr>
        <w:t>馆陶县市场监督管理局</w:t>
      </w:r>
      <w:r>
        <w:rPr>
          <w:rFonts w:hint="eastAsia" w:ascii="仿宋_GB2312" w:eastAsia="仿宋_GB2312" w:cs="仿宋_GB2312"/>
          <w:bCs/>
          <w:sz w:val="32"/>
          <w:szCs w:val="32"/>
          <w:lang w:val="en-US" w:eastAsia="zh-CN"/>
        </w:rPr>
        <w:t xml:space="preserve">      </w:t>
      </w:r>
    </w:p>
    <w:p>
      <w:pPr>
        <w:keepNext w:val="0"/>
        <w:keepLines w:val="0"/>
        <w:widowControl w:val="0"/>
        <w:kinsoku/>
        <w:wordWrap w:val="0"/>
        <w:overflowPunct/>
        <w:topLinePunct w:val="0"/>
        <w:autoSpaceDE/>
        <w:autoSpaceDN/>
        <w:bidi w:val="0"/>
        <w:spacing w:line="540" w:lineRule="exact"/>
        <w:ind w:firstLine="640"/>
        <w:jc w:val="right"/>
        <w:rPr>
          <w:rFonts w:hint="default"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 xml:space="preserve">2023年2月2日         </w:t>
      </w:r>
    </w:p>
    <w:p>
      <w:pPr>
        <w:keepNext w:val="0"/>
        <w:keepLines w:val="0"/>
        <w:widowControl w:val="0"/>
        <w:kinsoku/>
        <w:overflowPunct/>
        <w:topLinePunct w:val="0"/>
        <w:autoSpaceDE/>
        <w:autoSpaceDN/>
        <w:bidi w:val="0"/>
        <w:spacing w:line="540" w:lineRule="exact"/>
        <w:ind w:firstLine="640"/>
        <w:jc w:val="left"/>
        <w:rPr>
          <w:rFonts w:hint="eastAsia" w:ascii="仿宋_GB2312" w:eastAsia="仿宋_GB2312" w:cs="仿宋_GB2312"/>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馆陶县</w:t>
      </w:r>
      <w:r>
        <w:rPr>
          <w:rFonts w:hint="eastAsia" w:ascii="方正小标宋简体" w:hAnsi="方正小标宋简体" w:eastAsia="方正小标宋简体" w:cs="方正小标宋简体"/>
          <w:b/>
          <w:bCs/>
          <w:color w:val="auto"/>
          <w:sz w:val="44"/>
          <w:szCs w:val="44"/>
        </w:rPr>
        <w:t>市场</w:t>
      </w:r>
      <w:r>
        <w:rPr>
          <w:rFonts w:hint="eastAsia" w:ascii="方正小标宋简体" w:hAnsi="方正小标宋简体" w:eastAsia="方正小标宋简体" w:cs="方正小标宋简体"/>
          <w:b/>
          <w:bCs/>
          <w:color w:val="auto"/>
          <w:sz w:val="44"/>
          <w:szCs w:val="44"/>
          <w:lang w:eastAsia="zh-CN"/>
        </w:rPr>
        <w:t>监督管理</w:t>
      </w:r>
      <w:r>
        <w:rPr>
          <w:rFonts w:hint="eastAsia" w:ascii="方正小标宋简体" w:hAnsi="方正小标宋简体" w:eastAsia="方正小标宋简体" w:cs="方正小标宋简体"/>
          <w:b/>
          <w:bCs/>
          <w:color w:val="auto"/>
          <w:sz w:val="44"/>
          <w:szCs w:val="44"/>
          <w:lang w:val="en-US" w:eastAsia="zh-CN"/>
        </w:rPr>
        <w:t>局</w:t>
      </w:r>
      <w:r>
        <w:rPr>
          <w:rFonts w:hint="eastAsia" w:ascii="方正小标宋简体" w:hAnsi="方正小标宋简体" w:eastAsia="方正小标宋简体" w:cs="方正小标宋简体"/>
          <w:b/>
          <w:bCs/>
          <w:color w:val="auto"/>
          <w:sz w:val="44"/>
          <w:szCs w:val="44"/>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left"/>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202</w:t>
      </w:r>
      <w:r>
        <w:rPr>
          <w:rFonts w:hint="eastAsia" w:ascii="方正小标宋简体" w:hAnsi="方正小标宋简体" w:eastAsia="方正小标宋简体" w:cs="方正小标宋简体"/>
          <w:b/>
          <w:bCs/>
          <w:color w:val="auto"/>
          <w:sz w:val="44"/>
          <w:szCs w:val="44"/>
          <w:lang w:val="en-US" w:eastAsia="zh-CN"/>
        </w:rPr>
        <w:t>3</w:t>
      </w:r>
      <w:r>
        <w:rPr>
          <w:rFonts w:hint="eastAsia" w:ascii="方正小标宋简体" w:hAnsi="方正小标宋简体" w:eastAsia="方正小标宋简体" w:cs="方正小标宋简体"/>
          <w:b/>
          <w:bCs/>
          <w:color w:val="auto"/>
          <w:sz w:val="44"/>
          <w:szCs w:val="44"/>
        </w:rPr>
        <w:t>年“双随机、一公开”监管工作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为认真贯彻落实国务院和省委省政府、省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市场监管局关于“双随机、一公开”监管工作的部署要求，持续优化营商环境，进一步深化“放管服”改革，推进“双随机、一公开”监管与企业信用风险分级分类深度融合，实现市场监管部门内部联合“双随机、一公开”监管抽查事项全覆盖、监管方式常态化、抽查检查规范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精准化，制定本方案。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进一步完善全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市场监管系统内部“双随机、一公开”监管工作机制，深化市场监管系统内部联合随机抽查，减少对市场主体正常生产经营的干扰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深入推进企业信用风险差异化抽查，提升监管的精准性和靶向性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全年运用企业信用风险分类开展随机抽查次数占总抽查次数的比例不低于80%，提高抽查检查结果发现问题率</w:t>
      </w:r>
      <w:r>
        <w:rPr>
          <w:rFonts w:hint="eastAsia" w:ascii="仿宋_GB2312" w:hAnsi="仿宋_GB2312" w:eastAsia="仿宋_GB2312" w:cs="仿宋_GB2312"/>
          <w:color w:val="auto"/>
          <w:sz w:val="32"/>
          <w:szCs w:val="32"/>
          <w:lang w:val="en-US" w:eastAsia="zh-CN"/>
        </w:rPr>
        <w:t>和转案件率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全系统年度抽查企业占比达到 </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%以上，抽查结果公示率达到100%，抽查检查发现问题</w:t>
      </w:r>
      <w:r>
        <w:rPr>
          <w:rFonts w:hint="eastAsia" w:ascii="仿宋_GB2312" w:hAnsi="仿宋_GB2312" w:eastAsia="仿宋_GB2312" w:cs="仿宋_GB2312"/>
          <w:color w:val="auto"/>
          <w:sz w:val="32"/>
          <w:szCs w:val="32"/>
          <w:lang w:val="en-US" w:eastAsia="zh-CN"/>
        </w:rPr>
        <w:t>处置率100%，提升随机抽查效能</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二、主要工作任务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（一）完善“一单两库”。</w:t>
      </w:r>
      <w:r>
        <w:rPr>
          <w:rFonts w:hint="eastAsia" w:ascii="楷体" w:hAnsi="楷体" w:eastAsia="楷体" w:cs="楷体"/>
          <w:color w:val="auto"/>
          <w:sz w:val="32"/>
          <w:szCs w:val="32"/>
          <w:lang w:val="en-US" w:eastAsia="zh-CN"/>
        </w:rPr>
        <w:t>县</w:t>
      </w:r>
      <w:r>
        <w:rPr>
          <w:rFonts w:hint="eastAsia" w:ascii="仿宋_GB2312" w:hAnsi="仿宋_GB2312" w:eastAsia="仿宋_GB2312" w:cs="仿宋_GB2312"/>
          <w:color w:val="auto"/>
          <w:sz w:val="32"/>
          <w:szCs w:val="32"/>
        </w:rPr>
        <w:t>局信用监管</w:t>
      </w:r>
      <w:r>
        <w:rPr>
          <w:rFonts w:hint="eastAsia" w:ascii="仿宋_GB2312" w:hAnsi="仿宋_GB2312" w:eastAsia="仿宋_GB2312" w:cs="仿宋_GB2312"/>
          <w:color w:val="auto"/>
          <w:sz w:val="32"/>
          <w:szCs w:val="32"/>
          <w:lang w:val="en-US" w:eastAsia="zh-CN"/>
        </w:rPr>
        <w:t>科</w:t>
      </w:r>
      <w:r>
        <w:rPr>
          <w:rFonts w:hint="eastAsia" w:ascii="仿宋_GB2312" w:hAnsi="仿宋_GB2312" w:eastAsia="仿宋_GB2312" w:cs="仿宋_GB2312"/>
          <w:color w:val="auto"/>
          <w:sz w:val="32"/>
          <w:szCs w:val="32"/>
        </w:rPr>
        <w:t>会同相关业务</w:t>
      </w:r>
      <w:r>
        <w:rPr>
          <w:rFonts w:hint="eastAsia" w:ascii="仿宋_GB2312" w:hAnsi="仿宋_GB2312" w:eastAsia="仿宋_GB2312" w:cs="仿宋_GB2312"/>
          <w:color w:val="auto"/>
          <w:sz w:val="32"/>
          <w:szCs w:val="32"/>
          <w:lang w:val="en-US" w:eastAsia="zh-CN"/>
        </w:rPr>
        <w:t>科</w:t>
      </w:r>
      <w:r>
        <w:rPr>
          <w:rFonts w:hint="eastAsia" w:ascii="仿宋_GB2312" w:hAnsi="仿宋_GB2312" w:eastAsia="仿宋_GB2312" w:cs="仿宋_GB2312"/>
          <w:color w:val="auto"/>
          <w:sz w:val="32"/>
          <w:szCs w:val="32"/>
        </w:rPr>
        <w:t>室本着“应纳尽纳”的原则，进一步完善全系统的随机抽查事项清单。在新的河北省双随机</w:t>
      </w:r>
      <w:r>
        <w:rPr>
          <w:rFonts w:hint="eastAsia" w:ascii="仿宋_GB2312" w:hAnsi="仿宋_GB2312" w:eastAsia="仿宋_GB2312" w:cs="仿宋_GB2312"/>
          <w:color w:val="auto"/>
          <w:sz w:val="32"/>
          <w:szCs w:val="32"/>
          <w:lang w:val="en-US" w:eastAsia="zh-CN"/>
        </w:rPr>
        <w:t>执法</w:t>
      </w:r>
      <w:r>
        <w:rPr>
          <w:rFonts w:hint="eastAsia" w:ascii="仿宋_GB2312" w:hAnsi="仿宋_GB2312" w:eastAsia="仿宋_GB2312" w:cs="仿宋_GB2312"/>
          <w:color w:val="auto"/>
          <w:sz w:val="32"/>
          <w:szCs w:val="32"/>
        </w:rPr>
        <w:t>监管平台（以下简称新平台）上线运行后，及时组织部门内部各业务条线，对照全系统随机抽查事项清单，对涉及本级监管事权的事项进行认领，为开展随机抽查打好基础。要对检查对象名录库和执法检查人员名录库实施动态调整，结合本地行业分类、重点领域和监管工作需求，对检查对象名录库进行分类标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综合考虑执法队伍实际、内部职能划分、执法人员专长等因素，对执法人员名录进行分类标注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对确需委托专业人员（机构）参加抽查，也要通过分类标注方式建立专门的专家库，提升人员匹配的科学性、精准性，确保抽查检查的高效性。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rPr>
      </w:pPr>
      <w:r>
        <w:rPr>
          <w:rFonts w:hint="eastAsia" w:ascii="楷体_GB2312" w:hAnsi="楷体_GB2312" w:eastAsia="楷体_GB2312" w:cs="楷体_GB2312"/>
          <w:b/>
          <w:bCs/>
          <w:color w:val="auto"/>
          <w:sz w:val="32"/>
          <w:szCs w:val="32"/>
        </w:rPr>
        <w:t>（二）规范抽查检查工作程序。</w:t>
      </w:r>
      <w:r>
        <w:rPr>
          <w:rFonts w:hint="eastAsia" w:ascii="仿宋_GB2312" w:hAnsi="仿宋_GB2312" w:eastAsia="仿宋_GB2312" w:cs="仿宋_GB2312"/>
          <w:color w:val="auto"/>
          <w:sz w:val="32"/>
          <w:szCs w:val="32"/>
          <w:lang w:eastAsia="zh-CN"/>
        </w:rPr>
        <w:t>县市场监管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根据上级要求和工作实际，合理安排抽查任务，确保完成年度抽查企业占比不低于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的目标；要严格履行调整年度抽查计划的相关工作程序，调整后的年度抽查工作计划和每期抽查制定的实施方案要及时向社会公开;要根据年度随机抽查工作计划，科学合理地组织实施抽查检查，抽取的过程确保公开、公正;严格按照《随机抽查工作规范——河北省地方标准》开展抽查检查，规范随机抽查工作程序。抽查结束后，</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rPr>
        <w:t>及时将相关抽查资料归档，确保档案资料齐全，签字完整，提高“双随机、一公开”监管规范化水平。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（三）加强系统内部联合抽查，提高监管精准性。</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本县</w:t>
      </w:r>
      <w:r>
        <w:rPr>
          <w:rFonts w:hint="eastAsia" w:ascii="仿宋_GB2312" w:hAnsi="仿宋_GB2312" w:eastAsia="仿宋_GB2312" w:cs="仿宋_GB2312"/>
          <w:color w:val="auto"/>
          <w:sz w:val="32"/>
          <w:szCs w:val="32"/>
        </w:rPr>
        <w:t>行业领域特点和被检查对象所涉及抽查事项的交集度，科学合理组织开展内部联合抽查，实现“进一次门，查多项事”，减少对企业正常经营的干扰。充分运用企业信用风险分级分类结果，根据不同信用风险等级实施差异化抽查，运用企业信用风险分类开展随机抽查次数占总抽查次数的比例不低于80%，提高抽查检查问题发现率，确保“双随机”抽查的精准性和震慑力，推进智慧监管、精准监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（四）强化结果运用，做好后续处置。</w:t>
      </w:r>
      <w:r>
        <w:rPr>
          <w:rFonts w:hint="eastAsia" w:ascii="仿宋_GB2312" w:hAnsi="仿宋_GB2312" w:eastAsia="仿宋_GB2312" w:cs="仿宋_GB2312"/>
          <w:color w:val="auto"/>
          <w:sz w:val="32"/>
          <w:szCs w:val="32"/>
          <w:lang w:val="en-US" w:eastAsia="zh-CN"/>
        </w:rPr>
        <w:t>各分局、</w:t>
      </w:r>
      <w:r>
        <w:rPr>
          <w:rFonts w:hint="eastAsia" w:ascii="仿宋_GB2312" w:hAnsi="仿宋_GB2312" w:eastAsia="仿宋_GB2312" w:cs="仿宋_GB2312"/>
          <w:color w:val="auto"/>
          <w:sz w:val="32"/>
          <w:szCs w:val="32"/>
        </w:rPr>
        <w:t>相关业务</w:t>
      </w:r>
      <w:r>
        <w:rPr>
          <w:rFonts w:hint="eastAsia" w:ascii="仿宋_GB2312" w:hAnsi="仿宋_GB2312" w:eastAsia="仿宋_GB2312" w:cs="仿宋_GB2312"/>
          <w:color w:val="auto"/>
          <w:sz w:val="32"/>
          <w:szCs w:val="32"/>
          <w:lang w:val="en-US" w:eastAsia="zh-CN"/>
        </w:rPr>
        <w:t>科</w:t>
      </w:r>
      <w:r>
        <w:rPr>
          <w:rFonts w:hint="eastAsia" w:ascii="仿宋_GB2312" w:hAnsi="仿宋_GB2312" w:eastAsia="仿宋_GB2312" w:cs="仿宋_GB2312"/>
          <w:color w:val="auto"/>
          <w:sz w:val="32"/>
          <w:szCs w:val="32"/>
        </w:rPr>
        <w:t>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队</w:t>
      </w:r>
      <w:r>
        <w:rPr>
          <w:rFonts w:hint="eastAsia" w:ascii="仿宋_GB2312" w:hAnsi="仿宋_GB2312" w:eastAsia="仿宋_GB2312" w:cs="仿宋_GB2312"/>
          <w:color w:val="auto"/>
          <w:sz w:val="32"/>
          <w:szCs w:val="32"/>
        </w:rPr>
        <w:t>要本着“谁检查、谁录入、谁公示”的原则，在检查结束后 20 个工作日内录入检查结果并向社会公示。要认真做好随机抽查后续处置工作，及时将后续处理结果录入平台，涉及其他部门监管职责的要及时抄告、移送，涉嫌犯罪的要移送司法机关，防止后续监管脱节。要对抽查中发现的违法违规行为加大惩戒力度，</w:t>
      </w:r>
      <w:r>
        <w:rPr>
          <w:rFonts w:hint="eastAsia" w:ascii="仿宋_GB2312" w:hAnsi="仿宋_GB2312" w:eastAsia="仿宋_GB2312" w:cs="仿宋_GB2312"/>
          <w:color w:val="auto"/>
          <w:sz w:val="32"/>
          <w:szCs w:val="32"/>
          <w:lang w:val="en-US" w:eastAsia="zh-CN"/>
        </w:rPr>
        <w:t>大力提高转案件率，增强抽查的实效性，</w:t>
      </w:r>
      <w:r>
        <w:rPr>
          <w:rFonts w:hint="eastAsia" w:ascii="仿宋_GB2312" w:hAnsi="仿宋_GB2312" w:eastAsia="仿宋_GB2312" w:cs="仿宋_GB2312"/>
          <w:color w:val="auto"/>
          <w:sz w:val="32"/>
          <w:szCs w:val="32"/>
        </w:rPr>
        <w:t>实施联合惩戒，促进“双随机、一公开”监管与信用监管有效衔接，增强市场主体诚信守法经营意识。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（五）加大宣传培训力度。</w:t>
      </w:r>
      <w:r>
        <w:rPr>
          <w:rFonts w:hint="eastAsia" w:ascii="仿宋_GB2312" w:hAnsi="仿宋_GB2312" w:eastAsia="仿宋_GB2312" w:cs="仿宋_GB2312"/>
          <w:color w:val="auto"/>
          <w:sz w:val="32"/>
          <w:szCs w:val="32"/>
        </w:rPr>
        <w:t>要加大对“双随机、一公开”监管政策的宣传力度，多种形式宣传解读推进“双随机、一公开”监管工作的重大意义和政策措施，将双随机抽查的操作流程、检查标准、失信行为惩戒等向社会、市场主体开展普法宣传，提高市场主体对双随机抽查的认知度，促进全社会对监管对象、政府监管行为的监督。要加强基层执法人员业务培训，重点抓好随机抽查工作规范——河北省地方标准、抽查检查工作指引等内容培训，提升基层执法人员各领域抽查检查水平和发现问题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（一）加强组织领导。</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积极发挥牵头抓总作用，切实加强组织领导和统筹协调，形成工作合力。相关业务</w:t>
      </w:r>
      <w:r>
        <w:rPr>
          <w:rFonts w:hint="eastAsia" w:ascii="仿宋_GB2312" w:hAnsi="仿宋_GB2312" w:eastAsia="仿宋_GB2312" w:cs="仿宋_GB2312"/>
          <w:color w:val="auto"/>
          <w:sz w:val="32"/>
          <w:szCs w:val="32"/>
          <w:lang w:val="en-US" w:eastAsia="zh-CN"/>
        </w:rPr>
        <w:t>科</w:t>
      </w:r>
      <w:r>
        <w:rPr>
          <w:rFonts w:hint="eastAsia" w:ascii="仿宋_GB2312" w:hAnsi="仿宋_GB2312" w:eastAsia="仿宋_GB2312" w:cs="仿宋_GB2312"/>
          <w:color w:val="auto"/>
          <w:sz w:val="32"/>
          <w:szCs w:val="32"/>
        </w:rPr>
        <w:t>室要加强对本业务条线的工作指导，提升本业务条线的抽查工作成效。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）强化责任担当。</w:t>
      </w:r>
      <w:r>
        <w:rPr>
          <w:rFonts w:hint="eastAsia" w:ascii="仿宋_GB2312" w:hAnsi="仿宋_GB2312" w:eastAsia="仿宋_GB2312" w:cs="仿宋_GB2312"/>
          <w:color w:val="auto"/>
          <w:sz w:val="32"/>
          <w:szCs w:val="32"/>
        </w:rPr>
        <w:t>进一步增强责任意识，科学、严谨制定每期随机抽查工作实施方案，抽查前</w:t>
      </w:r>
      <w:r>
        <w:rPr>
          <w:rFonts w:hint="eastAsia" w:ascii="仿宋_GB2312" w:hAnsi="仿宋_GB2312" w:eastAsia="仿宋_GB2312" w:cs="仿宋_GB2312"/>
          <w:color w:val="auto"/>
          <w:sz w:val="32"/>
          <w:szCs w:val="32"/>
          <w:lang w:val="en-US" w:eastAsia="zh-CN"/>
        </w:rPr>
        <w:t>相关业务科室要</w:t>
      </w:r>
      <w:r>
        <w:rPr>
          <w:rFonts w:hint="eastAsia" w:ascii="仿宋_GB2312" w:hAnsi="仿宋_GB2312" w:eastAsia="仿宋_GB2312" w:cs="仿宋_GB2312"/>
          <w:color w:val="auto"/>
          <w:sz w:val="32"/>
          <w:szCs w:val="32"/>
        </w:rPr>
        <w:t>组织参与检查的执法人员进行相关业务培训，执法检查人员要本着对检查对象、检查结果负责的原则，严格按照确定的时间、抽查事项、检查流程和相关要求认真开展抽查检查，严防滥用职权、徇私舞弊等现象发生。</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p>
    <w:p>
      <w:pPr>
        <w:pStyle w:val="8"/>
        <w:spacing w:line="440" w:lineRule="exact"/>
        <w:rPr>
          <w:rFonts w:hint="eastAsia" w:ascii="仿宋_GB2312" w:hAnsi="仿宋_GB2312" w:eastAsia="仿宋_GB2312" w:cs="仿宋_GB2312"/>
          <w:color w:val="auto"/>
          <w:sz w:val="32"/>
          <w:szCs w:val="32"/>
          <w:u w:val="single"/>
        </w:rPr>
      </w:pPr>
    </w:p>
    <w:p>
      <w:pPr>
        <w:pStyle w:val="8"/>
        <w:spacing w:line="440" w:lineRule="exact"/>
        <w:rPr>
          <w:rFonts w:hint="eastAsia" w:ascii="仿宋_GB2312" w:hAnsi="仿宋_GB2312" w:eastAsia="仿宋_GB2312" w:cs="仿宋_GB2312"/>
          <w:color w:val="auto"/>
          <w:sz w:val="32"/>
          <w:szCs w:val="32"/>
          <w:u w:val="single"/>
        </w:rPr>
      </w:pPr>
    </w:p>
    <w:p>
      <w:pPr>
        <w:pStyle w:val="8"/>
        <w:spacing w:line="440" w:lineRule="exact"/>
        <w:rPr>
          <w:rFonts w:hint="eastAsia" w:ascii="仿宋_GB2312" w:hAnsi="仿宋_GB2312" w:eastAsia="仿宋_GB2312" w:cs="仿宋_GB2312"/>
          <w:color w:val="auto"/>
          <w:sz w:val="32"/>
          <w:szCs w:val="32"/>
          <w:u w:val="single"/>
        </w:rPr>
      </w:pPr>
    </w:p>
    <w:p>
      <w:pPr>
        <w:pStyle w:val="8"/>
        <w:spacing w:line="440" w:lineRule="exact"/>
        <w:rPr>
          <w:rFonts w:hint="eastAsia" w:ascii="仿宋_GB2312" w:hAnsi="仿宋_GB2312" w:eastAsia="仿宋_GB2312" w:cs="仿宋_GB2312"/>
          <w:color w:val="auto"/>
          <w:sz w:val="32"/>
          <w:szCs w:val="32"/>
          <w:u w:val="single"/>
        </w:rPr>
      </w:pPr>
    </w:p>
    <w:p>
      <w:pPr>
        <w:pStyle w:val="8"/>
        <w:spacing w:line="440" w:lineRule="exact"/>
        <w:rPr>
          <w:rFonts w:hint="eastAsia" w:ascii="仿宋_GB2312" w:hAnsi="仿宋_GB2312" w:eastAsia="仿宋_GB2312" w:cs="仿宋_GB2312"/>
          <w:color w:val="auto"/>
          <w:sz w:val="32"/>
          <w:szCs w:val="32"/>
          <w:u w:val="single"/>
        </w:rPr>
      </w:pPr>
    </w:p>
    <w:p>
      <w:pPr>
        <w:pStyle w:val="8"/>
        <w:spacing w:line="440" w:lineRule="exact"/>
        <w:rPr>
          <w:rFonts w:hint="eastAsia" w:ascii="仿宋_GB2312" w:hAnsi="仿宋_GB2312" w:eastAsia="仿宋_GB2312" w:cs="仿宋_GB2312"/>
          <w:color w:val="auto"/>
          <w:sz w:val="32"/>
          <w:szCs w:val="32"/>
          <w:u w:val="single"/>
        </w:rPr>
      </w:pPr>
      <w:bookmarkStart w:id="0" w:name="_GoBack"/>
      <w:bookmarkEnd w:id="0"/>
    </w:p>
    <w:p>
      <w:pPr>
        <w:pStyle w:val="8"/>
        <w:spacing w:line="440" w:lineRule="exact"/>
        <w:rPr>
          <w:rFonts w:hint="eastAsia" w:ascii="仿宋_GB2312" w:hAnsi="仿宋_GB2312" w:eastAsia="仿宋_GB2312" w:cs="仿宋_GB2312"/>
          <w:color w:val="auto"/>
          <w:sz w:val="32"/>
          <w:szCs w:val="32"/>
          <w:u w:val="single"/>
        </w:rPr>
      </w:pPr>
    </w:p>
    <w:p>
      <w:pPr>
        <w:pStyle w:val="8"/>
        <w:spacing w:line="440" w:lineRule="exact"/>
        <w:rPr>
          <w:rFonts w:hint="eastAsia" w:ascii="仿宋_GB2312" w:hAnsi="仿宋_GB2312" w:eastAsia="仿宋_GB2312" w:cs="仿宋_GB2312"/>
          <w:color w:val="auto"/>
          <w:sz w:val="32"/>
          <w:szCs w:val="32"/>
          <w:u w:val="single"/>
        </w:rPr>
      </w:pPr>
    </w:p>
    <w:p>
      <w:pPr>
        <w:pStyle w:val="8"/>
        <w:spacing w:line="440" w:lineRule="exact"/>
        <w:rPr>
          <w:rFonts w:hint="eastAsia" w:ascii="仿宋_GB2312" w:hAnsi="仿宋_GB2312" w:eastAsia="仿宋_GB2312" w:cs="仿宋_GB2312"/>
          <w:color w:val="auto"/>
          <w:sz w:val="32"/>
          <w:szCs w:val="32"/>
          <w:u w:val="single"/>
        </w:rPr>
      </w:pPr>
    </w:p>
    <w:p>
      <w:pPr>
        <w:pStyle w:val="8"/>
        <w:spacing w:line="44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spacing w:line="600" w:lineRule="exac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u w:val="single"/>
        </w:rPr>
        <w:t xml:space="preserve">馆陶县市场监督管理局办公室  </w:t>
      </w:r>
      <w:r>
        <w:rPr>
          <w:rFonts w:hint="eastAsia" w:ascii="仿宋_GB2312" w:hAnsi="仿宋_GB2312" w:eastAsia="仿宋_GB2312" w:cs="仿宋_GB2312"/>
          <w:color w:val="auto"/>
          <w:sz w:val="32"/>
          <w:szCs w:val="32"/>
          <w:u w:val="single"/>
          <w:lang w:val="en-US" w:eastAsia="zh-CN"/>
        </w:rPr>
        <w:t xml:space="preserve">       2023</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2</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2</w:t>
      </w:r>
      <w:r>
        <w:rPr>
          <w:rFonts w:hint="eastAsia" w:ascii="仿宋_GB2312" w:hAnsi="仿宋_GB2312" w:eastAsia="仿宋_GB2312" w:cs="仿宋_GB2312"/>
          <w:color w:val="auto"/>
          <w:sz w:val="32"/>
          <w:szCs w:val="32"/>
          <w:u w:val="single"/>
        </w:rPr>
        <w:t>日印发</w:t>
      </w:r>
      <w:r>
        <w:rPr>
          <w:rFonts w:hint="eastAsia" w:ascii="仿宋_GB2312" w:hAnsi="仿宋_GB2312" w:eastAsia="仿宋_GB2312" w:cs="仿宋_GB2312"/>
          <w:color w:val="auto"/>
          <w:sz w:val="32"/>
          <w:szCs w:val="32"/>
          <w:u w:val="single"/>
          <w:lang w:val="en-US" w:eastAsia="zh-CN"/>
        </w:rPr>
        <w:t xml:space="preserve">  </w:t>
      </w:r>
    </w:p>
    <w:sectPr>
      <w:footerReference r:id="rId3" w:type="default"/>
      <w:pgSz w:w="11906" w:h="16838"/>
      <w:pgMar w:top="1701" w:right="1644" w:bottom="1701" w:left="164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2741930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5.9pt;margin-top:0pt;height:144pt;width:144pt;mso-position-horizontal-relative:margin;mso-wrap-style:none;z-index:251659264;mso-width-relative:page;mso-height-relative:page;" filled="f" stroked="f" coordsize="21600,21600" o:gfxdata="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Nmo2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ODU1YmM1OTE0MmY1NWEwZTE3ZmYzOTQxMjE2YzEifQ=="/>
  </w:docVars>
  <w:rsids>
    <w:rsidRoot w:val="216A685B"/>
    <w:rsid w:val="04BB71FC"/>
    <w:rsid w:val="061F2810"/>
    <w:rsid w:val="07AC2477"/>
    <w:rsid w:val="0AB60F5E"/>
    <w:rsid w:val="0D463540"/>
    <w:rsid w:val="0D5D009A"/>
    <w:rsid w:val="123F3B7E"/>
    <w:rsid w:val="16C0717A"/>
    <w:rsid w:val="1F112327"/>
    <w:rsid w:val="216A685B"/>
    <w:rsid w:val="282979AC"/>
    <w:rsid w:val="306165D0"/>
    <w:rsid w:val="32B35487"/>
    <w:rsid w:val="34563267"/>
    <w:rsid w:val="34774519"/>
    <w:rsid w:val="42D55C9F"/>
    <w:rsid w:val="44F75FC2"/>
    <w:rsid w:val="45D55291"/>
    <w:rsid w:val="49EE04FE"/>
    <w:rsid w:val="4A220478"/>
    <w:rsid w:val="4E705624"/>
    <w:rsid w:val="500C1631"/>
    <w:rsid w:val="52033212"/>
    <w:rsid w:val="526B0938"/>
    <w:rsid w:val="53C63CEF"/>
    <w:rsid w:val="557D2413"/>
    <w:rsid w:val="58585846"/>
    <w:rsid w:val="6D9778DE"/>
    <w:rsid w:val="6E114098"/>
    <w:rsid w:val="719017BC"/>
    <w:rsid w:val="7DA004BB"/>
    <w:rsid w:val="7E7709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rPr>
      <w:rFonts w:cs="Times New Roman"/>
    </w:rPr>
  </w:style>
  <w:style w:type="paragraph" w:customStyle="1" w:styleId="8">
    <w:name w:val="p0"/>
    <w:basedOn w:val="1"/>
    <w:qFormat/>
    <w:uiPriority w:val="0"/>
    <w:pPr>
      <w:widowControl/>
    </w:pPr>
    <w:rPr>
      <w:kern w:val="0"/>
      <w:szCs w:val="21"/>
    </w:rPr>
  </w:style>
  <w:style w:type="character" w:customStyle="1" w:styleId="9">
    <w:name w:val="font31"/>
    <w:basedOn w:val="6"/>
    <w:qFormat/>
    <w:uiPriority w:val="0"/>
    <w:rPr>
      <w:rFonts w:hint="eastAsia" w:ascii="宋体" w:hAnsi="宋体" w:eastAsia="宋体" w:cs="宋体"/>
      <w:color w:val="000000"/>
      <w:sz w:val="22"/>
      <w:szCs w:val="22"/>
      <w:u w:val="none"/>
    </w:rPr>
  </w:style>
  <w:style w:type="character" w:customStyle="1" w:styleId="10">
    <w:name w:val="font11"/>
    <w:basedOn w:val="6"/>
    <w:qFormat/>
    <w:uiPriority w:val="0"/>
    <w:rPr>
      <w:rFonts w:ascii="Arial" w:hAnsi="Arial" w:cs="Arial"/>
      <w:color w:val="000000"/>
      <w:sz w:val="24"/>
      <w:szCs w:val="24"/>
      <w:u w:val="none"/>
    </w:rPr>
  </w:style>
  <w:style w:type="character" w:customStyle="1" w:styleId="11">
    <w:name w:val="font21"/>
    <w:basedOn w:val="6"/>
    <w:qFormat/>
    <w:uiPriority w:val="0"/>
    <w:rPr>
      <w:rFonts w:ascii="宋体" w:hAnsi="宋体" w:eastAsia="宋体" w:cs="宋体"/>
      <w:color w:val="000000"/>
      <w:sz w:val="20"/>
      <w:szCs w:val="20"/>
      <w:u w:val="none"/>
    </w:rPr>
  </w:style>
  <w:style w:type="character" w:customStyle="1" w:styleId="12">
    <w:name w:val="font01"/>
    <w:basedOn w:val="6"/>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1973</Words>
  <Characters>2004</Characters>
  <Lines>0</Lines>
  <Paragraphs>0</Paragraphs>
  <TotalTime>3</TotalTime>
  <ScaleCrop>false</ScaleCrop>
  <LinksUpToDate>false</LinksUpToDate>
  <CharactersWithSpaces>2104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2021-01-05T01:09:00Z</dcterms:created>
  <dc:creator>Administrator</dc:creator>
  <cp:lastModifiedBy>小镇</cp:lastModifiedBy>
  <cp:lastPrinted>2023-02-02T01:43:39Z</cp:lastPrinted>
  <dcterms:modified xsi:type="dcterms:W3CDTF">2023-02-02T01:45:23Z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12F1699823A047368C9D750343F0A390</vt:lpwstr>
  </property>
</Properties>
</file>