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after="295" w:line="259" w:lineRule="auto"/>
        <w:ind w:left="209" w:right="-144" w:firstLine="0"/>
        <w:jc w:val="left"/>
        <w:rPr>
          <w:rFonts w:hint="eastAsia" w:ascii="仿宋" w:hAnsi="仿宋" w:eastAsia="仿宋" w:cs="仿宋"/>
          <w:sz w:val="32"/>
          <w:szCs w:val="32"/>
        </w:rPr>
      </w:pPr>
    </w:p>
    <w:p>
      <w:pPr>
        <w:spacing w:after="0" w:line="259" w:lineRule="auto"/>
        <w:ind w:left="334" w:right="173" w:hanging="10"/>
        <w:jc w:val="center"/>
        <w:rPr>
          <w:rFonts w:hint="eastAsia" w:ascii="黑体" w:hAnsi="黑体" w:eastAsia="黑体" w:cs="黑体"/>
          <w:sz w:val="44"/>
          <w:szCs w:val="44"/>
        </w:rPr>
      </w:pPr>
      <w:r>
        <w:rPr>
          <w:rFonts w:hint="eastAsia" w:ascii="黑体" w:hAnsi="黑体" w:eastAsia="黑体" w:cs="黑体"/>
          <w:sz w:val="44"/>
          <w:szCs w:val="44"/>
        </w:rPr>
        <w:t>2020年</w:t>
      </w:r>
      <w:r>
        <w:rPr>
          <w:rFonts w:hint="eastAsia" w:ascii="黑体" w:hAnsi="黑体" w:eastAsia="黑体" w:cs="黑体"/>
          <w:sz w:val="44"/>
          <w:szCs w:val="44"/>
          <w:lang w:eastAsia="zh-CN"/>
        </w:rPr>
        <w:t>馆陶县</w:t>
      </w:r>
      <w:r>
        <w:rPr>
          <w:rFonts w:hint="eastAsia" w:ascii="黑体" w:hAnsi="黑体" w:eastAsia="黑体" w:cs="黑体"/>
          <w:sz w:val="44"/>
          <w:szCs w:val="44"/>
        </w:rPr>
        <w:t>“双随机、一公开”</w:t>
      </w:r>
    </w:p>
    <w:p>
      <w:pPr>
        <w:spacing w:after="315" w:line="259" w:lineRule="auto"/>
        <w:ind w:left="334" w:hanging="10"/>
        <w:jc w:val="center"/>
        <w:rPr>
          <w:rFonts w:hint="eastAsia" w:ascii="黑体" w:hAnsi="黑体" w:eastAsia="黑体" w:cs="黑体"/>
          <w:sz w:val="44"/>
          <w:szCs w:val="44"/>
        </w:rPr>
      </w:pPr>
      <w:r>
        <w:rPr>
          <w:rFonts w:hint="eastAsia" w:ascii="黑体" w:hAnsi="黑体" w:eastAsia="黑体" w:cs="黑体"/>
          <w:sz w:val="44"/>
          <w:szCs w:val="44"/>
        </w:rPr>
        <w:t>监管工作实施方案</w:t>
      </w:r>
    </w:p>
    <w:p>
      <w:pPr>
        <w:pageBreakBefore w:val="0"/>
        <w:widowControl/>
        <w:kinsoku/>
        <w:wordWrap/>
        <w:overflowPunct/>
        <w:topLinePunct w:val="0"/>
        <w:autoSpaceDE/>
        <w:autoSpaceDN/>
        <w:bidi w:val="0"/>
        <w:adjustRightInd/>
        <w:snapToGrid/>
        <w:spacing w:after="0" w:line="500" w:lineRule="exact"/>
        <w:ind w:left="107" w:firstLine="645"/>
        <w:jc w:val="left"/>
        <w:textAlignment w:val="auto"/>
        <w:rPr>
          <w:rFonts w:hint="eastAsia" w:ascii="仿宋" w:hAnsi="仿宋" w:eastAsia="仿宋" w:cs="仿宋"/>
          <w:sz w:val="32"/>
          <w:szCs w:val="32"/>
        </w:rPr>
      </w:pPr>
      <w:r>
        <w:rPr>
          <w:rFonts w:hint="eastAsia" w:ascii="仿宋" w:hAnsi="仿宋" w:eastAsia="仿宋" w:cs="仿宋"/>
          <w:sz w:val="32"/>
          <w:szCs w:val="32"/>
        </w:rPr>
        <w:t>为贯彻落实国务院、市委市政府</w:t>
      </w:r>
      <w:r>
        <w:rPr>
          <w:rFonts w:hint="eastAsia" w:ascii="仿宋" w:hAnsi="仿宋" w:eastAsia="仿宋" w:cs="仿宋"/>
          <w:sz w:val="32"/>
          <w:szCs w:val="32"/>
          <w:lang w:eastAsia="zh-CN"/>
        </w:rPr>
        <w:t>和县委县政府</w:t>
      </w:r>
      <w:r>
        <w:rPr>
          <w:rFonts w:hint="eastAsia" w:ascii="仿宋" w:hAnsi="仿宋" w:eastAsia="仿宋" w:cs="仿宋"/>
          <w:sz w:val="32"/>
          <w:szCs w:val="32"/>
        </w:rPr>
        <w:t>关于在市场监管领域全面推行部门联合“双随机、一公开”监管的决策部</w:t>
      </w:r>
      <w:r>
        <w:rPr>
          <w:rFonts w:hint="eastAsia" w:ascii="仿宋" w:hAnsi="仿宋" w:eastAsia="仿宋" w:cs="仿宋"/>
          <w:sz w:val="32"/>
          <w:szCs w:val="32"/>
        </w:rPr>
        <w:drawing>
          <wp:inline distT="0" distB="0" distL="0" distR="0">
            <wp:extent cx="4445" cy="4445"/>
            <wp:effectExtent l="0" t="0" r="0" b="0"/>
            <wp:docPr id="3662" name="Picture 3662"/>
            <wp:cNvGraphicFramePr/>
            <a:graphic xmlns:a="http://schemas.openxmlformats.org/drawingml/2006/main">
              <a:graphicData uri="http://schemas.openxmlformats.org/drawingml/2006/picture">
                <pic:pic xmlns:pic="http://schemas.openxmlformats.org/drawingml/2006/picture">
                  <pic:nvPicPr>
                    <pic:cNvPr id="3662" name="Picture 3662"/>
                    <pic:cNvPicPr/>
                  </pic:nvPicPr>
                  <pic:blipFill>
                    <a:blip r:embed="rId4"/>
                    <a:stretch>
                      <a:fillRect/>
                    </a:stretch>
                  </pic:blipFill>
                  <pic:spPr>
                    <a:xfrm>
                      <a:off x="0" y="0"/>
                      <a:ext cx="4574" cy="4574"/>
                    </a:xfrm>
                    <a:prstGeom prst="rect">
                      <a:avLst/>
                    </a:prstGeom>
                  </pic:spPr>
                </pic:pic>
              </a:graphicData>
            </a:graphic>
          </wp:inline>
        </w:drawing>
      </w:r>
      <w:r>
        <w:rPr>
          <w:rFonts w:hint="eastAsia" w:ascii="仿宋" w:hAnsi="仿宋" w:eastAsia="仿宋" w:cs="仿宋"/>
          <w:sz w:val="32"/>
          <w:szCs w:val="32"/>
        </w:rPr>
        <w:t>署，深入推进全</w:t>
      </w:r>
      <w:r>
        <w:rPr>
          <w:rFonts w:hint="eastAsia" w:ascii="仿宋" w:hAnsi="仿宋" w:eastAsia="仿宋" w:cs="仿宋"/>
          <w:sz w:val="32"/>
          <w:szCs w:val="32"/>
          <w:lang w:eastAsia="zh-CN"/>
        </w:rPr>
        <w:t>县</w:t>
      </w:r>
      <w:r>
        <w:rPr>
          <w:rFonts w:hint="eastAsia" w:ascii="仿宋" w:hAnsi="仿宋" w:eastAsia="仿宋" w:cs="仿宋"/>
          <w:sz w:val="32"/>
          <w:szCs w:val="32"/>
        </w:rPr>
        <w:t>部门内部联合和市场监管领域主要监管部门联合“双随机、一公开”监管，根据《国务院关于在市场监管领域全面推行部门联合“双随机、一公开”监管的意见》（国发〔2019〕5号）、《2020年</w:t>
      </w:r>
      <w:r>
        <w:rPr>
          <w:rFonts w:hint="eastAsia" w:ascii="仿宋" w:hAnsi="仿宋" w:eastAsia="仿宋" w:cs="仿宋"/>
          <w:sz w:val="32"/>
          <w:szCs w:val="32"/>
          <w:lang w:eastAsia="zh-CN"/>
        </w:rPr>
        <w:t>邯郸市</w:t>
      </w:r>
      <w:r>
        <w:rPr>
          <w:rFonts w:hint="eastAsia" w:ascii="仿宋" w:hAnsi="仿宋" w:eastAsia="仿宋" w:cs="仿宋"/>
          <w:sz w:val="32"/>
          <w:szCs w:val="32"/>
        </w:rPr>
        <w:t>“双随机、一公开”监管工作实施方案》（</w:t>
      </w:r>
      <w:r>
        <w:rPr>
          <w:rFonts w:hint="eastAsia" w:ascii="仿宋" w:hAnsi="仿宋" w:eastAsia="仿宋" w:cs="仿宋"/>
          <w:sz w:val="32"/>
          <w:szCs w:val="32"/>
          <w:lang w:eastAsia="zh-CN"/>
        </w:rPr>
        <w:t>邯</w:t>
      </w:r>
      <w:r>
        <w:rPr>
          <w:rFonts w:hint="eastAsia" w:ascii="仿宋" w:hAnsi="仿宋" w:eastAsia="仿宋" w:cs="仿宋"/>
          <w:sz w:val="32"/>
          <w:szCs w:val="32"/>
        </w:rPr>
        <w:t>双随办〔2020〕</w:t>
      </w:r>
      <w:r>
        <w:rPr>
          <w:rFonts w:hint="eastAsia" w:ascii="仿宋" w:hAnsi="仿宋" w:eastAsia="仿宋" w:cs="仿宋"/>
          <w:sz w:val="32"/>
          <w:szCs w:val="32"/>
          <w:lang w:val="en-US" w:eastAsia="zh-CN"/>
        </w:rPr>
        <w:t>2</w:t>
      </w:r>
      <w:r>
        <w:rPr>
          <w:rFonts w:hint="eastAsia" w:ascii="仿宋" w:hAnsi="仿宋" w:eastAsia="仿宋" w:cs="仿宋"/>
          <w:sz w:val="32"/>
          <w:szCs w:val="32"/>
        </w:rPr>
        <w:t>号）和《邯郸市推进部门联合“双随机、一公开”监管工作实施意见（试行）》（邯双随〔2019〕5号）等文件精神，结合我</w:t>
      </w:r>
      <w:r>
        <w:rPr>
          <w:rFonts w:hint="eastAsia" w:ascii="仿宋" w:hAnsi="仿宋" w:eastAsia="仿宋" w:cs="仿宋"/>
          <w:sz w:val="32"/>
          <w:szCs w:val="32"/>
          <w:lang w:eastAsia="zh-CN"/>
        </w:rPr>
        <w:t>县</w:t>
      </w:r>
      <w:r>
        <w:rPr>
          <w:rFonts w:hint="eastAsia" w:ascii="仿宋" w:hAnsi="仿宋" w:eastAsia="仿宋" w:cs="仿宋"/>
          <w:sz w:val="32"/>
          <w:szCs w:val="32"/>
        </w:rPr>
        <w:t>实际，制定本方案。</w:t>
      </w:r>
    </w:p>
    <w:p>
      <w:pPr>
        <w:pStyle w:val="2"/>
        <w:pageBreakBefore w:val="0"/>
        <w:widowControl/>
        <w:kinsoku/>
        <w:wordWrap/>
        <w:overflowPunct/>
        <w:topLinePunct w:val="0"/>
        <w:autoSpaceDE/>
        <w:autoSpaceDN/>
        <w:bidi w:val="0"/>
        <w:adjustRightInd/>
        <w:snapToGrid/>
        <w:spacing w:after="54" w:line="500" w:lineRule="exact"/>
        <w:ind w:left="744"/>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工作目标</w:t>
      </w:r>
    </w:p>
    <w:p>
      <w:pPr>
        <w:pageBreakBefore w:val="0"/>
        <w:widowControl/>
        <w:numPr>
          <w:ilvl w:val="0"/>
          <w:numId w:val="0"/>
        </w:numPr>
        <w:kinsoku/>
        <w:wordWrap/>
        <w:overflowPunct/>
        <w:topLinePunct w:val="0"/>
        <w:autoSpaceDE/>
        <w:autoSpaceDN/>
        <w:bidi w:val="0"/>
        <w:adjustRightInd/>
        <w:snapToGrid/>
        <w:spacing w:after="0" w:line="500" w:lineRule="exact"/>
        <w:ind w:right="28"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完善部门内部联合随机抽查工作机制，完成部门内部抽查工作全流程整合，强化随机抽查工作的标准化、规范化，确保部门随机抽查事项清单和内部联合“双随机、一公开”监管全覆盖，随机抽查常态化。</w:t>
      </w:r>
    </w:p>
    <w:p>
      <w:pPr>
        <w:pageBreakBefore w:val="0"/>
        <w:widowControl/>
        <w:numPr>
          <w:ilvl w:val="0"/>
          <w:numId w:val="0"/>
        </w:numPr>
        <w:kinsoku/>
        <w:wordWrap/>
        <w:overflowPunct/>
        <w:topLinePunct w:val="0"/>
        <w:autoSpaceDE/>
        <w:autoSpaceDN/>
        <w:bidi w:val="0"/>
        <w:adjustRightInd/>
        <w:snapToGrid/>
        <w:spacing w:after="158" w:line="500" w:lineRule="exact"/>
        <w:ind w:right="28"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深入推进部门联合抽查，确保</w:t>
      </w:r>
      <w:r>
        <w:rPr>
          <w:rFonts w:hint="eastAsia" w:ascii="仿宋" w:hAnsi="仿宋" w:eastAsia="仿宋" w:cs="仿宋"/>
          <w:sz w:val="32"/>
          <w:szCs w:val="32"/>
          <w:lang w:eastAsia="zh-CN"/>
        </w:rPr>
        <w:t>全</w:t>
      </w:r>
      <w:r>
        <w:rPr>
          <w:rFonts w:hint="eastAsia" w:ascii="仿宋" w:hAnsi="仿宋" w:eastAsia="仿宋" w:cs="仿宋"/>
          <w:sz w:val="32"/>
          <w:szCs w:val="32"/>
        </w:rPr>
        <w:t>县市场监管领域主要监管部门开展部门联合抽查全覆盖、常态化，形成运转高效、规范有序的部门联合随机抽查机制。</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探索双随机抽查与大数据分析、信用风险分类管理等有机结合机制，提高双随机抽查的精准性和问题发现率，确保随机抽查的震慑力。</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确保部门年度随机抽查占比达到5％以上，抽查检查结果100％公示，抽查检查发现问题后续监管到位。</w:t>
      </w:r>
    </w:p>
    <w:p>
      <w:pPr>
        <w:pStyle w:val="2"/>
        <w:pageBreakBefore w:val="0"/>
        <w:widowControl/>
        <w:kinsoku/>
        <w:wordWrap/>
        <w:overflowPunct/>
        <w:topLinePunct w:val="0"/>
        <w:autoSpaceDE/>
        <w:autoSpaceDN/>
        <w:bidi w:val="0"/>
        <w:adjustRightInd/>
        <w:snapToGrid/>
        <w:spacing w:line="500" w:lineRule="exact"/>
        <w:ind w:left="744"/>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主要工作任务</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b/>
          <w:bCs/>
          <w:sz w:val="30"/>
          <w:szCs w:val="30"/>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健全完善制度机制。</w:t>
      </w:r>
      <w:r>
        <w:rPr>
          <w:rFonts w:hint="eastAsia" w:ascii="仿宋" w:hAnsi="仿宋" w:eastAsia="仿宋" w:cs="仿宋"/>
          <w:sz w:val="32"/>
          <w:szCs w:val="32"/>
        </w:rPr>
        <w:t>“双随机、一公</w:t>
      </w:r>
      <w:r>
        <w:rPr>
          <w:rFonts w:hint="eastAsia" w:ascii="仿宋" w:hAnsi="仿宋" w:eastAsia="仿宋" w:cs="仿宋"/>
          <w:sz w:val="32"/>
          <w:szCs w:val="32"/>
        </w:rPr>
        <w:drawing>
          <wp:inline distT="0" distB="0" distL="0" distR="0">
            <wp:extent cx="4445" cy="4445"/>
            <wp:effectExtent l="0" t="0" r="0" b="0"/>
            <wp:docPr id="6883" name="Picture 6883"/>
            <wp:cNvGraphicFramePr/>
            <a:graphic xmlns:a="http://schemas.openxmlformats.org/drawingml/2006/main">
              <a:graphicData uri="http://schemas.openxmlformats.org/drawingml/2006/picture">
                <pic:pic xmlns:pic="http://schemas.openxmlformats.org/drawingml/2006/picture">
                  <pic:nvPicPr>
                    <pic:cNvPr id="6883" name="Picture 6883"/>
                    <pic:cNvPicPr/>
                  </pic:nvPicPr>
                  <pic:blipFill>
                    <a:blip r:embed="rId5"/>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开"监管工作</w:t>
      </w:r>
      <w:r>
        <w:rPr>
          <w:rFonts w:hint="eastAsia" w:ascii="仿宋" w:hAnsi="仿宋" w:eastAsia="仿宋" w:cs="仿宋"/>
          <w:sz w:val="32"/>
          <w:szCs w:val="32"/>
          <w:lang w:eastAsia="zh-CN"/>
        </w:rPr>
        <w:t>领导小组</w:t>
      </w:r>
      <w:r>
        <w:rPr>
          <w:rFonts w:hint="eastAsia" w:ascii="仿宋" w:hAnsi="仿宋" w:eastAsia="仿宋" w:cs="仿宋"/>
          <w:sz w:val="32"/>
          <w:szCs w:val="32"/>
        </w:rPr>
        <w:t>成员部门要及时调整本部门“双随机”抽查工作组织领导机构，出台2020年工作方案，确保工作有序开展。不断完善“一单两库一细则”。各成员部门要结合监管重点，合理确定一般检查事项、重点检查事项以及各自的抽查比例，促进执法资源科学分配和合理使用；要按照国务院、省政府和省、市</w:t>
      </w:r>
      <w:r>
        <w:rPr>
          <w:rFonts w:hint="eastAsia" w:ascii="仿宋" w:hAnsi="仿宋" w:eastAsia="仿宋" w:cs="仿宋"/>
          <w:sz w:val="32"/>
          <w:szCs w:val="32"/>
          <w:lang w:eastAsia="zh-CN"/>
        </w:rPr>
        <w:t>、县</w:t>
      </w:r>
      <w:r>
        <w:rPr>
          <w:rFonts w:hint="eastAsia" w:ascii="仿宋" w:hAnsi="仿宋" w:eastAsia="仿宋" w:cs="仿宋"/>
          <w:sz w:val="32"/>
          <w:szCs w:val="32"/>
        </w:rPr>
        <w:t>双随办有关文件要求，动态调整本部门检查对象名录库和执法检查人员名录库。各成员部门要按照统一的格式，及时梳理本部门监管的非市场主体，按照统一格式，录入“河北省双随机监管工作平台”，建立本部门检查对象名录库，确保本部门检查对象应纳尽纳，并综合考虑检查对象行业、领域、种类等，对检查对象进行分类标注；各部门要将所有本部门行政执法类公务员、具有行政执法资格的工作人员（事业编）和从事日常监管工作的人员（聘用制）都应纳入执法检查人员名录库，确保本部</w:t>
      </w:r>
      <w:r>
        <w:rPr>
          <w:rFonts w:hint="eastAsia" w:ascii="仿宋" w:hAnsi="仿宋" w:eastAsia="仿宋" w:cs="仿宋"/>
          <w:sz w:val="32"/>
          <w:szCs w:val="32"/>
        </w:rPr>
        <w:drawing>
          <wp:inline distT="0" distB="0" distL="0" distR="0">
            <wp:extent cx="4445" cy="4445"/>
            <wp:effectExtent l="0" t="0" r="0" b="0"/>
            <wp:docPr id="10366" name="Picture 10366"/>
            <wp:cNvGraphicFramePr/>
            <a:graphic xmlns:a="http://schemas.openxmlformats.org/drawingml/2006/main">
              <a:graphicData uri="http://schemas.openxmlformats.org/drawingml/2006/picture">
                <pic:pic xmlns:pic="http://schemas.openxmlformats.org/drawingml/2006/picture">
                  <pic:nvPicPr>
                    <pic:cNvPr id="10366" name="Picture 10366"/>
                    <pic:cNvPicPr/>
                  </pic:nvPicPr>
                  <pic:blipFill>
                    <a:blip r:embed="rId4"/>
                    <a:stretch>
                      <a:fillRect/>
                    </a:stretch>
                  </pic:blipFill>
                  <pic:spPr>
                    <a:xfrm>
                      <a:off x="0" y="0"/>
                      <a:ext cx="4574" cy="4574"/>
                    </a:xfrm>
                    <a:prstGeom prst="rect">
                      <a:avLst/>
                    </a:prstGeom>
                  </pic:spPr>
                </pic:pic>
              </a:graphicData>
            </a:graphic>
          </wp:inline>
        </w:drawing>
      </w:r>
      <w:r>
        <w:rPr>
          <w:rFonts w:hint="eastAsia" w:ascii="仿宋" w:hAnsi="仿宋" w:eastAsia="仿宋" w:cs="仿宋"/>
          <w:sz w:val="32"/>
          <w:szCs w:val="32"/>
        </w:rPr>
        <w:t>门执法检查人员应纳尽纳，并综合考虑部门内部职能划分、执法人员种类、执法专长等，对执法人员进行分类标注，适时进</w:t>
      </w:r>
      <w:r>
        <w:rPr>
          <w:rFonts w:hint="eastAsia" w:ascii="仿宋" w:hAnsi="仿宋" w:eastAsia="仿宋" w:cs="仿宋"/>
          <w:sz w:val="32"/>
          <w:szCs w:val="32"/>
        </w:rPr>
        <w:drawing>
          <wp:inline distT="0" distB="0" distL="0" distR="0">
            <wp:extent cx="4445" cy="4445"/>
            <wp:effectExtent l="0" t="0" r="0" b="0"/>
            <wp:docPr id="10367" name="Picture 10367"/>
            <wp:cNvGraphicFramePr/>
            <a:graphic xmlns:a="http://schemas.openxmlformats.org/drawingml/2006/main">
              <a:graphicData uri="http://schemas.openxmlformats.org/drawingml/2006/picture">
                <pic:pic xmlns:pic="http://schemas.openxmlformats.org/drawingml/2006/picture">
                  <pic:nvPicPr>
                    <pic:cNvPr id="10367" name="Picture 10367"/>
                    <pic:cNvPicPr/>
                  </pic:nvPicPr>
                  <pic:blipFill>
                    <a:blip r:embed="rId6"/>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行动态调整，确保准确全面和更新及时，确保内部抽查和部门联合抽查对检查对象的精准抽取和对执法人员的精准匹配，提升监管效能。</w:t>
      </w:r>
      <w:r>
        <w:rPr>
          <w:rFonts w:hint="eastAsia" w:ascii="仿宋" w:hAnsi="仿宋" w:eastAsia="仿宋" w:cs="仿宋"/>
          <w:b/>
          <w:bCs/>
          <w:sz w:val="30"/>
          <w:szCs w:val="30"/>
        </w:rPr>
        <w:t>（责任单位：县“双随机、一公开”监管工作领导小组成员部门。完成时限：</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月底）</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b/>
          <w:bCs/>
          <w:sz w:val="30"/>
          <w:szCs w:val="30"/>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按照计划开展随机抽查。</w:t>
      </w:r>
      <w:r>
        <w:rPr>
          <w:rFonts w:hint="eastAsia" w:ascii="仿宋" w:hAnsi="仿宋" w:eastAsia="仿宋" w:cs="仿宋"/>
          <w:sz w:val="32"/>
          <w:szCs w:val="32"/>
        </w:rPr>
        <w:t>各部门要严格按照随机抽查工作计划，组织开展随机抽查检查。健全部门内部联合随机抽查机制，按照部门随</w:t>
      </w:r>
      <w:r>
        <w:rPr>
          <w:rFonts w:hint="eastAsia" w:ascii="仿宋" w:hAnsi="仿宋" w:eastAsia="仿宋" w:cs="仿宋"/>
          <w:sz w:val="32"/>
          <w:szCs w:val="32"/>
        </w:rPr>
        <w:drawing>
          <wp:inline distT="0" distB="0" distL="0" distR="0">
            <wp:extent cx="4445" cy="4445"/>
            <wp:effectExtent l="0" t="0" r="0" b="0"/>
            <wp:docPr id="10368" name="Picture 10368"/>
            <wp:cNvGraphicFramePr/>
            <a:graphic xmlns:a="http://schemas.openxmlformats.org/drawingml/2006/main">
              <a:graphicData uri="http://schemas.openxmlformats.org/drawingml/2006/picture">
                <pic:pic xmlns:pic="http://schemas.openxmlformats.org/drawingml/2006/picture">
                  <pic:nvPicPr>
                    <pic:cNvPr id="10368" name="Picture 10368"/>
                    <pic:cNvPicPr/>
                  </pic:nvPicPr>
                  <pic:blipFill>
                    <a:blip r:embed="rId7"/>
                    <a:stretch>
                      <a:fillRect/>
                    </a:stretch>
                  </pic:blipFill>
                  <pic:spPr>
                    <a:xfrm>
                      <a:off x="0" y="0"/>
                      <a:ext cx="4574" cy="4573"/>
                    </a:xfrm>
                    <a:prstGeom prst="rect">
                      <a:avLst/>
                    </a:prstGeom>
                  </pic:spPr>
                </pic:pic>
              </a:graphicData>
            </a:graphic>
          </wp:inline>
        </w:drawing>
      </w:r>
      <w:r>
        <w:rPr>
          <w:rFonts w:hint="eastAsia" w:ascii="仿宋" w:hAnsi="仿宋" w:eastAsia="仿宋" w:cs="仿宋"/>
          <w:sz w:val="32"/>
          <w:szCs w:val="32"/>
        </w:rPr>
        <w:t>机抽查事项清单，严</w:t>
      </w:r>
      <w:r>
        <w:rPr>
          <w:rFonts w:hint="eastAsia" w:ascii="仿宋" w:hAnsi="仿宋" w:eastAsia="仿宋" w:cs="仿宋"/>
          <w:sz w:val="32"/>
          <w:szCs w:val="32"/>
          <w:lang w:eastAsia="zh-CN"/>
        </w:rPr>
        <w:t>格</w:t>
      </w:r>
      <w:r>
        <w:rPr>
          <w:rFonts w:hint="eastAsia" w:ascii="仿宋" w:hAnsi="仿宋" w:eastAsia="仿宋" w:cs="仿宋"/>
          <w:sz w:val="32"/>
          <w:szCs w:val="32"/>
        </w:rPr>
        <w:t>制定年度随机抽查工作计划，在抽查事项“全覆盖”的基础上，确保内部抽查“应联尽联</w:t>
      </w:r>
      <w:r>
        <w:rPr>
          <w:rFonts w:hint="eastAsia" w:ascii="仿宋" w:hAnsi="仿宋" w:eastAsia="仿宋" w:cs="仿宋"/>
          <w:sz w:val="32"/>
          <w:szCs w:val="32"/>
          <w:lang w:eastAsia="zh-CN"/>
        </w:rPr>
        <w:t>”</w:t>
      </w:r>
      <w:r>
        <w:rPr>
          <w:rFonts w:hint="eastAsia" w:ascii="仿宋" w:hAnsi="仿宋" w:eastAsia="仿宋" w:cs="仿宋"/>
          <w:sz w:val="32"/>
          <w:szCs w:val="32"/>
        </w:rPr>
        <w:t>。抽查计划需要调整的，要严格履行相关工作程序，并将调整后的年度抽查计划公示后，方可开展随机抽查。各部门要按照年度随机抽查工作计划，通过公开、公正的方式从检查对象名录库中随机抽取检查对象，并充分考虑工作实际，随机匹配执法检查人员，科学合理地实施随机抽查检查。对涉及专业性强的可以委托有资质的机构开展检验检测、财务审计、调查咨询等检查事项的检查，或依法采用相关机构作出的鉴定结论。各部门</w:t>
      </w:r>
      <w:r>
        <w:rPr>
          <w:rFonts w:hint="eastAsia" w:ascii="仿宋" w:hAnsi="仿宋" w:eastAsia="仿宋" w:cs="仿宋"/>
          <w:sz w:val="32"/>
          <w:szCs w:val="32"/>
          <w:lang w:eastAsia="zh-CN"/>
        </w:rPr>
        <w:t>要</w:t>
      </w:r>
      <w:r>
        <w:rPr>
          <w:rFonts w:hint="eastAsia" w:ascii="仿宋" w:hAnsi="仿宋" w:eastAsia="仿宋" w:cs="仿宋"/>
          <w:sz w:val="32"/>
          <w:szCs w:val="32"/>
        </w:rPr>
        <w:t>依据监管职责和监管重</w:t>
      </w:r>
      <w:r>
        <w:rPr>
          <w:rFonts w:hint="eastAsia" w:ascii="仿宋" w:hAnsi="仿宋" w:eastAsia="仿宋" w:cs="仿宋"/>
          <w:sz w:val="32"/>
          <w:szCs w:val="32"/>
          <w:lang w:eastAsia="zh-CN"/>
        </w:rPr>
        <w:t>点、</w:t>
      </w:r>
      <w:r>
        <w:rPr>
          <w:rFonts w:hint="eastAsia" w:ascii="仿宋" w:hAnsi="仿宋" w:eastAsia="仿宋" w:cs="仿宋"/>
          <w:sz w:val="32"/>
          <w:szCs w:val="32"/>
        </w:rPr>
        <w:t>风险点、行业领域等，按照统一计划组织、行业主管部门牵头、相关部门参与、市场监管领域主要监管部门“全覆盖”的原则，认真组织2020年度部门联合抽查，确保市场监管领域主要监管部门联合“双随机、一公开"监管全覆盖、常态化。</w:t>
      </w:r>
      <w:r>
        <w:rPr>
          <w:rFonts w:hint="eastAsia" w:ascii="仿宋" w:hAnsi="仿宋" w:eastAsia="仿宋" w:cs="仿宋"/>
          <w:b/>
          <w:bCs/>
          <w:sz w:val="30"/>
          <w:szCs w:val="30"/>
        </w:rPr>
        <w:t>（责任单位：县“双随机、一公开”监管工作领导小组办公室、各成员部门。完成时限：12月1日前）</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b/>
          <w:bCs/>
          <w:sz w:val="30"/>
          <w:szCs w:val="30"/>
        </w:rPr>
      </w:pPr>
      <w:r>
        <w:rPr>
          <w:rFonts w:hint="eastAsia" w:ascii="仿宋" w:hAnsi="仿宋" w:eastAsia="仿宋" w:cs="仿宋"/>
          <w:b/>
          <w:bCs/>
          <w:sz w:val="32"/>
          <w:szCs w:val="32"/>
          <w:lang w:eastAsia="zh-CN"/>
        </w:rPr>
        <w:t>（三</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规范随机抽查检查流程。</w:t>
      </w:r>
      <w:r>
        <w:rPr>
          <w:rFonts w:hint="eastAsia" w:ascii="仿宋" w:hAnsi="仿宋" w:eastAsia="仿宋" w:cs="仿宋"/>
          <w:sz w:val="32"/>
          <w:szCs w:val="32"/>
        </w:rPr>
        <w:t>要对照本部门《随机抽查市场监管执法事项清单》和《随机抽查其他行政执法事项清单》，梳理每个检查事项的具体检查要求，依据上级对口部门随机抽查工作指引，结合监管实际，制定本部门《随机抽查事项工作指引》，就抽取方法、检查流程、审批权</w:t>
      </w:r>
      <w:r>
        <w:rPr>
          <w:rFonts w:hint="eastAsia" w:ascii="仿宋" w:hAnsi="仿宋" w:eastAsia="仿宋" w:cs="仿宋"/>
          <w:sz w:val="32"/>
          <w:szCs w:val="32"/>
          <w:lang w:eastAsia="zh-CN"/>
        </w:rPr>
        <w:t>限</w:t>
      </w:r>
      <w:r>
        <w:rPr>
          <w:rFonts w:hint="eastAsia" w:ascii="仿宋" w:hAnsi="仿宋" w:eastAsia="仿宋" w:cs="仿宋"/>
          <w:sz w:val="32"/>
          <w:szCs w:val="32"/>
        </w:rPr>
        <w:t>、公示程序、归档方式等进行统一规范。各部门要按照本部门2020年度随机抽查工作计划，认真组织实施随机抽查检查，每次抽查都要制定具体工作方案，抽查工作方案和抽查结果要向社会公开。要严格按照《邯郸市人民政府办公厅关于印发开展跨部门“双随机、一公开"联合监管试点工作的实施方案和开展“双随机、一公开"监管规范化、标准化试点工作方案》（邯政办〔2018〕125号）要求，结合《随机抽查事项</w:t>
      </w:r>
      <w:r>
        <w:rPr>
          <w:rFonts w:hint="eastAsia" w:ascii="仿宋" w:hAnsi="仿宋" w:eastAsia="仿宋" w:cs="仿宋"/>
          <w:sz w:val="32"/>
          <w:szCs w:val="32"/>
        </w:rPr>
        <w:drawing>
          <wp:inline distT="0" distB="0" distL="0" distR="0">
            <wp:extent cx="4445" cy="4445"/>
            <wp:effectExtent l="0" t="0" r="0" b="0"/>
            <wp:docPr id="17502" name="Picture 17502"/>
            <wp:cNvGraphicFramePr/>
            <a:graphic xmlns:a="http://schemas.openxmlformats.org/drawingml/2006/main">
              <a:graphicData uri="http://schemas.openxmlformats.org/drawingml/2006/picture">
                <pic:pic xmlns:pic="http://schemas.openxmlformats.org/drawingml/2006/picture">
                  <pic:nvPicPr>
                    <pic:cNvPr id="17502" name="Picture 17502"/>
                    <pic:cNvPicPr/>
                  </pic:nvPicPr>
                  <pic:blipFill>
                    <a:blip r:embed="rId8"/>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工作指引》，规范内部联合和部门联合随机抽查检查全流程，确保抽查方案制定、抽取检查对象、匹配执法检查人员、组织实</w:t>
      </w:r>
      <w:r>
        <w:rPr>
          <w:rFonts w:hint="eastAsia" w:ascii="仿宋" w:hAnsi="仿宋" w:eastAsia="仿宋" w:cs="仿宋"/>
          <w:sz w:val="32"/>
          <w:szCs w:val="32"/>
        </w:rPr>
        <w:drawing>
          <wp:inline distT="0" distB="0" distL="0" distR="0">
            <wp:extent cx="4445" cy="4445"/>
            <wp:effectExtent l="0" t="0" r="0" b="0"/>
            <wp:docPr id="17503" name="Picture 17503"/>
            <wp:cNvGraphicFramePr/>
            <a:graphic xmlns:a="http://schemas.openxmlformats.org/drawingml/2006/main">
              <a:graphicData uri="http://schemas.openxmlformats.org/drawingml/2006/picture">
                <pic:pic xmlns:pic="http://schemas.openxmlformats.org/drawingml/2006/picture">
                  <pic:nvPicPr>
                    <pic:cNvPr id="17503" name="Picture 17503"/>
                    <pic:cNvPicPr/>
                  </pic:nvPicPr>
                  <pic:blipFill>
                    <a:blip r:embed="rId9"/>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地抽查检查、抽查结果公示途径和抽查工作档案建立等环节规范化、标准化。</w:t>
      </w:r>
      <w:r>
        <w:rPr>
          <w:rFonts w:hint="eastAsia" w:ascii="仿宋" w:hAnsi="仿宋" w:eastAsia="仿宋" w:cs="仿宋"/>
          <w:b/>
          <w:bCs/>
          <w:sz w:val="30"/>
          <w:szCs w:val="30"/>
        </w:rPr>
        <w:t>（责任单位：县“双随机、一公开”监管工</w:t>
      </w:r>
      <w:r>
        <w:rPr>
          <w:rFonts w:hint="eastAsia" w:ascii="仿宋" w:hAnsi="仿宋" w:eastAsia="仿宋" w:cs="仿宋"/>
          <w:b/>
          <w:bCs/>
          <w:sz w:val="30"/>
          <w:szCs w:val="30"/>
        </w:rPr>
        <w:drawing>
          <wp:inline distT="0" distB="0" distL="0" distR="0">
            <wp:extent cx="4445" cy="4445"/>
            <wp:effectExtent l="0" t="0" r="0" b="0"/>
            <wp:docPr id="17504" name="Picture 17504"/>
            <wp:cNvGraphicFramePr/>
            <a:graphic xmlns:a="http://schemas.openxmlformats.org/drawingml/2006/main">
              <a:graphicData uri="http://schemas.openxmlformats.org/drawingml/2006/picture">
                <pic:pic xmlns:pic="http://schemas.openxmlformats.org/drawingml/2006/picture">
                  <pic:nvPicPr>
                    <pic:cNvPr id="17504" name="Picture 17504"/>
                    <pic:cNvPicPr/>
                  </pic:nvPicPr>
                  <pic:blipFill>
                    <a:blip r:embed="rId9"/>
                    <a:stretch>
                      <a:fillRect/>
                    </a:stretch>
                  </pic:blipFill>
                  <pic:spPr>
                    <a:xfrm>
                      <a:off x="0" y="0"/>
                      <a:ext cx="4573" cy="4574"/>
                    </a:xfrm>
                    <a:prstGeom prst="rect">
                      <a:avLst/>
                    </a:prstGeom>
                  </pic:spPr>
                </pic:pic>
              </a:graphicData>
            </a:graphic>
          </wp:inline>
        </w:drawing>
      </w:r>
      <w:r>
        <w:rPr>
          <w:rFonts w:hint="eastAsia" w:ascii="仿宋" w:hAnsi="仿宋" w:eastAsia="仿宋" w:cs="仿宋"/>
          <w:b/>
          <w:bCs/>
          <w:sz w:val="30"/>
          <w:szCs w:val="30"/>
        </w:rPr>
        <w:t>作领导小组办公室、各成员部门。完成时限：长期）</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提升“双随机、一公开”监管效能。</w:t>
      </w:r>
      <w:r>
        <w:rPr>
          <w:rFonts w:hint="eastAsia" w:ascii="仿宋" w:hAnsi="仿宋" w:eastAsia="仿宋" w:cs="仿宋"/>
          <w:sz w:val="32"/>
          <w:szCs w:val="32"/>
        </w:rPr>
        <w:t>要提高随机抽查的精准性、靶向性。积极探索提高随机抽查问题发现率的有效途径和工作机制，实现精准监管，切实发挥“以</w:t>
      </w:r>
      <w:r>
        <w:rPr>
          <w:rFonts w:hint="eastAsia" w:ascii="仿宋" w:hAnsi="仿宋" w:eastAsia="仿宋" w:cs="仿宋"/>
          <w:sz w:val="32"/>
          <w:szCs w:val="32"/>
        </w:rPr>
        <w:drawing>
          <wp:inline distT="0" distB="0" distL="0" distR="0">
            <wp:extent cx="4445" cy="4445"/>
            <wp:effectExtent l="0" t="0" r="0" b="0"/>
            <wp:docPr id="17505" name="Picture 17505"/>
            <wp:cNvGraphicFramePr/>
            <a:graphic xmlns:a="http://schemas.openxmlformats.org/drawingml/2006/main">
              <a:graphicData uri="http://schemas.openxmlformats.org/drawingml/2006/picture">
                <pic:pic xmlns:pic="http://schemas.openxmlformats.org/drawingml/2006/picture">
                  <pic:nvPicPr>
                    <pic:cNvPr id="17505" name="Picture 17505"/>
                    <pic:cNvPicPr/>
                  </pic:nvPicPr>
                  <pic:blipFill>
                    <a:blip r:embed="rId10"/>
                    <a:stretch>
                      <a:fillRect/>
                    </a:stretch>
                  </pic:blipFill>
                  <pic:spPr>
                    <a:xfrm>
                      <a:off x="0" y="0"/>
                      <a:ext cx="4574" cy="4573"/>
                    </a:xfrm>
                    <a:prstGeom prst="rect">
                      <a:avLst/>
                    </a:prstGeom>
                  </pic:spPr>
                </pic:pic>
              </a:graphicData>
            </a:graphic>
          </wp:inline>
        </w:drawing>
      </w:r>
      <w:r>
        <w:rPr>
          <w:rFonts w:hint="eastAsia" w:ascii="仿宋" w:hAnsi="仿宋" w:eastAsia="仿宋" w:cs="仿宋"/>
          <w:sz w:val="32"/>
          <w:szCs w:val="32"/>
        </w:rPr>
        <w:t>小概率抽查，产生大范围威慑"的作用。</w:t>
      </w:r>
      <w:r>
        <w:rPr>
          <w:rFonts w:hint="eastAsia" w:ascii="仿宋" w:hAnsi="仿宋" w:eastAsia="仿宋" w:cs="仿宋"/>
          <w:sz w:val="32"/>
          <w:szCs w:val="32"/>
          <w:lang w:eastAsia="zh-CN"/>
        </w:rPr>
        <w:t>全</w:t>
      </w:r>
      <w:r>
        <w:rPr>
          <w:rFonts w:hint="eastAsia" w:ascii="仿宋" w:hAnsi="仿宋" w:eastAsia="仿宋" w:cs="仿宋"/>
          <w:sz w:val="32"/>
          <w:szCs w:val="32"/>
        </w:rPr>
        <w:t>县市场监管部门要借助国家市场监管总局企业信用风险分类管理工作试</w:t>
      </w:r>
      <w:r>
        <w:rPr>
          <w:rFonts w:hint="eastAsia" w:ascii="仿宋" w:hAnsi="仿宋" w:eastAsia="仿宋" w:cs="仿宋"/>
          <w:sz w:val="32"/>
          <w:szCs w:val="32"/>
          <w:lang w:eastAsia="zh-CN"/>
        </w:rPr>
        <w:t>点，</w:t>
      </w:r>
      <w:r>
        <w:rPr>
          <w:rFonts w:hint="eastAsia" w:ascii="仿宋" w:hAnsi="仿宋" w:eastAsia="仿宋" w:cs="仿宋"/>
          <w:sz w:val="32"/>
          <w:szCs w:val="32"/>
        </w:rPr>
        <w:t>将信用风险分类管理与“双随机、一公开"监管有机结合</w:t>
      </w:r>
      <w:r>
        <w:rPr>
          <w:rFonts w:hint="eastAsia" w:ascii="仿宋" w:hAnsi="仿宋" w:eastAsia="仿宋" w:cs="仿宋"/>
          <w:b/>
          <w:bCs/>
          <w:sz w:val="30"/>
          <w:szCs w:val="30"/>
        </w:rPr>
        <w:t>（责任单位：县市场监管部门。完成时限：长期）</w:t>
      </w:r>
      <w:r>
        <w:rPr>
          <w:rFonts w:hint="eastAsia" w:ascii="仿宋" w:hAnsi="仿宋" w:eastAsia="仿宋" w:cs="仿宋"/>
          <w:sz w:val="32"/>
          <w:szCs w:val="32"/>
        </w:rPr>
        <w:t>。要加大对重点检查事项和重要监管领域的抽查力度，通过加大比例和频次，实现全覆盖和无遗漏监管，守住安全监管底线。探索建立“双随机、一公开”监管效果评估机制，完工作的各项前期准备工作，确保省局在全省全面开展试点工作时，能够及时跟进。</w:t>
      </w:r>
      <w:r>
        <w:rPr>
          <w:rFonts w:hint="eastAsia" w:ascii="仿宋" w:hAnsi="仿宋" w:eastAsia="仿宋" w:cs="仿宋"/>
          <w:b/>
          <w:bCs/>
          <w:sz w:val="30"/>
          <w:szCs w:val="30"/>
        </w:rPr>
        <w:t>（责任单位：县市场监管部门。完成时限：长期）</w:t>
      </w:r>
      <w:r>
        <w:rPr>
          <w:rFonts w:hint="eastAsia" w:ascii="仿宋" w:hAnsi="仿宋" w:eastAsia="仿宋" w:cs="仿宋"/>
          <w:sz w:val="30"/>
          <w:szCs w:val="30"/>
        </w:rPr>
        <w:t>。</w:t>
      </w:r>
      <w:r>
        <w:rPr>
          <w:rFonts w:hint="eastAsia" w:ascii="仿宋" w:hAnsi="仿宋" w:eastAsia="仿宋" w:cs="仿宋"/>
          <w:sz w:val="32"/>
          <w:szCs w:val="32"/>
        </w:rPr>
        <w:t>要加大对重点检查事项和重要监管领域的抽查力度，通过加大比例和频次，实现全覆盖和无遗漏监管，守住安全监管底线。探索建立“双随机、一公开”监管效果评估机制，完善双随机抽查后续处置机制，提升随机抽查的监管效能和震慑力。</w:t>
      </w:r>
      <w:r>
        <w:rPr>
          <w:rFonts w:hint="eastAsia" w:ascii="仿宋" w:hAnsi="仿宋" w:eastAsia="仿宋" w:cs="仿宋"/>
          <w:b/>
          <w:bCs/>
          <w:sz w:val="30"/>
          <w:szCs w:val="30"/>
        </w:rPr>
        <w:t>（责任单位：县“双随机、一公开” 监管工作领导小组办公室、各成员部门。完成时限：长期）</w:t>
      </w:r>
      <w:r>
        <w:rPr>
          <w:rFonts w:hint="eastAsia" w:ascii="仿宋" w:hAnsi="仿宋" w:eastAsia="仿宋" w:cs="仿宋"/>
          <w:sz w:val="32"/>
          <w:szCs w:val="32"/>
        </w:rPr>
        <w:t>各部门要强化抽查检查结果公示运用。要按照“一个平台搞抽查”的要求，统一运用“河北省双随机监管工作平台”开展内部联合和部门联合随机抽查（除国务院有关部委安排的在本系统开展业务条线的抽查外），确保抽查检查结果自动归集到市</w:t>
      </w:r>
      <w:r>
        <w:rPr>
          <w:rFonts w:hint="eastAsia" w:ascii="仿宋" w:hAnsi="仿宋" w:eastAsia="仿宋" w:cs="仿宋"/>
          <w:sz w:val="32"/>
          <w:szCs w:val="32"/>
        </w:rPr>
        <w:drawing>
          <wp:inline distT="0" distB="0" distL="0" distR="0">
            <wp:extent cx="4445" cy="4445"/>
            <wp:effectExtent l="0" t="0" r="0" b="0"/>
            <wp:docPr id="21109" name="Picture 21109"/>
            <wp:cNvGraphicFramePr/>
            <a:graphic xmlns:a="http://schemas.openxmlformats.org/drawingml/2006/main">
              <a:graphicData uri="http://schemas.openxmlformats.org/drawingml/2006/picture">
                <pic:pic xmlns:pic="http://schemas.openxmlformats.org/drawingml/2006/picture">
                  <pic:nvPicPr>
                    <pic:cNvPr id="21109" name="Picture 21109"/>
                    <pic:cNvPicPr/>
                  </pic:nvPicPr>
                  <pic:blipFill>
                    <a:blip r:embed="rId11"/>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场主体名下并通过国家企业信用信息公示系统（河北）向社会公示。不能运用该平台开展抽查的部门，要将抽查检查结果借助国家企业信用信息公示系统（河北）或者全国信用信息共享平台（河北）进行公示，记于市场主体名下，确保部门间抽查检查结果互认，为实施联合惩戒提供依据。对抽查发现的违法违规行为，要加强随机抽查与后续监管的有效衔接，依法定程序及时移交有处置权限的机构和相关部门，涉嫌犯罪的及时移送司法机关。着力推进“双随机、一公开”监管与信用监管的有效衔接，对抽查发现的违法失信行为实施联合惩戒，强化信用监管的基础性地位和全市市场主体诚信守法经营自律意识。</w:t>
      </w:r>
    </w:p>
    <w:p>
      <w:pPr>
        <w:pageBreakBefore w:val="0"/>
        <w:widowControl/>
        <w:kinsoku/>
        <w:wordWrap/>
        <w:overflowPunct/>
        <w:topLinePunct w:val="0"/>
        <w:autoSpaceDE/>
        <w:autoSpaceDN/>
        <w:bidi w:val="0"/>
        <w:adjustRightInd/>
        <w:snapToGrid/>
        <w:spacing w:line="500" w:lineRule="exact"/>
        <w:ind w:left="115" w:right="28" w:firstLine="173"/>
        <w:textAlignment w:val="auto"/>
        <w:rPr>
          <w:rFonts w:hint="eastAsia" w:ascii="仿宋" w:hAnsi="仿宋" w:eastAsia="仿宋" w:cs="仿宋"/>
          <w:b/>
          <w:bCs/>
          <w:sz w:val="30"/>
          <w:szCs w:val="30"/>
        </w:rPr>
      </w:pPr>
      <w:r>
        <w:rPr>
          <w:rFonts w:hint="eastAsia" w:ascii="仿宋" w:hAnsi="仿宋" w:eastAsia="仿宋" w:cs="仿宋"/>
          <w:b/>
          <w:bCs/>
          <w:sz w:val="30"/>
          <w:szCs w:val="30"/>
        </w:rPr>
        <w:t>（责任单位：县“双随机、一公开"监管工作领导小组办公室、各成员部门。完成时限：长期）</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b/>
          <w:bCs/>
          <w:sz w:val="30"/>
          <w:szCs w:val="30"/>
        </w:rPr>
      </w:pP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加大宣传培训力度。</w:t>
      </w:r>
      <w:r>
        <w:rPr>
          <w:rFonts w:hint="eastAsia" w:ascii="仿宋" w:hAnsi="仿宋" w:eastAsia="仿宋" w:cs="仿宋"/>
          <w:color w:val="auto"/>
          <w:sz w:val="32"/>
          <w:szCs w:val="32"/>
        </w:rPr>
        <w:t>各部门要进一步加大对随机抽查工作的宣传报道力度，通</w:t>
      </w:r>
      <w:r>
        <w:rPr>
          <w:rFonts w:hint="eastAsia" w:ascii="仿宋" w:hAnsi="仿宋" w:eastAsia="仿宋" w:cs="仿宋"/>
          <w:sz w:val="32"/>
          <w:szCs w:val="32"/>
        </w:rPr>
        <w:t>过宣讲政策、新闻媒体报道、官方网站开辟专栏等途径，扩大企业、社会对双随机抽查监管方式的认知度，增强企业、社会对双随机抽查监管工作的理解和参与，营造浓厚的社会监督氛围。各部门要持续开展随机抽查工作培训，加强对“河北省双随机监管工作平台”操作和“双随机”抽查业务培训，提高检查人员平台操作能力和针对检查事项的执法能力与素</w:t>
      </w:r>
      <w:r>
        <w:rPr>
          <w:rFonts w:hint="eastAsia" w:ascii="仿宋" w:hAnsi="仿宋" w:eastAsia="仿宋" w:cs="仿宋"/>
          <w:sz w:val="32"/>
          <w:szCs w:val="32"/>
        </w:rPr>
        <w:drawing>
          <wp:inline distT="0" distB="0" distL="0" distR="0">
            <wp:extent cx="4445" cy="4445"/>
            <wp:effectExtent l="0" t="0" r="0" b="0"/>
            <wp:docPr id="24447" name="Picture 24447"/>
            <wp:cNvGraphicFramePr/>
            <a:graphic xmlns:a="http://schemas.openxmlformats.org/drawingml/2006/main">
              <a:graphicData uri="http://schemas.openxmlformats.org/drawingml/2006/picture">
                <pic:pic xmlns:pic="http://schemas.openxmlformats.org/drawingml/2006/picture">
                  <pic:nvPicPr>
                    <pic:cNvPr id="24447" name="Picture 24447"/>
                    <pic:cNvPicPr/>
                  </pic:nvPicPr>
                  <pic:blipFill>
                    <a:blip r:embed="rId12"/>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质。在部门年度培训计划中还要重点强化随机抽查工作标准化、规范化培训，不断提高执法能力和监管水平，以适应双随机抽查工作需要，确保抽查工作规范、抽查结果认定统一</w:t>
      </w:r>
      <w:r>
        <w:rPr>
          <w:rFonts w:hint="eastAsia" w:ascii="仿宋" w:hAnsi="仿宋" w:eastAsia="仿宋" w:cs="仿宋"/>
          <w:sz w:val="32"/>
          <w:szCs w:val="32"/>
        </w:rPr>
        <w:drawing>
          <wp:inline distT="0" distB="0" distL="0" distR="0">
            <wp:extent cx="50165" cy="50165"/>
            <wp:effectExtent l="0" t="0" r="0" b="0"/>
            <wp:docPr id="24448" name="Picture 24448"/>
            <wp:cNvGraphicFramePr/>
            <a:graphic xmlns:a="http://schemas.openxmlformats.org/drawingml/2006/main">
              <a:graphicData uri="http://schemas.openxmlformats.org/drawingml/2006/picture">
                <pic:pic xmlns:pic="http://schemas.openxmlformats.org/drawingml/2006/picture">
                  <pic:nvPicPr>
                    <pic:cNvPr id="24448" name="Picture 24448"/>
                    <pic:cNvPicPr/>
                  </pic:nvPicPr>
                  <pic:blipFill>
                    <a:blip r:embed="rId13"/>
                    <a:stretch>
                      <a:fillRect/>
                    </a:stretch>
                  </pic:blipFill>
                  <pic:spPr>
                    <a:xfrm>
                      <a:off x="0" y="0"/>
                      <a:ext cx="50309" cy="50312"/>
                    </a:xfrm>
                    <a:prstGeom prst="rect">
                      <a:avLst/>
                    </a:prstGeom>
                  </pic:spPr>
                </pic:pic>
              </a:graphicData>
            </a:graphic>
          </wp:inline>
        </w:drawing>
      </w:r>
      <w:r>
        <w:rPr>
          <w:rFonts w:hint="eastAsia" w:ascii="仿宋" w:hAnsi="仿宋" w:eastAsia="仿宋" w:cs="仿宋"/>
          <w:b/>
          <w:bCs/>
          <w:sz w:val="30"/>
          <w:szCs w:val="30"/>
        </w:rPr>
        <w:t>（责任单位：县“双随机、一公开”监管工作领导小组办公室、各成员部门。完成时限：长期）</w:t>
      </w:r>
    </w:p>
    <w:p>
      <w:pPr>
        <w:pStyle w:val="2"/>
        <w:pageBreakBefore w:val="0"/>
        <w:widowControl/>
        <w:kinsoku/>
        <w:wordWrap/>
        <w:overflowPunct/>
        <w:topLinePunct w:val="0"/>
        <w:autoSpaceDE/>
        <w:autoSpaceDN/>
        <w:bidi w:val="0"/>
        <w:adjustRightInd/>
        <w:snapToGrid/>
        <w:spacing w:line="500" w:lineRule="exact"/>
        <w:ind w:left="744"/>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工作要求</w:t>
      </w:r>
    </w:p>
    <w:p>
      <w:pPr>
        <w:pageBreakBefore w:val="0"/>
        <w:widowControl/>
        <w:numPr>
          <w:ilvl w:val="0"/>
          <w:numId w:val="0"/>
        </w:numPr>
        <w:kinsoku/>
        <w:wordWrap/>
        <w:overflowPunct/>
        <w:topLinePunct w:val="0"/>
        <w:autoSpaceDE/>
        <w:autoSpaceDN/>
        <w:bidi w:val="0"/>
        <w:adjustRightInd/>
        <w:snapToGrid/>
        <w:spacing w:line="500" w:lineRule="exact"/>
        <w:ind w:right="28" w:righ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加强组织领导。</w:t>
      </w:r>
      <w:r>
        <w:rPr>
          <w:rFonts w:hint="eastAsia" w:ascii="仿宋" w:hAnsi="仿宋" w:eastAsia="仿宋" w:cs="仿宋"/>
          <w:sz w:val="32"/>
          <w:szCs w:val="32"/>
        </w:rPr>
        <w:t>“双随机、一公开"监管工作是党中央、国务院作出的重大决策部署，国务院、省政府每年将这项工作列入《政府工作报告》予以安排部署，并开展专项督查问效，各部门务必高度重视，深刻认识做好这项工作的重要性和紧迫性，“一把手”要亲自谋划，亲自部署，加强对本地本部门“双随机、一公开”监管工作的组织领导、统筹协调，建</w:t>
      </w:r>
      <w:r>
        <w:rPr>
          <w:rFonts w:hint="eastAsia" w:ascii="仿宋" w:hAnsi="仿宋" w:eastAsia="仿宋" w:cs="仿宋"/>
          <w:sz w:val="32"/>
          <w:szCs w:val="32"/>
        </w:rPr>
        <w:drawing>
          <wp:inline distT="0" distB="0" distL="0" distR="0">
            <wp:extent cx="4445" cy="4445"/>
            <wp:effectExtent l="0" t="0" r="0" b="0"/>
            <wp:docPr id="27875" name="Picture 27875"/>
            <wp:cNvGraphicFramePr/>
            <a:graphic xmlns:a="http://schemas.openxmlformats.org/drawingml/2006/main">
              <a:graphicData uri="http://schemas.openxmlformats.org/drawingml/2006/picture">
                <pic:pic xmlns:pic="http://schemas.openxmlformats.org/drawingml/2006/picture">
                  <pic:nvPicPr>
                    <pic:cNvPr id="27875" name="Picture 27875"/>
                    <pic:cNvPicPr/>
                  </pic:nvPicPr>
                  <pic:blipFill>
                    <a:blip r:embed="rId10"/>
                    <a:stretch>
                      <a:fillRect/>
                    </a:stretch>
                  </pic:blipFill>
                  <pic:spPr>
                    <a:xfrm>
                      <a:off x="0" y="0"/>
                      <a:ext cx="4573" cy="4574"/>
                    </a:xfrm>
                    <a:prstGeom prst="rect">
                      <a:avLst/>
                    </a:prstGeom>
                  </pic:spPr>
                </pic:pic>
              </a:graphicData>
            </a:graphic>
          </wp:inline>
        </w:drawing>
      </w:r>
      <w:r>
        <w:rPr>
          <w:rFonts w:hint="eastAsia" w:ascii="仿宋" w:hAnsi="仿宋" w:eastAsia="仿宋" w:cs="仿宋"/>
          <w:sz w:val="32"/>
          <w:szCs w:val="32"/>
        </w:rPr>
        <w:t>立健全相应工作机制，并制定工作方案，细化目标任务和推进措施，确保党中央、国务院、</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政府的决策部署和全年各项工作任务落到实处、取得实效。</w:t>
      </w:r>
      <w:r>
        <w:rPr>
          <w:rFonts w:hint="eastAsia" w:ascii="仿宋" w:hAnsi="仿宋" w:eastAsia="仿宋" w:cs="仿宋"/>
          <w:sz w:val="32"/>
          <w:szCs w:val="32"/>
        </w:rPr>
        <w:drawing>
          <wp:inline distT="0" distB="0" distL="0" distR="0">
            <wp:extent cx="4445" cy="4445"/>
            <wp:effectExtent l="0" t="0" r="0" b="0"/>
            <wp:docPr id="27876" name="Picture 27876"/>
            <wp:cNvGraphicFramePr/>
            <a:graphic xmlns:a="http://schemas.openxmlformats.org/drawingml/2006/main">
              <a:graphicData uri="http://schemas.openxmlformats.org/drawingml/2006/picture">
                <pic:pic xmlns:pic="http://schemas.openxmlformats.org/drawingml/2006/picture">
                  <pic:nvPicPr>
                    <pic:cNvPr id="27876" name="Picture 27876"/>
                    <pic:cNvPicPr/>
                  </pic:nvPicPr>
                  <pic:blipFill>
                    <a:blip r:embed="rId5"/>
                    <a:stretch>
                      <a:fillRect/>
                    </a:stretch>
                  </pic:blipFill>
                  <pic:spPr>
                    <a:xfrm>
                      <a:off x="0" y="0"/>
                      <a:ext cx="4574" cy="4574"/>
                    </a:xfrm>
                    <a:prstGeom prst="rect">
                      <a:avLst/>
                    </a:prstGeom>
                  </pic:spPr>
                </pic:pic>
              </a:graphicData>
            </a:graphic>
          </wp:inline>
        </w:drawing>
      </w:r>
      <w:r>
        <w:rPr>
          <w:rFonts w:hint="eastAsia" w:ascii="仿宋" w:hAnsi="仿宋" w:eastAsia="仿宋" w:cs="仿宋"/>
          <w:sz w:val="32"/>
          <w:szCs w:val="32"/>
          <w:lang w:val="en-US" w:eastAsia="zh-CN"/>
        </w:rPr>
        <w:t xml:space="preserve"> </w:t>
      </w:r>
    </w:p>
    <w:p>
      <w:pPr>
        <w:pageBreakBefore w:val="0"/>
        <w:widowControl/>
        <w:kinsoku/>
        <w:wordWrap/>
        <w:overflowPunct/>
        <w:topLinePunct w:val="0"/>
        <w:autoSpaceDE/>
        <w:autoSpaceDN/>
        <w:bidi w:val="0"/>
        <w:adjustRightInd/>
        <w:snapToGrid/>
        <w:spacing w:after="63" w:line="500" w:lineRule="exact"/>
        <w:ind w:left="0" w:leftChars="0" w:right="28"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(二）做</w:t>
      </w:r>
      <w:r>
        <w:rPr>
          <w:rFonts w:hint="eastAsia" w:ascii="仿宋" w:hAnsi="仿宋" w:eastAsia="仿宋" w:cs="仿宋"/>
          <w:b/>
          <w:bCs/>
          <w:sz w:val="32"/>
          <w:szCs w:val="32"/>
        </w:rPr>
        <w:t>好协调配合。</w:t>
      </w:r>
      <w:r>
        <w:rPr>
          <w:rFonts w:hint="eastAsia" w:ascii="仿宋" w:hAnsi="仿宋" w:eastAsia="仿宋" w:cs="仿宋"/>
          <w:b w:val="0"/>
          <w:bCs w:val="0"/>
          <w:sz w:val="32"/>
          <w:szCs w:val="32"/>
          <w:lang w:eastAsia="zh-CN"/>
        </w:rPr>
        <w:t>全县</w:t>
      </w:r>
      <w:r>
        <w:rPr>
          <w:rFonts w:hint="eastAsia" w:ascii="仿宋" w:hAnsi="仿宋" w:eastAsia="仿宋" w:cs="仿宋"/>
          <w:sz w:val="32"/>
          <w:szCs w:val="32"/>
        </w:rPr>
        <w:t>市场监管部门要在政府领导下，充分发挥好牵头作用，加强对“双随机、一公开” 监管工作的指导、协调和督导检查，要配强人员力量，确保“双随机、一公开”监管工作领导小组办公室运行到位、指导到位、协调到位、监督检查到位。各成员部门要认真落实</w:t>
      </w:r>
      <w:r>
        <w:rPr>
          <w:rFonts w:hint="eastAsia" w:ascii="仿宋" w:hAnsi="仿宋" w:eastAsia="仿宋" w:cs="仿宋"/>
          <w:sz w:val="32"/>
          <w:szCs w:val="32"/>
        </w:rPr>
        <w:drawing>
          <wp:inline distT="0" distB="0" distL="0" distR="0">
            <wp:extent cx="4445" cy="4445"/>
            <wp:effectExtent l="0" t="0" r="0" b="0"/>
            <wp:docPr id="27877" name="Picture 27877"/>
            <wp:cNvGraphicFramePr/>
            <a:graphic xmlns:a="http://schemas.openxmlformats.org/drawingml/2006/main">
              <a:graphicData uri="http://schemas.openxmlformats.org/drawingml/2006/picture">
                <pic:pic xmlns:pic="http://schemas.openxmlformats.org/drawingml/2006/picture">
                  <pic:nvPicPr>
                    <pic:cNvPr id="27877" name="Picture 27877"/>
                    <pic:cNvPicPr/>
                  </pic:nvPicPr>
                  <pic:blipFill>
                    <a:blip r:embed="rId5"/>
                    <a:stretch>
                      <a:fillRect/>
                    </a:stretch>
                  </pic:blipFill>
                  <pic:spPr>
                    <a:xfrm>
                      <a:off x="0" y="0"/>
                      <a:ext cx="4573" cy="4573"/>
                    </a:xfrm>
                    <a:prstGeom prst="rect">
                      <a:avLst/>
                    </a:prstGeom>
                  </pic:spPr>
                </pic:pic>
              </a:graphicData>
            </a:graphic>
          </wp:inline>
        </w:drawing>
      </w:r>
      <w:r>
        <w:rPr>
          <w:rFonts w:hint="eastAsia" w:ascii="仿宋" w:hAnsi="仿宋" w:eastAsia="仿宋" w:cs="仿宋"/>
          <w:sz w:val="32"/>
          <w:szCs w:val="32"/>
        </w:rPr>
        <w:t>主体责任，按照政府和上级主管部门的工作要求，积极主动开展工作。各成员部门之间要搞好联络沟通，加强配合，形成合力，扎实推进全</w:t>
      </w:r>
      <w:r>
        <w:rPr>
          <w:rFonts w:hint="eastAsia" w:ascii="仿宋" w:hAnsi="仿宋" w:eastAsia="仿宋" w:cs="仿宋"/>
          <w:sz w:val="32"/>
          <w:szCs w:val="32"/>
          <w:lang w:eastAsia="zh-CN"/>
        </w:rPr>
        <w:t>县</w:t>
      </w:r>
      <w:r>
        <w:rPr>
          <w:rFonts w:hint="eastAsia" w:ascii="仿宋" w:hAnsi="仿宋" w:eastAsia="仿宋" w:cs="仿宋"/>
          <w:sz w:val="32"/>
          <w:szCs w:val="32"/>
        </w:rPr>
        <w:t>“双随机、</w:t>
      </w:r>
      <w:r>
        <w:rPr>
          <w:rFonts w:hint="eastAsia" w:ascii="仿宋" w:hAnsi="仿宋" w:eastAsia="仿宋" w:cs="仿宋"/>
          <w:sz w:val="32"/>
          <w:szCs w:val="32"/>
        </w:rPr>
        <w:drawing>
          <wp:inline distT="0" distB="0" distL="0" distR="0">
            <wp:extent cx="173355" cy="50165"/>
            <wp:effectExtent l="0" t="0" r="0" b="0"/>
            <wp:docPr id="64261" name="Picture 64261"/>
            <wp:cNvGraphicFramePr/>
            <a:graphic xmlns:a="http://schemas.openxmlformats.org/drawingml/2006/main">
              <a:graphicData uri="http://schemas.openxmlformats.org/drawingml/2006/picture">
                <pic:pic xmlns:pic="http://schemas.openxmlformats.org/drawingml/2006/picture">
                  <pic:nvPicPr>
                    <pic:cNvPr id="64261" name="Picture 64261"/>
                    <pic:cNvPicPr/>
                  </pic:nvPicPr>
                  <pic:blipFill>
                    <a:blip r:embed="rId14"/>
                    <a:stretch>
                      <a:fillRect/>
                    </a:stretch>
                  </pic:blipFill>
                  <pic:spPr>
                    <a:xfrm>
                      <a:off x="0" y="0"/>
                      <a:ext cx="173795" cy="50311"/>
                    </a:xfrm>
                    <a:prstGeom prst="rect">
                      <a:avLst/>
                    </a:prstGeom>
                  </pic:spPr>
                </pic:pic>
              </a:graphicData>
            </a:graphic>
          </wp:inline>
        </w:drawing>
      </w:r>
      <w:r>
        <w:rPr>
          <w:rFonts w:hint="eastAsia" w:ascii="仿宋" w:hAnsi="仿宋" w:eastAsia="仿宋" w:cs="仿宋"/>
          <w:sz w:val="32"/>
          <w:szCs w:val="32"/>
        </w:rPr>
        <w:t>公开”监管工作落实。</w:t>
      </w:r>
    </w:p>
    <w:p>
      <w:pPr>
        <w:pageBreakBefore w:val="0"/>
        <w:widowControl/>
        <w:numPr>
          <w:ilvl w:val="0"/>
          <w:numId w:val="0"/>
        </w:numPr>
        <w:kinsoku/>
        <w:wordWrap/>
        <w:overflowPunct/>
        <w:topLinePunct w:val="0"/>
        <w:autoSpaceDE/>
        <w:autoSpaceDN/>
        <w:bidi w:val="0"/>
        <w:adjustRightInd/>
        <w:snapToGrid/>
        <w:spacing w:after="68" w:line="500" w:lineRule="exact"/>
        <w:ind w:right="28"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严格督导检查</w:t>
      </w:r>
      <w:r>
        <w:rPr>
          <w:rFonts w:hint="eastAsia" w:ascii="仿宋" w:hAnsi="仿宋" w:eastAsia="仿宋" w:cs="仿宋"/>
          <w:sz w:val="32"/>
          <w:szCs w:val="32"/>
        </w:rPr>
        <w:t>。县“双随机、一公开" 监管工作领导小组办公室要在政府的领导下，建立长效考核奖惩机制，切实加强对各成员部门“双随机、一公开”监管工作的督导检查，以查促发现问题、以查促整改落实。</w:t>
      </w:r>
    </w:p>
    <w:p>
      <w:pPr>
        <w:pageBreakBefore w:val="0"/>
        <w:widowControl/>
        <w:kinsoku/>
        <w:wordWrap/>
        <w:overflowPunct/>
        <w:topLinePunct w:val="0"/>
        <w:autoSpaceDE/>
        <w:autoSpaceDN/>
        <w:bidi w:val="0"/>
        <w:adjustRightInd/>
        <w:snapToGrid/>
        <w:spacing w:line="500" w:lineRule="exact"/>
        <w:ind w:left="115" w:right="28" w:firstLine="634"/>
        <w:textAlignment w:val="auto"/>
        <w:rPr>
          <w:rFonts w:hint="eastAsia" w:ascii="仿宋" w:hAnsi="仿宋" w:eastAsia="仿宋" w:cs="仿宋"/>
          <w:sz w:val="32"/>
          <w:szCs w:val="32"/>
        </w:rPr>
      </w:pPr>
      <w:r>
        <w:rPr>
          <w:rFonts w:hint="eastAsia" w:ascii="仿宋" w:hAnsi="仿宋" w:eastAsia="仿宋" w:cs="仿宋"/>
          <w:sz w:val="32"/>
          <w:szCs w:val="32"/>
        </w:rPr>
        <w:t>“双随机、一公开”监管工作领导小组各成员单位要严格执行信息联络员制度，按时报送“双随机、一公开”监管工作开展情况。每月2</w:t>
      </w:r>
      <w:r>
        <w:rPr>
          <w:rFonts w:hint="eastAsia" w:ascii="仿宋" w:hAnsi="仿宋" w:eastAsia="仿宋" w:cs="仿宋"/>
          <w:sz w:val="32"/>
          <w:szCs w:val="32"/>
          <w:lang w:val="en-US" w:eastAsia="zh-CN"/>
        </w:rPr>
        <w:t>0</w:t>
      </w:r>
      <w:r>
        <w:rPr>
          <w:rFonts w:hint="eastAsia" w:ascii="仿宋" w:hAnsi="仿宋" w:eastAsia="仿宋" w:cs="仿宋"/>
          <w:sz w:val="32"/>
          <w:szCs w:val="32"/>
        </w:rPr>
        <w:t>日前将《月报表》，4月</w:t>
      </w:r>
      <w:r>
        <w:rPr>
          <w:rFonts w:hint="eastAsia" w:ascii="仿宋" w:hAnsi="仿宋" w:eastAsia="仿宋" w:cs="仿宋"/>
          <w:sz w:val="32"/>
          <w:szCs w:val="32"/>
          <w:lang w:val="en-US" w:eastAsia="zh-CN"/>
        </w:rPr>
        <w:t>5</w:t>
      </w:r>
      <w:r>
        <w:rPr>
          <w:rFonts w:hint="eastAsia" w:ascii="仿宋" w:hAnsi="仿宋" w:eastAsia="仿宋" w:cs="仿宋"/>
          <w:sz w:val="32"/>
          <w:szCs w:val="32"/>
        </w:rPr>
        <w:t>日、 7月</w:t>
      </w:r>
      <w:r>
        <w:rPr>
          <w:rFonts w:hint="eastAsia" w:ascii="仿宋" w:hAnsi="仿宋" w:eastAsia="仿宋" w:cs="仿宋"/>
          <w:sz w:val="32"/>
          <w:szCs w:val="32"/>
          <w:lang w:val="en-US" w:eastAsia="zh-CN"/>
        </w:rPr>
        <w:t>1</w:t>
      </w:r>
      <w:r>
        <w:rPr>
          <w:rFonts w:hint="eastAsia" w:ascii="仿宋" w:hAnsi="仿宋" w:eastAsia="仿宋" w:cs="仿宋"/>
          <w:sz w:val="32"/>
          <w:szCs w:val="32"/>
        </w:rPr>
        <w:t>日、10月</w:t>
      </w:r>
      <w:r>
        <w:rPr>
          <w:rFonts w:hint="eastAsia" w:ascii="仿宋" w:hAnsi="仿宋" w:eastAsia="仿宋" w:cs="仿宋"/>
          <w:sz w:val="32"/>
          <w:szCs w:val="32"/>
          <w:lang w:val="en-US" w:eastAsia="zh-CN"/>
        </w:rPr>
        <w:t>8</w:t>
      </w:r>
      <w:r>
        <w:rPr>
          <w:rFonts w:hint="eastAsia" w:ascii="仿宋" w:hAnsi="仿宋" w:eastAsia="仿宋" w:cs="仿宋"/>
          <w:sz w:val="32"/>
          <w:szCs w:val="32"/>
        </w:rPr>
        <w:t>日前将本地本部门上季度“双随机、一公开" 监管工作落实情况，12月2</w:t>
      </w:r>
      <w:r>
        <w:rPr>
          <w:rFonts w:hint="eastAsia" w:ascii="仿宋" w:hAnsi="仿宋" w:eastAsia="仿宋" w:cs="仿宋"/>
          <w:sz w:val="32"/>
          <w:szCs w:val="32"/>
          <w:lang w:val="en-US" w:eastAsia="zh-CN"/>
        </w:rPr>
        <w:t>0</w:t>
      </w:r>
      <w:r>
        <w:rPr>
          <w:rFonts w:hint="eastAsia" w:ascii="仿宋" w:hAnsi="仿宋" w:eastAsia="仿宋" w:cs="仿宋"/>
          <w:sz w:val="32"/>
          <w:szCs w:val="32"/>
        </w:rPr>
        <w:t>日前将本部门全年“双随机、一公开"监管工作落实情况报</w:t>
      </w:r>
      <w:r>
        <w:rPr>
          <w:rFonts w:hint="eastAsia" w:ascii="仿宋" w:hAnsi="仿宋" w:eastAsia="仿宋" w:cs="仿宋"/>
          <w:sz w:val="32"/>
          <w:szCs w:val="32"/>
          <w:lang w:eastAsia="zh-CN"/>
        </w:rPr>
        <w:t>县</w:t>
      </w:r>
      <w:r>
        <w:rPr>
          <w:rFonts w:hint="eastAsia" w:ascii="仿宋" w:hAnsi="仿宋" w:eastAsia="仿宋" w:cs="仿宋"/>
          <w:sz w:val="32"/>
          <w:szCs w:val="32"/>
        </w:rPr>
        <w:t>“双随机、一公开”监管工作领导小组办公室。</w:t>
      </w:r>
      <w:r>
        <w:rPr>
          <w:rFonts w:hint="eastAsia" w:ascii="仿宋" w:hAnsi="仿宋" w:eastAsia="仿宋" w:cs="仿宋"/>
          <w:sz w:val="32"/>
          <w:szCs w:val="32"/>
        </w:rPr>
        <w:drawing>
          <wp:inline distT="0" distB="0" distL="0" distR="0">
            <wp:extent cx="4445" cy="4445"/>
            <wp:effectExtent l="0" t="0" r="0" b="0"/>
            <wp:docPr id="31148" name="Picture 31148"/>
            <wp:cNvGraphicFramePr/>
            <a:graphic xmlns:a="http://schemas.openxmlformats.org/drawingml/2006/main">
              <a:graphicData uri="http://schemas.openxmlformats.org/drawingml/2006/picture">
                <pic:pic xmlns:pic="http://schemas.openxmlformats.org/drawingml/2006/picture">
                  <pic:nvPicPr>
                    <pic:cNvPr id="31148" name="Picture 31148"/>
                    <pic:cNvPicPr/>
                  </pic:nvPicPr>
                  <pic:blipFill>
                    <a:blip r:embed="rId15"/>
                    <a:stretch>
                      <a:fillRect/>
                    </a:stretch>
                  </pic:blipFill>
                  <pic:spPr>
                    <a:xfrm>
                      <a:off x="0" y="0"/>
                      <a:ext cx="4573" cy="4573"/>
                    </a:xfrm>
                    <a:prstGeom prst="rect">
                      <a:avLst/>
                    </a:prstGeom>
                  </pic:spPr>
                </pic:pic>
              </a:graphicData>
            </a:graphic>
          </wp:inline>
        </w:drawing>
      </w:r>
    </w:p>
    <w:p>
      <w:pPr>
        <w:ind w:left="2255" w:right="2312" w:hanging="154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600" w:lineRule="exact"/>
        <w:ind w:left="2255" w:right="2312" w:hanging="1549"/>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eastAsia="zh-CN"/>
        </w:rPr>
        <w:t>李军霞</w:t>
      </w:r>
      <w:r>
        <w:rPr>
          <w:rFonts w:hint="eastAsia" w:ascii="仿宋" w:hAnsi="仿宋" w:eastAsia="仿宋" w:cs="仿宋"/>
          <w:sz w:val="32"/>
          <w:szCs w:val="32"/>
          <w:lang w:val="en-US" w:eastAsia="zh-CN"/>
        </w:rPr>
        <w:t xml:space="preserve">    王可</w:t>
      </w:r>
    </w:p>
    <w:p>
      <w:pPr>
        <w:keepNext w:val="0"/>
        <w:keepLines w:val="0"/>
        <w:pageBreakBefore w:val="0"/>
        <w:widowControl/>
        <w:kinsoku/>
        <w:wordWrap/>
        <w:overflowPunct/>
        <w:topLinePunct w:val="0"/>
        <w:autoSpaceDE/>
        <w:autoSpaceDN/>
        <w:bidi w:val="0"/>
        <w:adjustRightInd/>
        <w:snapToGrid/>
        <w:spacing w:after="485" w:line="600" w:lineRule="exact"/>
        <w:ind w:left="720" w:right="1462" w:hanging="36"/>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0310-2837912</w:t>
      </w:r>
    </w:p>
    <w:p>
      <w:pPr>
        <w:keepNext w:val="0"/>
        <w:keepLines w:val="0"/>
        <w:pageBreakBefore w:val="0"/>
        <w:widowControl/>
        <w:kinsoku/>
        <w:wordWrap/>
        <w:overflowPunct/>
        <w:topLinePunct w:val="0"/>
        <w:autoSpaceDE/>
        <w:autoSpaceDN/>
        <w:bidi w:val="0"/>
        <w:adjustRightInd/>
        <w:snapToGrid/>
        <w:spacing w:after="485" w:line="600" w:lineRule="exact"/>
        <w:ind w:left="720" w:right="1462" w:hanging="36"/>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lang w:val="en-US" w:eastAsia="zh-CN"/>
        </w:rPr>
        <w:t>guantgsj1111</w:t>
      </w:r>
      <w:r>
        <w:rPr>
          <w:rFonts w:hint="eastAsia" w:ascii="仿宋" w:hAnsi="仿宋" w:eastAsia="仿宋" w:cs="仿宋"/>
          <w:sz w:val="32"/>
          <w:szCs w:val="32"/>
        </w:rPr>
        <w:t>@163. com</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部门“双随机、一公开"监管工作月报表。</w:t>
      </w:r>
    </w:p>
    <w:p>
      <w:pPr>
        <w:keepNext w:val="0"/>
        <w:keepLines w:val="0"/>
        <w:pageBreakBefore w:val="0"/>
        <w:widowControl/>
        <w:kinsoku/>
        <w:wordWrap/>
        <w:overflowPunct/>
        <w:topLinePunct w:val="0"/>
        <w:autoSpaceDE/>
        <w:autoSpaceDN/>
        <w:bidi w:val="0"/>
        <w:adjustRightInd/>
        <w:snapToGrid/>
        <w:spacing w:line="600" w:lineRule="exact"/>
        <w:ind w:left="1631" w:hanging="10"/>
        <w:jc w:val="left"/>
        <w:textAlignment w:val="auto"/>
        <w:rPr>
          <w:rFonts w:hint="eastAsia" w:ascii="仿宋" w:hAnsi="仿宋" w:eastAsia="仿宋" w:cs="仿宋"/>
          <w:sz w:val="32"/>
          <w:szCs w:val="32"/>
        </w:rPr>
      </w:pPr>
    </w:p>
    <w:p>
      <w:pPr>
        <w:spacing w:line="259" w:lineRule="auto"/>
        <w:ind w:left="1631" w:hanging="10"/>
        <w:jc w:val="left"/>
        <w:rPr>
          <w:rFonts w:hint="eastAsia" w:ascii="仿宋" w:hAnsi="仿宋" w:eastAsia="仿宋" w:cs="仿宋"/>
          <w:sz w:val="32"/>
          <w:szCs w:val="32"/>
        </w:rPr>
      </w:pPr>
    </w:p>
    <w:p>
      <w:pPr>
        <w:spacing w:after="63" w:line="259" w:lineRule="auto"/>
        <w:ind w:left="75" w:hanging="10"/>
        <w:jc w:val="left"/>
        <w:rPr>
          <w:rFonts w:hint="eastAsia" w:ascii="仿宋" w:hAnsi="仿宋" w:eastAsia="仿宋" w:cs="仿宋"/>
          <w:sz w:val="32"/>
          <w:szCs w:val="32"/>
        </w:rPr>
      </w:pPr>
      <w:r>
        <w:rPr>
          <w:rFonts w:hint="eastAsia" w:ascii="仿宋" w:hAnsi="仿宋" w:eastAsia="仿宋" w:cs="仿宋"/>
          <w:sz w:val="32"/>
          <w:szCs w:val="32"/>
        </w:rPr>
        <w:t>附件</w:t>
      </w:r>
    </w:p>
    <w:p>
      <w:pPr>
        <w:pStyle w:val="2"/>
        <w:ind w:left="0" w:leftChars="0" w:right="101" w:firstLine="640" w:firstLineChars="200"/>
        <w:jc w:val="left"/>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部门“双随机、一公开”监管工作月报表</w:t>
      </w:r>
    </w:p>
    <w:p>
      <w:pPr>
        <w:tabs>
          <w:tab w:val="right" w:pos="8780"/>
        </w:tabs>
        <w:spacing w:line="259" w:lineRule="auto"/>
        <w:ind w:left="0" w:firstLine="0"/>
        <w:jc w:val="left"/>
        <w:rPr>
          <w:rFonts w:hint="eastAsia" w:ascii="仿宋" w:hAnsi="仿宋" w:eastAsia="仿宋" w:cs="仿宋"/>
          <w:sz w:val="32"/>
          <w:szCs w:val="32"/>
        </w:rPr>
      </w:pPr>
      <w:r>
        <w:rPr>
          <w:rFonts w:hint="eastAsia" w:ascii="仿宋" w:hAnsi="仿宋" w:eastAsia="仿宋" w:cs="仿宋"/>
          <w:sz w:val="32"/>
          <w:szCs w:val="32"/>
        </w:rPr>
        <w:t>单位名称（盖章）：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填表时间：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p>
    <w:tbl>
      <w:tblPr>
        <w:tblStyle w:val="10"/>
        <w:tblW w:w="8996" w:type="dxa"/>
        <w:tblInd w:w="-72" w:type="dxa"/>
        <w:tblLayout w:type="autofit"/>
        <w:tblCellMar>
          <w:top w:w="0" w:type="dxa"/>
          <w:left w:w="0" w:type="dxa"/>
          <w:bottom w:w="0" w:type="dxa"/>
          <w:right w:w="91" w:type="dxa"/>
        </w:tblCellMar>
      </w:tblPr>
      <w:tblGrid>
        <w:gridCol w:w="657"/>
        <w:gridCol w:w="2529"/>
        <w:gridCol w:w="493"/>
        <w:gridCol w:w="5317"/>
      </w:tblGrid>
      <w:tr>
        <w:tblPrEx>
          <w:tblCellMar>
            <w:top w:w="0" w:type="dxa"/>
            <w:left w:w="0" w:type="dxa"/>
            <w:bottom w:w="0" w:type="dxa"/>
            <w:right w:w="91" w:type="dxa"/>
          </w:tblCellMar>
        </w:tblPrEx>
        <w:trPr>
          <w:trHeight w:val="616" w:hRule="atLeast"/>
        </w:trPr>
        <w:tc>
          <w:tcPr>
            <w:tcW w:w="8996" w:type="dxa"/>
            <w:gridSpan w:val="4"/>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leftChars="0" w:firstLine="0" w:firstLineChars="0"/>
              <w:jc w:val="left"/>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、本部门本月“双随机、一公开”监管工作安排部署情况</w:t>
            </w:r>
          </w:p>
        </w:tc>
      </w:tr>
      <w:tr>
        <w:tblPrEx>
          <w:tblCellMar>
            <w:top w:w="0" w:type="dxa"/>
            <w:left w:w="0" w:type="dxa"/>
            <w:bottom w:w="0" w:type="dxa"/>
            <w:right w:w="91" w:type="dxa"/>
          </w:tblCellMar>
        </w:tblPrEx>
        <w:trPr>
          <w:trHeight w:val="961" w:hRule="atLeast"/>
        </w:trPr>
        <w:tc>
          <w:tcPr>
            <w:tcW w:w="562"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7" w:firstLine="0"/>
              <w:jc w:val="center"/>
              <w:rPr>
                <w:rFonts w:hint="eastAsia" w:ascii="仿宋" w:hAnsi="仿宋" w:eastAsia="仿宋" w:cs="仿宋"/>
                <w:sz w:val="30"/>
                <w:szCs w:val="30"/>
              </w:rPr>
            </w:pPr>
            <w:r>
              <w:rPr>
                <w:rFonts w:hint="eastAsia" w:ascii="仿宋" w:hAnsi="仿宋" w:eastAsia="仿宋" w:cs="仿宋"/>
                <w:sz w:val="30"/>
                <w:szCs w:val="30"/>
              </w:rPr>
              <w:t>1</w:t>
            </w:r>
          </w:p>
        </w:tc>
        <w:tc>
          <w:tcPr>
            <w:tcW w:w="2554"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44" w:hanging="14"/>
              <w:rPr>
                <w:rFonts w:hint="eastAsia" w:ascii="仿宋" w:hAnsi="仿宋" w:eastAsia="仿宋" w:cs="仿宋"/>
                <w:sz w:val="30"/>
                <w:szCs w:val="30"/>
              </w:rPr>
            </w:pPr>
            <w:r>
              <w:rPr>
                <w:rFonts w:hint="eastAsia" w:ascii="仿宋" w:hAnsi="仿宋" w:eastAsia="仿宋" w:cs="仿宋"/>
                <w:sz w:val="30"/>
                <w:szCs w:val="30"/>
              </w:rPr>
              <w:t>本月召开会议部署随机抽查工作情况</w:t>
            </w:r>
          </w:p>
        </w:tc>
        <w:tc>
          <w:tcPr>
            <w:tcW w:w="5880" w:type="dxa"/>
            <w:gridSpan w:val="2"/>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69" w:firstLine="0"/>
              <w:jc w:val="left"/>
              <w:rPr>
                <w:rFonts w:hint="eastAsia" w:ascii="仿宋" w:hAnsi="仿宋" w:eastAsia="仿宋" w:cs="仿宋"/>
                <w:sz w:val="30"/>
                <w:szCs w:val="30"/>
              </w:rPr>
            </w:pPr>
            <w:r>
              <w:rPr>
                <w:rFonts w:hint="eastAsia" w:ascii="仿宋" w:hAnsi="仿宋" w:eastAsia="仿宋" w:cs="仿宋"/>
                <w:sz w:val="30"/>
                <w:szCs w:val="30"/>
              </w:rPr>
              <w:t>（注明召开会议的名称及时间）（本月）</w:t>
            </w:r>
          </w:p>
        </w:tc>
      </w:tr>
      <w:tr>
        <w:tblPrEx>
          <w:tblCellMar>
            <w:top w:w="0" w:type="dxa"/>
            <w:left w:w="0" w:type="dxa"/>
            <w:bottom w:w="0" w:type="dxa"/>
            <w:right w:w="91" w:type="dxa"/>
          </w:tblCellMar>
        </w:tblPrEx>
        <w:trPr>
          <w:trHeight w:val="951" w:hRule="atLeast"/>
        </w:trPr>
        <w:tc>
          <w:tcPr>
            <w:tcW w:w="562"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05" w:firstLine="0"/>
              <w:jc w:val="center"/>
              <w:rPr>
                <w:rFonts w:hint="eastAsia" w:ascii="仿宋" w:hAnsi="仿宋" w:eastAsia="仿宋" w:cs="仿宋"/>
                <w:sz w:val="30"/>
                <w:szCs w:val="30"/>
              </w:rPr>
            </w:pPr>
            <w:r>
              <w:rPr>
                <w:rFonts w:hint="eastAsia" w:ascii="仿宋" w:hAnsi="仿宋" w:eastAsia="仿宋" w:cs="仿宋"/>
                <w:sz w:val="30"/>
                <w:szCs w:val="30"/>
              </w:rPr>
              <w:t>2</w:t>
            </w:r>
          </w:p>
        </w:tc>
        <w:tc>
          <w:tcPr>
            <w:tcW w:w="2554"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2" w:firstLine="0"/>
              <w:rPr>
                <w:rFonts w:hint="eastAsia" w:ascii="仿宋" w:hAnsi="仿宋" w:eastAsia="仿宋" w:cs="仿宋"/>
                <w:sz w:val="30"/>
                <w:szCs w:val="30"/>
              </w:rPr>
            </w:pPr>
            <w:r>
              <w:rPr>
                <w:rFonts w:hint="eastAsia" w:ascii="仿宋" w:hAnsi="仿宋" w:eastAsia="仿宋" w:cs="仿宋"/>
                <w:sz w:val="30"/>
                <w:szCs w:val="30"/>
              </w:rPr>
              <w:t>本月印发双随机工作文件情况</w:t>
            </w:r>
          </w:p>
        </w:tc>
        <w:tc>
          <w:tcPr>
            <w:tcW w:w="5880" w:type="dxa"/>
            <w:gridSpan w:val="2"/>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62" w:firstLine="0"/>
              <w:jc w:val="left"/>
              <w:rPr>
                <w:rFonts w:hint="eastAsia" w:ascii="仿宋" w:hAnsi="仿宋" w:eastAsia="仿宋" w:cs="仿宋"/>
                <w:sz w:val="30"/>
                <w:szCs w:val="30"/>
              </w:rPr>
            </w:pPr>
            <w:r>
              <w:rPr>
                <w:rFonts w:hint="eastAsia" w:ascii="仿宋" w:hAnsi="仿宋" w:eastAsia="仿宋" w:cs="仿宋"/>
                <w:sz w:val="30"/>
                <w:szCs w:val="30"/>
              </w:rPr>
              <w:t>（注明文件名称及文号）（本月）</w:t>
            </w:r>
          </w:p>
        </w:tc>
      </w:tr>
      <w:tr>
        <w:tblPrEx>
          <w:tblCellMar>
            <w:top w:w="0" w:type="dxa"/>
            <w:left w:w="0" w:type="dxa"/>
            <w:bottom w:w="0" w:type="dxa"/>
            <w:right w:w="91" w:type="dxa"/>
          </w:tblCellMar>
        </w:tblPrEx>
        <w:trPr>
          <w:trHeight w:val="715" w:hRule="atLeast"/>
        </w:trPr>
        <w:tc>
          <w:tcPr>
            <w:tcW w:w="562" w:type="dxa"/>
            <w:vMerge w:val="restart"/>
            <w:tcBorders>
              <w:top w:val="single" w:color="000000" w:sz="2" w:space="0"/>
              <w:left w:val="single" w:color="000000" w:sz="2" w:space="0"/>
              <w:bottom w:val="single" w:color="000000" w:sz="2" w:space="0"/>
              <w:right w:val="single" w:color="000000" w:sz="2" w:space="0"/>
            </w:tcBorders>
          </w:tcPr>
          <w:p>
            <w:pPr>
              <w:spacing w:after="160" w:line="259" w:lineRule="auto"/>
              <w:ind w:left="0" w:firstLine="413" w:firstLineChars="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
        </w:tc>
        <w:tc>
          <w:tcPr>
            <w:tcW w:w="2554"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2" w:firstLine="0"/>
              <w:rPr>
                <w:rFonts w:hint="eastAsia" w:ascii="仿宋" w:hAnsi="仿宋" w:eastAsia="仿宋" w:cs="仿宋"/>
                <w:sz w:val="30"/>
                <w:szCs w:val="30"/>
              </w:rPr>
            </w:pPr>
            <w:r>
              <w:rPr>
                <w:rFonts w:hint="eastAsia" w:ascii="仿宋" w:hAnsi="仿宋" w:eastAsia="仿宋" w:cs="仿宋"/>
                <w:sz w:val="30"/>
                <w:szCs w:val="30"/>
              </w:rPr>
              <w:t>本月组织随机抽查业务培训情况</w:t>
            </w:r>
          </w:p>
        </w:tc>
        <w:tc>
          <w:tcPr>
            <w:tcW w:w="5880" w:type="dxa"/>
            <w:gridSpan w:val="2"/>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55" w:firstLine="0"/>
              <w:jc w:val="left"/>
              <w:rPr>
                <w:rFonts w:hint="eastAsia" w:ascii="仿宋" w:hAnsi="仿宋" w:eastAsia="仿宋" w:cs="仿宋"/>
                <w:sz w:val="30"/>
                <w:szCs w:val="30"/>
              </w:rPr>
            </w:pPr>
            <w:r>
              <w:rPr>
                <w:rFonts w:hint="eastAsia" w:ascii="仿宋" w:hAnsi="仿宋" w:eastAsia="仿宋" w:cs="仿宋"/>
                <w:sz w:val="30"/>
                <w:szCs w:val="30"/>
              </w:rPr>
              <w:t>（培训班名称、培训人员数量、及内容）（本月）</w:t>
            </w:r>
          </w:p>
        </w:tc>
      </w:tr>
      <w:tr>
        <w:tblPrEx>
          <w:tblCellMar>
            <w:top w:w="0" w:type="dxa"/>
            <w:left w:w="0" w:type="dxa"/>
            <w:bottom w:w="0" w:type="dxa"/>
            <w:right w:w="91" w:type="dxa"/>
          </w:tblCellMar>
        </w:tblPrEx>
        <w:trPr>
          <w:trHeight w:val="715" w:hRule="atLeast"/>
        </w:trPr>
        <w:tc>
          <w:tcPr>
            <w:tcW w:w="0" w:type="auto"/>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0" w:type="auto"/>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0" w:type="auto"/>
            <w:gridSpan w:val="2"/>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r>
      <w:tr>
        <w:tblPrEx>
          <w:tblCellMar>
            <w:top w:w="0" w:type="dxa"/>
            <w:left w:w="0" w:type="dxa"/>
            <w:bottom w:w="0" w:type="dxa"/>
            <w:right w:w="91" w:type="dxa"/>
          </w:tblCellMar>
        </w:tblPrEx>
        <w:trPr>
          <w:trHeight w:val="497" w:hRule="atLeast"/>
        </w:trPr>
        <w:tc>
          <w:tcPr>
            <w:tcW w:w="8996" w:type="dxa"/>
            <w:gridSpan w:val="4"/>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leftChars="0" w:firstLine="0" w:firstLineChars="0"/>
              <w:jc w:val="left"/>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、本部门本月“双随机、一公开”监管工作开展情况</w:t>
            </w:r>
          </w:p>
        </w:tc>
      </w:tr>
      <w:tr>
        <w:tblPrEx>
          <w:tblCellMar>
            <w:top w:w="0" w:type="dxa"/>
            <w:left w:w="0" w:type="dxa"/>
            <w:bottom w:w="0" w:type="dxa"/>
            <w:right w:w="91" w:type="dxa"/>
          </w:tblCellMar>
        </w:tblPrEx>
        <w:trPr>
          <w:trHeight w:val="478" w:hRule="atLeast"/>
        </w:trPr>
        <w:tc>
          <w:tcPr>
            <w:tcW w:w="562"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09" w:firstLine="0"/>
              <w:jc w:val="left"/>
              <w:rPr>
                <w:rFonts w:hint="eastAsia" w:ascii="仿宋" w:hAnsi="仿宋" w:eastAsia="仿宋" w:cs="仿宋"/>
                <w:sz w:val="30"/>
                <w:szCs w:val="30"/>
              </w:rPr>
            </w:pPr>
            <w:r>
              <w:rPr>
                <w:rFonts w:hint="eastAsia" w:ascii="仿宋" w:hAnsi="仿宋" w:eastAsia="仿宋" w:cs="仿宋"/>
                <w:sz w:val="30"/>
                <w:szCs w:val="30"/>
              </w:rPr>
              <w:t>4</w:t>
            </w:r>
          </w:p>
        </w:tc>
        <w:tc>
          <w:tcPr>
            <w:tcW w:w="8434" w:type="dxa"/>
            <w:gridSpan w:val="3"/>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2" w:firstLine="0"/>
              <w:jc w:val="left"/>
              <w:rPr>
                <w:rFonts w:hint="eastAsia" w:ascii="仿宋" w:hAnsi="仿宋" w:eastAsia="仿宋" w:cs="仿宋"/>
                <w:sz w:val="30"/>
                <w:szCs w:val="30"/>
              </w:rPr>
            </w:pPr>
            <w:r>
              <w:rPr>
                <w:rFonts w:hint="eastAsia" w:ascii="仿宋" w:hAnsi="仿宋" w:eastAsia="仿宋" w:cs="仿宋"/>
                <w:sz w:val="30"/>
                <w:szCs w:val="30"/>
              </w:rPr>
              <w:t>本月按年度随机抽查工作计划市本级开展随机抽查情况</w:t>
            </w:r>
          </w:p>
        </w:tc>
      </w:tr>
      <w:tr>
        <w:tblPrEx>
          <w:tblCellMar>
            <w:top w:w="0" w:type="dxa"/>
            <w:left w:w="0" w:type="dxa"/>
            <w:bottom w:w="0" w:type="dxa"/>
            <w:right w:w="91" w:type="dxa"/>
          </w:tblCellMar>
        </w:tblPrEx>
        <w:trPr>
          <w:trHeight w:val="955" w:hRule="atLeast"/>
        </w:trPr>
        <w:tc>
          <w:tcPr>
            <w:tcW w:w="0" w:type="auto"/>
            <w:vMerge w:val="continue"/>
            <w:tcBorders>
              <w:top w:val="nil"/>
              <w:left w:val="single" w:color="000000" w:sz="2" w:space="0"/>
              <w:bottom w:val="nil"/>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3054" w:type="dxa"/>
            <w:gridSpan w:val="2"/>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15" w:right="125" w:firstLine="0"/>
              <w:rPr>
                <w:rFonts w:hint="eastAsia" w:ascii="仿宋" w:hAnsi="仿宋" w:eastAsia="仿宋" w:cs="仿宋"/>
                <w:sz w:val="30"/>
                <w:szCs w:val="30"/>
              </w:rPr>
            </w:pPr>
            <w:r>
              <w:rPr>
                <w:rFonts w:hint="eastAsia" w:ascii="仿宋" w:hAnsi="仿宋" w:eastAsia="仿宋" w:cs="仿宋"/>
                <w:sz w:val="30"/>
                <w:szCs w:val="30"/>
              </w:rPr>
              <w:t>本月组织随机抽查的文件</w:t>
            </w:r>
          </w:p>
        </w:tc>
        <w:tc>
          <w:tcPr>
            <w:tcW w:w="5380" w:type="dxa"/>
            <w:tcBorders>
              <w:top w:val="single" w:color="000000" w:sz="2" w:space="0"/>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r>
      <w:tr>
        <w:tblPrEx>
          <w:tblCellMar>
            <w:top w:w="0" w:type="dxa"/>
            <w:left w:w="0" w:type="dxa"/>
            <w:bottom w:w="0" w:type="dxa"/>
            <w:right w:w="91" w:type="dxa"/>
          </w:tblCellMar>
        </w:tblPrEx>
        <w:trPr>
          <w:trHeight w:val="715" w:hRule="atLeast"/>
        </w:trPr>
        <w:tc>
          <w:tcPr>
            <w:tcW w:w="0" w:type="auto"/>
            <w:vMerge w:val="continue"/>
            <w:tcBorders>
              <w:top w:val="nil"/>
              <w:left w:val="single" w:color="000000" w:sz="2" w:space="0"/>
              <w:bottom w:val="nil"/>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3054" w:type="dxa"/>
            <w:gridSpan w:val="2"/>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08" w:firstLine="14"/>
              <w:rPr>
                <w:rFonts w:hint="eastAsia" w:ascii="仿宋" w:hAnsi="仿宋" w:eastAsia="仿宋" w:cs="仿宋"/>
                <w:sz w:val="30"/>
                <w:szCs w:val="30"/>
              </w:rPr>
            </w:pPr>
            <w:r>
              <w:rPr>
                <w:rFonts w:hint="eastAsia" w:ascii="仿宋" w:hAnsi="仿宋" w:eastAsia="仿宋" w:cs="仿宋"/>
                <w:sz w:val="30"/>
                <w:szCs w:val="30"/>
              </w:rPr>
              <w:t>随机抽查对象范围、数量、抽查比例</w:t>
            </w:r>
          </w:p>
        </w:tc>
        <w:tc>
          <w:tcPr>
            <w:tcW w:w="5380" w:type="dxa"/>
            <w:vMerge w:val="restart"/>
            <w:tcBorders>
              <w:top w:val="single" w:color="000000" w:sz="2" w:space="0"/>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r>
      <w:tr>
        <w:tblPrEx>
          <w:tblCellMar>
            <w:top w:w="0" w:type="dxa"/>
            <w:left w:w="0" w:type="dxa"/>
            <w:bottom w:w="0" w:type="dxa"/>
            <w:right w:w="91" w:type="dxa"/>
          </w:tblCellMar>
        </w:tblPrEx>
        <w:trPr>
          <w:trHeight w:val="715" w:hRule="atLeast"/>
        </w:trPr>
        <w:tc>
          <w:tcPr>
            <w:tcW w:w="0" w:type="auto"/>
            <w:vMerge w:val="continue"/>
            <w:tcBorders>
              <w:top w:val="nil"/>
              <w:left w:val="single" w:color="000000" w:sz="2" w:space="0"/>
              <w:bottom w:val="nil"/>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0" w:type="auto"/>
            <w:gridSpan w:val="2"/>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0" w:type="auto"/>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r>
      <w:tr>
        <w:tblPrEx>
          <w:tblCellMar>
            <w:top w:w="0" w:type="dxa"/>
            <w:left w:w="0" w:type="dxa"/>
            <w:bottom w:w="0" w:type="dxa"/>
            <w:right w:w="91" w:type="dxa"/>
          </w:tblCellMar>
        </w:tblPrEx>
        <w:trPr>
          <w:trHeight w:val="951" w:hRule="atLeast"/>
        </w:trPr>
        <w:tc>
          <w:tcPr>
            <w:tcW w:w="0" w:type="auto"/>
            <w:vMerge w:val="continue"/>
            <w:tcBorders>
              <w:top w:val="nil"/>
              <w:left w:val="single" w:color="000000" w:sz="2" w:space="0"/>
              <w:bottom w:val="nil"/>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3054" w:type="dxa"/>
            <w:gridSpan w:val="2"/>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2" w:firstLine="0"/>
              <w:jc w:val="left"/>
              <w:rPr>
                <w:rFonts w:hint="eastAsia" w:ascii="仿宋" w:hAnsi="仿宋" w:eastAsia="仿宋" w:cs="仿宋"/>
                <w:sz w:val="30"/>
                <w:szCs w:val="30"/>
              </w:rPr>
            </w:pPr>
            <w:r>
              <w:rPr>
                <w:rFonts w:hint="eastAsia" w:ascii="仿宋" w:hAnsi="仿宋" w:eastAsia="仿宋" w:cs="仿宋"/>
                <w:sz w:val="30"/>
                <w:szCs w:val="30"/>
              </w:rPr>
              <w:t>随机抽查的检查事项</w:t>
            </w:r>
          </w:p>
        </w:tc>
        <w:tc>
          <w:tcPr>
            <w:tcW w:w="5380"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59" w:firstLine="0"/>
              <w:jc w:val="left"/>
              <w:rPr>
                <w:rFonts w:hint="eastAsia" w:ascii="仿宋" w:hAnsi="仿宋" w:eastAsia="仿宋" w:cs="仿宋"/>
                <w:sz w:val="30"/>
                <w:szCs w:val="30"/>
              </w:rPr>
            </w:pPr>
            <w:r>
              <w:rPr>
                <w:rFonts w:hint="eastAsia" w:ascii="仿宋" w:hAnsi="仿宋" w:eastAsia="仿宋" w:cs="仿宋"/>
                <w:sz w:val="30"/>
                <w:szCs w:val="30"/>
              </w:rPr>
              <w:t>（多少大项、多少小项）</w:t>
            </w:r>
          </w:p>
        </w:tc>
      </w:tr>
      <w:tr>
        <w:tblPrEx>
          <w:tblCellMar>
            <w:top w:w="0" w:type="dxa"/>
            <w:left w:w="0" w:type="dxa"/>
            <w:bottom w:w="0" w:type="dxa"/>
            <w:right w:w="91" w:type="dxa"/>
          </w:tblCellMar>
        </w:tblPrEx>
        <w:trPr>
          <w:trHeight w:val="951" w:hRule="atLeast"/>
        </w:trPr>
        <w:tc>
          <w:tcPr>
            <w:tcW w:w="0" w:type="auto"/>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3054" w:type="dxa"/>
            <w:gridSpan w:val="2"/>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22" w:firstLine="0"/>
              <w:rPr>
                <w:rFonts w:hint="eastAsia" w:ascii="仿宋" w:hAnsi="仿宋" w:eastAsia="仿宋" w:cs="仿宋"/>
                <w:sz w:val="28"/>
                <w:szCs w:val="28"/>
              </w:rPr>
            </w:pPr>
            <w:r>
              <w:rPr>
                <w:rFonts w:hint="eastAsia" w:ascii="仿宋" w:hAnsi="仿宋" w:eastAsia="仿宋" w:cs="仿宋"/>
                <w:sz w:val="28"/>
                <w:szCs w:val="28"/>
              </w:rPr>
              <w:t>随机抽查结果公示情况</w:t>
            </w:r>
          </w:p>
        </w:tc>
        <w:tc>
          <w:tcPr>
            <w:tcW w:w="5380" w:type="dxa"/>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91" w:firstLine="0"/>
              <w:jc w:val="left"/>
              <w:rPr>
                <w:rFonts w:hint="eastAsia" w:ascii="仿宋" w:hAnsi="仿宋" w:eastAsia="仿宋" w:cs="仿宋"/>
                <w:sz w:val="28"/>
                <w:szCs w:val="28"/>
              </w:rPr>
            </w:pPr>
            <w:r>
              <w:rPr>
                <w:rFonts w:hint="eastAsia" w:ascii="仿宋" w:hAnsi="仿宋" w:eastAsia="仿宋" w:cs="仿宋"/>
                <w:sz w:val="28"/>
                <w:szCs w:val="28"/>
              </w:rPr>
              <w:t>（注明抽查结果公示的网站及公示数量）</w:t>
            </w:r>
          </w:p>
        </w:tc>
      </w:tr>
      <w:tr>
        <w:tblPrEx>
          <w:tblCellMar>
            <w:top w:w="0" w:type="dxa"/>
            <w:left w:w="0" w:type="dxa"/>
            <w:bottom w:w="0" w:type="dxa"/>
            <w:right w:w="91" w:type="dxa"/>
          </w:tblCellMar>
        </w:tblPrEx>
        <w:trPr>
          <w:trHeight w:val="763" w:hRule="atLeast"/>
        </w:trPr>
        <w:tc>
          <w:tcPr>
            <w:tcW w:w="562" w:type="dxa"/>
            <w:vMerge w:val="restart"/>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209" w:firstLine="0"/>
              <w:jc w:val="left"/>
              <w:rPr>
                <w:rFonts w:hint="eastAsia" w:ascii="仿宋" w:hAnsi="仿宋" w:eastAsia="仿宋" w:cs="仿宋"/>
                <w:sz w:val="30"/>
                <w:szCs w:val="30"/>
              </w:rPr>
            </w:pPr>
            <w:r>
              <w:rPr>
                <w:rFonts w:hint="eastAsia" w:ascii="仿宋" w:hAnsi="仿宋" w:eastAsia="仿宋" w:cs="仿宋"/>
                <w:sz w:val="30"/>
                <w:szCs w:val="30"/>
              </w:rPr>
              <w:t>5</w:t>
            </w:r>
          </w:p>
        </w:tc>
        <w:tc>
          <w:tcPr>
            <w:tcW w:w="8434" w:type="dxa"/>
            <w:gridSpan w:val="3"/>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108" w:firstLine="0"/>
              <w:jc w:val="left"/>
              <w:rPr>
                <w:rFonts w:hint="eastAsia" w:ascii="仿宋" w:hAnsi="仿宋" w:eastAsia="仿宋" w:cs="仿宋"/>
                <w:sz w:val="30"/>
                <w:szCs w:val="30"/>
              </w:rPr>
            </w:pPr>
            <w:r>
              <w:rPr>
                <w:rFonts w:hint="eastAsia" w:ascii="仿宋" w:hAnsi="仿宋" w:eastAsia="仿宋" w:cs="仿宋"/>
                <w:sz w:val="30"/>
                <w:szCs w:val="30"/>
              </w:rPr>
              <w:t>全市本系统本月开展随机抽查情况</w:t>
            </w:r>
          </w:p>
        </w:tc>
      </w:tr>
      <w:tr>
        <w:tblPrEx>
          <w:tblCellMar>
            <w:top w:w="0" w:type="dxa"/>
            <w:left w:w="0" w:type="dxa"/>
            <w:bottom w:w="0" w:type="dxa"/>
            <w:right w:w="91" w:type="dxa"/>
          </w:tblCellMar>
        </w:tblPrEx>
        <w:trPr>
          <w:trHeight w:val="936" w:hRule="atLeast"/>
        </w:trPr>
        <w:tc>
          <w:tcPr>
            <w:tcW w:w="0" w:type="auto"/>
            <w:vMerge w:val="continue"/>
            <w:tcBorders>
              <w:top w:val="nil"/>
              <w:left w:val="single" w:color="000000" w:sz="2" w:space="0"/>
              <w:bottom w:val="single" w:color="000000" w:sz="2" w:space="0"/>
              <w:right w:val="single" w:color="000000" w:sz="2" w:space="0"/>
            </w:tcBorders>
          </w:tcPr>
          <w:p>
            <w:pPr>
              <w:spacing w:after="160" w:line="259" w:lineRule="auto"/>
              <w:ind w:left="0" w:firstLine="0"/>
              <w:jc w:val="left"/>
              <w:rPr>
                <w:rFonts w:hint="eastAsia" w:ascii="仿宋" w:hAnsi="仿宋" w:eastAsia="仿宋" w:cs="仿宋"/>
                <w:sz w:val="30"/>
                <w:szCs w:val="30"/>
              </w:rPr>
            </w:pPr>
          </w:p>
        </w:tc>
        <w:tc>
          <w:tcPr>
            <w:tcW w:w="8434" w:type="dxa"/>
            <w:gridSpan w:val="3"/>
            <w:tcBorders>
              <w:top w:val="single" w:color="000000" w:sz="2" w:space="0"/>
              <w:left w:val="single" w:color="000000" w:sz="2" w:space="0"/>
              <w:bottom w:val="single" w:color="000000" w:sz="2" w:space="0"/>
              <w:right w:val="single" w:color="000000" w:sz="2" w:space="0"/>
            </w:tcBorders>
            <w:vAlign w:val="center"/>
          </w:tcPr>
          <w:p>
            <w:pPr>
              <w:spacing w:after="0" w:line="259" w:lineRule="auto"/>
              <w:ind w:left="0" w:leftChars="0" w:firstLine="0" w:firstLineChars="0"/>
              <w:jc w:val="left"/>
              <w:rPr>
                <w:rFonts w:hint="eastAsia" w:ascii="仿宋" w:hAnsi="仿宋" w:eastAsia="仿宋" w:cs="仿宋"/>
                <w:sz w:val="30"/>
                <w:szCs w:val="30"/>
              </w:rPr>
            </w:pPr>
            <w:r>
              <w:rPr>
                <w:rFonts w:hint="eastAsia" w:ascii="仿宋" w:hAnsi="仿宋" w:eastAsia="仿宋" w:cs="仿宋"/>
                <w:sz w:val="28"/>
                <w:szCs w:val="28"/>
              </w:rPr>
              <w:t>（开展的单位及抽查检查主体数量及抽查结果公示数量等情况</w:t>
            </w:r>
            <w:r>
              <w:rPr>
                <w:rFonts w:hint="eastAsia" w:ascii="仿宋" w:hAnsi="仿宋" w:eastAsia="仿宋" w:cs="仿宋"/>
                <w:sz w:val="30"/>
                <w:szCs w:val="30"/>
              </w:rPr>
              <w:t>）</w:t>
            </w:r>
          </w:p>
        </w:tc>
      </w:tr>
    </w:tbl>
    <w:p>
      <w:pPr>
        <w:tabs>
          <w:tab w:val="center" w:pos="6097"/>
        </w:tabs>
        <w:spacing w:line="259" w:lineRule="auto"/>
        <w:ind w:left="0" w:firstLine="0"/>
        <w:jc w:val="left"/>
        <w:rPr>
          <w:rFonts w:hint="eastAsia" w:ascii="仿宋" w:hAnsi="仿宋" w:eastAsia="仿宋" w:cs="仿宋"/>
          <w:sz w:val="32"/>
          <w:szCs w:val="32"/>
        </w:rPr>
      </w:pPr>
      <w:r>
        <w:rPr>
          <w:rFonts w:hint="eastAsia" w:ascii="仿宋" w:hAnsi="仿宋" w:eastAsia="仿宋" w:cs="仿宋"/>
          <w:sz w:val="30"/>
          <w:szCs w:val="30"/>
        </w:rPr>
        <w:t>联系人：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ab/>
      </w:r>
      <w:r>
        <w:rPr>
          <w:rFonts w:hint="eastAsia" w:ascii="仿宋" w:hAnsi="仿宋" w:eastAsia="仿宋" w:cs="仿宋"/>
          <w:sz w:val="30"/>
          <w:szCs w:val="30"/>
        </w:rPr>
        <w:t>手机：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2"/>
          <w:szCs w:val="32"/>
        </w:rPr>
        <w:drawing>
          <wp:inline distT="0" distB="0" distL="0" distR="0">
            <wp:extent cx="4445" cy="4445"/>
            <wp:effectExtent l="0" t="0" r="0" b="0"/>
            <wp:docPr id="40035" name="Picture 40035"/>
            <wp:cNvGraphicFramePr/>
            <a:graphic xmlns:a="http://schemas.openxmlformats.org/drawingml/2006/main">
              <a:graphicData uri="http://schemas.openxmlformats.org/drawingml/2006/picture">
                <pic:pic xmlns:pic="http://schemas.openxmlformats.org/drawingml/2006/picture">
                  <pic:nvPicPr>
                    <pic:cNvPr id="40035" name="Picture 40035"/>
                    <pic:cNvPicPr/>
                  </pic:nvPicPr>
                  <pic:blipFill>
                    <a:blip r:embed="rId11"/>
                    <a:stretch>
                      <a:fillRect/>
                    </a:stretch>
                  </pic:blipFill>
                  <pic:spPr>
                    <a:xfrm>
                      <a:off x="0" y="0"/>
                      <a:ext cx="4573" cy="4573"/>
                    </a:xfrm>
                    <a:prstGeom prst="rect">
                      <a:avLst/>
                    </a:prstGeom>
                  </pic:spPr>
                </pic:pic>
              </a:graphicData>
            </a:graphic>
          </wp:inline>
        </w:drawing>
      </w:r>
    </w:p>
    <w:sectPr>
      <w:pgSz w:w="11920" w:h="16840"/>
      <w:pgMar w:top="1440" w:right="1349" w:bottom="1440"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FB"/>
    <w:rsid w:val="00087E2A"/>
    <w:rsid w:val="001D77FB"/>
    <w:rsid w:val="003F522E"/>
    <w:rsid w:val="039342FD"/>
    <w:rsid w:val="144C07CF"/>
    <w:rsid w:val="15D452B3"/>
    <w:rsid w:val="16694938"/>
    <w:rsid w:val="1BA72482"/>
    <w:rsid w:val="29471760"/>
    <w:rsid w:val="2DE22A34"/>
    <w:rsid w:val="316243D9"/>
    <w:rsid w:val="38E35E68"/>
    <w:rsid w:val="3BB001F7"/>
    <w:rsid w:val="4DB51963"/>
    <w:rsid w:val="4F700D42"/>
    <w:rsid w:val="584371C2"/>
    <w:rsid w:val="5CA31D09"/>
    <w:rsid w:val="5E935E99"/>
    <w:rsid w:val="62515736"/>
    <w:rsid w:val="73FE54BD"/>
    <w:rsid w:val="74EE301A"/>
    <w:rsid w:val="7D44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16" w:lineRule="auto"/>
      <w:ind w:left="158" w:firstLine="797"/>
      <w:jc w:val="both"/>
    </w:pPr>
    <w:rPr>
      <w:rFonts w:ascii="微软雅黑" w:hAnsi="微软雅黑" w:eastAsia="微软雅黑" w:cs="微软雅黑"/>
      <w:color w:val="000000"/>
      <w:kern w:val="2"/>
      <w:sz w:val="30"/>
      <w:szCs w:val="22"/>
      <w:lang w:val="en-US" w:eastAsia="zh-CN" w:bidi="ar-SA"/>
    </w:rPr>
  </w:style>
  <w:style w:type="paragraph" w:styleId="2">
    <w:name w:val="heading 1"/>
    <w:next w:val="1"/>
    <w:link w:val="9"/>
    <w:qFormat/>
    <w:uiPriority w:val="9"/>
    <w:pPr>
      <w:keepNext/>
      <w:keepLines/>
      <w:spacing w:line="259" w:lineRule="auto"/>
      <w:ind w:left="759" w:hanging="10"/>
      <w:outlineLvl w:val="0"/>
    </w:pPr>
    <w:rPr>
      <w:rFonts w:ascii="微软雅黑" w:hAnsi="微软雅黑" w:eastAsia="微软雅黑" w:cs="微软雅黑"/>
      <w:color w:val="000000"/>
      <w:kern w:val="2"/>
      <w:sz w:val="32"/>
      <w:szCs w:val="22"/>
      <w:lang w:val="en-US" w:eastAsia="zh-CN" w:bidi="ar-SA"/>
    </w:rPr>
  </w:style>
  <w:style w:type="character" w:default="1" w:styleId="6">
    <w:name w:val="Default Paragraph Font"/>
    <w:link w:val="7"/>
    <w:semiHidden/>
    <w:unhideWhenUsed/>
    <w:qFormat/>
    <w:uiPriority w:val="1"/>
    <w:rPr>
      <w:rFonts w:ascii="Calibri" w:hAnsi="Calibri"/>
    </w:rPr>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har"/>
    <w:basedOn w:val="1"/>
    <w:link w:val="6"/>
    <w:qFormat/>
    <w:uiPriority w:val="0"/>
    <w:rPr>
      <w:rFonts w:ascii="Calibri" w:hAnsi="Calibri"/>
    </w:rPr>
  </w:style>
  <w:style w:type="character" w:styleId="8">
    <w:name w:val="page number"/>
    <w:basedOn w:val="6"/>
    <w:qFormat/>
    <w:uiPriority w:val="0"/>
  </w:style>
  <w:style w:type="character" w:customStyle="1" w:styleId="9">
    <w:name w:val="标题 1 字符"/>
    <w:link w:val="2"/>
    <w:qFormat/>
    <w:uiPriority w:val="0"/>
    <w:rPr>
      <w:rFonts w:ascii="微软雅黑" w:hAnsi="微软雅黑" w:eastAsia="微软雅黑" w:cs="微软雅黑"/>
      <w:color w:val="000000"/>
      <w:sz w:val="32"/>
    </w:rPr>
  </w:style>
  <w:style w:type="table" w:customStyle="1" w:styleId="10">
    <w:name w:val="TableGrid"/>
    <w:qFormat/>
    <w:uiPriority w:val="0"/>
    <w:tblPr>
      <w:tblCellMar>
        <w:top w:w="0" w:type="dxa"/>
        <w:left w:w="0" w:type="dxa"/>
        <w:bottom w:w="0" w:type="dxa"/>
        <w:right w:w="0" w:type="dxa"/>
      </w:tblCellMar>
    </w:tblPr>
  </w:style>
  <w:style w:type="character" w:customStyle="1" w:styleId="11">
    <w:name w:val="页眉 字符"/>
    <w:basedOn w:val="6"/>
    <w:link w:val="4"/>
    <w:qFormat/>
    <w:uiPriority w:val="99"/>
    <w:rPr>
      <w:rFonts w:ascii="微软雅黑" w:hAnsi="微软雅黑" w:eastAsia="微软雅黑" w:cs="微软雅黑"/>
      <w:color w:val="000000"/>
      <w:sz w:val="18"/>
      <w:szCs w:val="18"/>
    </w:rPr>
  </w:style>
  <w:style w:type="character" w:customStyle="1" w:styleId="12">
    <w:name w:val="页脚 字符"/>
    <w:basedOn w:val="6"/>
    <w:link w:val="3"/>
    <w:qFormat/>
    <w:uiPriority w:val="99"/>
    <w:rPr>
      <w:rFonts w:ascii="微软雅黑" w:hAnsi="微软雅黑" w:eastAsia="微软雅黑" w:cs="微软雅黑"/>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919</Words>
  <Characters>5244</Characters>
  <Lines>43</Lines>
  <Paragraphs>12</Paragraphs>
  <TotalTime>2</TotalTime>
  <ScaleCrop>false</ScaleCrop>
  <LinksUpToDate>false</LinksUpToDate>
  <CharactersWithSpaces>6151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2020-01-20T07:54:00Z</dcterms:created>
  <dc:creator>成一 郭</dc:creator>
  <cp:lastModifiedBy>Administrator</cp:lastModifiedBy>
  <dcterms:modified xsi:type="dcterms:W3CDTF">2020-03-07T07:51:24Z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