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  <w:lang w:eastAsia="zh-CN"/>
        </w:rPr>
        <w:t>2017</w:t>
      </w:r>
      <w:r>
        <w:rPr>
          <w:rFonts w:hint="eastAsia"/>
          <w:b/>
          <w:bCs/>
          <w:sz w:val="48"/>
          <w:szCs w:val="48"/>
        </w:rPr>
        <w:t>年</w:t>
      </w:r>
      <w:r>
        <w:rPr>
          <w:rFonts w:hint="eastAsia"/>
          <w:b/>
          <w:bCs/>
          <w:sz w:val="48"/>
          <w:szCs w:val="48"/>
          <w:lang w:eastAsia="zh-CN"/>
        </w:rPr>
        <w:t>馆陶县</w:t>
      </w:r>
      <w:r>
        <w:rPr>
          <w:rFonts w:hint="eastAsia"/>
          <w:b/>
          <w:bCs/>
          <w:sz w:val="48"/>
          <w:szCs w:val="48"/>
        </w:rPr>
        <w:t>决算公开有关情况的说明</w:t>
      </w:r>
    </w:p>
    <w:p>
      <w:pPr>
        <w:rPr>
          <w:rFonts w:hint="eastAsia"/>
        </w:rPr>
      </w:pPr>
    </w:p>
    <w:p>
      <w:pPr>
        <w:rPr>
          <w:rFonts w:hint="eastAsia"/>
          <w:sz w:val="30"/>
          <w:szCs w:val="30"/>
        </w:rPr>
      </w:pPr>
    </w:p>
    <w:p>
      <w:pPr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、一般公共预算财政转移支付安排、执行情况说明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2017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年度，上级对我县一般公共预算转移支付总计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120676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万元，其中：返还性收入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3473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万元、一般性转移支付收入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84410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万元、专项转移支付收入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32793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万元。上解上级支出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-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438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万元。</w:t>
      </w:r>
    </w:p>
    <w:p>
      <w:pPr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、举借债务情况说明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2017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年，我县政府债务余额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限额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114004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元，其中一般债务余额限额为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78640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万元，专项债务余额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限额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35364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万元。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2017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年地方政府债务还本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10562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万元。截至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2017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年底，我县地方政府债务余额为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108496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万元，其中一般债务余额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73189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万元，专项债务余额为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35307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万元。</w:t>
      </w:r>
    </w:p>
    <w:p>
      <w:pPr>
        <w:tabs>
          <w:tab w:val="left" w:pos="344"/>
        </w:tabs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、“三公”经费支出情况说明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馆陶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县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2017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年度三公经费支出合计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359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万元，其中因公出国支出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万元，公务用车购置及运行维护支出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319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万元，公务接待支出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40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万元。主要是我县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2017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年严格按照中八项规定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要求，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加强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预算约束力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资金管理，严格落实公务用车改革，大力压减“三公”经费支出，取得了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显著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，县“三公”经费只减不增的控制目标，取得良好成效。</w:t>
      </w:r>
    </w:p>
    <w:p>
      <w:pPr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、行政运行经费支出情况说明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据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2017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年部门决算汇总显示，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2017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年全县机关运行经费合计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16361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万元，</w:t>
      </w:r>
    </w:p>
    <w:p>
      <w:pPr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、本级政府采购情况说明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据统计，201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 xml:space="preserve"> 年我县政府采购预算为 68231 万元。未编报政府采购预算的部门单位，一律停止办理政府采购项目。政府采购预算一经批复，各单位应严格按照批准的政府采购预算办理政府采购执行计划。未列入政府采购预算的项目，不得实施政府采购计划。年度内确因工作原因，需调整政府采购预算的，应按预算调整的相关手续办理。</w:t>
      </w:r>
    </w:p>
    <w:p>
      <w:pPr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、绩效预算工作开展情况说明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推进绩效预算管理改革，进一步规范财政支出绩效评价工作，在《深化绩效预算管理改革实施方案》中，明确了绩效监督评价机制和相关制度，将财政监督的重点由合规性检查，转向合规性与监督评价并重；明确预算绩效与预算安排挂钩机制，对绩效评价结果未达到预期绩效目标的预算部门和单位，在安排2018年预算时，从严控制和审核项目资金预算，调整或削减项目资金预算。建立了绩效评价报告制度和绩效问责制度，推行绩效信息公开，财政绩效评价结束后，县财政局形成总体绩效评价报告报县政府，提出整改意见反馈部门，并在一定范围内进行通报；县财政局将重点项目绩效评价内容公开，各部门对绩效自评结果进行公开。对未达到绩效目标的部门、单位及责任人员，根据有关规定实施绩效问责。同时建立了县财政风险运行监控机制，通过设立风险点、风险类型和风险级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别，对县级财政运行进行监控，及时发现、预警和排除风险。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我们将积极落实省市关于绩效预算管理改革要求，重点在绩效预算编制、执行、评价、应用及基础工作有所突破。主要工作安排如下：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提高绩效预算编制科学性。按照省厅绩效预算改革的要求，在编制绩效预算时，要以绩效为导向，要明确各项职责活动的绩效目标，根据这些绩效目标确定所要承担的项目和预算。要求预算单位以下一年的总体发展规划为突破口，确定总体目标，在归纳提炼的职责活动下，明确年度绩效目标，把目标任务明确以后，再提具体项目要求，改变原来单位随便提项目的状况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（二）注重财政支出绩效评价的深度。今年我们在扩大绩效评价范围的基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上更加注重绩效评价的深度。一是按照三级绩效预算管理结构开展部门职责、工作活动层面绩效评价。二是选择财政资金量比较大、社会关注度高的项目开展重点评价，合理扩大绩效评价范围。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三）强化绩效评价结果应用。一是要加强预算管理制度建设与评价结果应用的有机衔接，切实将评价结果作为安排以后年度预算、完善管理制度的重要依据，作为推进其他工作的重要手段。二是逐步推进评价结果通过网络等媒体在一定范围内向社会公布，接受社会监督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四）夯实绩效管理基础。一是健全评价指标体系。在现有绩效指标的基础上，加快对绩效指标的研究设计和修订补充，逐步形成涵盖各类支出，符合目标内容，突出绩效特色，细化、量化的统一绩效指标；采用科学的方法，合理设置权重，构建体现相关性、重要性、系统性、经济性原则的绩效评价指标体系。二是加强人员培训，加大宣传力度。加强绩效管理人员的培训力度，不断提高他们绩效管理的思想认识和业务能力；充分利用各类媒体，切实加强舆论引导，大力倡导预算绩效管理理念，共同营造“讲绩效、重绩效、用绩效”的良好社会氛围。 六、其他重要事项的解释说明。 国有资本经营预算按照收支平衡的原则编制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不列赤字。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因我县没有国有资本经营收入，故未编制国有资本经营预算，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所以关于国有资本经营收支的表格均没有数据。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A0230"/>
    <w:rsid w:val="03D40183"/>
    <w:rsid w:val="0A282EAD"/>
    <w:rsid w:val="1AD95B4F"/>
    <w:rsid w:val="1F4E0E0C"/>
    <w:rsid w:val="37687BF1"/>
    <w:rsid w:val="38644B5E"/>
    <w:rsid w:val="44482F7F"/>
    <w:rsid w:val="4E234BB8"/>
    <w:rsid w:val="5EBA0230"/>
    <w:rsid w:val="64EC042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1236</TotalTime>
  <ScaleCrop>false</ScaleCrop>
  <LinksUpToDate>false</LinksUpToDate>
  <CharactersWithSpaces>0</CharactersWithSpaces>
  <Application>WPS Office_10.8.2.6873_F1E327BC-269C-435d-A152-05C5408002CA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2018-11-01T02:17:00Z</dcterms:created>
  <dc:creator>淸淺</dc:creator>
  <cp:lastModifiedBy>Administrator</cp:lastModifiedBy>
  <dcterms:modified xsi:type="dcterms:W3CDTF">2023-11-25T06:55:43Z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2052-10.8.2.6873</vt:lpwstr>
  </property>
</Properties>
</file>