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一、馆陶县综合行政执法局本级收支预算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2256.27</w:t>
            </w:r>
          </w:p>
        </w:tc>
        <w:tc>
          <w:tcPr>
            <w:tcW w:w="4535" w:type="dxa"/>
            <w:vAlign w:val="center"/>
          </w:tcPr>
          <w:p>
            <w:pPr>
              <w:pStyle w:val="12"/>
            </w:pPr>
            <w:r>
              <w:t>一、一般公共服务支出</w:t>
            </w:r>
          </w:p>
        </w:tc>
        <w:tc>
          <w:tcPr>
            <w:tcW w:w="2126" w:type="dxa"/>
            <w:vAlign w:val="center"/>
          </w:tcPr>
          <w:p>
            <w:pPr>
              <w:pStyle w:val="11"/>
            </w:pPr>
            <w:r>
              <w:t>1082.30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2070.00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2653.00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4326.27</w:t>
            </w:r>
          </w:p>
        </w:tc>
        <w:tc>
          <w:tcPr>
            <w:tcW w:w="4535" w:type="dxa"/>
            <w:vAlign w:val="center"/>
          </w:tcPr>
          <w:p>
            <w:pPr>
              <w:pStyle w:val="14"/>
            </w:pPr>
            <w:r>
              <w:t>本年支出合计</w:t>
            </w:r>
          </w:p>
        </w:tc>
        <w:tc>
          <w:tcPr>
            <w:tcW w:w="2126" w:type="dxa"/>
            <w:vAlign w:val="center"/>
          </w:tcPr>
          <w:p>
            <w:pPr>
              <w:pStyle w:val="15"/>
            </w:pPr>
            <w:r>
              <w:t>4326.27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4326.27</w:t>
            </w:r>
          </w:p>
        </w:tc>
        <w:tc>
          <w:tcPr>
            <w:tcW w:w="4535" w:type="dxa"/>
            <w:vAlign w:val="center"/>
          </w:tcPr>
          <w:p>
            <w:pPr>
              <w:pStyle w:val="14"/>
            </w:pPr>
            <w:r>
              <w:t>支出总计</w:t>
            </w:r>
          </w:p>
        </w:tc>
        <w:tc>
          <w:tcPr>
            <w:tcW w:w="2126" w:type="dxa"/>
            <w:vAlign w:val="center"/>
          </w:tcPr>
          <w:p>
            <w:pPr>
              <w:pStyle w:val="15"/>
            </w:pPr>
            <w:r>
              <w:t>4326.27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4326.27</w:t>
            </w:r>
          </w:p>
        </w:tc>
        <w:tc>
          <w:tcPr>
            <w:tcW w:w="1134" w:type="dxa"/>
            <w:vAlign w:val="center"/>
          </w:tcPr>
          <w:p>
            <w:pPr>
              <w:pStyle w:val="15"/>
            </w:pPr>
            <w:r>
              <w:t>4326.27</w:t>
            </w:r>
          </w:p>
        </w:tc>
        <w:tc>
          <w:tcPr>
            <w:tcW w:w="1134" w:type="dxa"/>
            <w:vAlign w:val="center"/>
          </w:tcPr>
          <w:p>
            <w:pPr>
              <w:pStyle w:val="15"/>
            </w:pPr>
            <w:r>
              <w:t>4326.27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1082.30</w:t>
            </w:r>
          </w:p>
        </w:tc>
        <w:tc>
          <w:tcPr>
            <w:tcW w:w="1134" w:type="dxa"/>
            <w:vAlign w:val="center"/>
          </w:tcPr>
          <w:p>
            <w:pPr>
              <w:pStyle w:val="11"/>
            </w:pPr>
            <w:r>
              <w:t>1082.30</w:t>
            </w:r>
          </w:p>
        </w:tc>
        <w:tc>
          <w:tcPr>
            <w:tcW w:w="1134" w:type="dxa"/>
            <w:vAlign w:val="center"/>
          </w:tcPr>
          <w:p>
            <w:pPr>
              <w:pStyle w:val="11"/>
            </w:pPr>
            <w:r>
              <w:t>1082.30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1082.30</w:t>
            </w:r>
          </w:p>
        </w:tc>
        <w:tc>
          <w:tcPr>
            <w:tcW w:w="1134" w:type="dxa"/>
            <w:vAlign w:val="center"/>
          </w:tcPr>
          <w:p>
            <w:pPr>
              <w:pStyle w:val="11"/>
            </w:pPr>
            <w:r>
              <w:t>1082.30</w:t>
            </w:r>
          </w:p>
        </w:tc>
        <w:tc>
          <w:tcPr>
            <w:tcW w:w="1134" w:type="dxa"/>
            <w:vAlign w:val="center"/>
          </w:tcPr>
          <w:p>
            <w:pPr>
              <w:pStyle w:val="11"/>
            </w:pPr>
            <w:r>
              <w:t>1082.30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1082.30</w:t>
            </w:r>
          </w:p>
        </w:tc>
        <w:tc>
          <w:tcPr>
            <w:tcW w:w="1134" w:type="dxa"/>
            <w:vAlign w:val="center"/>
          </w:tcPr>
          <w:p>
            <w:pPr>
              <w:pStyle w:val="11"/>
            </w:pPr>
            <w:r>
              <w:t>1082.30</w:t>
            </w:r>
          </w:p>
        </w:tc>
        <w:tc>
          <w:tcPr>
            <w:tcW w:w="1134" w:type="dxa"/>
            <w:vAlign w:val="center"/>
          </w:tcPr>
          <w:p>
            <w:pPr>
              <w:pStyle w:val="11"/>
            </w:pPr>
            <w:r>
              <w:t>1082.30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457.67</w:t>
            </w:r>
          </w:p>
        </w:tc>
        <w:tc>
          <w:tcPr>
            <w:tcW w:w="1134" w:type="dxa"/>
            <w:vAlign w:val="center"/>
          </w:tcPr>
          <w:p>
            <w:pPr>
              <w:pStyle w:val="11"/>
            </w:pPr>
            <w:r>
              <w:t>457.67</w:t>
            </w:r>
          </w:p>
        </w:tc>
        <w:tc>
          <w:tcPr>
            <w:tcW w:w="1134" w:type="dxa"/>
            <w:vAlign w:val="center"/>
          </w:tcPr>
          <w:p>
            <w:pPr>
              <w:pStyle w:val="11"/>
            </w:pPr>
            <w:r>
              <w:t>457.67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457.67</w:t>
            </w:r>
          </w:p>
        </w:tc>
        <w:tc>
          <w:tcPr>
            <w:tcW w:w="1134" w:type="dxa"/>
            <w:vAlign w:val="center"/>
          </w:tcPr>
          <w:p>
            <w:pPr>
              <w:pStyle w:val="11"/>
            </w:pPr>
            <w:r>
              <w:t>457.67</w:t>
            </w:r>
          </w:p>
        </w:tc>
        <w:tc>
          <w:tcPr>
            <w:tcW w:w="1134" w:type="dxa"/>
            <w:vAlign w:val="center"/>
          </w:tcPr>
          <w:p>
            <w:pPr>
              <w:pStyle w:val="11"/>
            </w:pPr>
            <w:r>
              <w:t>457.67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394.67</w:t>
            </w:r>
          </w:p>
        </w:tc>
        <w:tc>
          <w:tcPr>
            <w:tcW w:w="1134" w:type="dxa"/>
            <w:vAlign w:val="center"/>
          </w:tcPr>
          <w:p>
            <w:pPr>
              <w:pStyle w:val="11"/>
            </w:pPr>
            <w:r>
              <w:t>394.67</w:t>
            </w:r>
          </w:p>
        </w:tc>
        <w:tc>
          <w:tcPr>
            <w:tcW w:w="1134" w:type="dxa"/>
            <w:vAlign w:val="center"/>
          </w:tcPr>
          <w:p>
            <w:pPr>
              <w:pStyle w:val="11"/>
            </w:pPr>
            <w:r>
              <w:t>394.67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63.00</w:t>
            </w:r>
          </w:p>
        </w:tc>
        <w:tc>
          <w:tcPr>
            <w:tcW w:w="1134" w:type="dxa"/>
            <w:vAlign w:val="center"/>
          </w:tcPr>
          <w:p>
            <w:pPr>
              <w:pStyle w:val="11"/>
            </w:pPr>
            <w:r>
              <w:t>63.00</w:t>
            </w:r>
          </w:p>
        </w:tc>
        <w:tc>
          <w:tcPr>
            <w:tcW w:w="1134" w:type="dxa"/>
            <w:vAlign w:val="center"/>
          </w:tcPr>
          <w:p>
            <w:pPr>
              <w:pStyle w:val="11"/>
            </w:pPr>
            <w:r>
              <w:t>63.00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60.30</w:t>
            </w:r>
          </w:p>
        </w:tc>
        <w:tc>
          <w:tcPr>
            <w:tcW w:w="1134" w:type="dxa"/>
            <w:vAlign w:val="center"/>
          </w:tcPr>
          <w:p>
            <w:pPr>
              <w:pStyle w:val="11"/>
            </w:pPr>
            <w:r>
              <w:t>60.30</w:t>
            </w:r>
          </w:p>
        </w:tc>
        <w:tc>
          <w:tcPr>
            <w:tcW w:w="1134" w:type="dxa"/>
            <w:vAlign w:val="center"/>
          </w:tcPr>
          <w:p>
            <w:pPr>
              <w:pStyle w:val="11"/>
            </w:pPr>
            <w:r>
              <w:t>60.30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60.30</w:t>
            </w:r>
          </w:p>
        </w:tc>
        <w:tc>
          <w:tcPr>
            <w:tcW w:w="1134" w:type="dxa"/>
            <w:vAlign w:val="center"/>
          </w:tcPr>
          <w:p>
            <w:pPr>
              <w:pStyle w:val="11"/>
            </w:pPr>
            <w:r>
              <w:t>60.30</w:t>
            </w:r>
          </w:p>
        </w:tc>
        <w:tc>
          <w:tcPr>
            <w:tcW w:w="1134" w:type="dxa"/>
            <w:vAlign w:val="center"/>
          </w:tcPr>
          <w:p>
            <w:pPr>
              <w:pStyle w:val="11"/>
            </w:pPr>
            <w:r>
              <w:t>60.30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60.30</w:t>
            </w:r>
          </w:p>
        </w:tc>
        <w:tc>
          <w:tcPr>
            <w:tcW w:w="1134" w:type="dxa"/>
            <w:vAlign w:val="center"/>
          </w:tcPr>
          <w:p>
            <w:pPr>
              <w:pStyle w:val="11"/>
            </w:pPr>
            <w:r>
              <w:t>60.30</w:t>
            </w:r>
          </w:p>
        </w:tc>
        <w:tc>
          <w:tcPr>
            <w:tcW w:w="1134" w:type="dxa"/>
            <w:vAlign w:val="center"/>
          </w:tcPr>
          <w:p>
            <w:pPr>
              <w:pStyle w:val="11"/>
            </w:pPr>
            <w:r>
              <w:t>60.30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2653.00</w:t>
            </w:r>
          </w:p>
        </w:tc>
        <w:tc>
          <w:tcPr>
            <w:tcW w:w="1134" w:type="dxa"/>
            <w:vAlign w:val="center"/>
          </w:tcPr>
          <w:p>
            <w:pPr>
              <w:pStyle w:val="11"/>
            </w:pPr>
            <w:r>
              <w:t>2653.00</w:t>
            </w:r>
          </w:p>
        </w:tc>
        <w:tc>
          <w:tcPr>
            <w:tcW w:w="1134" w:type="dxa"/>
            <w:vAlign w:val="center"/>
          </w:tcPr>
          <w:p>
            <w:pPr>
              <w:pStyle w:val="11"/>
            </w:pPr>
            <w:r>
              <w:t>2653.00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578.00</w:t>
            </w:r>
          </w:p>
        </w:tc>
        <w:tc>
          <w:tcPr>
            <w:tcW w:w="1134" w:type="dxa"/>
            <w:vAlign w:val="center"/>
          </w:tcPr>
          <w:p>
            <w:pPr>
              <w:pStyle w:val="11"/>
            </w:pPr>
            <w:r>
              <w:t>578.00</w:t>
            </w:r>
          </w:p>
        </w:tc>
        <w:tc>
          <w:tcPr>
            <w:tcW w:w="1134" w:type="dxa"/>
            <w:vAlign w:val="center"/>
          </w:tcPr>
          <w:p>
            <w:pPr>
              <w:pStyle w:val="11"/>
            </w:pPr>
            <w:r>
              <w:t>578.00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14</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578.00</w:t>
            </w:r>
          </w:p>
        </w:tc>
        <w:tc>
          <w:tcPr>
            <w:tcW w:w="1134" w:type="dxa"/>
            <w:vAlign w:val="center"/>
          </w:tcPr>
          <w:p>
            <w:pPr>
              <w:pStyle w:val="11"/>
            </w:pPr>
            <w:r>
              <w:t>578.00</w:t>
            </w:r>
          </w:p>
        </w:tc>
        <w:tc>
          <w:tcPr>
            <w:tcW w:w="1134" w:type="dxa"/>
            <w:vAlign w:val="center"/>
          </w:tcPr>
          <w:p>
            <w:pPr>
              <w:pStyle w:val="11"/>
            </w:pPr>
            <w:r>
              <w:t>578.00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2070.00</w:t>
            </w:r>
          </w:p>
        </w:tc>
        <w:tc>
          <w:tcPr>
            <w:tcW w:w="1134" w:type="dxa"/>
            <w:vAlign w:val="center"/>
          </w:tcPr>
          <w:p>
            <w:pPr>
              <w:pStyle w:val="11"/>
            </w:pPr>
            <w:r>
              <w:t>2070.00</w:t>
            </w:r>
          </w:p>
        </w:tc>
        <w:tc>
          <w:tcPr>
            <w:tcW w:w="1134" w:type="dxa"/>
            <w:vAlign w:val="center"/>
          </w:tcPr>
          <w:p>
            <w:pPr>
              <w:pStyle w:val="11"/>
            </w:pPr>
            <w:r>
              <w:t>2070.00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2070.00</w:t>
            </w:r>
          </w:p>
        </w:tc>
        <w:tc>
          <w:tcPr>
            <w:tcW w:w="1134" w:type="dxa"/>
            <w:vAlign w:val="center"/>
          </w:tcPr>
          <w:p>
            <w:pPr>
              <w:pStyle w:val="11"/>
            </w:pPr>
            <w:r>
              <w:t>2070.00</w:t>
            </w:r>
          </w:p>
        </w:tc>
        <w:tc>
          <w:tcPr>
            <w:tcW w:w="1134" w:type="dxa"/>
            <w:vAlign w:val="center"/>
          </w:tcPr>
          <w:p>
            <w:pPr>
              <w:pStyle w:val="11"/>
            </w:pPr>
            <w:r>
              <w:t>2070.00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r>
              <w:t>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4326.27</w:t>
            </w:r>
          </w:p>
        </w:tc>
        <w:tc>
          <w:tcPr>
            <w:tcW w:w="1361" w:type="dxa"/>
            <w:vAlign w:val="center"/>
          </w:tcPr>
          <w:p>
            <w:pPr>
              <w:pStyle w:val="15"/>
            </w:pPr>
            <w:r>
              <w:t>1673.27</w:t>
            </w:r>
          </w:p>
        </w:tc>
        <w:tc>
          <w:tcPr>
            <w:tcW w:w="1361" w:type="dxa"/>
            <w:vAlign w:val="center"/>
          </w:tcPr>
          <w:p>
            <w:pPr>
              <w:pStyle w:val="15"/>
            </w:pPr>
            <w:r>
              <w:t>2653.00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1082.30</w:t>
            </w:r>
          </w:p>
        </w:tc>
        <w:tc>
          <w:tcPr>
            <w:tcW w:w="1361" w:type="dxa"/>
            <w:vAlign w:val="center"/>
          </w:tcPr>
          <w:p>
            <w:pPr>
              <w:pStyle w:val="11"/>
            </w:pPr>
            <w:r>
              <w:t>1082.30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1082.30</w:t>
            </w:r>
          </w:p>
        </w:tc>
        <w:tc>
          <w:tcPr>
            <w:tcW w:w="1361" w:type="dxa"/>
            <w:vAlign w:val="center"/>
          </w:tcPr>
          <w:p>
            <w:pPr>
              <w:pStyle w:val="11"/>
            </w:pPr>
            <w:r>
              <w:t>1082.30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1082.30</w:t>
            </w:r>
          </w:p>
        </w:tc>
        <w:tc>
          <w:tcPr>
            <w:tcW w:w="1361" w:type="dxa"/>
            <w:vAlign w:val="center"/>
          </w:tcPr>
          <w:p>
            <w:pPr>
              <w:pStyle w:val="11"/>
            </w:pPr>
            <w:r>
              <w:t>1082.30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457.67</w:t>
            </w:r>
          </w:p>
        </w:tc>
        <w:tc>
          <w:tcPr>
            <w:tcW w:w="1361" w:type="dxa"/>
            <w:vAlign w:val="center"/>
          </w:tcPr>
          <w:p>
            <w:pPr>
              <w:pStyle w:val="11"/>
            </w:pPr>
            <w:r>
              <w:t>457.67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457.67</w:t>
            </w:r>
          </w:p>
        </w:tc>
        <w:tc>
          <w:tcPr>
            <w:tcW w:w="1361" w:type="dxa"/>
            <w:vAlign w:val="center"/>
          </w:tcPr>
          <w:p>
            <w:pPr>
              <w:pStyle w:val="11"/>
            </w:pPr>
            <w:r>
              <w:t>457.67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394.67</w:t>
            </w:r>
          </w:p>
        </w:tc>
        <w:tc>
          <w:tcPr>
            <w:tcW w:w="1361" w:type="dxa"/>
            <w:vAlign w:val="center"/>
          </w:tcPr>
          <w:p>
            <w:pPr>
              <w:pStyle w:val="11"/>
            </w:pPr>
            <w:r>
              <w:t>394.67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63.00</w:t>
            </w:r>
          </w:p>
        </w:tc>
        <w:tc>
          <w:tcPr>
            <w:tcW w:w="1361" w:type="dxa"/>
            <w:vAlign w:val="center"/>
          </w:tcPr>
          <w:p>
            <w:pPr>
              <w:pStyle w:val="11"/>
            </w:pPr>
            <w:r>
              <w:t>63.00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60.30</w:t>
            </w:r>
          </w:p>
        </w:tc>
        <w:tc>
          <w:tcPr>
            <w:tcW w:w="1361" w:type="dxa"/>
            <w:vAlign w:val="center"/>
          </w:tcPr>
          <w:p>
            <w:pPr>
              <w:pStyle w:val="11"/>
            </w:pPr>
            <w:r>
              <w:t>60.30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60.30</w:t>
            </w:r>
          </w:p>
        </w:tc>
        <w:tc>
          <w:tcPr>
            <w:tcW w:w="1361" w:type="dxa"/>
            <w:vAlign w:val="center"/>
          </w:tcPr>
          <w:p>
            <w:pPr>
              <w:pStyle w:val="11"/>
            </w:pPr>
            <w:r>
              <w:t>60.30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60.30</w:t>
            </w:r>
          </w:p>
        </w:tc>
        <w:tc>
          <w:tcPr>
            <w:tcW w:w="1361" w:type="dxa"/>
            <w:vAlign w:val="center"/>
          </w:tcPr>
          <w:p>
            <w:pPr>
              <w:pStyle w:val="11"/>
            </w:pPr>
            <w:r>
              <w:t>60.30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2653.00</w:t>
            </w:r>
          </w:p>
        </w:tc>
        <w:tc>
          <w:tcPr>
            <w:tcW w:w="1361" w:type="dxa"/>
            <w:vAlign w:val="center"/>
          </w:tcPr>
          <w:p>
            <w:pPr>
              <w:pStyle w:val="11"/>
            </w:pPr>
          </w:p>
        </w:tc>
        <w:tc>
          <w:tcPr>
            <w:tcW w:w="1361" w:type="dxa"/>
            <w:vAlign w:val="center"/>
          </w:tcPr>
          <w:p>
            <w:pPr>
              <w:pStyle w:val="11"/>
            </w:pPr>
            <w:r>
              <w:t>2653.00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578.00</w:t>
            </w:r>
          </w:p>
        </w:tc>
        <w:tc>
          <w:tcPr>
            <w:tcW w:w="1361" w:type="dxa"/>
            <w:vAlign w:val="center"/>
          </w:tcPr>
          <w:p>
            <w:pPr>
              <w:pStyle w:val="11"/>
            </w:pPr>
          </w:p>
        </w:tc>
        <w:tc>
          <w:tcPr>
            <w:tcW w:w="1361" w:type="dxa"/>
            <w:vAlign w:val="center"/>
          </w:tcPr>
          <w:p>
            <w:pPr>
              <w:pStyle w:val="11"/>
            </w:pPr>
            <w:r>
              <w:t>578.00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578.00</w:t>
            </w:r>
          </w:p>
        </w:tc>
        <w:tc>
          <w:tcPr>
            <w:tcW w:w="1361" w:type="dxa"/>
            <w:vAlign w:val="center"/>
          </w:tcPr>
          <w:p>
            <w:pPr>
              <w:pStyle w:val="11"/>
            </w:pPr>
          </w:p>
        </w:tc>
        <w:tc>
          <w:tcPr>
            <w:tcW w:w="1361" w:type="dxa"/>
            <w:vAlign w:val="center"/>
          </w:tcPr>
          <w:p>
            <w:pPr>
              <w:pStyle w:val="11"/>
            </w:pPr>
            <w:r>
              <w:t>578.00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2070.00</w:t>
            </w:r>
          </w:p>
        </w:tc>
        <w:tc>
          <w:tcPr>
            <w:tcW w:w="1361" w:type="dxa"/>
            <w:vAlign w:val="center"/>
          </w:tcPr>
          <w:p>
            <w:pPr>
              <w:pStyle w:val="11"/>
            </w:pPr>
          </w:p>
        </w:tc>
        <w:tc>
          <w:tcPr>
            <w:tcW w:w="1361" w:type="dxa"/>
            <w:vAlign w:val="center"/>
          </w:tcPr>
          <w:p>
            <w:pPr>
              <w:pStyle w:val="11"/>
            </w:pPr>
            <w:r>
              <w:t>2070.00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2070.00</w:t>
            </w:r>
          </w:p>
        </w:tc>
        <w:tc>
          <w:tcPr>
            <w:tcW w:w="1361" w:type="dxa"/>
            <w:vAlign w:val="center"/>
          </w:tcPr>
          <w:p>
            <w:pPr>
              <w:pStyle w:val="11"/>
            </w:pPr>
          </w:p>
        </w:tc>
        <w:tc>
          <w:tcPr>
            <w:tcW w:w="1361" w:type="dxa"/>
            <w:vAlign w:val="center"/>
          </w:tcPr>
          <w:p>
            <w:pPr>
              <w:pStyle w:val="11"/>
            </w:pPr>
            <w:r>
              <w:t>2070.00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73.00</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73.00</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73.00</w:t>
            </w:r>
          </w:p>
        </w:tc>
        <w:tc>
          <w:tcPr>
            <w:tcW w:w="1361" w:type="dxa"/>
            <w:vAlign w:val="center"/>
          </w:tcPr>
          <w:p>
            <w:pPr>
              <w:pStyle w:val="11"/>
            </w:pPr>
            <w:r>
              <w:t>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2256.27</w:t>
            </w:r>
          </w:p>
        </w:tc>
        <w:tc>
          <w:tcPr>
            <w:tcW w:w="3402" w:type="dxa"/>
            <w:vAlign w:val="center"/>
          </w:tcPr>
          <w:p>
            <w:pPr>
              <w:pStyle w:val="12"/>
            </w:pPr>
            <w:r>
              <w:t>一、一般公共服务支出</w:t>
            </w:r>
          </w:p>
        </w:tc>
        <w:tc>
          <w:tcPr>
            <w:tcW w:w="1474" w:type="dxa"/>
            <w:vAlign w:val="center"/>
          </w:tcPr>
          <w:p>
            <w:pPr>
              <w:pStyle w:val="11"/>
            </w:pPr>
            <w:r>
              <w:t>1082.30</w:t>
            </w:r>
          </w:p>
        </w:tc>
        <w:tc>
          <w:tcPr>
            <w:tcW w:w="1474" w:type="dxa"/>
            <w:vAlign w:val="center"/>
          </w:tcPr>
          <w:p>
            <w:pPr>
              <w:pStyle w:val="11"/>
            </w:pPr>
            <w:r>
              <w:t>1082.30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2070.00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457.67</w:t>
            </w:r>
          </w:p>
        </w:tc>
        <w:tc>
          <w:tcPr>
            <w:tcW w:w="1474" w:type="dxa"/>
            <w:vAlign w:val="center"/>
          </w:tcPr>
          <w:p>
            <w:pPr>
              <w:pStyle w:val="11"/>
            </w:pPr>
            <w:r>
              <w:t>457.67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60.30</w:t>
            </w:r>
          </w:p>
        </w:tc>
        <w:tc>
          <w:tcPr>
            <w:tcW w:w="1474" w:type="dxa"/>
            <w:vAlign w:val="center"/>
          </w:tcPr>
          <w:p>
            <w:pPr>
              <w:pStyle w:val="11"/>
            </w:pPr>
            <w:r>
              <w:t>60.30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2653.00</w:t>
            </w:r>
          </w:p>
        </w:tc>
        <w:tc>
          <w:tcPr>
            <w:tcW w:w="1474" w:type="dxa"/>
            <w:vAlign w:val="center"/>
          </w:tcPr>
          <w:p>
            <w:pPr>
              <w:pStyle w:val="11"/>
            </w:pPr>
            <w:r>
              <w:t>583.00</w:t>
            </w:r>
          </w:p>
        </w:tc>
        <w:tc>
          <w:tcPr>
            <w:tcW w:w="1474" w:type="dxa"/>
            <w:vAlign w:val="center"/>
          </w:tcPr>
          <w:p>
            <w:pPr>
              <w:pStyle w:val="11"/>
            </w:pPr>
            <w:r>
              <w:t>2070.00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73.00</w:t>
            </w:r>
          </w:p>
        </w:tc>
        <w:tc>
          <w:tcPr>
            <w:tcW w:w="1474" w:type="dxa"/>
            <w:vAlign w:val="center"/>
          </w:tcPr>
          <w:p>
            <w:pPr>
              <w:pStyle w:val="11"/>
            </w:pPr>
            <w:r>
              <w:t>73.00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4326.27</w:t>
            </w:r>
          </w:p>
        </w:tc>
        <w:tc>
          <w:tcPr>
            <w:tcW w:w="3402" w:type="dxa"/>
            <w:vAlign w:val="center"/>
          </w:tcPr>
          <w:p>
            <w:pPr>
              <w:pStyle w:val="14"/>
            </w:pPr>
            <w:r>
              <w:t>本年支出合计</w:t>
            </w:r>
          </w:p>
        </w:tc>
        <w:tc>
          <w:tcPr>
            <w:tcW w:w="1474" w:type="dxa"/>
            <w:vAlign w:val="center"/>
          </w:tcPr>
          <w:p>
            <w:pPr>
              <w:pStyle w:val="15"/>
            </w:pPr>
            <w:r>
              <w:t>4326.27</w:t>
            </w:r>
          </w:p>
        </w:tc>
        <w:tc>
          <w:tcPr>
            <w:tcW w:w="1474" w:type="dxa"/>
            <w:vAlign w:val="center"/>
          </w:tcPr>
          <w:p>
            <w:pPr>
              <w:pStyle w:val="15"/>
            </w:pPr>
            <w:r>
              <w:t>2256.27</w:t>
            </w:r>
          </w:p>
        </w:tc>
        <w:tc>
          <w:tcPr>
            <w:tcW w:w="1474" w:type="dxa"/>
            <w:vAlign w:val="center"/>
          </w:tcPr>
          <w:p>
            <w:pPr>
              <w:pStyle w:val="15"/>
            </w:pPr>
            <w:r>
              <w:t>2070.00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4326.27</w:t>
            </w:r>
          </w:p>
        </w:tc>
        <w:tc>
          <w:tcPr>
            <w:tcW w:w="3402" w:type="dxa"/>
            <w:vAlign w:val="center"/>
          </w:tcPr>
          <w:p>
            <w:pPr>
              <w:pStyle w:val="14"/>
            </w:pPr>
            <w:r>
              <w:t>支出总计</w:t>
            </w:r>
          </w:p>
        </w:tc>
        <w:tc>
          <w:tcPr>
            <w:tcW w:w="1474" w:type="dxa"/>
            <w:vAlign w:val="center"/>
          </w:tcPr>
          <w:p>
            <w:pPr>
              <w:pStyle w:val="15"/>
            </w:pPr>
            <w:r>
              <w:t>4326.27</w:t>
            </w:r>
          </w:p>
        </w:tc>
        <w:tc>
          <w:tcPr>
            <w:tcW w:w="1474" w:type="dxa"/>
            <w:vAlign w:val="center"/>
          </w:tcPr>
          <w:p>
            <w:pPr>
              <w:pStyle w:val="15"/>
            </w:pPr>
            <w:r>
              <w:t>2256.27</w:t>
            </w:r>
          </w:p>
        </w:tc>
        <w:tc>
          <w:tcPr>
            <w:tcW w:w="1474" w:type="dxa"/>
            <w:vAlign w:val="center"/>
          </w:tcPr>
          <w:p>
            <w:pPr>
              <w:pStyle w:val="15"/>
            </w:pPr>
            <w:r>
              <w:t>2070.00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2256.27</w:t>
            </w:r>
          </w:p>
        </w:tc>
        <w:tc>
          <w:tcPr>
            <w:tcW w:w="2551" w:type="dxa"/>
            <w:vAlign w:val="center"/>
          </w:tcPr>
          <w:p>
            <w:pPr>
              <w:pStyle w:val="15"/>
            </w:pPr>
            <w:r>
              <w:t>1673.27</w:t>
            </w:r>
          </w:p>
        </w:tc>
        <w:tc>
          <w:tcPr>
            <w:tcW w:w="2551" w:type="dxa"/>
            <w:vAlign w:val="center"/>
          </w:tcPr>
          <w:p>
            <w:pPr>
              <w:pStyle w:val="15"/>
            </w:pPr>
            <w:r>
              <w:t>583.00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1082.30</w:t>
            </w:r>
          </w:p>
        </w:tc>
        <w:tc>
          <w:tcPr>
            <w:tcW w:w="2551" w:type="dxa"/>
            <w:vAlign w:val="center"/>
          </w:tcPr>
          <w:p>
            <w:pPr>
              <w:pStyle w:val="11"/>
            </w:pPr>
            <w:r>
              <w:t>1082.30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1082.30</w:t>
            </w:r>
          </w:p>
        </w:tc>
        <w:tc>
          <w:tcPr>
            <w:tcW w:w="2551" w:type="dxa"/>
            <w:vAlign w:val="center"/>
          </w:tcPr>
          <w:p>
            <w:pPr>
              <w:pStyle w:val="11"/>
            </w:pPr>
            <w:r>
              <w:t>1082.30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1082.30</w:t>
            </w:r>
          </w:p>
        </w:tc>
        <w:tc>
          <w:tcPr>
            <w:tcW w:w="2551" w:type="dxa"/>
            <w:vAlign w:val="center"/>
          </w:tcPr>
          <w:p>
            <w:pPr>
              <w:pStyle w:val="11"/>
            </w:pPr>
            <w:r>
              <w:t>1082.30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457.67</w:t>
            </w:r>
          </w:p>
        </w:tc>
        <w:tc>
          <w:tcPr>
            <w:tcW w:w="2551" w:type="dxa"/>
            <w:vAlign w:val="center"/>
          </w:tcPr>
          <w:p>
            <w:pPr>
              <w:pStyle w:val="11"/>
            </w:pPr>
            <w:r>
              <w:t>457.67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457.67</w:t>
            </w:r>
          </w:p>
        </w:tc>
        <w:tc>
          <w:tcPr>
            <w:tcW w:w="2551" w:type="dxa"/>
            <w:vAlign w:val="center"/>
          </w:tcPr>
          <w:p>
            <w:pPr>
              <w:pStyle w:val="11"/>
            </w:pPr>
            <w:r>
              <w:t>457.67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394.67</w:t>
            </w:r>
          </w:p>
        </w:tc>
        <w:tc>
          <w:tcPr>
            <w:tcW w:w="2551" w:type="dxa"/>
            <w:vAlign w:val="center"/>
          </w:tcPr>
          <w:p>
            <w:pPr>
              <w:pStyle w:val="11"/>
            </w:pPr>
            <w:r>
              <w:t>394.67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63.00</w:t>
            </w:r>
          </w:p>
        </w:tc>
        <w:tc>
          <w:tcPr>
            <w:tcW w:w="2551" w:type="dxa"/>
            <w:vAlign w:val="center"/>
          </w:tcPr>
          <w:p>
            <w:pPr>
              <w:pStyle w:val="11"/>
            </w:pPr>
            <w:r>
              <w:t>63.00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60.30</w:t>
            </w:r>
          </w:p>
        </w:tc>
        <w:tc>
          <w:tcPr>
            <w:tcW w:w="2551" w:type="dxa"/>
            <w:vAlign w:val="center"/>
          </w:tcPr>
          <w:p>
            <w:pPr>
              <w:pStyle w:val="11"/>
            </w:pPr>
            <w:r>
              <w:t>60.30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60.30</w:t>
            </w:r>
          </w:p>
        </w:tc>
        <w:tc>
          <w:tcPr>
            <w:tcW w:w="2551" w:type="dxa"/>
            <w:vAlign w:val="center"/>
          </w:tcPr>
          <w:p>
            <w:pPr>
              <w:pStyle w:val="11"/>
            </w:pPr>
            <w:r>
              <w:t>60.30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60.30</w:t>
            </w:r>
          </w:p>
        </w:tc>
        <w:tc>
          <w:tcPr>
            <w:tcW w:w="2551" w:type="dxa"/>
            <w:vAlign w:val="center"/>
          </w:tcPr>
          <w:p>
            <w:pPr>
              <w:pStyle w:val="11"/>
            </w:pPr>
            <w:r>
              <w:t>60.30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583.00</w:t>
            </w:r>
          </w:p>
        </w:tc>
        <w:tc>
          <w:tcPr>
            <w:tcW w:w="2551" w:type="dxa"/>
            <w:vAlign w:val="center"/>
          </w:tcPr>
          <w:p>
            <w:pPr>
              <w:pStyle w:val="11"/>
            </w:pPr>
          </w:p>
        </w:tc>
        <w:tc>
          <w:tcPr>
            <w:tcW w:w="2551" w:type="dxa"/>
            <w:vAlign w:val="center"/>
          </w:tcPr>
          <w:p>
            <w:pPr>
              <w:pStyle w:val="11"/>
            </w:pPr>
            <w:r>
              <w:t>583.00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578.00</w:t>
            </w:r>
          </w:p>
        </w:tc>
        <w:tc>
          <w:tcPr>
            <w:tcW w:w="2551" w:type="dxa"/>
            <w:vAlign w:val="center"/>
          </w:tcPr>
          <w:p>
            <w:pPr>
              <w:pStyle w:val="11"/>
            </w:pPr>
          </w:p>
        </w:tc>
        <w:tc>
          <w:tcPr>
            <w:tcW w:w="2551" w:type="dxa"/>
            <w:vAlign w:val="center"/>
          </w:tcPr>
          <w:p>
            <w:pPr>
              <w:pStyle w:val="11"/>
            </w:pPr>
            <w:r>
              <w:t>578.00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578.00</w:t>
            </w:r>
          </w:p>
        </w:tc>
        <w:tc>
          <w:tcPr>
            <w:tcW w:w="2551" w:type="dxa"/>
            <w:vAlign w:val="center"/>
          </w:tcPr>
          <w:p>
            <w:pPr>
              <w:pStyle w:val="11"/>
            </w:pPr>
          </w:p>
        </w:tc>
        <w:tc>
          <w:tcPr>
            <w:tcW w:w="2551" w:type="dxa"/>
            <w:vAlign w:val="center"/>
          </w:tcPr>
          <w:p>
            <w:pPr>
              <w:pStyle w:val="11"/>
            </w:pPr>
            <w:r>
              <w:t>578.00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73.00</w:t>
            </w:r>
          </w:p>
        </w:tc>
        <w:tc>
          <w:tcPr>
            <w:tcW w:w="2551" w:type="dxa"/>
            <w:vAlign w:val="center"/>
          </w:tcPr>
          <w:p>
            <w:pPr>
              <w:pStyle w:val="11"/>
            </w:pPr>
            <w:r>
              <w:t>73.00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73.00</w:t>
            </w:r>
          </w:p>
        </w:tc>
        <w:tc>
          <w:tcPr>
            <w:tcW w:w="2551" w:type="dxa"/>
            <w:vAlign w:val="center"/>
          </w:tcPr>
          <w:p>
            <w:pPr>
              <w:pStyle w:val="11"/>
            </w:pPr>
            <w:r>
              <w:t>73.00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73.00</w:t>
            </w:r>
          </w:p>
        </w:tc>
        <w:tc>
          <w:tcPr>
            <w:tcW w:w="2551" w:type="dxa"/>
            <w:vAlign w:val="center"/>
          </w:tcPr>
          <w:p>
            <w:pPr>
              <w:pStyle w:val="11"/>
            </w:pPr>
            <w:r>
              <w:t>73.00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1673.27</w:t>
            </w:r>
          </w:p>
        </w:tc>
        <w:tc>
          <w:tcPr>
            <w:tcW w:w="2551" w:type="dxa"/>
            <w:vAlign w:val="center"/>
          </w:tcPr>
          <w:p>
            <w:pPr>
              <w:pStyle w:val="15"/>
            </w:pPr>
            <w:r>
              <w:t>1361.27</w:t>
            </w:r>
          </w:p>
        </w:tc>
        <w:tc>
          <w:tcPr>
            <w:tcW w:w="2551" w:type="dxa"/>
            <w:vAlign w:val="center"/>
          </w:tcPr>
          <w:p>
            <w:pPr>
              <w:pStyle w:val="15"/>
            </w:pPr>
            <w:r>
              <w:t>312.00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1358.27</w:t>
            </w:r>
          </w:p>
        </w:tc>
        <w:tc>
          <w:tcPr>
            <w:tcW w:w="2551" w:type="dxa"/>
            <w:vAlign w:val="center"/>
          </w:tcPr>
          <w:p>
            <w:pPr>
              <w:pStyle w:val="11"/>
            </w:pPr>
            <w:r>
              <w:t>1358.27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374.00</w:t>
            </w:r>
          </w:p>
        </w:tc>
        <w:tc>
          <w:tcPr>
            <w:tcW w:w="2551" w:type="dxa"/>
            <w:vAlign w:val="center"/>
          </w:tcPr>
          <w:p>
            <w:pPr>
              <w:pStyle w:val="11"/>
            </w:pPr>
            <w:r>
              <w:t>374.00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114.06</w:t>
            </w:r>
          </w:p>
        </w:tc>
        <w:tc>
          <w:tcPr>
            <w:tcW w:w="2551" w:type="dxa"/>
            <w:vAlign w:val="center"/>
          </w:tcPr>
          <w:p>
            <w:pPr>
              <w:pStyle w:val="11"/>
            </w:pPr>
            <w:r>
              <w:t>114.06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8.50</w:t>
            </w:r>
          </w:p>
        </w:tc>
        <w:tc>
          <w:tcPr>
            <w:tcW w:w="2551" w:type="dxa"/>
            <w:vAlign w:val="center"/>
          </w:tcPr>
          <w:p>
            <w:pPr>
              <w:pStyle w:val="11"/>
            </w:pPr>
            <w:r>
              <w:t>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260.24</w:t>
            </w:r>
          </w:p>
        </w:tc>
        <w:tc>
          <w:tcPr>
            <w:tcW w:w="2551" w:type="dxa"/>
            <w:vAlign w:val="center"/>
          </w:tcPr>
          <w:p>
            <w:pPr>
              <w:pStyle w:val="11"/>
            </w:pPr>
            <w:r>
              <w:t>260.24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394.67</w:t>
            </w:r>
          </w:p>
        </w:tc>
        <w:tc>
          <w:tcPr>
            <w:tcW w:w="2551" w:type="dxa"/>
            <w:vAlign w:val="center"/>
          </w:tcPr>
          <w:p>
            <w:pPr>
              <w:pStyle w:val="11"/>
            </w:pPr>
            <w:r>
              <w:t>394.67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63.00</w:t>
            </w:r>
          </w:p>
        </w:tc>
        <w:tc>
          <w:tcPr>
            <w:tcW w:w="2551" w:type="dxa"/>
            <w:vAlign w:val="center"/>
          </w:tcPr>
          <w:p>
            <w:pPr>
              <w:pStyle w:val="11"/>
            </w:pPr>
            <w:r>
              <w:t>63.00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60.30</w:t>
            </w:r>
          </w:p>
        </w:tc>
        <w:tc>
          <w:tcPr>
            <w:tcW w:w="2551" w:type="dxa"/>
            <w:vAlign w:val="center"/>
          </w:tcPr>
          <w:p>
            <w:pPr>
              <w:pStyle w:val="11"/>
            </w:pPr>
            <w:r>
              <w:t>60.30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10.50</w:t>
            </w:r>
          </w:p>
        </w:tc>
        <w:tc>
          <w:tcPr>
            <w:tcW w:w="2551" w:type="dxa"/>
            <w:vAlign w:val="center"/>
          </w:tcPr>
          <w:p>
            <w:pPr>
              <w:pStyle w:val="11"/>
            </w:pPr>
            <w:r>
              <w:t>10.50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73.00</w:t>
            </w:r>
          </w:p>
        </w:tc>
        <w:tc>
          <w:tcPr>
            <w:tcW w:w="2551" w:type="dxa"/>
            <w:vAlign w:val="center"/>
          </w:tcPr>
          <w:p>
            <w:pPr>
              <w:pStyle w:val="11"/>
            </w:pPr>
            <w:r>
              <w:t>73.00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292.00</w:t>
            </w:r>
          </w:p>
        </w:tc>
        <w:tc>
          <w:tcPr>
            <w:tcW w:w="2551" w:type="dxa"/>
            <w:vAlign w:val="center"/>
          </w:tcPr>
          <w:p>
            <w:pPr>
              <w:pStyle w:val="11"/>
            </w:pPr>
          </w:p>
        </w:tc>
        <w:tc>
          <w:tcPr>
            <w:tcW w:w="2551" w:type="dxa"/>
            <w:vAlign w:val="center"/>
          </w:tcPr>
          <w:p>
            <w:pPr>
              <w:pStyle w:val="11"/>
            </w:pPr>
            <w:r>
              <w:t>292.00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45.60</w:t>
            </w:r>
          </w:p>
        </w:tc>
        <w:tc>
          <w:tcPr>
            <w:tcW w:w="2551" w:type="dxa"/>
            <w:vAlign w:val="center"/>
          </w:tcPr>
          <w:p>
            <w:pPr>
              <w:pStyle w:val="11"/>
            </w:pPr>
          </w:p>
        </w:tc>
        <w:tc>
          <w:tcPr>
            <w:tcW w:w="2551" w:type="dxa"/>
            <w:vAlign w:val="center"/>
          </w:tcPr>
          <w:p>
            <w:pPr>
              <w:pStyle w:val="11"/>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15.50</w:t>
            </w:r>
          </w:p>
        </w:tc>
        <w:tc>
          <w:tcPr>
            <w:tcW w:w="2551" w:type="dxa"/>
            <w:vAlign w:val="center"/>
          </w:tcPr>
          <w:p>
            <w:pPr>
              <w:pStyle w:val="11"/>
            </w:pPr>
          </w:p>
        </w:tc>
        <w:tc>
          <w:tcPr>
            <w:tcW w:w="2551" w:type="dxa"/>
            <w:vAlign w:val="center"/>
          </w:tcPr>
          <w:p>
            <w:pPr>
              <w:pStyle w:val="11"/>
            </w:pPr>
            <w: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10.30</w:t>
            </w:r>
          </w:p>
        </w:tc>
        <w:tc>
          <w:tcPr>
            <w:tcW w:w="2551" w:type="dxa"/>
            <w:vAlign w:val="center"/>
          </w:tcPr>
          <w:p>
            <w:pPr>
              <w:pStyle w:val="11"/>
            </w:pPr>
          </w:p>
        </w:tc>
        <w:tc>
          <w:tcPr>
            <w:tcW w:w="2551" w:type="dxa"/>
            <w:vAlign w:val="center"/>
          </w:tcPr>
          <w:p>
            <w:pPr>
              <w:pStyle w:val="11"/>
            </w:pPr>
            <w:r>
              <w:t>10.30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30218</w:t>
            </w:r>
          </w:p>
        </w:tc>
        <w:tc>
          <w:tcPr>
            <w:tcW w:w="4535" w:type="dxa"/>
            <w:vAlign w:val="center"/>
          </w:tcPr>
          <w:p>
            <w:pPr>
              <w:pStyle w:val="12"/>
            </w:pPr>
            <w:r>
              <w:t>专用材料费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31003</w:t>
            </w:r>
          </w:p>
        </w:tc>
        <w:tc>
          <w:tcPr>
            <w:tcW w:w="4535" w:type="dxa"/>
            <w:vAlign w:val="center"/>
          </w:tcPr>
          <w:p>
            <w:pPr>
              <w:pStyle w:val="12"/>
            </w:pPr>
            <w:r>
              <w:t>专用设备购置</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2070.00</w:t>
            </w:r>
          </w:p>
        </w:tc>
        <w:tc>
          <w:tcPr>
            <w:tcW w:w="2551" w:type="dxa"/>
            <w:vAlign w:val="center"/>
          </w:tcPr>
          <w:p>
            <w:pPr>
              <w:pStyle w:val="15"/>
            </w:pPr>
          </w:p>
        </w:tc>
        <w:tc>
          <w:tcPr>
            <w:tcW w:w="2551" w:type="dxa"/>
            <w:vAlign w:val="center"/>
          </w:tcPr>
          <w:p>
            <w:pPr>
              <w:pStyle w:val="15"/>
            </w:pPr>
            <w:r>
              <w:t>2070.00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2070.00</w:t>
            </w:r>
          </w:p>
        </w:tc>
        <w:tc>
          <w:tcPr>
            <w:tcW w:w="2551" w:type="dxa"/>
            <w:vAlign w:val="center"/>
          </w:tcPr>
          <w:p>
            <w:pPr>
              <w:pStyle w:val="11"/>
            </w:pPr>
          </w:p>
        </w:tc>
        <w:tc>
          <w:tcPr>
            <w:tcW w:w="2551" w:type="dxa"/>
            <w:vAlign w:val="center"/>
          </w:tcPr>
          <w:p>
            <w:pPr>
              <w:pStyle w:val="11"/>
            </w:pPr>
            <w:r>
              <w:t>2070.00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2070.00</w:t>
            </w:r>
          </w:p>
        </w:tc>
        <w:tc>
          <w:tcPr>
            <w:tcW w:w="2551" w:type="dxa"/>
            <w:vAlign w:val="center"/>
          </w:tcPr>
          <w:p>
            <w:pPr>
              <w:pStyle w:val="11"/>
            </w:pPr>
          </w:p>
        </w:tc>
        <w:tc>
          <w:tcPr>
            <w:tcW w:w="2551" w:type="dxa"/>
            <w:vAlign w:val="center"/>
          </w:tcPr>
          <w:p>
            <w:pPr>
              <w:pStyle w:val="11"/>
            </w:pPr>
            <w:r>
              <w:t>2070.00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2070.00</w:t>
            </w:r>
          </w:p>
        </w:tc>
        <w:tc>
          <w:tcPr>
            <w:tcW w:w="2551" w:type="dxa"/>
            <w:vAlign w:val="center"/>
          </w:tcPr>
          <w:p>
            <w:pPr>
              <w:pStyle w:val="11"/>
            </w:pPr>
          </w:p>
        </w:tc>
        <w:tc>
          <w:tcPr>
            <w:tcW w:w="2551" w:type="dxa"/>
            <w:vAlign w:val="center"/>
          </w:tcPr>
          <w:p>
            <w:pPr>
              <w:pStyle w:val="11"/>
            </w:pPr>
            <w:r>
              <w:t>2070.00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5.40</w:t>
            </w:r>
          </w:p>
        </w:tc>
        <w:tc>
          <w:tcPr>
            <w:tcW w:w="2381" w:type="dxa"/>
            <w:vAlign w:val="center"/>
          </w:tcPr>
          <w:p>
            <w:pPr>
              <w:pStyle w:val="15"/>
            </w:pPr>
            <w:r>
              <w:t>5.40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馆陶县综合行政执法局本级2025年单位预算信息公开情况说明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按照《中华人民共和国预算法》、《地方预决算公开操作规程》和《关于进一步推进预算公开工作的实施意见》规定，现将馆陶县综合行政执法局本级2025年单位预算公开如下：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（一）贯彻执行国家和省、市有关行政处罚及相关行政检查、行政强制的法律、法规、规章和政策；负责起草有关综合行政执法方面的规范性文件，经批准后组织实施。</w:t>
      </w:r>
    </w:p>
    <w:p>
      <w:pPr>
        <w:pStyle w:val="17"/>
      </w:pPr>
      <w:r>
        <w:t>（二）行使村镇建设、建筑市场、建筑工程质量、建筑节能、墙体材料革新等城乡建设管理方面法律、法规、规章规定的行政处罚权及与之相关的行政检查、行政强制权。</w:t>
      </w:r>
    </w:p>
    <w:p>
      <w:pPr>
        <w:pStyle w:val="17"/>
      </w:pPr>
      <w:r>
        <w:t>（三）行使房地产开发、住房保障、商品房销售、物业管理、等住房保障管理方面法律、法规、规章规定的行政处罚权及与之相关的行政检查、行政强制权。</w:t>
      </w:r>
    </w:p>
    <w:p>
      <w:pPr>
        <w:pStyle w:val="17"/>
      </w:pPr>
      <w:r>
        <w:t>（四）行使人民防空平时开发利用、工程建设与维护、通信等人民防空管理方面法律、法规、规章规定的行政处罚权及与之相关的行政检查、行政强制权。</w:t>
      </w:r>
    </w:p>
    <w:p>
      <w:pPr>
        <w:pStyle w:val="17"/>
      </w:pPr>
      <w:r>
        <w:t>（五）行使市政设施、城市规划、公用事业、园林绿化、环境卫生等方面法律、法规、规章规定的行政处罚权及与之相关的行政检查、行政强制权。</w:t>
      </w:r>
    </w:p>
    <w:p>
      <w:pPr>
        <w:pStyle w:val="17"/>
      </w:pPr>
      <w: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pPr>
        <w:pStyle w:val="17"/>
      </w:pPr>
      <w: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pPr>
        <w:pStyle w:val="17"/>
      </w:pPr>
      <w:r>
        <w:t>（八）行使文化、广播电视、新闻出版、文物等文化综合市场管理方面法律、法规、规章规定的行政处罚权及与之相关的行政检查、行政强制权。</w:t>
      </w:r>
    </w:p>
    <w:p>
      <w:pPr>
        <w:pStyle w:val="17"/>
      </w:pPr>
      <w:r>
        <w:t>（九）行使旅行社、导游等旅游管理方面法律、法规、规章规定的行政处罚权及与之相关的行政检查、行政强制权。</w:t>
      </w:r>
    </w:p>
    <w:p>
      <w:pPr>
        <w:pStyle w:val="17"/>
      </w:pPr>
      <w:r>
        <w:t>（十）行使医疗服务、公共卫生领域等卫生健康管理方面法律、法规、规章规定的行政处罚权及与之相关的行政检查、行政强制权。</w:t>
      </w:r>
    </w:p>
    <w:p>
      <w:pPr>
        <w:pStyle w:val="17"/>
      </w:pPr>
      <w:r>
        <w:t>（十一）行使对土地资源、矿产资源等自然资源和测绘管理方面法律、法规、规章规定的行政处罚权及与之相关的行政检查、行政强制权。</w:t>
      </w:r>
    </w:p>
    <w:p>
      <w:pPr>
        <w:pStyle w:val="17"/>
      </w:pPr>
      <w:r>
        <w:t>（十二）行使森林资源保护、野生动植物资源保护等林业管理方面法律、法规、规章规定的行政处罚权及与之相关的行政检查、行政强制权。</w:t>
      </w:r>
    </w:p>
    <w:p>
      <w:pPr>
        <w:pStyle w:val="17"/>
      </w:pPr>
      <w:r>
        <w:t>（十三）行使社会组织、慈善组织和殡葬管理等方面法律、法规、规章规定的行政处罚权及与之相关的行政检查、行政强制权。</w:t>
      </w:r>
    </w:p>
    <w:p>
      <w:pPr>
        <w:pStyle w:val="17"/>
      </w:pPr>
      <w:r>
        <w:t>（十四）行使成品油市场、零售商促销行为等商务管理方面法律、法规、规章规定的行政处罚权及与之相关的行政检查、行政强制权。</w:t>
      </w:r>
    </w:p>
    <w:p>
      <w:pPr>
        <w:pStyle w:val="17"/>
      </w:pPr>
      <w:r>
        <w:t>（十五）行使水资源开发利用、水污染防治、水土保持、河道管理、水利工程等水务管理方面法律、法规、规章规定的行政处罚权及与之相关的行政检查、行政强制权。</w:t>
      </w:r>
    </w:p>
    <w:p>
      <w:pPr>
        <w:pStyle w:val="17"/>
      </w:pPr>
      <w:r>
        <w:t>（十六）行使对教育体育机构、教师、学生管理等教育体育管理等方面的法律、法规、规章规定的行政处罚权及与之相关的行政检查、行政强制权。</w:t>
      </w:r>
    </w:p>
    <w:p>
      <w:pPr>
        <w:pStyle w:val="17"/>
      </w:pPr>
      <w:r>
        <w:t>（十七）行使劳动监察等劳动保障管理方面法律、法规、规章规定的行政处罚权及与之相关的行政检查、行政强制权。</w:t>
      </w:r>
    </w:p>
    <w:p>
      <w:pPr>
        <w:pStyle w:val="17"/>
      </w:pPr>
      <w:r>
        <w:t>（十八）行使城乡规划编制、实施等规划管理方面法律、法规、规章规定的行政处罚权及与之相关的行政检查、行政强制权。</w:t>
      </w:r>
    </w:p>
    <w:p>
      <w:pPr>
        <w:pStyle w:val="17"/>
      </w:pPr>
      <w:r>
        <w:t>（十九）行使能源、粮食、发展与改革等方面法律、法规、规章规定的行政处罚权及与之相关的行政检查、行政强制权。</w:t>
      </w:r>
    </w:p>
    <w:p>
      <w:pPr>
        <w:pStyle w:val="17"/>
      </w:pPr>
      <w:r>
        <w:t>（二十）行使宗教活动、宗教场所、宗教出版、宗教捐赠等宗教管理方面法律、法规、规章规定的行政处罚权及与之相关的行政检查、行政强制权。</w:t>
      </w:r>
    </w:p>
    <w:p>
      <w:pPr>
        <w:pStyle w:val="17"/>
      </w:pPr>
      <w:r>
        <w:t>（二十一）负责组织、协调全县重大或专项行政执法活动。</w:t>
      </w:r>
    </w:p>
    <w:p>
      <w:pPr>
        <w:pStyle w:val="17"/>
      </w:pPr>
      <w:r>
        <w:t>（二十二）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pPr>
        <w:pStyle w:val="17"/>
      </w:pPr>
      <w:r>
        <w:t>（二十三）结合推进权责清单制度，全面公开综合行政执法部门执法主体名称、执法职权和依据、执法程序和标准、执法人员信息，细化、量化行政处罚裁量权。</w:t>
      </w:r>
    </w:p>
    <w:p>
      <w:pPr>
        <w:pStyle w:val="17"/>
      </w:pPr>
      <w:r>
        <w:t>（二十四）其他未尽事宜，依法按照有关规定执行。</w:t>
      </w:r>
    </w:p>
    <w:p>
      <w:pPr>
        <w:pStyle w:val="17"/>
      </w:pPr>
      <w:r>
        <w:t>（二十五）承办县委、县政府交办的其他事项。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馆陶县综合行政执法局本级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4326.27万元，其中：一般公共预算收入2256.27万元，基金预算收入2070.00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综合行政执法局本级年度单位预算中支出预算的总体情况。2025年支出预算4326.27万元，其中基本支出1673.27万元，包括人员经费1361.27万元和日常公用经费312.00万元；项目支出2653.00万元，主要为馆陶县环卫保洁服务项目资金1220万元</w:t>
      </w:r>
      <w:r>
        <w:rPr>
          <w:rFonts w:hint="eastAsia"/>
          <w:lang w:eastAsia="zh-CN"/>
        </w:rPr>
        <w:t>、</w:t>
      </w:r>
      <w:r>
        <w:t>环卫绩效考核奖励资金200万元</w:t>
      </w:r>
      <w:r>
        <w:rPr>
          <w:rFonts w:hint="eastAsia"/>
          <w:lang w:eastAsia="zh-CN"/>
        </w:rPr>
        <w:t>、</w:t>
      </w:r>
      <w:r>
        <w:t>道路洒水资金5万元</w:t>
      </w:r>
      <w:r>
        <w:rPr>
          <w:rFonts w:hint="eastAsia"/>
          <w:lang w:eastAsia="zh-CN"/>
        </w:rPr>
        <w:t>、</w:t>
      </w:r>
      <w:r>
        <w:t>综合行政执法经费165万元</w:t>
      </w:r>
      <w:r>
        <w:rPr>
          <w:rFonts w:hint="eastAsia"/>
          <w:lang w:eastAsia="zh-CN"/>
        </w:rPr>
        <w:t>、</w:t>
      </w:r>
      <w:r>
        <w:t>环卫保洁资金185万元</w:t>
      </w:r>
      <w:r>
        <w:rPr>
          <w:rFonts w:hint="eastAsia"/>
          <w:lang w:eastAsia="zh-CN"/>
        </w:rPr>
        <w:t>、</w:t>
      </w:r>
      <w:r>
        <w:t>生活垃圾焚烧发电PPP项目运营期绩效评价服务费28万元</w:t>
      </w:r>
      <w:r>
        <w:rPr>
          <w:rFonts w:hint="eastAsia"/>
          <w:lang w:eastAsia="zh-CN"/>
        </w:rPr>
        <w:t>、</w:t>
      </w:r>
      <w:r>
        <w:t>生活垃圾焚烧发电垃圾处理服务资金850万。</w:t>
      </w:r>
    </w:p>
    <w:p>
      <w:pPr>
        <w:pStyle w:val="18"/>
      </w:pPr>
      <w:r>
        <w:t>3、比上年增减情况</w:t>
      </w:r>
    </w:p>
    <w:p>
      <w:pPr>
        <w:pStyle w:val="18"/>
      </w:pPr>
      <w:r>
        <w:t>2025年预算收支安排4326.27万元，较2024年预算减少1908.83万元，其中：基本支出减少539.43万元，主要为人员经费减少271万元；公用经费减少271.43万元。项目支出减少1369.40万元，主要为馆陶县环卫保洁服务项目资金减少108万元</w:t>
      </w:r>
      <w:r>
        <w:rPr>
          <w:rFonts w:hint="eastAsia"/>
          <w:lang w:eastAsia="zh-CN"/>
        </w:rPr>
        <w:t>、</w:t>
      </w:r>
      <w:r>
        <w:t>道路洒水资金减少5万元</w:t>
      </w:r>
      <w:r>
        <w:rPr>
          <w:rFonts w:hint="eastAsia"/>
          <w:lang w:eastAsia="zh-CN"/>
        </w:rPr>
        <w:t>、</w:t>
      </w:r>
      <w:r>
        <w:t>环卫绩效考核奖励资金减少50万元</w:t>
      </w:r>
      <w:r>
        <w:rPr>
          <w:rFonts w:hint="eastAsia"/>
          <w:lang w:eastAsia="zh-CN"/>
        </w:rPr>
        <w:t>、</w:t>
      </w:r>
      <w:r>
        <w:t>生活垃圾焚烧发电垃圾处理服务资金减少750万元</w:t>
      </w:r>
      <w:r>
        <w:rPr>
          <w:rFonts w:hint="eastAsia"/>
          <w:lang w:eastAsia="zh-CN"/>
        </w:rPr>
        <w:t>、</w:t>
      </w:r>
      <w:r>
        <w:t>馆陶县环卫保洁项目减少331.65万元</w:t>
      </w:r>
      <w:r>
        <w:rPr>
          <w:rFonts w:hint="eastAsia"/>
          <w:lang w:eastAsia="zh-CN"/>
        </w:rPr>
        <w:t>、</w:t>
      </w:r>
      <w:r>
        <w:t>粮画小镇物业管理及绿化养护资金减少124.75万元。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2025年，我单位机关运行经费共计安排312.00万元，主要用于日常维修、办公用房水电费、办公用房取暖费、办公用房物业管理费等日常运行支出。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5.40万元，其中因公出国（境）费0.00万元；公务用车购置及运维费5.40万元（其中：公务用车购置费为0.00万元，公务用车运维费5.40万元)；公务接待费0.00万元。与2024年相比无增减</w:t>
      </w:r>
      <w:r>
        <w:rPr>
          <w:rFonts w:hint="eastAsia"/>
          <w:lang w:eastAsia="zh-CN"/>
        </w:rPr>
        <w:t>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1、道路洒水资金绩效目标表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13043325P000019100067</w:t>
            </w:r>
          </w:p>
        </w:tc>
        <w:tc>
          <w:tcPr>
            <w:tcW w:w="2835" w:type="dxa"/>
            <w:vAlign w:val="center"/>
          </w:tcPr>
          <w:p>
            <w:pPr>
              <w:pStyle w:val="10"/>
            </w:pPr>
            <w:r>
              <w:t>项目名称</w:t>
            </w:r>
          </w:p>
        </w:tc>
        <w:tc>
          <w:tcPr>
            <w:tcW w:w="6095" w:type="dxa"/>
            <w:gridSpan w:val="3"/>
            <w:vAlign w:val="center"/>
          </w:tcPr>
          <w:p>
            <w:pPr>
              <w:pStyle w:val="12"/>
            </w:pPr>
            <w:r>
              <w:t>道路洒水资金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通过道路洒水，抑制道路扬尘，提升县城环境卫生水平。</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1.通过道路洒水，抑制道路扬尘，提升县城环境卫生水平。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主干道洒水次数</w:t>
            </w:r>
          </w:p>
        </w:tc>
        <w:tc>
          <w:tcPr>
            <w:tcW w:w="5386" w:type="dxa"/>
            <w:vAlign w:val="center"/>
          </w:tcPr>
          <w:p>
            <w:pPr>
              <w:pStyle w:val="12"/>
            </w:pPr>
            <w:r>
              <w:t>主干道每日洒水次数</w:t>
            </w:r>
          </w:p>
        </w:tc>
        <w:tc>
          <w:tcPr>
            <w:tcW w:w="2268" w:type="dxa"/>
            <w:vAlign w:val="center"/>
          </w:tcPr>
          <w:p>
            <w:pPr>
              <w:pStyle w:val="12"/>
            </w:pPr>
            <w:r>
              <w:t>≥4次</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洒水覆盖率</w:t>
            </w:r>
          </w:p>
        </w:tc>
        <w:tc>
          <w:tcPr>
            <w:tcW w:w="5386" w:type="dxa"/>
            <w:vAlign w:val="center"/>
          </w:tcPr>
          <w:p>
            <w:pPr>
              <w:pStyle w:val="12"/>
            </w:pPr>
            <w:r>
              <w:t>实际洒水面积占应洒水面积比率</w:t>
            </w:r>
          </w:p>
        </w:tc>
        <w:tc>
          <w:tcPr>
            <w:tcW w:w="2268" w:type="dxa"/>
            <w:vAlign w:val="center"/>
          </w:tcPr>
          <w:p>
            <w:pPr>
              <w:pStyle w:val="12"/>
            </w:pPr>
            <w:r>
              <w:t>≥98%</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洒水及时率</w:t>
            </w:r>
          </w:p>
        </w:tc>
        <w:tc>
          <w:tcPr>
            <w:tcW w:w="5386" w:type="dxa"/>
            <w:vAlign w:val="center"/>
          </w:tcPr>
          <w:p>
            <w:pPr>
              <w:pStyle w:val="12"/>
            </w:pPr>
            <w:r>
              <w:t>洒水实际完成时间占预计完成工作时间的比率</w:t>
            </w:r>
          </w:p>
        </w:tc>
        <w:tc>
          <w:tcPr>
            <w:tcW w:w="2268" w:type="dxa"/>
            <w:vAlign w:val="center"/>
          </w:tcPr>
          <w:p>
            <w:pPr>
              <w:pStyle w:val="12"/>
            </w:pPr>
            <w:r>
              <w:t>≥98%</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道路洒水资金</w:t>
            </w:r>
          </w:p>
        </w:tc>
        <w:tc>
          <w:tcPr>
            <w:tcW w:w="5386" w:type="dxa"/>
            <w:vAlign w:val="center"/>
          </w:tcPr>
          <w:p>
            <w:pPr>
              <w:pStyle w:val="12"/>
            </w:pPr>
            <w:r>
              <w:t>道路洒水费用</w:t>
            </w:r>
          </w:p>
        </w:tc>
        <w:tc>
          <w:tcPr>
            <w:tcW w:w="2268" w:type="dxa"/>
            <w:vAlign w:val="center"/>
          </w:tcPr>
          <w:p>
            <w:pPr>
              <w:pStyle w:val="12"/>
            </w:pPr>
            <w:r>
              <w:t>≥10万元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通过道路洒水改善环卫保洁，对县城整体形象提升率</w:t>
            </w:r>
          </w:p>
        </w:tc>
        <w:tc>
          <w:tcPr>
            <w:tcW w:w="2268" w:type="dxa"/>
            <w:vAlign w:val="center"/>
          </w:tcPr>
          <w:p>
            <w:pPr>
              <w:pStyle w:val="12"/>
            </w:pPr>
            <w:r>
              <w:t>≥90%</w:t>
            </w:r>
          </w:p>
        </w:tc>
        <w:tc>
          <w:tcPr>
            <w:tcW w:w="1276" w:type="dxa"/>
            <w:vAlign w:val="center"/>
          </w:tcPr>
          <w:p>
            <w:pPr>
              <w:pStyle w:val="12"/>
            </w:pPr>
            <w:r>
              <w:t>《河北省城市环境容貌整治行动实施方案》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降低大气污染率</w:t>
            </w:r>
          </w:p>
        </w:tc>
        <w:tc>
          <w:tcPr>
            <w:tcW w:w="5386" w:type="dxa"/>
            <w:vAlign w:val="center"/>
          </w:tcPr>
          <w:p>
            <w:pPr>
              <w:pStyle w:val="12"/>
            </w:pPr>
            <w:r>
              <w:t>通过道路洒水改善环境，对大气污染指数的影响率</w:t>
            </w:r>
          </w:p>
        </w:tc>
        <w:tc>
          <w:tcPr>
            <w:tcW w:w="2268" w:type="dxa"/>
            <w:vAlign w:val="center"/>
          </w:tcPr>
          <w:p>
            <w:pPr>
              <w:pStyle w:val="12"/>
            </w:pPr>
            <w:r>
              <w:t>≥90%</w:t>
            </w:r>
          </w:p>
        </w:tc>
        <w:tc>
          <w:tcPr>
            <w:tcW w:w="1276" w:type="dxa"/>
            <w:vAlign w:val="center"/>
          </w:tcPr>
          <w:p>
            <w:pPr>
              <w:pStyle w:val="12"/>
            </w:pPr>
            <w:r>
              <w:t>《河北省城市环境容貌整治行动实施方案》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改善环境程度</w:t>
            </w:r>
          </w:p>
        </w:tc>
        <w:tc>
          <w:tcPr>
            <w:tcW w:w="5386" w:type="dxa"/>
            <w:vAlign w:val="center"/>
          </w:tcPr>
          <w:p>
            <w:pPr>
              <w:pStyle w:val="12"/>
            </w:pPr>
            <w:r>
              <w:t>通过道路洒水城区环境卫生改善，对我县整体环境水平提高率</w:t>
            </w:r>
          </w:p>
        </w:tc>
        <w:tc>
          <w:tcPr>
            <w:tcW w:w="2268" w:type="dxa"/>
            <w:vAlign w:val="center"/>
          </w:tcPr>
          <w:p>
            <w:pPr>
              <w:pStyle w:val="12"/>
            </w:pPr>
            <w:r>
              <w:t>≥90%</w:t>
            </w:r>
          </w:p>
        </w:tc>
        <w:tc>
          <w:tcPr>
            <w:tcW w:w="1276" w:type="dxa"/>
            <w:vAlign w:val="center"/>
          </w:tcPr>
          <w:p>
            <w:pPr>
              <w:pStyle w:val="12"/>
            </w:pPr>
            <w:r>
              <w:t>《河北省城市环境容貌整治行动实施方案》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群众对道路洒水资金满意度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2、馆陶县环卫保洁服务项目资金绩效目标表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13043325P00000610002G</w:t>
            </w:r>
          </w:p>
        </w:tc>
        <w:tc>
          <w:tcPr>
            <w:tcW w:w="2835" w:type="dxa"/>
            <w:vAlign w:val="center"/>
          </w:tcPr>
          <w:p>
            <w:pPr>
              <w:pStyle w:val="10"/>
            </w:pPr>
            <w:r>
              <w:t>项目名称</w:t>
            </w:r>
          </w:p>
        </w:tc>
        <w:tc>
          <w:tcPr>
            <w:tcW w:w="6095" w:type="dxa"/>
            <w:gridSpan w:val="3"/>
            <w:vAlign w:val="center"/>
          </w:tcPr>
          <w:p>
            <w:pPr>
              <w:pStyle w:val="12"/>
            </w:pPr>
            <w:r>
              <w:t>馆陶县环卫保洁服务项目资金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1220.00</w:t>
            </w:r>
          </w:p>
        </w:tc>
        <w:tc>
          <w:tcPr>
            <w:tcW w:w="2835" w:type="dxa"/>
            <w:vAlign w:val="center"/>
          </w:tcPr>
          <w:p>
            <w:pPr>
              <w:pStyle w:val="10"/>
            </w:pPr>
            <w:r>
              <w:t>其中：财政    资金</w:t>
            </w:r>
          </w:p>
        </w:tc>
        <w:tc>
          <w:tcPr>
            <w:tcW w:w="2551" w:type="dxa"/>
            <w:vAlign w:val="center"/>
          </w:tcPr>
          <w:p>
            <w:pPr>
              <w:pStyle w:val="12"/>
            </w:pPr>
            <w:r>
              <w:t>1220.00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通过城区及城中村主要街道保洁，提高了县城整体形象，降低大气污染。</w:t>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1.通过城区及城中村主要街道保洁，提高了县城整体形象，降低大气污染。</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城中村数量</w:t>
            </w:r>
          </w:p>
        </w:tc>
        <w:tc>
          <w:tcPr>
            <w:tcW w:w="5386" w:type="dxa"/>
            <w:vAlign w:val="center"/>
          </w:tcPr>
          <w:p>
            <w:pPr>
              <w:pStyle w:val="12"/>
            </w:pPr>
            <w:r>
              <w:t>环卫保洁服务包括的城中村数量</w:t>
            </w:r>
          </w:p>
        </w:tc>
        <w:tc>
          <w:tcPr>
            <w:tcW w:w="2268" w:type="dxa"/>
            <w:vAlign w:val="center"/>
          </w:tcPr>
          <w:p>
            <w:pPr>
              <w:pStyle w:val="12"/>
            </w:pPr>
            <w:r>
              <w:t>9个</w:t>
            </w:r>
          </w:p>
        </w:tc>
        <w:tc>
          <w:tcPr>
            <w:tcW w:w="1276" w:type="dxa"/>
            <w:vAlign w:val="center"/>
          </w:tcPr>
          <w:p>
            <w:pPr>
              <w:pStyle w:val="12"/>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保洁达标率</w:t>
            </w:r>
          </w:p>
        </w:tc>
        <w:tc>
          <w:tcPr>
            <w:tcW w:w="5386" w:type="dxa"/>
            <w:vAlign w:val="center"/>
          </w:tcPr>
          <w:p>
            <w:pPr>
              <w:pStyle w:val="12"/>
            </w:pPr>
            <w:r>
              <w:t>日常达到保洁保准情况占应达到保洁标准的比率</w:t>
            </w:r>
          </w:p>
        </w:tc>
        <w:tc>
          <w:tcPr>
            <w:tcW w:w="2268" w:type="dxa"/>
            <w:vAlign w:val="center"/>
          </w:tcPr>
          <w:p>
            <w:pPr>
              <w:pStyle w:val="12"/>
            </w:pPr>
            <w:r>
              <w:t>≥98%</w:t>
            </w:r>
          </w:p>
        </w:tc>
        <w:tc>
          <w:tcPr>
            <w:tcW w:w="1276" w:type="dxa"/>
            <w:vAlign w:val="center"/>
          </w:tcPr>
          <w:p>
            <w:pPr>
              <w:pStyle w:val="12"/>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工作服务及时完成率</w:t>
            </w:r>
          </w:p>
        </w:tc>
        <w:tc>
          <w:tcPr>
            <w:tcW w:w="5386" w:type="dxa"/>
            <w:vAlign w:val="center"/>
          </w:tcPr>
          <w:p>
            <w:pPr>
              <w:pStyle w:val="12"/>
            </w:pPr>
            <w:r>
              <w:t>保洁服务实际完成时间占应合同要求完成保洁服务的比率</w:t>
            </w:r>
          </w:p>
        </w:tc>
        <w:tc>
          <w:tcPr>
            <w:tcW w:w="2268" w:type="dxa"/>
            <w:vAlign w:val="center"/>
          </w:tcPr>
          <w:p>
            <w:pPr>
              <w:pStyle w:val="12"/>
            </w:pPr>
            <w:r>
              <w:t>≥98%</w:t>
            </w:r>
          </w:p>
        </w:tc>
        <w:tc>
          <w:tcPr>
            <w:tcW w:w="1276" w:type="dxa"/>
            <w:vAlign w:val="center"/>
          </w:tcPr>
          <w:p>
            <w:pPr>
              <w:pStyle w:val="12"/>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环卫保洁服务费</w:t>
            </w:r>
          </w:p>
        </w:tc>
        <w:tc>
          <w:tcPr>
            <w:tcW w:w="5386" w:type="dxa"/>
            <w:vAlign w:val="center"/>
          </w:tcPr>
          <w:p>
            <w:pPr>
              <w:pStyle w:val="12"/>
            </w:pPr>
            <w:r>
              <w:t>环卫保洁服务费用</w:t>
            </w:r>
          </w:p>
        </w:tc>
        <w:tc>
          <w:tcPr>
            <w:tcW w:w="2268" w:type="dxa"/>
            <w:vAlign w:val="center"/>
          </w:tcPr>
          <w:p>
            <w:pPr>
              <w:pStyle w:val="12"/>
            </w:pPr>
            <w:r>
              <w:t>1725.98万元</w:t>
            </w:r>
          </w:p>
        </w:tc>
        <w:tc>
          <w:tcPr>
            <w:tcW w:w="1276" w:type="dxa"/>
            <w:vAlign w:val="center"/>
          </w:tcPr>
          <w:p>
            <w:pPr>
              <w:pStyle w:val="12"/>
            </w:pPr>
            <w:r>
              <w:t>中标通知书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通过改善环卫保洁，对县城整体形象提升率</w:t>
            </w:r>
          </w:p>
        </w:tc>
        <w:tc>
          <w:tcPr>
            <w:tcW w:w="2268" w:type="dxa"/>
            <w:vAlign w:val="center"/>
          </w:tcPr>
          <w:p>
            <w:pPr>
              <w:pStyle w:val="12"/>
            </w:pPr>
            <w:r>
              <w:t>≥90%</w:t>
            </w:r>
          </w:p>
        </w:tc>
        <w:tc>
          <w:tcPr>
            <w:tcW w:w="1276" w:type="dxa"/>
            <w:vAlign w:val="center"/>
          </w:tcPr>
          <w:p>
            <w:pPr>
              <w:pStyle w:val="12"/>
            </w:pPr>
            <w:r>
              <w:t>市容市貌整治行动实施方案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改善大气污染率</w:t>
            </w:r>
          </w:p>
        </w:tc>
        <w:tc>
          <w:tcPr>
            <w:tcW w:w="5386" w:type="dxa"/>
            <w:vAlign w:val="center"/>
          </w:tcPr>
          <w:p>
            <w:pPr>
              <w:pStyle w:val="12"/>
            </w:pPr>
            <w:r>
              <w:t>通过环卫保洁等措施，对大气污染指数的影响率</w:t>
            </w:r>
          </w:p>
        </w:tc>
        <w:tc>
          <w:tcPr>
            <w:tcW w:w="2268" w:type="dxa"/>
            <w:vAlign w:val="center"/>
          </w:tcPr>
          <w:p>
            <w:pPr>
              <w:pStyle w:val="12"/>
            </w:pPr>
            <w:r>
              <w:t>≥90%</w:t>
            </w:r>
          </w:p>
        </w:tc>
        <w:tc>
          <w:tcPr>
            <w:tcW w:w="1276" w:type="dxa"/>
            <w:vAlign w:val="center"/>
          </w:tcPr>
          <w:p>
            <w:pPr>
              <w:pStyle w:val="12"/>
            </w:pPr>
            <w:r>
              <w:t>市容市貌整治行动实施方案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城区居民满意度</w:t>
            </w:r>
          </w:p>
        </w:tc>
        <w:tc>
          <w:tcPr>
            <w:tcW w:w="5386" w:type="dxa"/>
            <w:vAlign w:val="center"/>
          </w:tcPr>
          <w:p>
            <w:pPr>
              <w:pStyle w:val="12"/>
            </w:pPr>
            <w:r>
              <w:t>城区居民对馆陶县环卫保洁服务项目资金满意度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3、环卫保洁资金绩效目标表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13043325P000021100061</w:t>
            </w:r>
          </w:p>
        </w:tc>
        <w:tc>
          <w:tcPr>
            <w:tcW w:w="2835" w:type="dxa"/>
            <w:vAlign w:val="center"/>
          </w:tcPr>
          <w:p>
            <w:pPr>
              <w:pStyle w:val="10"/>
            </w:pPr>
            <w:r>
              <w:t>项目名称</w:t>
            </w:r>
          </w:p>
        </w:tc>
        <w:tc>
          <w:tcPr>
            <w:tcW w:w="6095" w:type="dxa"/>
            <w:gridSpan w:val="3"/>
            <w:vAlign w:val="center"/>
          </w:tcPr>
          <w:p>
            <w:pPr>
              <w:pStyle w:val="12"/>
            </w:pPr>
            <w:r>
              <w:t>环卫保洁资金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185.00</w:t>
            </w:r>
          </w:p>
        </w:tc>
        <w:tc>
          <w:tcPr>
            <w:tcW w:w="2835" w:type="dxa"/>
            <w:vAlign w:val="center"/>
          </w:tcPr>
          <w:p>
            <w:pPr>
              <w:pStyle w:val="10"/>
            </w:pPr>
            <w:r>
              <w:t>其中：财政    资金</w:t>
            </w:r>
          </w:p>
        </w:tc>
        <w:tc>
          <w:tcPr>
            <w:tcW w:w="2551" w:type="dxa"/>
            <w:vAlign w:val="center"/>
          </w:tcPr>
          <w:p>
            <w:pPr>
              <w:pStyle w:val="12"/>
            </w:pPr>
            <w:r>
              <w:t>185.00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通过环卫保洁，提升县城整体形象，降低大气污染指数。</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1.通过环卫保洁，提升县城整体形象，降低大气污染指数。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保洁天数</w:t>
            </w:r>
          </w:p>
        </w:tc>
        <w:tc>
          <w:tcPr>
            <w:tcW w:w="5386" w:type="dxa"/>
            <w:vAlign w:val="center"/>
          </w:tcPr>
          <w:p>
            <w:pPr>
              <w:pStyle w:val="12"/>
            </w:pPr>
            <w:r>
              <w:t>环卫保洁天数</w:t>
            </w:r>
          </w:p>
        </w:tc>
        <w:tc>
          <w:tcPr>
            <w:tcW w:w="2268" w:type="dxa"/>
            <w:vAlign w:val="center"/>
          </w:tcPr>
          <w:p>
            <w:pPr>
              <w:pStyle w:val="12"/>
            </w:pPr>
            <w:r>
              <w:t>365天</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实际完成工作情况占应完成工作任务的比率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实际完成工作任务时间占预计完成工作任务时间的比率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环卫保洁成本</w:t>
            </w:r>
          </w:p>
        </w:tc>
        <w:tc>
          <w:tcPr>
            <w:tcW w:w="5386" w:type="dxa"/>
            <w:vAlign w:val="center"/>
          </w:tcPr>
          <w:p>
            <w:pPr>
              <w:pStyle w:val="12"/>
            </w:pPr>
            <w:r>
              <w:t>环卫保洁所需费用</w:t>
            </w:r>
          </w:p>
        </w:tc>
        <w:tc>
          <w:tcPr>
            <w:tcW w:w="2268" w:type="dxa"/>
            <w:vAlign w:val="center"/>
          </w:tcPr>
          <w:p>
            <w:pPr>
              <w:pStyle w:val="12"/>
            </w:pPr>
            <w:r>
              <w:t>185万元</w:t>
            </w:r>
          </w:p>
        </w:tc>
        <w:tc>
          <w:tcPr>
            <w:tcW w:w="1276" w:type="dxa"/>
            <w:vAlign w:val="center"/>
          </w:tcPr>
          <w:p>
            <w:pPr>
              <w:pStyle w:val="12"/>
            </w:pPr>
            <w:r>
              <w:t>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通过改善环卫保洁，县城整体形象提升率</w:t>
            </w:r>
          </w:p>
        </w:tc>
        <w:tc>
          <w:tcPr>
            <w:tcW w:w="2268" w:type="dxa"/>
            <w:vAlign w:val="center"/>
          </w:tcPr>
          <w:p>
            <w:pPr>
              <w:pStyle w:val="12"/>
            </w:pPr>
            <w:r>
              <w:t>≥90%</w:t>
            </w:r>
          </w:p>
        </w:tc>
        <w:tc>
          <w:tcPr>
            <w:tcW w:w="1276" w:type="dxa"/>
            <w:vAlign w:val="center"/>
          </w:tcPr>
          <w:p>
            <w:pPr>
              <w:pStyle w:val="12"/>
            </w:pPr>
            <w:r>
              <w:t>市容市貌整治行动实施方案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降低大气污染率</w:t>
            </w:r>
          </w:p>
        </w:tc>
        <w:tc>
          <w:tcPr>
            <w:tcW w:w="5386" w:type="dxa"/>
            <w:vAlign w:val="center"/>
          </w:tcPr>
          <w:p>
            <w:pPr>
              <w:pStyle w:val="12"/>
            </w:pPr>
            <w:r>
              <w:t>通过环卫保洁等措施，对大气污染指数的影响率</w:t>
            </w:r>
          </w:p>
        </w:tc>
        <w:tc>
          <w:tcPr>
            <w:tcW w:w="2268" w:type="dxa"/>
            <w:vAlign w:val="center"/>
          </w:tcPr>
          <w:p>
            <w:pPr>
              <w:pStyle w:val="12"/>
            </w:pPr>
            <w:r>
              <w:t>≥90%</w:t>
            </w:r>
          </w:p>
        </w:tc>
        <w:tc>
          <w:tcPr>
            <w:tcW w:w="1276" w:type="dxa"/>
            <w:vAlign w:val="center"/>
          </w:tcPr>
          <w:p>
            <w:pPr>
              <w:pStyle w:val="12"/>
            </w:pPr>
            <w:r>
              <w:t>市容市貌整治行动实施方案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城区居民满意度</w:t>
            </w:r>
          </w:p>
        </w:tc>
        <w:tc>
          <w:tcPr>
            <w:tcW w:w="5386" w:type="dxa"/>
            <w:vAlign w:val="center"/>
          </w:tcPr>
          <w:p>
            <w:pPr>
              <w:pStyle w:val="12"/>
            </w:pPr>
            <w:r>
              <w:t>城区居民对环卫保洁资金满意度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4、环卫绩效考核奖励资金绩效目标表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13043325P00001810006H</w:t>
            </w:r>
          </w:p>
        </w:tc>
        <w:tc>
          <w:tcPr>
            <w:tcW w:w="2835" w:type="dxa"/>
            <w:vAlign w:val="center"/>
          </w:tcPr>
          <w:p>
            <w:pPr>
              <w:pStyle w:val="10"/>
            </w:pPr>
            <w:r>
              <w:t>项目名称</w:t>
            </w:r>
          </w:p>
        </w:tc>
        <w:tc>
          <w:tcPr>
            <w:tcW w:w="6095" w:type="dxa"/>
            <w:gridSpan w:val="3"/>
            <w:vAlign w:val="center"/>
          </w:tcPr>
          <w:p>
            <w:pPr>
              <w:pStyle w:val="12"/>
            </w:pPr>
            <w:r>
              <w:t>环卫绩效考核奖励资金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用于发放执法人员工资，已保障各项工作的顺利开展，提高工作积极性。</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1.用于发放执法人员工资，已保障各项工作的顺利开展，提高工作积极性。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发放工资次数</w:t>
            </w:r>
          </w:p>
        </w:tc>
        <w:tc>
          <w:tcPr>
            <w:tcW w:w="5386" w:type="dxa"/>
            <w:vAlign w:val="center"/>
          </w:tcPr>
          <w:p>
            <w:pPr>
              <w:pStyle w:val="12"/>
            </w:pPr>
            <w:r>
              <w:t>执法人员发放工资次数</w:t>
            </w:r>
          </w:p>
        </w:tc>
        <w:tc>
          <w:tcPr>
            <w:tcW w:w="2268" w:type="dxa"/>
            <w:vAlign w:val="center"/>
          </w:tcPr>
          <w:p>
            <w:pPr>
              <w:pStyle w:val="12"/>
            </w:pPr>
            <w:r>
              <w:t>12次</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人员工资发放覆盖率</w:t>
            </w:r>
          </w:p>
        </w:tc>
        <w:tc>
          <w:tcPr>
            <w:tcW w:w="5386" w:type="dxa"/>
            <w:vAlign w:val="center"/>
          </w:tcPr>
          <w:p>
            <w:pPr>
              <w:pStyle w:val="12"/>
            </w:pPr>
            <w:r>
              <w:t>实发人数占应发人数比例</w:t>
            </w:r>
          </w:p>
        </w:tc>
        <w:tc>
          <w:tcPr>
            <w:tcW w:w="2268" w:type="dxa"/>
            <w:vAlign w:val="center"/>
          </w:tcPr>
          <w:p>
            <w:pPr>
              <w:pStyle w:val="12"/>
            </w:pPr>
            <w:r>
              <w:t>100%</w:t>
            </w:r>
          </w:p>
        </w:tc>
        <w:tc>
          <w:tcPr>
            <w:tcW w:w="1276" w:type="dxa"/>
            <w:vAlign w:val="center"/>
          </w:tcPr>
          <w:p>
            <w:pPr>
              <w:pStyle w:val="12"/>
            </w:pPr>
            <w:r>
              <w:t>工资方案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5386" w:type="dxa"/>
            <w:vAlign w:val="center"/>
          </w:tcPr>
          <w:p>
            <w:pPr>
              <w:pStyle w:val="12"/>
            </w:pPr>
            <w:r>
              <w:t>实发时间占预计发时间比例</w:t>
            </w:r>
          </w:p>
        </w:tc>
        <w:tc>
          <w:tcPr>
            <w:tcW w:w="2268" w:type="dxa"/>
            <w:vAlign w:val="center"/>
          </w:tcPr>
          <w:p>
            <w:pPr>
              <w:pStyle w:val="12"/>
            </w:pPr>
            <w:r>
              <w:t>≥98%</w:t>
            </w:r>
          </w:p>
        </w:tc>
        <w:tc>
          <w:tcPr>
            <w:tcW w:w="1276" w:type="dxa"/>
            <w:vAlign w:val="center"/>
          </w:tcPr>
          <w:p>
            <w:pPr>
              <w:pStyle w:val="12"/>
            </w:pPr>
            <w:r>
              <w:t>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工资发放金额</w:t>
            </w:r>
          </w:p>
        </w:tc>
        <w:tc>
          <w:tcPr>
            <w:tcW w:w="5386" w:type="dxa"/>
            <w:vAlign w:val="center"/>
          </w:tcPr>
          <w:p>
            <w:pPr>
              <w:pStyle w:val="12"/>
            </w:pPr>
            <w:r>
              <w:t>发放执法人员工资金额</w:t>
            </w:r>
          </w:p>
        </w:tc>
        <w:tc>
          <w:tcPr>
            <w:tcW w:w="2268" w:type="dxa"/>
            <w:vAlign w:val="center"/>
          </w:tcPr>
          <w:p>
            <w:pPr>
              <w:pStyle w:val="12"/>
            </w:pPr>
            <w:r>
              <w:t>200万元</w:t>
            </w:r>
          </w:p>
        </w:tc>
        <w:tc>
          <w:tcPr>
            <w:tcW w:w="1276" w:type="dxa"/>
            <w:vAlign w:val="center"/>
          </w:tcPr>
          <w:p>
            <w:pPr>
              <w:pStyle w:val="12"/>
            </w:pPr>
            <w:r>
              <w:t>工资方案/三定方案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保障人员收入</w:t>
            </w:r>
          </w:p>
        </w:tc>
        <w:tc>
          <w:tcPr>
            <w:tcW w:w="5386" w:type="dxa"/>
            <w:vAlign w:val="center"/>
          </w:tcPr>
          <w:p>
            <w:pPr>
              <w:pStyle w:val="12"/>
            </w:pPr>
            <w:r>
              <w:t>保障机关工作人员收入稳步增长</w:t>
            </w:r>
          </w:p>
        </w:tc>
        <w:tc>
          <w:tcPr>
            <w:tcW w:w="2268" w:type="dxa"/>
            <w:vAlign w:val="center"/>
          </w:tcPr>
          <w:p>
            <w:pPr>
              <w:pStyle w:val="12"/>
            </w:pPr>
            <w:r>
              <w:t>≥90%</w:t>
            </w:r>
          </w:p>
        </w:tc>
        <w:tc>
          <w:tcPr>
            <w:tcW w:w="1276" w:type="dxa"/>
            <w:vAlign w:val="center"/>
          </w:tcPr>
          <w:p>
            <w:pPr>
              <w:pStyle w:val="12"/>
            </w:pPr>
            <w:r>
              <w:t>工资方案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高效完成承担的工作，单位履职尽责到位</w:t>
            </w:r>
          </w:p>
        </w:tc>
        <w:tc>
          <w:tcPr>
            <w:tcW w:w="2268" w:type="dxa"/>
            <w:vAlign w:val="center"/>
          </w:tcPr>
          <w:p>
            <w:pPr>
              <w:pStyle w:val="12"/>
            </w:pPr>
            <w:r>
              <w:t>≥90%</w:t>
            </w:r>
          </w:p>
        </w:tc>
        <w:tc>
          <w:tcPr>
            <w:tcW w:w="1276" w:type="dxa"/>
            <w:vAlign w:val="center"/>
          </w:tcPr>
          <w:p>
            <w:pPr>
              <w:pStyle w:val="12"/>
            </w:pPr>
            <w:r>
              <w:t>工资方案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职工对环卫绩效发放满意度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5、生活垃圾焚烧发电PPP项目运营期绩效评价服务经费绩效目标表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13043325P00002210003U</w:t>
            </w:r>
          </w:p>
        </w:tc>
        <w:tc>
          <w:tcPr>
            <w:tcW w:w="2835" w:type="dxa"/>
            <w:vAlign w:val="center"/>
          </w:tcPr>
          <w:p>
            <w:pPr>
              <w:pStyle w:val="10"/>
            </w:pPr>
            <w:r>
              <w:t>项目名称</w:t>
            </w:r>
          </w:p>
        </w:tc>
        <w:tc>
          <w:tcPr>
            <w:tcW w:w="6095" w:type="dxa"/>
            <w:gridSpan w:val="3"/>
            <w:vAlign w:val="center"/>
          </w:tcPr>
          <w:p>
            <w:pPr>
              <w:pStyle w:val="12"/>
            </w:pPr>
            <w:r>
              <w:t>生活垃圾焚烧发电PPP项目运营期绩效评价服务经费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"""通过馆陶县生活焚烧垃圾发电项目运营期期绩效评审，全面掌握项目运行情况提高监管效率和针对性，满足社会发展需要，提升公共服务效率，实现物有所值。</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1."通过馆陶县生活焚烧垃圾发电项目运营期期绩效评审，全面掌握项目运行情况提高监管效率和针对性，满足社会发展需要，提升公共服务效率，实现物有所值。</w:t>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评审项目数量</w:t>
            </w:r>
          </w:p>
        </w:tc>
        <w:tc>
          <w:tcPr>
            <w:tcW w:w="5386" w:type="dxa"/>
            <w:vAlign w:val="center"/>
          </w:tcPr>
          <w:p>
            <w:pPr>
              <w:pStyle w:val="12"/>
            </w:pPr>
            <w:r>
              <w:t>馆陶县生活垃圾焚烧发电PPP项目运营期绩效评价数量</w:t>
            </w:r>
          </w:p>
        </w:tc>
        <w:tc>
          <w:tcPr>
            <w:tcW w:w="2268" w:type="dxa"/>
            <w:vAlign w:val="center"/>
          </w:tcPr>
          <w:p>
            <w:pPr>
              <w:pStyle w:val="12"/>
            </w:pPr>
            <w:r>
              <w:t>1个</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评审项目合格率</w:t>
            </w:r>
          </w:p>
        </w:tc>
        <w:tc>
          <w:tcPr>
            <w:tcW w:w="5386" w:type="dxa"/>
            <w:vAlign w:val="center"/>
          </w:tcPr>
          <w:p>
            <w:pPr>
              <w:pStyle w:val="12"/>
            </w:pPr>
            <w:r>
              <w:t>评审项目数量占总的项目数量比率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评审及时率</w:t>
            </w:r>
          </w:p>
        </w:tc>
        <w:tc>
          <w:tcPr>
            <w:tcW w:w="5386" w:type="dxa"/>
            <w:vAlign w:val="center"/>
          </w:tcPr>
          <w:p>
            <w:pPr>
              <w:pStyle w:val="12"/>
            </w:pPr>
            <w:r>
              <w:t>实际完成时间占要求完成时间的比率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评审经费</w:t>
            </w:r>
          </w:p>
        </w:tc>
        <w:tc>
          <w:tcPr>
            <w:tcW w:w="5386" w:type="dxa"/>
            <w:vAlign w:val="center"/>
          </w:tcPr>
          <w:p>
            <w:pPr>
              <w:pStyle w:val="12"/>
            </w:pPr>
            <w:r>
              <w:t>本次评审馆陶县生活焚烧垃圾发电项目运营期经费</w:t>
            </w:r>
          </w:p>
        </w:tc>
        <w:tc>
          <w:tcPr>
            <w:tcW w:w="2268" w:type="dxa"/>
            <w:vAlign w:val="center"/>
          </w:tcPr>
          <w:p>
            <w:pPr>
              <w:pStyle w:val="12"/>
            </w:pPr>
            <w:r>
              <w:t>28万元</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促进经济发展</w:t>
            </w:r>
          </w:p>
        </w:tc>
        <w:tc>
          <w:tcPr>
            <w:tcW w:w="5386" w:type="dxa"/>
            <w:vAlign w:val="center"/>
          </w:tcPr>
          <w:p>
            <w:pPr>
              <w:pStyle w:val="12"/>
            </w:pPr>
            <w:r>
              <w:t>评价项目实施对经济发展带来直接或间接影响率</w:t>
            </w:r>
          </w:p>
        </w:tc>
        <w:tc>
          <w:tcPr>
            <w:tcW w:w="2268" w:type="dxa"/>
            <w:vAlign w:val="center"/>
          </w:tcPr>
          <w:p>
            <w:pPr>
              <w:pStyle w:val="12"/>
            </w:pPr>
            <w:r>
              <w:t>≥10%</w:t>
            </w:r>
          </w:p>
        </w:tc>
        <w:tc>
          <w:tcPr>
            <w:tcW w:w="1276" w:type="dxa"/>
            <w:vAlign w:val="center"/>
          </w:tcPr>
          <w:p>
            <w:pPr>
              <w:pStyle w:val="12"/>
            </w:pPr>
            <w:r>
              <w:t>生活垃圾焚烧发电协议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通过垃圾焚烧治理，对我县生态环境改善率</w:t>
            </w:r>
          </w:p>
        </w:tc>
        <w:tc>
          <w:tcPr>
            <w:tcW w:w="2268" w:type="dxa"/>
            <w:vAlign w:val="center"/>
          </w:tcPr>
          <w:p>
            <w:pPr>
              <w:pStyle w:val="12"/>
            </w:pPr>
            <w:r>
              <w:t>≥20%</w:t>
            </w:r>
          </w:p>
        </w:tc>
        <w:tc>
          <w:tcPr>
            <w:tcW w:w="1276" w:type="dxa"/>
            <w:vAlign w:val="center"/>
          </w:tcPr>
          <w:p>
            <w:pPr>
              <w:pStyle w:val="12"/>
            </w:pPr>
            <w:r>
              <w:t>生活垃圾焚烧发电协议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社会公众对馆陶县生活垃圾焚烧发电PPP项目运营期绩效评价满意度</w:t>
            </w:r>
          </w:p>
        </w:tc>
        <w:tc>
          <w:tcPr>
            <w:tcW w:w="2268" w:type="dxa"/>
            <w:vAlign w:val="center"/>
          </w:tcPr>
          <w:p>
            <w:pPr>
              <w:pStyle w:val="12"/>
            </w:pPr>
            <w:r>
              <w:t>≥90%</w:t>
            </w:r>
          </w:p>
        </w:tc>
        <w:tc>
          <w:tcPr>
            <w:tcW w:w="1276" w:type="dxa"/>
            <w:vAlign w:val="center"/>
          </w:tcPr>
          <w:p>
            <w:pPr>
              <w:pStyle w:val="12"/>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6、生活垃圾焚烧发电垃圾处理服务资金绩效目标表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13043325P00000510007W</w:t>
            </w:r>
          </w:p>
        </w:tc>
        <w:tc>
          <w:tcPr>
            <w:tcW w:w="2835" w:type="dxa"/>
            <w:vAlign w:val="center"/>
          </w:tcPr>
          <w:p>
            <w:pPr>
              <w:pStyle w:val="10"/>
            </w:pPr>
            <w:r>
              <w:t>项目名称</w:t>
            </w:r>
          </w:p>
        </w:tc>
        <w:tc>
          <w:tcPr>
            <w:tcW w:w="6095" w:type="dxa"/>
            <w:gridSpan w:val="3"/>
            <w:vAlign w:val="center"/>
          </w:tcPr>
          <w:p>
            <w:pPr>
              <w:pStyle w:val="12"/>
            </w:pPr>
            <w:r>
              <w:t>生活垃圾焚烧发电垃圾处理服务资金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850.00</w:t>
            </w:r>
          </w:p>
        </w:tc>
        <w:tc>
          <w:tcPr>
            <w:tcW w:w="2835" w:type="dxa"/>
            <w:vAlign w:val="center"/>
          </w:tcPr>
          <w:p>
            <w:pPr>
              <w:pStyle w:val="10"/>
            </w:pPr>
            <w:r>
              <w:t>其中：财政    资金</w:t>
            </w:r>
          </w:p>
        </w:tc>
        <w:tc>
          <w:tcPr>
            <w:tcW w:w="2551" w:type="dxa"/>
            <w:vAlign w:val="center"/>
          </w:tcPr>
          <w:p>
            <w:pPr>
              <w:pStyle w:val="12"/>
            </w:pPr>
            <w:r>
              <w:t>850.00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"生活垃圾焚烧发电产生的热能用于发电，改善我县生态环境，提升县城形象</w:t>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1.生活垃圾焚烧发电产生的热能用于发电，改善我县生态环境，提升县城形象</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生活垃圾处理量</w:t>
            </w:r>
          </w:p>
        </w:tc>
        <w:tc>
          <w:tcPr>
            <w:tcW w:w="5386" w:type="dxa"/>
            <w:vAlign w:val="center"/>
          </w:tcPr>
          <w:p>
            <w:pPr>
              <w:pStyle w:val="12"/>
            </w:pPr>
            <w:r>
              <w:t>生活垃圾每季处理量</w:t>
            </w:r>
          </w:p>
        </w:tc>
        <w:tc>
          <w:tcPr>
            <w:tcW w:w="2268" w:type="dxa"/>
            <w:vAlign w:val="center"/>
          </w:tcPr>
          <w:p>
            <w:pPr>
              <w:pStyle w:val="12"/>
            </w:pPr>
            <w:r>
              <w:t>≥270527吨</w:t>
            </w:r>
          </w:p>
        </w:tc>
        <w:tc>
          <w:tcPr>
            <w:tcW w:w="1276" w:type="dxa"/>
            <w:vAlign w:val="center"/>
          </w:tcPr>
          <w:p>
            <w:pPr>
              <w:pStyle w:val="12"/>
            </w:pPr>
            <w:r>
              <w:t>生活垃圾确认单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垃圾处理率</w:t>
            </w:r>
          </w:p>
        </w:tc>
        <w:tc>
          <w:tcPr>
            <w:tcW w:w="5386" w:type="dxa"/>
            <w:vAlign w:val="center"/>
          </w:tcPr>
          <w:p>
            <w:pPr>
              <w:pStyle w:val="12"/>
            </w:pPr>
            <w:r>
              <w:t>实际完成垃圾处理量占应完成垃圾处理量的比率</w:t>
            </w:r>
          </w:p>
        </w:tc>
        <w:tc>
          <w:tcPr>
            <w:tcW w:w="2268" w:type="dxa"/>
            <w:vAlign w:val="center"/>
          </w:tcPr>
          <w:p>
            <w:pPr>
              <w:pStyle w:val="12"/>
            </w:pPr>
            <w:r>
              <w:t>100%</w:t>
            </w:r>
          </w:p>
        </w:tc>
        <w:tc>
          <w:tcPr>
            <w:tcW w:w="1276" w:type="dxa"/>
            <w:vAlign w:val="center"/>
          </w:tcPr>
          <w:p>
            <w:pPr>
              <w:pStyle w:val="12"/>
            </w:pPr>
            <w:r>
              <w:t>生活垃圾确认单</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垃圾处理及时率</w:t>
            </w:r>
          </w:p>
        </w:tc>
        <w:tc>
          <w:tcPr>
            <w:tcW w:w="5386" w:type="dxa"/>
            <w:vAlign w:val="center"/>
          </w:tcPr>
          <w:p>
            <w:pPr>
              <w:pStyle w:val="12"/>
            </w:pPr>
            <w:r>
              <w:t>实践完成的处理垃圾时间占应预计完成垃圾处理量时间的比率</w:t>
            </w:r>
          </w:p>
        </w:tc>
        <w:tc>
          <w:tcPr>
            <w:tcW w:w="2268" w:type="dxa"/>
            <w:vAlign w:val="center"/>
          </w:tcPr>
          <w:p>
            <w:pPr>
              <w:pStyle w:val="12"/>
            </w:pPr>
            <w:r>
              <w:t>100%</w:t>
            </w:r>
          </w:p>
        </w:tc>
        <w:tc>
          <w:tcPr>
            <w:tcW w:w="1276" w:type="dxa"/>
            <w:vAlign w:val="center"/>
          </w:tcPr>
          <w:p>
            <w:pPr>
              <w:pStyle w:val="12"/>
            </w:pPr>
            <w:r>
              <w:t>生活垃圾确认单</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垃圾处理成本</w:t>
            </w:r>
          </w:p>
        </w:tc>
        <w:tc>
          <w:tcPr>
            <w:tcW w:w="5386" w:type="dxa"/>
            <w:vAlign w:val="center"/>
          </w:tcPr>
          <w:p>
            <w:pPr>
              <w:pStyle w:val="12"/>
            </w:pPr>
            <w:r>
              <w:t>生活垃圾处理所需资金</w:t>
            </w:r>
          </w:p>
        </w:tc>
        <w:tc>
          <w:tcPr>
            <w:tcW w:w="2268" w:type="dxa"/>
            <w:vAlign w:val="center"/>
          </w:tcPr>
          <w:p>
            <w:pPr>
              <w:pStyle w:val="12"/>
            </w:pPr>
            <w:r>
              <w:t>2263万元</w:t>
            </w:r>
          </w:p>
        </w:tc>
        <w:tc>
          <w:tcPr>
            <w:tcW w:w="1276" w:type="dxa"/>
            <w:vAlign w:val="center"/>
          </w:tcPr>
          <w:p>
            <w:pPr>
              <w:pStyle w:val="12"/>
            </w:pPr>
            <w:r>
              <w:t>《河北省邯郸市馆陶县生活垃圾焚烧发电项目结算协议目可接收生活垃圾供应与结算协议》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提升生态环境</w:t>
            </w:r>
          </w:p>
        </w:tc>
        <w:tc>
          <w:tcPr>
            <w:tcW w:w="5386" w:type="dxa"/>
            <w:vAlign w:val="center"/>
          </w:tcPr>
          <w:p>
            <w:pPr>
              <w:pStyle w:val="12"/>
            </w:pPr>
            <w:r>
              <w:t>通过垃圾无害化处理，对我县城市形象提升率</w:t>
            </w:r>
          </w:p>
        </w:tc>
        <w:tc>
          <w:tcPr>
            <w:tcW w:w="2268" w:type="dxa"/>
            <w:vAlign w:val="center"/>
          </w:tcPr>
          <w:p>
            <w:pPr>
              <w:pStyle w:val="12"/>
            </w:pPr>
            <w:r>
              <w:t>≥90%</w:t>
            </w:r>
          </w:p>
        </w:tc>
        <w:tc>
          <w:tcPr>
            <w:tcW w:w="1276" w:type="dxa"/>
            <w:vAlign w:val="center"/>
          </w:tcPr>
          <w:p>
            <w:pPr>
              <w:pStyle w:val="12"/>
            </w:pPr>
            <w:r>
              <w:t>河北省城镇生活污水处理、生活垃圾焚烧行业政府和社会资本合作PPP项目绩效管理操作指引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改善生态环境率</w:t>
            </w:r>
          </w:p>
        </w:tc>
        <w:tc>
          <w:tcPr>
            <w:tcW w:w="5386" w:type="dxa"/>
            <w:vAlign w:val="center"/>
          </w:tcPr>
          <w:p>
            <w:pPr>
              <w:pStyle w:val="12"/>
            </w:pPr>
            <w:r>
              <w:t>通过垃圾焚烧发电对我县生态环境改善率</w:t>
            </w:r>
          </w:p>
        </w:tc>
        <w:tc>
          <w:tcPr>
            <w:tcW w:w="2268" w:type="dxa"/>
            <w:vAlign w:val="center"/>
          </w:tcPr>
          <w:p>
            <w:pPr>
              <w:pStyle w:val="12"/>
            </w:pPr>
            <w:r>
              <w:t>≥90%</w:t>
            </w:r>
          </w:p>
        </w:tc>
        <w:tc>
          <w:tcPr>
            <w:tcW w:w="1276" w:type="dxa"/>
            <w:vAlign w:val="center"/>
          </w:tcPr>
          <w:p>
            <w:pPr>
              <w:pStyle w:val="12"/>
            </w:pPr>
            <w:r>
              <w:t>河北省城镇生活污水处理、生活垃圾焚烧行业政府和社会资本合作PPP项目绩效管理操作指引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群众对生活垃圾焚烧发电垃圾处理服务资金满意度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7、综合行政执法经费绩效目标表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13043325P00002010003G</w:t>
            </w:r>
          </w:p>
        </w:tc>
        <w:tc>
          <w:tcPr>
            <w:tcW w:w="2835" w:type="dxa"/>
            <w:vAlign w:val="center"/>
          </w:tcPr>
          <w:p>
            <w:pPr>
              <w:pStyle w:val="10"/>
            </w:pPr>
            <w:r>
              <w:t>项目名称</w:t>
            </w:r>
          </w:p>
        </w:tc>
        <w:tc>
          <w:tcPr>
            <w:tcW w:w="6095" w:type="dxa"/>
            <w:gridSpan w:val="3"/>
            <w:vAlign w:val="center"/>
          </w:tcPr>
          <w:p>
            <w:pPr>
              <w:pStyle w:val="12"/>
            </w:pPr>
            <w:r>
              <w:t>综合行政执法经费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165.00</w:t>
            </w:r>
          </w:p>
        </w:tc>
        <w:tc>
          <w:tcPr>
            <w:tcW w:w="2835" w:type="dxa"/>
            <w:vAlign w:val="center"/>
          </w:tcPr>
          <w:p>
            <w:pPr>
              <w:pStyle w:val="10"/>
            </w:pPr>
            <w:r>
              <w:t>其中：财政    资金</w:t>
            </w:r>
          </w:p>
        </w:tc>
        <w:tc>
          <w:tcPr>
            <w:tcW w:w="2551" w:type="dxa"/>
            <w:vAlign w:val="center"/>
          </w:tcPr>
          <w:p>
            <w:pPr>
              <w:pStyle w:val="12"/>
            </w:pPr>
            <w:r>
              <w:t>165.00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通过综合行政执法，提高执法工作效率，改善生态环境。</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1.通过综合行政执法，提高执法工作效率，改善生态环境。</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执勤天数</w:t>
            </w:r>
          </w:p>
        </w:tc>
        <w:tc>
          <w:tcPr>
            <w:tcW w:w="5386" w:type="dxa"/>
            <w:vAlign w:val="center"/>
          </w:tcPr>
          <w:p>
            <w:pPr>
              <w:pStyle w:val="12"/>
            </w:pPr>
            <w:r>
              <w:t>执勤人员出勤天数</w:t>
            </w:r>
          </w:p>
        </w:tc>
        <w:tc>
          <w:tcPr>
            <w:tcW w:w="2268" w:type="dxa"/>
            <w:vAlign w:val="center"/>
          </w:tcPr>
          <w:p>
            <w:pPr>
              <w:pStyle w:val="12"/>
            </w:pPr>
            <w:r>
              <w:t>365天</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执勤完成率</w:t>
            </w:r>
          </w:p>
        </w:tc>
        <w:tc>
          <w:tcPr>
            <w:tcW w:w="5386" w:type="dxa"/>
            <w:vAlign w:val="center"/>
          </w:tcPr>
          <w:p>
            <w:pPr>
              <w:pStyle w:val="12"/>
            </w:pPr>
            <w:r>
              <w:t>执勤完成工作任务占应执勤工作任务的比率</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实际完成时间占预计完成时间比例</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执勤成本</w:t>
            </w:r>
          </w:p>
        </w:tc>
        <w:tc>
          <w:tcPr>
            <w:tcW w:w="5386" w:type="dxa"/>
            <w:vAlign w:val="center"/>
          </w:tcPr>
          <w:p>
            <w:pPr>
              <w:pStyle w:val="12"/>
            </w:pPr>
            <w:r>
              <w:t>执法任务完成所需资金成本</w:t>
            </w:r>
          </w:p>
        </w:tc>
        <w:tc>
          <w:tcPr>
            <w:tcW w:w="2268" w:type="dxa"/>
            <w:vAlign w:val="center"/>
          </w:tcPr>
          <w:p>
            <w:pPr>
              <w:pStyle w:val="12"/>
            </w:pPr>
            <w:r>
              <w:t>165万元</w:t>
            </w:r>
          </w:p>
        </w:tc>
        <w:tc>
          <w:tcPr>
            <w:tcW w:w="1276" w:type="dxa"/>
            <w:vAlign w:val="center"/>
          </w:tcPr>
          <w:p>
            <w:pPr>
              <w:pStyle w:val="12"/>
            </w:pPr>
            <w:r>
              <w:t>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提高执法工作效率</w:t>
            </w:r>
          </w:p>
        </w:tc>
        <w:tc>
          <w:tcPr>
            <w:tcW w:w="5386" w:type="dxa"/>
            <w:vAlign w:val="center"/>
          </w:tcPr>
          <w:p>
            <w:pPr>
              <w:pStyle w:val="12"/>
            </w:pPr>
            <w:r>
              <w:t>通过加强综合执法宣传，执法工作效率提高率</w:t>
            </w:r>
          </w:p>
        </w:tc>
        <w:tc>
          <w:tcPr>
            <w:tcW w:w="2268" w:type="dxa"/>
            <w:vAlign w:val="center"/>
          </w:tcPr>
          <w:p>
            <w:pPr>
              <w:pStyle w:val="12"/>
            </w:pPr>
            <w:r>
              <w:t>≥90%</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改善生态环境明显</w:t>
            </w:r>
          </w:p>
        </w:tc>
        <w:tc>
          <w:tcPr>
            <w:tcW w:w="5386" w:type="dxa"/>
            <w:vAlign w:val="center"/>
          </w:tcPr>
          <w:p>
            <w:pPr>
              <w:pStyle w:val="12"/>
            </w:pPr>
            <w:r>
              <w:t>通过环境卫生降尘治理、对我县生态环境改善率</w:t>
            </w:r>
          </w:p>
        </w:tc>
        <w:tc>
          <w:tcPr>
            <w:tcW w:w="2268" w:type="dxa"/>
            <w:vAlign w:val="center"/>
          </w:tcPr>
          <w:p>
            <w:pPr>
              <w:pStyle w:val="12"/>
            </w:pPr>
            <w:r>
              <w:t>≥90%</w:t>
            </w:r>
          </w:p>
        </w:tc>
        <w:tc>
          <w:tcPr>
            <w:tcW w:w="1276" w:type="dxa"/>
            <w:vAlign w:val="center"/>
          </w:tcPr>
          <w:p>
            <w:pPr>
              <w:pStyle w:val="12"/>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群众对综合行政执法经费使用满意度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1238.00</w:t>
            </w:r>
          </w:p>
        </w:tc>
        <w:tc>
          <w:tcPr>
            <w:tcW w:w="964" w:type="dxa"/>
            <w:vAlign w:val="center"/>
          </w:tcPr>
          <w:p>
            <w:pPr>
              <w:pStyle w:val="15"/>
            </w:pPr>
            <w:r>
              <w:t>18.00</w:t>
            </w:r>
          </w:p>
        </w:tc>
        <w:tc>
          <w:tcPr>
            <w:tcW w:w="964" w:type="dxa"/>
            <w:vAlign w:val="center"/>
          </w:tcPr>
          <w:p>
            <w:pPr>
              <w:pStyle w:val="15"/>
            </w:pPr>
            <w:r>
              <w:t>1220.00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馆陶县综合行政执法局本级小计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1238.00</w:t>
            </w:r>
          </w:p>
        </w:tc>
        <w:tc>
          <w:tcPr>
            <w:tcW w:w="964" w:type="dxa"/>
            <w:vAlign w:val="center"/>
          </w:tcPr>
          <w:p>
            <w:pPr>
              <w:pStyle w:val="15"/>
            </w:pPr>
            <w:r>
              <w:t>18.00</w:t>
            </w:r>
          </w:p>
        </w:tc>
        <w:tc>
          <w:tcPr>
            <w:tcW w:w="964" w:type="dxa"/>
            <w:vAlign w:val="center"/>
          </w:tcPr>
          <w:p>
            <w:pPr>
              <w:pStyle w:val="15"/>
            </w:pPr>
            <w:r>
              <w:t>1220.00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13</w:t>
            </w:r>
          </w:p>
        </w:tc>
        <w:tc>
          <w:tcPr>
            <w:tcW w:w="850" w:type="dxa"/>
            <w:vAlign w:val="center"/>
          </w:tcPr>
          <w:p>
            <w:pPr>
              <w:pStyle w:val="11"/>
            </w:pPr>
            <w:r>
              <w:t>0.40</w:t>
            </w:r>
          </w:p>
        </w:tc>
        <w:tc>
          <w:tcPr>
            <w:tcW w:w="964" w:type="dxa"/>
            <w:vAlign w:val="center"/>
          </w:tcPr>
          <w:p>
            <w:pPr>
              <w:pStyle w:val="11"/>
            </w:pPr>
            <w:r>
              <w:t>5.20</w:t>
            </w:r>
          </w:p>
        </w:tc>
        <w:tc>
          <w:tcPr>
            <w:tcW w:w="964" w:type="dxa"/>
            <w:vAlign w:val="center"/>
          </w:tcPr>
          <w:p>
            <w:pPr>
              <w:pStyle w:val="11"/>
            </w:pPr>
            <w:r>
              <w:t>5.20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专用照相机</w:t>
            </w:r>
          </w:p>
        </w:tc>
        <w:tc>
          <w:tcPr>
            <w:tcW w:w="1134" w:type="dxa"/>
            <w:vAlign w:val="center"/>
          </w:tcPr>
          <w:p>
            <w:pPr>
              <w:pStyle w:val="12"/>
            </w:pPr>
            <w:r>
              <w:t>A02020504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0.16</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0.32</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0.58</w:t>
            </w:r>
          </w:p>
        </w:tc>
        <w:tc>
          <w:tcPr>
            <w:tcW w:w="964" w:type="dxa"/>
            <w:vAlign w:val="center"/>
          </w:tcPr>
          <w:p>
            <w:pPr>
              <w:pStyle w:val="11"/>
            </w:pPr>
            <w:r>
              <w:t>1.16</w:t>
            </w:r>
          </w:p>
        </w:tc>
        <w:tc>
          <w:tcPr>
            <w:tcW w:w="964" w:type="dxa"/>
            <w:vAlign w:val="center"/>
          </w:tcPr>
          <w:p>
            <w:pPr>
              <w:pStyle w:val="11"/>
            </w:pPr>
            <w:r>
              <w:t>1.16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热水器</w:t>
            </w:r>
          </w:p>
        </w:tc>
        <w:tc>
          <w:tcPr>
            <w:tcW w:w="1134" w:type="dxa"/>
            <w:vAlign w:val="center"/>
          </w:tcPr>
          <w:p>
            <w:pPr>
              <w:pStyle w:val="12"/>
            </w:pPr>
            <w:r>
              <w:t>A02061819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其他视频设备</w:t>
            </w:r>
          </w:p>
        </w:tc>
        <w:tc>
          <w:tcPr>
            <w:tcW w:w="1134" w:type="dxa"/>
            <w:vAlign w:val="center"/>
          </w:tcPr>
          <w:p>
            <w:pPr>
              <w:pStyle w:val="12"/>
            </w:pPr>
            <w:r>
              <w:t>A02091199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0.32</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其他床类</w:t>
            </w:r>
          </w:p>
        </w:tc>
        <w:tc>
          <w:tcPr>
            <w:tcW w:w="1134" w:type="dxa"/>
            <w:vAlign w:val="center"/>
          </w:tcPr>
          <w:p>
            <w:pPr>
              <w:pStyle w:val="12"/>
            </w:pPr>
            <w:r>
              <w:t>A05010199</w:t>
            </w:r>
          </w:p>
        </w:tc>
        <w:tc>
          <w:tcPr>
            <w:tcW w:w="709" w:type="dxa"/>
            <w:vAlign w:val="center"/>
          </w:tcPr>
          <w:p>
            <w:pPr>
              <w:pStyle w:val="13"/>
            </w:pPr>
            <w:r>
              <w:t>张</w:t>
            </w:r>
          </w:p>
        </w:tc>
        <w:tc>
          <w:tcPr>
            <w:tcW w:w="850" w:type="dxa"/>
            <w:vAlign w:val="center"/>
          </w:tcPr>
          <w:p>
            <w:pPr>
              <w:pStyle w:val="11"/>
            </w:pPr>
            <w:r>
              <w:t>14</w:t>
            </w:r>
          </w:p>
        </w:tc>
        <w:tc>
          <w:tcPr>
            <w:tcW w:w="850" w:type="dxa"/>
            <w:vAlign w:val="center"/>
          </w:tcPr>
          <w:p>
            <w:pPr>
              <w:pStyle w:val="11"/>
            </w:pPr>
            <w:r>
              <w:t>0.05</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6</w:t>
            </w:r>
          </w:p>
        </w:tc>
        <w:tc>
          <w:tcPr>
            <w:tcW w:w="850" w:type="dxa"/>
            <w:vAlign w:val="center"/>
          </w:tcPr>
          <w:p>
            <w:pPr>
              <w:pStyle w:val="11"/>
            </w:pPr>
            <w:r>
              <w:t>0.12</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12</w:t>
            </w:r>
          </w:p>
        </w:tc>
        <w:tc>
          <w:tcPr>
            <w:tcW w:w="850" w:type="dxa"/>
            <w:vAlign w:val="center"/>
          </w:tcPr>
          <w:p>
            <w:pPr>
              <w:pStyle w:val="11"/>
            </w:pPr>
            <w:r>
              <w:t>0.04</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24</w:t>
            </w:r>
          </w:p>
        </w:tc>
        <w:tc>
          <w:tcPr>
            <w:tcW w:w="850" w:type="dxa"/>
            <w:vAlign w:val="center"/>
          </w:tcPr>
          <w:p>
            <w:pPr>
              <w:pStyle w:val="11"/>
            </w:pPr>
            <w:r>
              <w:t>0.03</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件</w:t>
            </w:r>
          </w:p>
        </w:tc>
        <w:tc>
          <w:tcPr>
            <w:tcW w:w="850" w:type="dxa"/>
            <w:vAlign w:val="center"/>
          </w:tcPr>
          <w:p>
            <w:pPr>
              <w:pStyle w:val="11"/>
            </w:pPr>
            <w:r>
              <w:t>3</w:t>
            </w:r>
          </w:p>
        </w:tc>
        <w:tc>
          <w:tcPr>
            <w:tcW w:w="850" w:type="dxa"/>
            <w:vAlign w:val="center"/>
          </w:tcPr>
          <w:p>
            <w:pPr>
              <w:pStyle w:val="11"/>
            </w:pPr>
            <w:r>
              <w:t>0.98</w:t>
            </w:r>
          </w:p>
        </w:tc>
        <w:tc>
          <w:tcPr>
            <w:tcW w:w="964" w:type="dxa"/>
            <w:vAlign w:val="center"/>
          </w:tcPr>
          <w:p>
            <w:pPr>
              <w:pStyle w:val="11"/>
            </w:pPr>
            <w:r>
              <w:t>2.94</w:t>
            </w:r>
          </w:p>
        </w:tc>
        <w:tc>
          <w:tcPr>
            <w:tcW w:w="964" w:type="dxa"/>
            <w:vAlign w:val="center"/>
          </w:tcPr>
          <w:p>
            <w:pPr>
              <w:pStyle w:val="11"/>
            </w:pPr>
            <w:r>
              <w:t>2.94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308.00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20</w:t>
            </w:r>
          </w:p>
        </w:tc>
        <w:tc>
          <w:tcPr>
            <w:tcW w:w="850" w:type="dxa"/>
            <w:vAlign w:val="center"/>
          </w:tcPr>
          <w:p>
            <w:pPr>
              <w:pStyle w:val="11"/>
            </w:pPr>
            <w:r>
              <w:t>0.06</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馆陶县环卫保洁服务项目资金</w:t>
            </w:r>
          </w:p>
        </w:tc>
        <w:tc>
          <w:tcPr>
            <w:tcW w:w="964" w:type="dxa"/>
            <w:vAlign w:val="center"/>
          </w:tcPr>
          <w:p>
            <w:pPr>
              <w:pStyle w:val="11"/>
            </w:pPr>
            <w:r>
              <w:t>1220.00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1220.00</w:t>
            </w:r>
          </w:p>
        </w:tc>
        <w:tc>
          <w:tcPr>
            <w:tcW w:w="964" w:type="dxa"/>
            <w:vAlign w:val="center"/>
          </w:tcPr>
          <w:p>
            <w:pPr>
              <w:pStyle w:val="11"/>
            </w:pPr>
            <w:r>
              <w:t>1220.00</w:t>
            </w:r>
          </w:p>
        </w:tc>
        <w:tc>
          <w:tcPr>
            <w:tcW w:w="964" w:type="dxa"/>
            <w:vAlign w:val="center"/>
          </w:tcPr>
          <w:p>
            <w:pPr>
              <w:pStyle w:val="11"/>
            </w:pPr>
          </w:p>
        </w:tc>
        <w:tc>
          <w:tcPr>
            <w:tcW w:w="964" w:type="dxa"/>
            <w:vAlign w:val="center"/>
          </w:tcPr>
          <w:p>
            <w:pPr>
              <w:pStyle w:val="11"/>
            </w:pPr>
            <w:r>
              <w:t>1220.00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馆陶县综合行政执法局本级上年末固定资产金额为</w:t>
      </w:r>
      <w:r>
        <w:rPr>
          <w:rFonts w:hint="eastAsia" w:eastAsia="方正仿宋_GBK" w:cs="Times New Roman"/>
          <w:b w:val="0"/>
          <w:color w:val="000000"/>
          <w:sz w:val="28"/>
          <w:lang w:val="en-US" w:eastAsia="zh-CN"/>
        </w:rPr>
        <w:t>4380</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99</w:t>
      </w:r>
      <w:r>
        <w:rPr>
          <w:rFonts w:ascii="Times New Roman" w:hAnsi="Times New Roman" w:eastAsia="方正仿宋_GBK" w:cs="Times New Roman"/>
          <w:b w:val="0"/>
          <w:color w:val="000000"/>
          <w:sz w:val="28"/>
        </w:rPr>
        <w:t>万元（详见下表）。本年度拟购置固定资产总额为18.00万元，已按要求列入政府采购预算，详见政府采购预算表。</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507001馆陶县综合行政执法局本级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1200.33</w:t>
            </w:r>
          </w:p>
        </w:tc>
        <w:tc>
          <w:tcPr>
            <w:tcW w:w="2835" w:type="dxa"/>
            <w:vAlign w:val="center"/>
          </w:tcPr>
          <w:p>
            <w:pPr>
              <w:pStyle w:val="11"/>
            </w:pPr>
            <w:r>
              <w:t>27.99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0" w:hRule="atLeast"/>
          <w:jc w:val="center"/>
        </w:trPr>
        <w:tc>
          <w:tcPr>
            <w:tcW w:w="7370" w:type="dxa"/>
            <w:vAlign w:val="center"/>
          </w:tcPr>
          <w:p>
            <w:pPr>
              <w:pStyle w:val="12"/>
            </w:pPr>
            <w:r>
              <w:t>2、车辆（台、辆）</w:t>
            </w:r>
          </w:p>
        </w:tc>
        <w:tc>
          <w:tcPr>
            <w:tcW w:w="2835" w:type="dxa"/>
            <w:vAlign w:val="center"/>
          </w:tcPr>
          <w:p>
            <w:pPr>
              <w:pStyle w:val="13"/>
            </w:pPr>
            <w:r>
              <w:t>66</w:t>
            </w:r>
          </w:p>
        </w:tc>
        <w:tc>
          <w:tcPr>
            <w:tcW w:w="2835" w:type="dxa"/>
            <w:vAlign w:val="center"/>
          </w:tcPr>
          <w:p>
            <w:pPr>
              <w:pStyle w:val="11"/>
            </w:pPr>
            <w:r>
              <w:t>1437.62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ind w:firstLine="0" w:firstLineChars="0"/>
            </w:pPr>
            <w:r>
              <w:rPr>
                <w:rFonts w:hint="eastAsia"/>
                <w:lang w:val="en-US" w:eastAsia="zh-CN"/>
              </w:rPr>
              <w:t>1</w:t>
            </w:r>
          </w:p>
        </w:tc>
        <w:tc>
          <w:tcPr>
            <w:tcW w:w="2835" w:type="dxa"/>
            <w:vAlign w:val="center"/>
          </w:tcPr>
          <w:p>
            <w:pPr>
              <w:pStyle w:val="11"/>
              <w:ind w:firstLine="0" w:firstLineChars="0"/>
            </w:pPr>
            <w:r>
              <w:rPr>
                <w:rFonts w:hint="eastAsia"/>
                <w:lang w:val="en-US" w:eastAsia="zh-CN"/>
              </w:rPr>
              <w:t>2844.6819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ind w:firstLine="0" w:firstLineChars="0"/>
            </w:pPr>
            <w:r>
              <w:rPr>
                <w:rFonts w:hint="eastAsia"/>
                <w:lang w:val="en-US" w:eastAsia="zh-CN"/>
              </w:rPr>
              <w:t>1737</w:t>
            </w:r>
          </w:p>
        </w:tc>
        <w:tc>
          <w:tcPr>
            <w:tcW w:w="2835" w:type="dxa"/>
            <w:vAlign w:val="center"/>
          </w:tcPr>
          <w:p>
            <w:pPr>
              <w:pStyle w:val="11"/>
              <w:ind w:firstLine="0" w:firstLineChars="0"/>
            </w:pPr>
            <w:r>
              <w:rPr>
                <w:rFonts w:hint="eastAsia"/>
                <w:lang w:val="en-US" w:eastAsia="zh-CN"/>
              </w:rPr>
              <w:t>70.6981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C5386"/>
    <w:rsid w:val="5AEE6B3E"/>
    <w:rsid w:val="7277057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2254</Words>
  <Characters>3543</Characters>
  <TotalTime>0</TotalTime>
  <ScaleCrop>false</ScaleCrop>
  <LinksUpToDate>false</LinksUpToDate>
  <CharactersWithSpaces>3573</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2025-03-03T16:22:00Z</dcterms:created>
  <dc:creator>Administrator</dc:creator>
  <cp:lastModifiedBy>Administrator</cp:lastModifiedBy>
  <dcterms:modified xsi:type="dcterms:W3CDTF">2025-03-04T02:14:30Z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eyJoZGlkIjoiNjY0NTYyODgwNjZhYmRmOTY3MGFmNDRhMGQ4OTVjMjUifQ==</vt:lpwstr>
  </property>
  <property fmtid="{D5CDD505-2E9C-101B-9397-08002B2CF9AE}" pid="3" name="KSOProductBuildVer">
    <vt:lpwstr>2052-10.8.2.6873</vt:lpwstr>
  </property>
  <property fmtid="{D5CDD505-2E9C-101B-9397-08002B2CF9AE}" pid="4" name="ICV">
    <vt:lpwstr>00F5E18EDE9F414A82BF4DB407417A71_13</vt:lpwstr>
  </property>
</Properties>
</file>