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324馆陶县自然资源和规划局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3458.26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1206.45</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1206.45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3181.65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4664.71</w:t>
            </w:r>
          </w:p>
        </w:tc>
        <w:tc>
          <w:tcPr>
            <w:tcW w:w="4535" w:type="dxa"/>
            <w:vAlign w:val="center"/>
          </w:tcPr>
          <w:p>
            <w:pPr>
              <w:pStyle w:val="15"/>
            </w:pPr>
            <w:r>
              <w:t>本年支出合计</w:t>
            </w:r>
          </w:p>
        </w:tc>
        <w:tc>
          <w:tcPr>
            <w:tcW w:w="2126" w:type="dxa"/>
            <w:vAlign w:val="center"/>
          </w:tcPr>
          <w:p>
            <w:pPr>
              <w:pStyle w:val="16"/>
            </w:pPr>
            <w:r>
              <w:t>4664.71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4664.71</w:t>
            </w:r>
          </w:p>
        </w:tc>
        <w:tc>
          <w:tcPr>
            <w:tcW w:w="4535" w:type="dxa"/>
            <w:vAlign w:val="center"/>
          </w:tcPr>
          <w:p>
            <w:pPr>
              <w:pStyle w:val="15"/>
            </w:pPr>
            <w:r>
              <w:t>支出总计</w:t>
            </w:r>
          </w:p>
        </w:tc>
        <w:tc>
          <w:tcPr>
            <w:tcW w:w="2126" w:type="dxa"/>
            <w:vAlign w:val="center"/>
          </w:tcPr>
          <w:p>
            <w:pPr>
              <w:pStyle w:val="16"/>
            </w:pPr>
            <w:r>
              <w:t>4664.71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324馆陶县自然资源和规划局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4664.71</w:t>
            </w:r>
          </w:p>
        </w:tc>
        <w:tc>
          <w:tcPr>
            <w:tcW w:w="1134" w:type="dxa"/>
            <w:vAlign w:val="center"/>
          </w:tcPr>
          <w:p>
            <w:pPr>
              <w:pStyle w:val="16"/>
            </w:pPr>
            <w:r>
              <w:t>4664.71</w:t>
            </w:r>
          </w:p>
        </w:tc>
        <w:tc>
          <w:tcPr>
            <w:tcW w:w="1134" w:type="dxa"/>
            <w:vAlign w:val="center"/>
          </w:tcPr>
          <w:p>
            <w:pPr>
              <w:pStyle w:val="16"/>
            </w:pPr>
            <w:r>
              <w:t>4664.71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35.50</w:t>
            </w:r>
          </w:p>
        </w:tc>
        <w:tc>
          <w:tcPr>
            <w:tcW w:w="1134" w:type="dxa"/>
            <w:vAlign w:val="center"/>
          </w:tcPr>
          <w:p>
            <w:pPr>
              <w:pStyle w:val="12"/>
            </w:pPr>
            <w:r>
              <w:t>35.50</w:t>
            </w:r>
          </w:p>
        </w:tc>
        <w:tc>
          <w:tcPr>
            <w:tcW w:w="1134" w:type="dxa"/>
            <w:vAlign w:val="center"/>
          </w:tcPr>
          <w:p>
            <w:pPr>
              <w:pStyle w:val="12"/>
            </w:pPr>
            <w:r>
              <w:t>35.50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35.50</w:t>
            </w:r>
          </w:p>
        </w:tc>
        <w:tc>
          <w:tcPr>
            <w:tcW w:w="1134" w:type="dxa"/>
            <w:vAlign w:val="center"/>
          </w:tcPr>
          <w:p>
            <w:pPr>
              <w:pStyle w:val="12"/>
            </w:pPr>
            <w:r>
              <w:t>35.50</w:t>
            </w:r>
          </w:p>
        </w:tc>
        <w:tc>
          <w:tcPr>
            <w:tcW w:w="1134" w:type="dxa"/>
            <w:vAlign w:val="center"/>
          </w:tcPr>
          <w:p>
            <w:pPr>
              <w:pStyle w:val="12"/>
            </w:pPr>
            <w:r>
              <w:t>35.50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r>
              <w:t>15.06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1206.45</w:t>
            </w:r>
          </w:p>
        </w:tc>
        <w:tc>
          <w:tcPr>
            <w:tcW w:w="1134" w:type="dxa"/>
            <w:vAlign w:val="center"/>
          </w:tcPr>
          <w:p>
            <w:pPr>
              <w:pStyle w:val="12"/>
            </w:pPr>
            <w:r>
              <w:t>1206.45</w:t>
            </w:r>
          </w:p>
        </w:tc>
        <w:tc>
          <w:tcPr>
            <w:tcW w:w="1134" w:type="dxa"/>
            <w:vAlign w:val="center"/>
          </w:tcPr>
          <w:p>
            <w:pPr>
              <w:pStyle w:val="12"/>
            </w:pPr>
            <w:r>
              <w:t>1206.45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1206.45</w:t>
            </w:r>
          </w:p>
        </w:tc>
        <w:tc>
          <w:tcPr>
            <w:tcW w:w="1134" w:type="dxa"/>
            <w:vAlign w:val="center"/>
          </w:tcPr>
          <w:p>
            <w:pPr>
              <w:pStyle w:val="12"/>
            </w:pPr>
            <w:r>
              <w:t>1206.45</w:t>
            </w:r>
          </w:p>
        </w:tc>
        <w:tc>
          <w:tcPr>
            <w:tcW w:w="1134" w:type="dxa"/>
            <w:vAlign w:val="center"/>
          </w:tcPr>
          <w:p>
            <w:pPr>
              <w:pStyle w:val="12"/>
            </w:pPr>
            <w:r>
              <w:t>1206.45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6.45</w:t>
            </w:r>
          </w:p>
        </w:tc>
        <w:tc>
          <w:tcPr>
            <w:tcW w:w="1134" w:type="dxa"/>
            <w:vAlign w:val="center"/>
          </w:tcPr>
          <w:p>
            <w:pPr>
              <w:pStyle w:val="12"/>
            </w:pPr>
            <w:r>
              <w:t>6.45</w:t>
            </w:r>
          </w:p>
        </w:tc>
        <w:tc>
          <w:tcPr>
            <w:tcW w:w="1134" w:type="dxa"/>
            <w:vAlign w:val="center"/>
          </w:tcPr>
          <w:p>
            <w:pPr>
              <w:pStyle w:val="12"/>
            </w:pPr>
            <w:r>
              <w:t>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2120805</w:t>
            </w:r>
          </w:p>
        </w:tc>
        <w:tc>
          <w:tcPr>
            <w:tcW w:w="1559" w:type="dxa"/>
            <w:vAlign w:val="center"/>
          </w:tcPr>
          <w:p>
            <w:pPr>
              <w:pStyle w:val="13"/>
            </w:pPr>
            <w:r>
              <w:t>补助被征地农民支出</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r>
              <w:t>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202.05</w:t>
            </w:r>
          </w:p>
        </w:tc>
        <w:tc>
          <w:tcPr>
            <w:tcW w:w="1134" w:type="dxa"/>
            <w:vAlign w:val="center"/>
          </w:tcPr>
          <w:p>
            <w:pPr>
              <w:pStyle w:val="12"/>
            </w:pPr>
            <w:r>
              <w:t>202.05</w:t>
            </w:r>
          </w:p>
        </w:tc>
        <w:tc>
          <w:tcPr>
            <w:tcW w:w="1134" w:type="dxa"/>
            <w:vAlign w:val="center"/>
          </w:tcPr>
          <w:p>
            <w:pPr>
              <w:pStyle w:val="12"/>
            </w:pPr>
            <w:r>
              <w:t>202.05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202.05</w:t>
            </w:r>
          </w:p>
        </w:tc>
        <w:tc>
          <w:tcPr>
            <w:tcW w:w="1134" w:type="dxa"/>
            <w:vAlign w:val="center"/>
          </w:tcPr>
          <w:p>
            <w:pPr>
              <w:pStyle w:val="12"/>
            </w:pPr>
            <w:r>
              <w:t>202.05</w:t>
            </w:r>
          </w:p>
        </w:tc>
        <w:tc>
          <w:tcPr>
            <w:tcW w:w="1134" w:type="dxa"/>
            <w:vAlign w:val="center"/>
          </w:tcPr>
          <w:p>
            <w:pPr>
              <w:pStyle w:val="12"/>
            </w:pPr>
            <w:r>
              <w:t>202.05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2130201</w:t>
            </w:r>
          </w:p>
        </w:tc>
        <w:tc>
          <w:tcPr>
            <w:tcW w:w="1559" w:type="dxa"/>
            <w:vAlign w:val="center"/>
          </w:tcPr>
          <w:p>
            <w:pPr>
              <w:pStyle w:val="13"/>
            </w:pPr>
            <w:r>
              <w:t>行政运行</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pPr>
            <w:r>
              <w:t>41.85</w:t>
            </w:r>
          </w:p>
        </w:tc>
        <w:tc>
          <w:tcPr>
            <w:tcW w:w="1134" w:type="dxa"/>
            <w:vAlign w:val="center"/>
          </w:tcPr>
          <w:p>
            <w:pPr>
              <w:pStyle w:val="12"/>
            </w:pPr>
            <w:r>
              <w:t>41.85</w:t>
            </w:r>
          </w:p>
        </w:tc>
        <w:tc>
          <w:tcPr>
            <w:tcW w:w="1134" w:type="dxa"/>
            <w:vAlign w:val="center"/>
          </w:tcPr>
          <w:p>
            <w:pPr>
              <w:pStyle w:val="12"/>
            </w:pPr>
            <w:r>
              <w:t>41.85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3181.65</w:t>
            </w:r>
          </w:p>
        </w:tc>
        <w:tc>
          <w:tcPr>
            <w:tcW w:w="1134" w:type="dxa"/>
            <w:vAlign w:val="center"/>
          </w:tcPr>
          <w:p>
            <w:pPr>
              <w:pStyle w:val="12"/>
            </w:pPr>
            <w:r>
              <w:t>3181.65</w:t>
            </w:r>
          </w:p>
        </w:tc>
        <w:tc>
          <w:tcPr>
            <w:tcW w:w="1134" w:type="dxa"/>
            <w:vAlign w:val="center"/>
          </w:tcPr>
          <w:p>
            <w:pPr>
              <w:pStyle w:val="12"/>
            </w:pPr>
            <w:r>
              <w:t>3181.65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20</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3181.65</w:t>
            </w:r>
          </w:p>
        </w:tc>
        <w:tc>
          <w:tcPr>
            <w:tcW w:w="1134" w:type="dxa"/>
            <w:vAlign w:val="center"/>
          </w:tcPr>
          <w:p>
            <w:pPr>
              <w:pStyle w:val="12"/>
            </w:pPr>
            <w:r>
              <w:t>3181.65</w:t>
            </w:r>
          </w:p>
        </w:tc>
        <w:tc>
          <w:tcPr>
            <w:tcW w:w="1134" w:type="dxa"/>
            <w:vAlign w:val="center"/>
          </w:tcPr>
          <w:p>
            <w:pPr>
              <w:pStyle w:val="12"/>
            </w:pPr>
            <w:r>
              <w:t>3181.65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2989.47</w:t>
            </w:r>
          </w:p>
        </w:tc>
        <w:tc>
          <w:tcPr>
            <w:tcW w:w="1134" w:type="dxa"/>
            <w:vAlign w:val="center"/>
          </w:tcPr>
          <w:p>
            <w:pPr>
              <w:pStyle w:val="12"/>
            </w:pPr>
            <w:r>
              <w:t>2989.47</w:t>
            </w:r>
          </w:p>
        </w:tc>
        <w:tc>
          <w:tcPr>
            <w:tcW w:w="1134" w:type="dxa"/>
            <w:vAlign w:val="center"/>
          </w:tcPr>
          <w:p>
            <w:pPr>
              <w:pStyle w:val="12"/>
            </w:pPr>
            <w:r>
              <w:t>2989.47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2200150</w:t>
            </w:r>
          </w:p>
        </w:tc>
        <w:tc>
          <w:tcPr>
            <w:tcW w:w="1559" w:type="dxa"/>
            <w:vAlign w:val="center"/>
          </w:tcPr>
          <w:p>
            <w:pPr>
              <w:pStyle w:val="13"/>
            </w:pPr>
            <w:r>
              <w:t>事业运行</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2200199</w:t>
            </w:r>
          </w:p>
        </w:tc>
        <w:tc>
          <w:tcPr>
            <w:tcW w:w="1559" w:type="dxa"/>
            <w:vAlign w:val="center"/>
          </w:tcPr>
          <w:p>
            <w:pPr>
              <w:pStyle w:val="13"/>
            </w:pPr>
            <w:r>
              <w:t>其他自然资源事务支出</w:t>
            </w:r>
          </w:p>
        </w:tc>
        <w:tc>
          <w:tcPr>
            <w:tcW w:w="1134" w:type="dxa"/>
            <w:vAlign w:val="center"/>
          </w:tcPr>
          <w:p>
            <w:pPr>
              <w:pStyle w:val="12"/>
            </w:pPr>
            <w:r>
              <w:t>176.18</w:t>
            </w:r>
          </w:p>
        </w:tc>
        <w:tc>
          <w:tcPr>
            <w:tcW w:w="1134" w:type="dxa"/>
            <w:vAlign w:val="center"/>
          </w:tcPr>
          <w:p>
            <w:pPr>
              <w:pStyle w:val="12"/>
            </w:pPr>
            <w:r>
              <w:t>176.18</w:t>
            </w:r>
          </w:p>
        </w:tc>
        <w:tc>
          <w:tcPr>
            <w:tcW w:w="1134" w:type="dxa"/>
            <w:vAlign w:val="center"/>
          </w:tcPr>
          <w:p>
            <w:pPr>
              <w:pStyle w:val="12"/>
            </w:pPr>
            <w:r>
              <w:t>176.18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4664.71</w:t>
            </w:r>
          </w:p>
        </w:tc>
        <w:tc>
          <w:tcPr>
            <w:tcW w:w="1361" w:type="dxa"/>
            <w:vAlign w:val="center"/>
          </w:tcPr>
          <w:p>
            <w:pPr>
              <w:pStyle w:val="16"/>
            </w:pPr>
            <w:r>
              <w:t>1567.52</w:t>
            </w:r>
          </w:p>
        </w:tc>
        <w:tc>
          <w:tcPr>
            <w:tcW w:w="1361" w:type="dxa"/>
            <w:vAlign w:val="center"/>
          </w:tcPr>
          <w:p>
            <w:pPr>
              <w:pStyle w:val="16"/>
            </w:pPr>
            <w:r>
              <w:t>3097.19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35.50</w:t>
            </w:r>
          </w:p>
        </w:tc>
        <w:tc>
          <w:tcPr>
            <w:tcW w:w="1361" w:type="dxa"/>
            <w:vAlign w:val="center"/>
          </w:tcPr>
          <w:p>
            <w:pPr>
              <w:pStyle w:val="12"/>
            </w:pPr>
            <w:r>
              <w:t>35.50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35.50</w:t>
            </w:r>
          </w:p>
        </w:tc>
        <w:tc>
          <w:tcPr>
            <w:tcW w:w="1361" w:type="dxa"/>
            <w:vAlign w:val="center"/>
          </w:tcPr>
          <w:p>
            <w:pPr>
              <w:pStyle w:val="12"/>
            </w:pPr>
            <w:r>
              <w:t>35.50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29.00</w:t>
            </w: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6.50</w:t>
            </w:r>
          </w:p>
        </w:tc>
        <w:tc>
          <w:tcPr>
            <w:tcW w:w="1361" w:type="dxa"/>
            <w:vAlign w:val="center"/>
          </w:tcPr>
          <w:p>
            <w:pPr>
              <w:pStyle w:val="12"/>
            </w:pPr>
            <w:r>
              <w:t>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15.06</w:t>
            </w:r>
          </w:p>
        </w:tc>
        <w:tc>
          <w:tcPr>
            <w:tcW w:w="1361" w:type="dxa"/>
            <w:vAlign w:val="center"/>
          </w:tcPr>
          <w:p>
            <w:pPr>
              <w:pStyle w:val="12"/>
            </w:pPr>
            <w:r>
              <w:t>15.06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15.06</w:t>
            </w:r>
          </w:p>
        </w:tc>
        <w:tc>
          <w:tcPr>
            <w:tcW w:w="1361" w:type="dxa"/>
            <w:vAlign w:val="center"/>
          </w:tcPr>
          <w:p>
            <w:pPr>
              <w:pStyle w:val="12"/>
            </w:pPr>
            <w:r>
              <w:t>15.06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15.06</w:t>
            </w:r>
          </w:p>
        </w:tc>
        <w:tc>
          <w:tcPr>
            <w:tcW w:w="1361" w:type="dxa"/>
            <w:vAlign w:val="center"/>
          </w:tcPr>
          <w:p>
            <w:pPr>
              <w:pStyle w:val="12"/>
            </w:pPr>
            <w:r>
              <w:t>15.06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1206.45</w:t>
            </w:r>
          </w:p>
        </w:tc>
        <w:tc>
          <w:tcPr>
            <w:tcW w:w="1361" w:type="dxa"/>
            <w:vAlign w:val="center"/>
          </w:tcPr>
          <w:p>
            <w:pPr>
              <w:pStyle w:val="12"/>
            </w:pPr>
          </w:p>
        </w:tc>
        <w:tc>
          <w:tcPr>
            <w:tcW w:w="1361" w:type="dxa"/>
            <w:vAlign w:val="center"/>
          </w:tcPr>
          <w:p>
            <w:pPr>
              <w:pStyle w:val="12"/>
            </w:pPr>
            <w:r>
              <w:t>1206.45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1206.45</w:t>
            </w:r>
          </w:p>
        </w:tc>
        <w:tc>
          <w:tcPr>
            <w:tcW w:w="1361" w:type="dxa"/>
            <w:vAlign w:val="center"/>
          </w:tcPr>
          <w:p>
            <w:pPr>
              <w:pStyle w:val="12"/>
            </w:pPr>
          </w:p>
        </w:tc>
        <w:tc>
          <w:tcPr>
            <w:tcW w:w="1361" w:type="dxa"/>
            <w:vAlign w:val="center"/>
          </w:tcPr>
          <w:p>
            <w:pPr>
              <w:pStyle w:val="12"/>
            </w:pPr>
            <w:r>
              <w:t>1206.45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6.45</w:t>
            </w:r>
          </w:p>
        </w:tc>
        <w:tc>
          <w:tcPr>
            <w:tcW w:w="1361" w:type="dxa"/>
            <w:vAlign w:val="center"/>
          </w:tcPr>
          <w:p>
            <w:pPr>
              <w:pStyle w:val="12"/>
            </w:pPr>
          </w:p>
        </w:tc>
        <w:tc>
          <w:tcPr>
            <w:tcW w:w="1361" w:type="dxa"/>
            <w:vAlign w:val="center"/>
          </w:tcPr>
          <w:p>
            <w:pPr>
              <w:pStyle w:val="12"/>
            </w:pPr>
            <w:r>
              <w:t>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2120805</w:t>
            </w:r>
          </w:p>
        </w:tc>
        <w:tc>
          <w:tcPr>
            <w:tcW w:w="4535" w:type="dxa"/>
            <w:vAlign w:val="center"/>
          </w:tcPr>
          <w:p>
            <w:pPr>
              <w:pStyle w:val="13"/>
            </w:pPr>
            <w:r>
              <w:t>补助被征地农民支出</w:t>
            </w: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r>
              <w:t>1200.00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202.05</w:t>
            </w:r>
          </w:p>
        </w:tc>
        <w:tc>
          <w:tcPr>
            <w:tcW w:w="1361" w:type="dxa"/>
            <w:vAlign w:val="center"/>
          </w:tcPr>
          <w:p>
            <w:pPr>
              <w:pStyle w:val="12"/>
            </w:pPr>
          </w:p>
        </w:tc>
        <w:tc>
          <w:tcPr>
            <w:tcW w:w="1361" w:type="dxa"/>
            <w:vAlign w:val="center"/>
          </w:tcPr>
          <w:p>
            <w:pPr>
              <w:pStyle w:val="12"/>
            </w:pPr>
            <w:r>
              <w:t>202.05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202.05</w:t>
            </w:r>
          </w:p>
        </w:tc>
        <w:tc>
          <w:tcPr>
            <w:tcW w:w="1361" w:type="dxa"/>
            <w:vAlign w:val="center"/>
          </w:tcPr>
          <w:p>
            <w:pPr>
              <w:pStyle w:val="12"/>
            </w:pPr>
          </w:p>
        </w:tc>
        <w:tc>
          <w:tcPr>
            <w:tcW w:w="1361" w:type="dxa"/>
            <w:vAlign w:val="center"/>
          </w:tcPr>
          <w:p>
            <w:pPr>
              <w:pStyle w:val="12"/>
            </w:pPr>
            <w:r>
              <w:t>202.05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2130201</w:t>
            </w:r>
          </w:p>
        </w:tc>
        <w:tc>
          <w:tcPr>
            <w:tcW w:w="4535" w:type="dxa"/>
            <w:vAlign w:val="center"/>
          </w:tcPr>
          <w:p>
            <w:pPr>
              <w:pStyle w:val="13"/>
            </w:pPr>
            <w:r>
              <w:t>行政运行</w:t>
            </w: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pPr>
            <w:r>
              <w:t>41.85</w:t>
            </w:r>
          </w:p>
        </w:tc>
        <w:tc>
          <w:tcPr>
            <w:tcW w:w="1361" w:type="dxa"/>
            <w:vAlign w:val="center"/>
          </w:tcPr>
          <w:p>
            <w:pPr>
              <w:pStyle w:val="12"/>
            </w:pPr>
          </w:p>
        </w:tc>
        <w:tc>
          <w:tcPr>
            <w:tcW w:w="1361" w:type="dxa"/>
            <w:vAlign w:val="center"/>
          </w:tcPr>
          <w:p>
            <w:pPr>
              <w:pStyle w:val="12"/>
            </w:pPr>
            <w:r>
              <w:t>41.85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3181.65</w:t>
            </w:r>
          </w:p>
        </w:tc>
        <w:tc>
          <w:tcPr>
            <w:tcW w:w="1361" w:type="dxa"/>
            <w:vAlign w:val="center"/>
          </w:tcPr>
          <w:p>
            <w:pPr>
              <w:pStyle w:val="12"/>
            </w:pPr>
            <w:r>
              <w:t>1492.96</w:t>
            </w:r>
          </w:p>
        </w:tc>
        <w:tc>
          <w:tcPr>
            <w:tcW w:w="1361" w:type="dxa"/>
            <w:vAlign w:val="center"/>
          </w:tcPr>
          <w:p>
            <w:pPr>
              <w:pStyle w:val="12"/>
            </w:pPr>
            <w:r>
              <w:t>1688.69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3181.65</w:t>
            </w:r>
          </w:p>
        </w:tc>
        <w:tc>
          <w:tcPr>
            <w:tcW w:w="1361" w:type="dxa"/>
            <w:vAlign w:val="center"/>
          </w:tcPr>
          <w:p>
            <w:pPr>
              <w:pStyle w:val="12"/>
            </w:pPr>
            <w:r>
              <w:t>1492.96</w:t>
            </w:r>
          </w:p>
        </w:tc>
        <w:tc>
          <w:tcPr>
            <w:tcW w:w="1361" w:type="dxa"/>
            <w:vAlign w:val="center"/>
          </w:tcPr>
          <w:p>
            <w:pPr>
              <w:pStyle w:val="12"/>
            </w:pPr>
            <w:r>
              <w:t>1688.69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2989.47</w:t>
            </w:r>
          </w:p>
        </w:tc>
        <w:tc>
          <w:tcPr>
            <w:tcW w:w="1361" w:type="dxa"/>
            <w:vAlign w:val="center"/>
          </w:tcPr>
          <w:p>
            <w:pPr>
              <w:pStyle w:val="12"/>
            </w:pPr>
            <w:r>
              <w:t>1492.96</w:t>
            </w:r>
          </w:p>
        </w:tc>
        <w:tc>
          <w:tcPr>
            <w:tcW w:w="1361" w:type="dxa"/>
            <w:vAlign w:val="center"/>
          </w:tcPr>
          <w:p>
            <w:pPr>
              <w:pStyle w:val="12"/>
            </w:pPr>
            <w:r>
              <w:t>1496.51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2200150</w:t>
            </w:r>
          </w:p>
        </w:tc>
        <w:tc>
          <w:tcPr>
            <w:tcW w:w="4535" w:type="dxa"/>
            <w:vAlign w:val="center"/>
          </w:tcPr>
          <w:p>
            <w:pPr>
              <w:pStyle w:val="13"/>
            </w:pPr>
            <w:r>
              <w:t>事业运行</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2200199</w:t>
            </w:r>
          </w:p>
        </w:tc>
        <w:tc>
          <w:tcPr>
            <w:tcW w:w="4535" w:type="dxa"/>
            <w:vAlign w:val="center"/>
          </w:tcPr>
          <w:p>
            <w:pPr>
              <w:pStyle w:val="13"/>
            </w:pPr>
            <w:r>
              <w:t>其他自然资源事务支出</w:t>
            </w:r>
          </w:p>
        </w:tc>
        <w:tc>
          <w:tcPr>
            <w:tcW w:w="1361" w:type="dxa"/>
            <w:vAlign w:val="center"/>
          </w:tcPr>
          <w:p>
            <w:pPr>
              <w:pStyle w:val="12"/>
            </w:pPr>
            <w:r>
              <w:t>176.18</w:t>
            </w:r>
          </w:p>
        </w:tc>
        <w:tc>
          <w:tcPr>
            <w:tcW w:w="1361" w:type="dxa"/>
            <w:vAlign w:val="center"/>
          </w:tcPr>
          <w:p>
            <w:pPr>
              <w:pStyle w:val="12"/>
            </w:pPr>
          </w:p>
        </w:tc>
        <w:tc>
          <w:tcPr>
            <w:tcW w:w="1361" w:type="dxa"/>
            <w:vAlign w:val="center"/>
          </w:tcPr>
          <w:p>
            <w:pPr>
              <w:pStyle w:val="12"/>
            </w:pPr>
            <w:r>
              <w:t>176.18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3458.26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1206.45</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35.50</w:t>
            </w:r>
          </w:p>
        </w:tc>
        <w:tc>
          <w:tcPr>
            <w:tcW w:w="1474" w:type="dxa"/>
            <w:vAlign w:val="center"/>
          </w:tcPr>
          <w:p>
            <w:pPr>
              <w:pStyle w:val="12"/>
            </w:pPr>
            <w:r>
              <w:t>35.50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15.06</w:t>
            </w:r>
          </w:p>
        </w:tc>
        <w:tc>
          <w:tcPr>
            <w:tcW w:w="1474" w:type="dxa"/>
            <w:vAlign w:val="center"/>
          </w:tcPr>
          <w:p>
            <w:pPr>
              <w:pStyle w:val="12"/>
            </w:pPr>
            <w:r>
              <w:t>15.06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1206.45</w:t>
            </w:r>
          </w:p>
        </w:tc>
        <w:tc>
          <w:tcPr>
            <w:tcW w:w="1474" w:type="dxa"/>
            <w:vAlign w:val="center"/>
          </w:tcPr>
          <w:p>
            <w:pPr>
              <w:pStyle w:val="12"/>
            </w:pPr>
          </w:p>
        </w:tc>
        <w:tc>
          <w:tcPr>
            <w:tcW w:w="1474" w:type="dxa"/>
            <w:vAlign w:val="center"/>
          </w:tcPr>
          <w:p>
            <w:pPr>
              <w:pStyle w:val="12"/>
            </w:pPr>
            <w:r>
              <w:t>1206.45</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202.05</w:t>
            </w:r>
          </w:p>
        </w:tc>
        <w:tc>
          <w:tcPr>
            <w:tcW w:w="1474" w:type="dxa"/>
            <w:vAlign w:val="center"/>
          </w:tcPr>
          <w:p>
            <w:pPr>
              <w:pStyle w:val="12"/>
            </w:pPr>
            <w:r>
              <w:t>202.05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3181.65</w:t>
            </w:r>
          </w:p>
        </w:tc>
        <w:tc>
          <w:tcPr>
            <w:tcW w:w="1474" w:type="dxa"/>
            <w:vAlign w:val="center"/>
          </w:tcPr>
          <w:p>
            <w:pPr>
              <w:pStyle w:val="12"/>
            </w:pPr>
            <w:r>
              <w:t>3181.65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24.00</w:t>
            </w:r>
          </w:p>
        </w:tc>
        <w:tc>
          <w:tcPr>
            <w:tcW w:w="1474" w:type="dxa"/>
            <w:vAlign w:val="center"/>
          </w:tcPr>
          <w:p>
            <w:pPr>
              <w:pStyle w:val="12"/>
            </w:pPr>
            <w:r>
              <w:t>24.00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4664.71</w:t>
            </w:r>
          </w:p>
        </w:tc>
        <w:tc>
          <w:tcPr>
            <w:tcW w:w="3402" w:type="dxa"/>
            <w:vAlign w:val="center"/>
          </w:tcPr>
          <w:p>
            <w:pPr>
              <w:pStyle w:val="15"/>
            </w:pPr>
            <w:r>
              <w:t>本年支出合计</w:t>
            </w:r>
          </w:p>
        </w:tc>
        <w:tc>
          <w:tcPr>
            <w:tcW w:w="1474" w:type="dxa"/>
            <w:vAlign w:val="center"/>
          </w:tcPr>
          <w:p>
            <w:pPr>
              <w:pStyle w:val="16"/>
            </w:pPr>
            <w:r>
              <w:t>4664.71</w:t>
            </w:r>
          </w:p>
        </w:tc>
        <w:tc>
          <w:tcPr>
            <w:tcW w:w="1474" w:type="dxa"/>
            <w:vAlign w:val="center"/>
          </w:tcPr>
          <w:p>
            <w:pPr>
              <w:pStyle w:val="16"/>
            </w:pPr>
            <w:r>
              <w:t>3458.26</w:t>
            </w:r>
          </w:p>
        </w:tc>
        <w:tc>
          <w:tcPr>
            <w:tcW w:w="1474" w:type="dxa"/>
            <w:vAlign w:val="center"/>
          </w:tcPr>
          <w:p>
            <w:pPr>
              <w:pStyle w:val="16"/>
            </w:pPr>
            <w:r>
              <w:t>1206.45</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4664.71</w:t>
            </w:r>
          </w:p>
        </w:tc>
        <w:tc>
          <w:tcPr>
            <w:tcW w:w="3402" w:type="dxa"/>
            <w:vAlign w:val="center"/>
          </w:tcPr>
          <w:p>
            <w:pPr>
              <w:pStyle w:val="15"/>
            </w:pPr>
            <w:r>
              <w:t>支出总计</w:t>
            </w:r>
          </w:p>
        </w:tc>
        <w:tc>
          <w:tcPr>
            <w:tcW w:w="1474" w:type="dxa"/>
            <w:vAlign w:val="center"/>
          </w:tcPr>
          <w:p>
            <w:pPr>
              <w:pStyle w:val="16"/>
            </w:pPr>
            <w:r>
              <w:t>4664.71</w:t>
            </w:r>
          </w:p>
        </w:tc>
        <w:tc>
          <w:tcPr>
            <w:tcW w:w="1474" w:type="dxa"/>
            <w:vAlign w:val="center"/>
          </w:tcPr>
          <w:p>
            <w:pPr>
              <w:pStyle w:val="16"/>
            </w:pPr>
            <w:r>
              <w:t>3458.26</w:t>
            </w:r>
          </w:p>
        </w:tc>
        <w:tc>
          <w:tcPr>
            <w:tcW w:w="1474" w:type="dxa"/>
            <w:vAlign w:val="center"/>
          </w:tcPr>
          <w:p>
            <w:pPr>
              <w:pStyle w:val="16"/>
            </w:pPr>
            <w:r>
              <w:t>1206.45</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3458.26</w:t>
            </w:r>
          </w:p>
        </w:tc>
        <w:tc>
          <w:tcPr>
            <w:tcW w:w="2551" w:type="dxa"/>
            <w:vAlign w:val="center"/>
          </w:tcPr>
          <w:p>
            <w:pPr>
              <w:pStyle w:val="16"/>
            </w:pPr>
            <w:r>
              <w:t>1567.52</w:t>
            </w:r>
          </w:p>
        </w:tc>
        <w:tc>
          <w:tcPr>
            <w:tcW w:w="2551" w:type="dxa"/>
            <w:vAlign w:val="center"/>
          </w:tcPr>
          <w:p>
            <w:pPr>
              <w:pStyle w:val="16"/>
            </w:pPr>
            <w:r>
              <w:t>1890.74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35.50</w:t>
            </w:r>
          </w:p>
        </w:tc>
        <w:tc>
          <w:tcPr>
            <w:tcW w:w="2551" w:type="dxa"/>
            <w:vAlign w:val="center"/>
          </w:tcPr>
          <w:p>
            <w:pPr>
              <w:pStyle w:val="12"/>
            </w:pPr>
            <w:r>
              <w:t>35.50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35.50</w:t>
            </w:r>
          </w:p>
        </w:tc>
        <w:tc>
          <w:tcPr>
            <w:tcW w:w="2551" w:type="dxa"/>
            <w:vAlign w:val="center"/>
          </w:tcPr>
          <w:p>
            <w:pPr>
              <w:pStyle w:val="12"/>
            </w:pPr>
            <w:r>
              <w:t>35.50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29.00</w:t>
            </w:r>
          </w:p>
        </w:tc>
        <w:tc>
          <w:tcPr>
            <w:tcW w:w="2551" w:type="dxa"/>
            <w:vAlign w:val="center"/>
          </w:tcPr>
          <w:p>
            <w:pPr>
              <w:pStyle w:val="12"/>
            </w:pPr>
            <w:r>
              <w:t>29.00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15.06</w:t>
            </w:r>
          </w:p>
        </w:tc>
        <w:tc>
          <w:tcPr>
            <w:tcW w:w="2551" w:type="dxa"/>
            <w:vAlign w:val="center"/>
          </w:tcPr>
          <w:p>
            <w:pPr>
              <w:pStyle w:val="12"/>
            </w:pPr>
            <w:r>
              <w:t>15.06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15.06</w:t>
            </w:r>
          </w:p>
        </w:tc>
        <w:tc>
          <w:tcPr>
            <w:tcW w:w="2551" w:type="dxa"/>
            <w:vAlign w:val="center"/>
          </w:tcPr>
          <w:p>
            <w:pPr>
              <w:pStyle w:val="12"/>
            </w:pPr>
            <w:r>
              <w:t>15.06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15.06</w:t>
            </w:r>
          </w:p>
        </w:tc>
        <w:tc>
          <w:tcPr>
            <w:tcW w:w="2551" w:type="dxa"/>
            <w:vAlign w:val="center"/>
          </w:tcPr>
          <w:p>
            <w:pPr>
              <w:pStyle w:val="12"/>
            </w:pPr>
            <w:r>
              <w:t>15.06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202.05</w:t>
            </w:r>
          </w:p>
        </w:tc>
        <w:tc>
          <w:tcPr>
            <w:tcW w:w="2551" w:type="dxa"/>
            <w:vAlign w:val="center"/>
          </w:tcPr>
          <w:p>
            <w:pPr>
              <w:pStyle w:val="12"/>
            </w:pPr>
          </w:p>
        </w:tc>
        <w:tc>
          <w:tcPr>
            <w:tcW w:w="2551" w:type="dxa"/>
            <w:vAlign w:val="center"/>
          </w:tcPr>
          <w:p>
            <w:pPr>
              <w:pStyle w:val="12"/>
            </w:pPr>
            <w: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202.05</w:t>
            </w:r>
          </w:p>
        </w:tc>
        <w:tc>
          <w:tcPr>
            <w:tcW w:w="2551" w:type="dxa"/>
            <w:vAlign w:val="center"/>
          </w:tcPr>
          <w:p>
            <w:pPr>
              <w:pStyle w:val="12"/>
            </w:pPr>
          </w:p>
        </w:tc>
        <w:tc>
          <w:tcPr>
            <w:tcW w:w="2551" w:type="dxa"/>
            <w:vAlign w:val="center"/>
          </w:tcPr>
          <w:p>
            <w:pPr>
              <w:pStyle w:val="12"/>
            </w:pPr>
            <w: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2130201</w:t>
            </w:r>
          </w:p>
        </w:tc>
        <w:tc>
          <w:tcPr>
            <w:tcW w:w="4535" w:type="dxa"/>
            <w:vAlign w:val="center"/>
          </w:tcPr>
          <w:p>
            <w:pPr>
              <w:pStyle w:val="13"/>
            </w:pPr>
            <w:r>
              <w:t>行政运行</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41.85</w:t>
            </w:r>
          </w:p>
        </w:tc>
        <w:tc>
          <w:tcPr>
            <w:tcW w:w="2551" w:type="dxa"/>
            <w:vAlign w:val="center"/>
          </w:tcPr>
          <w:p>
            <w:pPr>
              <w:pStyle w:val="12"/>
            </w:pPr>
          </w:p>
        </w:tc>
        <w:tc>
          <w:tcPr>
            <w:tcW w:w="2551" w:type="dxa"/>
            <w:vAlign w:val="center"/>
          </w:tcPr>
          <w:p>
            <w:pPr>
              <w:pStyle w:val="12"/>
            </w:pPr>
            <w:r>
              <w:t>41.85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3181.65</w:t>
            </w:r>
          </w:p>
        </w:tc>
        <w:tc>
          <w:tcPr>
            <w:tcW w:w="2551" w:type="dxa"/>
            <w:vAlign w:val="center"/>
          </w:tcPr>
          <w:p>
            <w:pPr>
              <w:pStyle w:val="12"/>
            </w:pPr>
            <w:r>
              <w:t>1492.96</w:t>
            </w:r>
          </w:p>
        </w:tc>
        <w:tc>
          <w:tcPr>
            <w:tcW w:w="2551" w:type="dxa"/>
            <w:vAlign w:val="center"/>
          </w:tcPr>
          <w:p>
            <w:pPr>
              <w:pStyle w:val="12"/>
            </w:pPr>
            <w:r>
              <w:t>1688.69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3181.65</w:t>
            </w:r>
          </w:p>
        </w:tc>
        <w:tc>
          <w:tcPr>
            <w:tcW w:w="2551" w:type="dxa"/>
            <w:vAlign w:val="center"/>
          </w:tcPr>
          <w:p>
            <w:pPr>
              <w:pStyle w:val="12"/>
            </w:pPr>
            <w:r>
              <w:t>1492.96</w:t>
            </w:r>
          </w:p>
        </w:tc>
        <w:tc>
          <w:tcPr>
            <w:tcW w:w="2551" w:type="dxa"/>
            <w:vAlign w:val="center"/>
          </w:tcPr>
          <w:p>
            <w:pPr>
              <w:pStyle w:val="12"/>
            </w:pPr>
            <w:r>
              <w:t>1688.69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2989.47</w:t>
            </w:r>
          </w:p>
        </w:tc>
        <w:tc>
          <w:tcPr>
            <w:tcW w:w="2551" w:type="dxa"/>
            <w:vAlign w:val="center"/>
          </w:tcPr>
          <w:p>
            <w:pPr>
              <w:pStyle w:val="12"/>
            </w:pPr>
            <w:r>
              <w:t>1492.96</w:t>
            </w:r>
          </w:p>
        </w:tc>
        <w:tc>
          <w:tcPr>
            <w:tcW w:w="2551" w:type="dxa"/>
            <w:vAlign w:val="center"/>
          </w:tcPr>
          <w:p>
            <w:pPr>
              <w:pStyle w:val="12"/>
            </w:pPr>
            <w:r>
              <w:t>1496.51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2200150</w:t>
            </w:r>
          </w:p>
        </w:tc>
        <w:tc>
          <w:tcPr>
            <w:tcW w:w="4535" w:type="dxa"/>
            <w:vAlign w:val="center"/>
          </w:tcPr>
          <w:p>
            <w:pPr>
              <w:pStyle w:val="13"/>
            </w:pPr>
            <w:r>
              <w:t>事业运行</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2200199</w:t>
            </w:r>
          </w:p>
        </w:tc>
        <w:tc>
          <w:tcPr>
            <w:tcW w:w="4535" w:type="dxa"/>
            <w:vAlign w:val="center"/>
          </w:tcPr>
          <w:p>
            <w:pPr>
              <w:pStyle w:val="13"/>
            </w:pPr>
            <w:r>
              <w:t>其他自然资源事务支出</w:t>
            </w:r>
          </w:p>
        </w:tc>
        <w:tc>
          <w:tcPr>
            <w:tcW w:w="2551" w:type="dxa"/>
            <w:vAlign w:val="center"/>
          </w:tcPr>
          <w:p>
            <w:pPr>
              <w:pStyle w:val="12"/>
            </w:pPr>
            <w:r>
              <w:t>176.18</w:t>
            </w:r>
          </w:p>
        </w:tc>
        <w:tc>
          <w:tcPr>
            <w:tcW w:w="2551" w:type="dxa"/>
            <w:vAlign w:val="center"/>
          </w:tcPr>
          <w:p>
            <w:pPr>
              <w:pStyle w:val="12"/>
            </w:pPr>
          </w:p>
        </w:tc>
        <w:tc>
          <w:tcPr>
            <w:tcW w:w="2551" w:type="dxa"/>
            <w:vAlign w:val="center"/>
          </w:tcPr>
          <w:p>
            <w:pPr>
              <w:pStyle w:val="12"/>
            </w:pPr>
            <w:r>
              <w:t>176.18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1567.52</w:t>
            </w:r>
          </w:p>
        </w:tc>
        <w:tc>
          <w:tcPr>
            <w:tcW w:w="2551" w:type="dxa"/>
            <w:vAlign w:val="center"/>
          </w:tcPr>
          <w:p>
            <w:pPr>
              <w:pStyle w:val="16"/>
            </w:pPr>
            <w:r>
              <w:t>1302.52</w:t>
            </w:r>
          </w:p>
        </w:tc>
        <w:tc>
          <w:tcPr>
            <w:tcW w:w="2551" w:type="dxa"/>
            <w:vAlign w:val="center"/>
          </w:tcPr>
          <w:p>
            <w:pPr>
              <w:pStyle w:val="16"/>
            </w:pPr>
            <w:r>
              <w:t>265.00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1300.57</w:t>
            </w:r>
          </w:p>
        </w:tc>
        <w:tc>
          <w:tcPr>
            <w:tcW w:w="2551" w:type="dxa"/>
            <w:vAlign w:val="center"/>
          </w:tcPr>
          <w:p>
            <w:pPr>
              <w:pStyle w:val="12"/>
            </w:pPr>
            <w:r>
              <w:t>1300.57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1122.00</w:t>
            </w:r>
          </w:p>
        </w:tc>
        <w:tc>
          <w:tcPr>
            <w:tcW w:w="2551" w:type="dxa"/>
            <w:vAlign w:val="center"/>
          </w:tcPr>
          <w:p>
            <w:pPr>
              <w:pStyle w:val="12"/>
            </w:pPr>
            <w:r>
              <w:t>1122.00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28.31</w:t>
            </w:r>
          </w:p>
        </w:tc>
        <w:tc>
          <w:tcPr>
            <w:tcW w:w="2551" w:type="dxa"/>
            <w:vAlign w:val="center"/>
          </w:tcPr>
          <w:p>
            <w:pPr>
              <w:pStyle w:val="12"/>
            </w:pPr>
            <w:r>
              <w:t>28.31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18.70</w:t>
            </w:r>
          </w:p>
        </w:tc>
        <w:tc>
          <w:tcPr>
            <w:tcW w:w="2551" w:type="dxa"/>
            <w:vAlign w:val="center"/>
          </w:tcPr>
          <w:p>
            <w:pPr>
              <w:pStyle w:val="12"/>
            </w:pPr>
            <w:r>
              <w:t>18.70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35.20</w:t>
            </w:r>
          </w:p>
        </w:tc>
        <w:tc>
          <w:tcPr>
            <w:tcW w:w="2551" w:type="dxa"/>
            <w:vAlign w:val="center"/>
          </w:tcPr>
          <w:p>
            <w:pPr>
              <w:pStyle w:val="12"/>
            </w:pPr>
            <w:r>
              <w:t>35.20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29.00</w:t>
            </w:r>
          </w:p>
        </w:tc>
        <w:tc>
          <w:tcPr>
            <w:tcW w:w="2551" w:type="dxa"/>
            <w:vAlign w:val="center"/>
          </w:tcPr>
          <w:p>
            <w:pPr>
              <w:pStyle w:val="12"/>
            </w:pPr>
            <w:r>
              <w:t>29.00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15.06</w:t>
            </w:r>
          </w:p>
        </w:tc>
        <w:tc>
          <w:tcPr>
            <w:tcW w:w="2551" w:type="dxa"/>
            <w:vAlign w:val="center"/>
          </w:tcPr>
          <w:p>
            <w:pPr>
              <w:pStyle w:val="12"/>
            </w:pPr>
            <w:r>
              <w:t>15.06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0.80</w:t>
            </w:r>
          </w:p>
        </w:tc>
        <w:tc>
          <w:tcPr>
            <w:tcW w:w="2551" w:type="dxa"/>
            <w:vAlign w:val="center"/>
          </w:tcPr>
          <w:p>
            <w:pPr>
              <w:pStyle w:val="12"/>
            </w:pPr>
            <w:r>
              <w:t>0.80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21.00</w:t>
            </w:r>
          </w:p>
        </w:tc>
        <w:tc>
          <w:tcPr>
            <w:tcW w:w="2551" w:type="dxa"/>
            <w:vAlign w:val="center"/>
          </w:tcPr>
          <w:p>
            <w:pPr>
              <w:pStyle w:val="12"/>
            </w:pPr>
            <w:r>
              <w:t>21.00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265.00</w:t>
            </w:r>
          </w:p>
        </w:tc>
        <w:tc>
          <w:tcPr>
            <w:tcW w:w="2551" w:type="dxa"/>
            <w:vAlign w:val="center"/>
          </w:tcPr>
          <w:p>
            <w:pPr>
              <w:pStyle w:val="12"/>
            </w:pPr>
          </w:p>
        </w:tc>
        <w:tc>
          <w:tcPr>
            <w:tcW w:w="2551" w:type="dxa"/>
            <w:vAlign w:val="center"/>
          </w:tcPr>
          <w:p>
            <w:pPr>
              <w:pStyle w:val="12"/>
            </w:pPr>
            <w:r>
              <w:t>265.00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1.95</w:t>
            </w:r>
          </w:p>
        </w:tc>
        <w:tc>
          <w:tcPr>
            <w:tcW w:w="2551" w:type="dxa"/>
            <w:vAlign w:val="center"/>
          </w:tcPr>
          <w:p>
            <w:pPr>
              <w:pStyle w:val="12"/>
            </w:pPr>
            <w:r>
              <w:t>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1.95</w:t>
            </w:r>
          </w:p>
        </w:tc>
        <w:tc>
          <w:tcPr>
            <w:tcW w:w="2551" w:type="dxa"/>
            <w:vAlign w:val="center"/>
          </w:tcPr>
          <w:p>
            <w:pPr>
              <w:pStyle w:val="12"/>
            </w:pPr>
            <w:r>
              <w:t>1.95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1206.45</w:t>
            </w:r>
          </w:p>
        </w:tc>
        <w:tc>
          <w:tcPr>
            <w:tcW w:w="2551" w:type="dxa"/>
            <w:vAlign w:val="center"/>
          </w:tcPr>
          <w:p>
            <w:pPr>
              <w:pStyle w:val="16"/>
            </w:pPr>
          </w:p>
        </w:tc>
        <w:tc>
          <w:tcPr>
            <w:tcW w:w="2551" w:type="dxa"/>
            <w:vAlign w:val="center"/>
          </w:tcPr>
          <w:p>
            <w:pPr>
              <w:pStyle w:val="16"/>
            </w:pPr>
            <w:r>
              <w:t>1206.45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1206.45</w:t>
            </w:r>
          </w:p>
        </w:tc>
        <w:tc>
          <w:tcPr>
            <w:tcW w:w="2551" w:type="dxa"/>
            <w:vAlign w:val="center"/>
          </w:tcPr>
          <w:p>
            <w:pPr>
              <w:pStyle w:val="12"/>
            </w:pPr>
          </w:p>
        </w:tc>
        <w:tc>
          <w:tcPr>
            <w:tcW w:w="2551" w:type="dxa"/>
            <w:vAlign w:val="center"/>
          </w:tcPr>
          <w:p>
            <w:pPr>
              <w:pStyle w:val="12"/>
            </w:pPr>
            <w:r>
              <w:t>1206.45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1206.45</w:t>
            </w:r>
          </w:p>
        </w:tc>
        <w:tc>
          <w:tcPr>
            <w:tcW w:w="2551" w:type="dxa"/>
            <w:vAlign w:val="center"/>
          </w:tcPr>
          <w:p>
            <w:pPr>
              <w:pStyle w:val="12"/>
            </w:pPr>
          </w:p>
        </w:tc>
        <w:tc>
          <w:tcPr>
            <w:tcW w:w="2551" w:type="dxa"/>
            <w:vAlign w:val="center"/>
          </w:tcPr>
          <w:p>
            <w:pPr>
              <w:pStyle w:val="12"/>
            </w:pPr>
            <w:r>
              <w:t>1206.45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6.45</w:t>
            </w:r>
          </w:p>
        </w:tc>
        <w:tc>
          <w:tcPr>
            <w:tcW w:w="2551" w:type="dxa"/>
            <w:vAlign w:val="center"/>
          </w:tcPr>
          <w:p>
            <w:pPr>
              <w:pStyle w:val="12"/>
            </w:pPr>
          </w:p>
        </w:tc>
        <w:tc>
          <w:tcPr>
            <w:tcW w:w="2551" w:type="dxa"/>
            <w:vAlign w:val="center"/>
          </w:tcPr>
          <w:p>
            <w:pPr>
              <w:pStyle w:val="12"/>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2120805</w:t>
            </w:r>
          </w:p>
        </w:tc>
        <w:tc>
          <w:tcPr>
            <w:tcW w:w="4535" w:type="dxa"/>
            <w:vAlign w:val="center"/>
          </w:tcPr>
          <w:p>
            <w:pPr>
              <w:pStyle w:val="13"/>
            </w:pPr>
            <w:r>
              <w:t>补助被征地农民支出</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324馆陶县自然资源和规划局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馆陶县自然资源和规划局2025年部门预算信息公开情况说明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馆陶县自然资源和规划局2025年部门预算信息公开情况说明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按照《中华人民共和国预算法》、《地方预决算公开操作规程》和《关于进一步推进预算公开工作的实施意见》规定，现将馆陶县自然资源和规划局2025年部门预算公开如下：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（一）履行全民所有土地、矿产、林地、草地、湿地、水等自然资源资产所有者职责和所有国土空间用途管制职责。监督检查自然资源和国土空间规划及测绘等法律法规的执行情况。</w:t>
      </w:r>
    </w:p>
    <w:p>
      <w:pPr>
        <w:pStyle w:val="18"/>
      </w:pPr>
      <w: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pPr>
        <w:pStyle w:val="18"/>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pStyle w:val="18"/>
      </w:pPr>
      <w:r>
        <w:t>（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pPr>
        <w:pStyle w:val="18"/>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pStyle w:val="18"/>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pPr>
        <w:pStyle w:val="18"/>
      </w:pPr>
      <w: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pPr>
        <w:pStyle w:val="18"/>
      </w:pPr>
      <w: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pStyle w:val="18"/>
      </w:pPr>
      <w:r>
        <w:t>（九）负责管理全县地质勘查行业和地质工作。编制地质勘查规划并监督检查执行情况。管理县级地质勘查项目。组织实施重大地质矿产勘查专项。负责古生物化石的监督管理。</w:t>
      </w:r>
    </w:p>
    <w:p>
      <w:pPr>
        <w:pStyle w:val="18"/>
      </w:pPr>
      <w:r>
        <w:t>（十）负责全县矿产资源管理工作。负责矿产资源储量管理。负责矿业权管理。会同有关部门负责落实保护性开采的特定矿种、优势矿产的调控及相关管理工作。负责矿产资源合理利用和保护工作。</w:t>
      </w:r>
    </w:p>
    <w:p>
      <w:pPr>
        <w:pStyle w:val="18"/>
      </w:pPr>
      <w:r>
        <w:t>（十一）负责全县测绘地理信息管理工作。负责基础测绘和测绘行业管理。负责测绘资质资格与信用管理，监督管理地理信息安全和市场秩序。负责地理信息公共服务管理。负责测量标志保护。</w:t>
      </w:r>
    </w:p>
    <w:p>
      <w:pPr>
        <w:pStyle w:val="18"/>
      </w:pPr>
      <w:r>
        <w:t>（十二）推动全县自然资源领域科技发展。实施自然资源领域科技创新发展和人才培养战略、规划和计划。组织实施重大科技工程及创新能力建设，推进自然资源信息化和信息资料的公共服务。</w:t>
      </w:r>
    </w:p>
    <w:p>
      <w:pPr>
        <w:pStyle w:val="18"/>
      </w:pPr>
      <w:r>
        <w:t>（十三）查处全县自然资源开发利用和国土空间规划及测绘重大违法案件。指导监督各乡镇、经济开发区有关行政执法工作。</w:t>
      </w:r>
    </w:p>
    <w:p>
      <w:pPr>
        <w:pStyle w:val="18"/>
      </w:pPr>
      <w:r>
        <w:t>（十四）负责组织编制、审查、报批和实施县域城镇体系规划、馆陶县城市总体规划、分区规划、详细规划、专项规划、城市设计和历史文化名城保护规划、风景名胜区规划及相关工作。</w:t>
      </w:r>
    </w:p>
    <w:p>
      <w:pPr>
        <w:pStyle w:val="18"/>
      </w:pPr>
      <w:r>
        <w:t>（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pStyle w:val="18"/>
      </w:pPr>
      <w:r>
        <w:t>（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pPr>
        <w:pStyle w:val="18"/>
      </w:pPr>
      <w:r>
        <w:t>（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pPr>
        <w:pStyle w:val="18"/>
      </w:pPr>
      <w:r>
        <w:t>（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pStyle w:val="18"/>
      </w:pPr>
      <w: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pPr>
        <w:pStyle w:val="18"/>
      </w:pPr>
      <w:r>
        <w:t>（二十）负责监督管理全县荒漠化防治工作。组织开展荒漠调查，组织拟订全县防沙治沙及沙化土地封禁保护区建设规划，监督管理沙化土地的开发利用。</w:t>
      </w:r>
    </w:p>
    <w:p>
      <w:pPr>
        <w:pStyle w:val="18"/>
      </w:pPr>
      <w: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pStyle w:val="18"/>
      </w:pPr>
      <w:r>
        <w:t>（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pPr>
        <w:pStyle w:val="18"/>
      </w:pPr>
      <w: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pPr>
        <w:pStyle w:val="18"/>
      </w:pPr>
      <w:r>
        <w:t xml:space="preserve">（二十四）落实全县林业和草原资源优化配置及木材利用政策，负责林产品质量监督和生态扶贫相关工作。 </w:t>
      </w:r>
    </w:p>
    <w:p>
      <w:pPr>
        <w:pStyle w:val="18"/>
      </w:pPr>
      <w: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pStyle w:val="18"/>
      </w:pPr>
      <w:r>
        <w:t xml:space="preserve">（二十六）承担林业综合行政执法工作；负责全县林业重大违法案件的查处，负责林业行政执法监管工作，负责林区社会治安治理工作。 </w:t>
      </w:r>
    </w:p>
    <w:p>
      <w:pPr>
        <w:pStyle w:val="18"/>
      </w:pPr>
      <w: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pPr>
        <w:pStyle w:val="18"/>
      </w:pPr>
      <w:r>
        <w:t>（二十八）负责全县林业和草原科技、教育和外事工作，负责全县林业和草原人才队伍建设，组织实施林业和草原国际交流与合作事务，承担湿地、防治荒漠化、濒危野生动植物等国际公约履约工作。</w:t>
      </w:r>
    </w:p>
    <w:p>
      <w:pPr>
        <w:pStyle w:val="18"/>
      </w:pPr>
      <w:r>
        <w:t>（二十九）负责全县自然保护区、风景名胜区、自然遗产、地质公园等管理工作。</w:t>
      </w:r>
    </w:p>
    <w:p>
      <w:pPr>
        <w:pStyle w:val="18"/>
      </w:pPr>
      <w:r>
        <w:t>（三十）负责指导和组织各乡镇、经济开发区的规划编制及报批工作。</w:t>
      </w:r>
    </w:p>
    <w:p>
      <w:pPr>
        <w:pStyle w:val="18"/>
      </w:pPr>
      <w:r>
        <w:t>（三十一）负责城市规划区内建设规划的核实和批后管理。</w:t>
      </w:r>
    </w:p>
    <w:p>
      <w:pPr>
        <w:pStyle w:val="18"/>
      </w:pPr>
      <w:r>
        <w:t>（三十二）组织开展全县自然资源对外交流合作。</w:t>
      </w:r>
    </w:p>
    <w:p>
      <w:pPr>
        <w:pStyle w:val="18"/>
      </w:pPr>
      <w:r>
        <w:t>（三十三）完成县委、县政府交办的其他任务。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馆陶县自然资源和规划局本级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按照预算管理有关规定，目前部门预算的编制实行综合预算管理，即全部收入和支出都反映在预算中。馆陶县自然资源和规划局机关及所属事业单位的收支包含在部门预算中。</w:t>
      </w:r>
    </w:p>
    <w:p>
      <w:pPr>
        <w:pStyle w:val="19"/>
      </w:pPr>
      <w:r>
        <w:t>1、收入说明</w:t>
      </w:r>
    </w:p>
    <w:p>
      <w:pPr>
        <w:pStyle w:val="19"/>
      </w:pPr>
      <w:r>
        <w:t>反映本部门当年全部收入。2025年预算收入4664.71万元，其中：一般公共预算收入3458.26万元，基金预算收入1206.45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自然资源和规划局年度部门预算中支出预算的总体情况。2025年支出预算4664.71万元，其中基本支出1567.52万元，包括人员经费1302.52万元和日常公用经费265.00万元；项目支出3097.19万元，主要为2024 年美国白蛾防治经费15.00万元，2024年乡镇苗木采购补贴资金 100.00万元，农用地征收社保费 1200.00 万元，全面推行林长制工作宣传发动及测绘工作项目资金 10.00万元，森林植被恢复费安排支出项目资金 30.00 万元，泰岳楼北侧绿化占地补偿资金6.45万元，土地征收成片开发方案服务项目资金 96.68 万元，自然资源节约集约示范县创建项目资金 79.50 万元，冀财资环【2024】106号 河北省财政厅关于提前下达2025年中央财政林业草原改革发展资金预算的通知11.85万元，冀财资环【2024】113号 河北省财政厅关于提前下达 2025 年省级林业改革发展补助资金的通知 20.00 万元，"陶山新区加速落地年"活动经费 16.00万元，林业专项工作经费 15.20 万元，自然资源专项经费1496.51 万元。</w:t>
      </w:r>
    </w:p>
    <w:p>
      <w:pPr>
        <w:pStyle w:val="19"/>
      </w:pPr>
    </w:p>
    <w:p>
      <w:pPr>
        <w:pStyle w:val="19"/>
      </w:pPr>
      <w:r>
        <w:t>3、比上年增减情况</w:t>
      </w:r>
    </w:p>
    <w:p>
      <w:pPr>
        <w:pStyle w:val="19"/>
      </w:pPr>
      <w:r>
        <w:t>2025年预算收支安排4664.71万元，较2024年预算增加658.37万元，其中：基本支出增加1100.14万元，主要为非税收入增加，基本支出增加。项目支出减少441.77万元，主要为预算项目减少，资金减少。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2025年，我部门机关运行经费共计安排265.00万元，主要用于日常维修、办公用房水电费、办公用房取暖费、办公用房物业管理费等日常运行支出。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以习近平新时代中国特色社会主义思想为指导，全面贯彻党的二十大精神，认真落实党中央、国务院决策和省委、市委、</w:t>
      </w:r>
      <w:bookmarkStart w:id="20" w:name="_GoBack"/>
      <w:bookmarkEnd w:id="20"/>
      <w:r>
        <w:t>县委部署，统筹推进“五位一体”总体布局和协调推进“四个全面”战略布局，牢固树立和贯彻落实新发展理念，完成耕地和基本农田保护任务，各行业合理用地需求得到保障，及时掌握全县土地变更信息，进一步提高土地节约集约利用水平;掌握地面沉降动态变化数据，提高地质灾害预警预报能力，为政府防灾减灾宏观决策提供最新、最全面的参考依据;规范做好自然资源国土空间规划编制和实施，用地计划、用地预审管理，发挥规划对实现空间治理现代化的引领作用，强化城乡规划与土地利用规划有效对接。以城乡规划和土地利用规划修编为抓手，深入推进空间规划体系和建设导则体系建设。严格按照《中华人民共和国土地管理法》、《</w:t>
      </w:r>
      <w:r>
        <w:rPr>
          <w:rFonts w:hint="eastAsia"/>
        </w:rPr>
        <w:t>中华人民共和国城乡规划法</w:t>
      </w:r>
      <w:r>
        <w:t>》、《中华人民共和国森林法》相关法律规定，认真做好2025年自然资源和规划工作。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1、自然资源政务管理职责绩效目标:</w:t>
      </w:r>
    </w:p>
    <w:p>
      <w:pPr>
        <w:pStyle w:val="23"/>
      </w:pPr>
      <w:r>
        <w:t>绩效目标：（规范做好自然资源调查监测评价，全面推行自然资源工作依法行政，推动普法工作落实，做好行政复议、行政应诉工作，推进自然资源科技的应用和推广。提高自然资源事业发展保障能力，）</w:t>
      </w:r>
    </w:p>
    <w:p>
      <w:pPr>
        <w:pStyle w:val="23"/>
      </w:pPr>
      <w:r>
        <w:t>绩效指标：1、综合事务管理工作任务完成率；2、综合业务管理工作完成率。</w:t>
      </w:r>
    </w:p>
    <w:p>
      <w:pPr>
        <w:pStyle w:val="23"/>
      </w:pPr>
      <w:r>
        <w:t>2、土地资源管理职责绩效目标</w:t>
      </w:r>
    </w:p>
    <w:p>
      <w:pPr>
        <w:pStyle w:val="23"/>
      </w:pPr>
      <w:r>
        <w:t>绩效目标：组织开展土地级别与基准地价更新，编制县本级国有建设用地年度供应计划，加强国有建设用地供应管理，科学调控土地市场。</w:t>
      </w:r>
    </w:p>
    <w:p>
      <w:pPr>
        <w:pStyle w:val="23"/>
      </w:pPr>
      <w:r>
        <w:t>绩效指标：县本级国有建设用地供地计划工作完成率。</w:t>
      </w:r>
    </w:p>
    <w:p>
      <w:pPr>
        <w:pStyle w:val="23"/>
      </w:pPr>
      <w:r>
        <w:t>3、耕地保护监督职责绩效目标</w:t>
      </w:r>
    </w:p>
    <w:p>
      <w:pPr>
        <w:pStyle w:val="23"/>
      </w:pPr>
      <w:r>
        <w:t>绩效目标：完成相关耕地与基本农田保护管理工作，确保全省耕地保有量和基本农田保护面积，组织实施最严格的耕地保护制度。</w:t>
      </w:r>
    </w:p>
    <w:p>
      <w:pPr>
        <w:pStyle w:val="23"/>
      </w:pPr>
      <w:r>
        <w:t>绩效指标：1、耕地质量检测评价与定级完成率；2、永久基本农田数据库更新监管率。</w:t>
      </w:r>
    </w:p>
    <w:p>
      <w:pPr>
        <w:pStyle w:val="23"/>
      </w:pPr>
      <w:r>
        <w:t>4、自然资源调查监测职责绩效目标</w:t>
      </w:r>
    </w:p>
    <w:p>
      <w:pPr>
        <w:pStyle w:val="23"/>
      </w:pPr>
      <w:r>
        <w:t>绩效目标：利用现有相关自然资源调查成果，统一组织实施全线自然资源调查，掌握重要自然资源的数量、质量、分布、权属、保护和开发利用状况。农业、水力资源调查指导等相关工作。</w:t>
      </w:r>
    </w:p>
    <w:p>
      <w:pPr>
        <w:pStyle w:val="23"/>
      </w:pPr>
      <w:r>
        <w:t>绩效指标：定期组织实施全县性自然资源基础调查、变更调查、动态监测和分析评价。</w:t>
      </w:r>
    </w:p>
    <w:p>
      <w:pPr>
        <w:pStyle w:val="23"/>
      </w:pPr>
      <w:r>
        <w:t>5、地理信息管理职责绩效目标</w:t>
      </w:r>
    </w:p>
    <w:p>
      <w:pPr>
        <w:pStyle w:val="23"/>
      </w:pPr>
      <w:r>
        <w:t>绩效目标：加强地理信息成果管理和测量标志保护及重要的地理信息数据审核。为地理信息应急提供保障服务，加强地理信息公共服务指导监督。</w:t>
      </w:r>
    </w:p>
    <w:p>
      <w:pPr>
        <w:pStyle w:val="23"/>
      </w:pPr>
      <w:r>
        <w:t>绩效指标：1、地理信息数据审核完成率；2、系统运行维护完成率；3、项目建设与运维完成率。</w:t>
      </w:r>
    </w:p>
    <w:p>
      <w:pPr>
        <w:pStyle w:val="23"/>
      </w:pPr>
      <w:r>
        <w:t>6、自然资源和规划执法与监察职责绩效目标</w:t>
      </w:r>
    </w:p>
    <w:p>
      <w:pPr>
        <w:pStyle w:val="23"/>
      </w:pPr>
      <w:r>
        <w:t>绩效目标：保障执法检查的基础性建设，指导乡（镇）执法工作，加强日常执法监管，将违法解决在初始、遏制在萌芽。做好重大违法案件查处，严厉打击违法，维护群众合法权益</w:t>
      </w:r>
    </w:p>
    <w:p>
      <w:pPr>
        <w:pStyle w:val="23"/>
      </w:pPr>
      <w:r>
        <w:t>绩效指标：1、重大案件处理情况向交办单位反馈率；基础性保障项目完成率；3、举报线索处置率。</w:t>
      </w:r>
    </w:p>
    <w:p>
      <w:pPr>
        <w:pStyle w:val="23"/>
      </w:pPr>
      <w:r>
        <w:t>7、不动产确权登记职责绩效目标</w:t>
      </w:r>
    </w:p>
    <w:p>
      <w:pPr>
        <w:pStyle w:val="23"/>
      </w:pPr>
      <w:r>
        <w:t>绩效目标：推进各类自然资源和不动产统一确权登记、权籍调</w:t>
      </w:r>
      <w:r>
        <w:rPr>
          <w:rFonts w:hint="eastAsia"/>
        </w:rPr>
        <w:t>查</w:t>
      </w:r>
      <w:r>
        <w:t>。做好自然资源和不动产权属调</w:t>
      </w:r>
      <w:r>
        <w:rPr>
          <w:rFonts w:hint="eastAsia"/>
        </w:rPr>
        <w:t>查</w:t>
      </w:r>
      <w:r>
        <w:t>处理工作。</w:t>
      </w:r>
    </w:p>
    <w:p>
      <w:pPr>
        <w:pStyle w:val="23"/>
      </w:pPr>
      <w:r>
        <w:t>绩效指标：1、不动产权属争议调处达标率；2、房地一体宅基地和集体建设用地确权登记完成率；3、县不动产登记信息数据上报率。</w:t>
      </w:r>
    </w:p>
    <w:p>
      <w:pPr>
        <w:pStyle w:val="23"/>
      </w:pPr>
      <w:r>
        <w:t>8、城乡规划指导职责绩效目标</w:t>
      </w:r>
    </w:p>
    <w:p>
      <w:pPr>
        <w:pStyle w:val="23"/>
      </w:pPr>
      <w:r>
        <w:t>绩效目标：提升城乡规划编制水平和经济开发区规划编制水平，搞好各乡(镇)村总体规划的编制审查工作。</w:t>
      </w:r>
    </w:p>
    <w:p>
      <w:pPr>
        <w:pStyle w:val="23"/>
      </w:pPr>
      <w:r>
        <w:t>绩效指标：1、规划数据库更新维护率；2、各类规划编制率；3、规划实施监测、评价完成率。</w:t>
      </w:r>
    </w:p>
    <w:p>
      <w:pPr>
        <w:pStyle w:val="23"/>
      </w:pPr>
      <w:r>
        <w:t>9、国土空间规划职责绩效目标</w:t>
      </w:r>
    </w:p>
    <w:p>
      <w:pPr>
        <w:pStyle w:val="23"/>
      </w:pPr>
      <w:r>
        <w:t>绩效目标：规范做好国土空间各类规划编制和实施，充分发挥国土空间规划的管控作用。</w:t>
      </w:r>
    </w:p>
    <w:p>
      <w:pPr>
        <w:pStyle w:val="23"/>
      </w:pPr>
      <w:r>
        <w:t>绩效指标：1、规划数据库更新维护率；2、各类规划编制率；3、规划实施监测、评价完成率。</w:t>
      </w:r>
    </w:p>
    <w:p>
      <w:pPr>
        <w:pStyle w:val="23"/>
      </w:pPr>
      <w:r>
        <w:t>10、国土空间生态修复职责绩效目标</w:t>
      </w:r>
    </w:p>
    <w:p>
      <w:pPr>
        <w:pStyle w:val="23"/>
      </w:pPr>
      <w:r>
        <w:t>绩效目标：指导乡(镇）国土空间生态修复工作，提高群众满意度。</w:t>
      </w:r>
    </w:p>
    <w:p>
      <w:pPr>
        <w:pStyle w:val="23"/>
      </w:pPr>
      <w:r>
        <w:t>绩效指标：1、群众满意度；2、项目工程完成情况。</w:t>
      </w:r>
    </w:p>
    <w:p>
      <w:pPr>
        <w:pStyle w:val="23"/>
      </w:pPr>
      <w:r>
        <w:t>11、林业生态保护职责绩效目标</w:t>
      </w:r>
    </w:p>
    <w:p>
      <w:pPr>
        <w:pStyle w:val="23"/>
      </w:pPr>
      <w:r>
        <w:t>绩效目标：加强森林资源保护力度、加强湿地保护恢复，促进全县生态环境进一步改善。</w:t>
      </w:r>
    </w:p>
    <w:p>
      <w:pPr>
        <w:pStyle w:val="23"/>
      </w:pPr>
      <w:r>
        <w:t>绩效指标：1、林业资源保护管理工作任务完成率；2、湿地监测管理目标完成率；3、群众满意度。</w:t>
      </w:r>
    </w:p>
    <w:p>
      <w:pPr>
        <w:pStyle w:val="23"/>
      </w:pPr>
      <w:r>
        <w:t>12、林业资源保护中心职责绩效目标</w:t>
      </w:r>
    </w:p>
    <w:p>
      <w:pPr>
        <w:pStyle w:val="23"/>
      </w:pPr>
      <w:r>
        <w:t>绩效目标：落实全县森林资源保护发展政策措施，监督检</w:t>
      </w:r>
      <w:r>
        <w:rPr>
          <w:rFonts w:hint="eastAsia"/>
        </w:rPr>
        <w:t>查</w:t>
      </w:r>
      <w:r>
        <w:t>、执行全县森林采伐限额，承担林地相关管理工作</w:t>
      </w:r>
    </w:p>
    <w:p>
      <w:pPr>
        <w:pStyle w:val="23"/>
      </w:pPr>
      <w:r>
        <w:t>绩效指标：1、林业资源保护管理工作任务完成率；2、群众满意度。</w:t>
      </w:r>
    </w:p>
    <w:p>
      <w:pPr>
        <w:pStyle w:val="23"/>
      </w:pPr>
      <w:r>
        <w:t>13、林业产业技术服务职责绩效目标</w:t>
      </w:r>
    </w:p>
    <w:p>
      <w:pPr>
        <w:pStyle w:val="23"/>
      </w:pPr>
      <w:r>
        <w:t>绩效目标：承担林木种子、草种管理工作，组织种质资源普查收集、评价利用和种质资源库建设。</w:t>
      </w:r>
    </w:p>
    <w:p>
      <w:pPr>
        <w:pStyle w:val="23"/>
      </w:pPr>
      <w:r>
        <w:t>绩效指标：1、培育林下经济面积亩数；2、林业贴息贷款落实率；3、群众满意度。</w:t>
      </w:r>
    </w:p>
    <w:p>
      <w:pPr>
        <w:pStyle w:val="23"/>
      </w:pPr>
      <w:r>
        <w:t>14、建设用地转用征收绩效目标</w:t>
      </w:r>
    </w:p>
    <w:p>
      <w:pPr>
        <w:pStyle w:val="23"/>
      </w:pPr>
      <w:r>
        <w:t>绩效目标：完成建设用地转用征收工作，完成勘测定界测绘工作，满足企业和个人建设用地需求，促进我县经济发展。</w:t>
      </w:r>
    </w:p>
    <w:p>
      <w:pPr>
        <w:pStyle w:val="23"/>
      </w:pPr>
      <w:r>
        <w:t>绩效指标：1、各类土地用途转用的审核、报批工作完成率；2、完成审核、报批的工作量与全年应完成工作量的比率。</w:t>
      </w:r>
    </w:p>
    <w:p>
      <w:pPr>
        <w:pStyle w:val="23"/>
      </w:pPr>
      <w:r>
        <w:t>15、综合业务管理绩效目标</w:t>
      </w:r>
    </w:p>
    <w:p>
      <w:pPr>
        <w:pStyle w:val="23"/>
      </w:pPr>
      <w:r>
        <w:t>绩效目标：加强管理，圆满完成县委、县政府交办任务</w:t>
      </w:r>
    </w:p>
    <w:p>
      <w:pPr>
        <w:pStyle w:val="23"/>
      </w:pPr>
      <w:r>
        <w:t>绩效指标：综合业务管理工作完成率，综合业务管理工作完成情况。</w:t>
      </w:r>
    </w:p>
    <w:p>
      <w:pPr>
        <w:pStyle w:val="23"/>
      </w:pPr>
      <w:r>
        <w:t>16、规划展馆运行绩效目标</w:t>
      </w:r>
    </w:p>
    <w:p>
      <w:pPr>
        <w:pStyle w:val="23"/>
      </w:pPr>
      <w:r>
        <w:t>绩效目标：加强机关事务性管理，提高机关自身工作能力。</w:t>
      </w:r>
    </w:p>
    <w:p>
      <w:pPr>
        <w:pStyle w:val="23"/>
      </w:pPr>
      <w:r>
        <w:t>绩效指标：综合事务管理工作完成率，综合事务管理工作完成情况。</w:t>
      </w:r>
    </w:p>
    <w:p>
      <w:pPr>
        <w:pStyle w:val="23"/>
      </w:pPr>
      <w:r>
        <w:t>17、森林抚育绩效目标</w:t>
      </w:r>
    </w:p>
    <w:p>
      <w:pPr>
        <w:pStyle w:val="23"/>
      </w:pPr>
      <w:r>
        <w:t>绩效目标：提高森林质量，促进林业持续发展。</w:t>
      </w:r>
    </w:p>
    <w:p>
      <w:pPr>
        <w:pStyle w:val="23"/>
      </w:pPr>
      <w:r>
        <w:t>绩效指标：森林抚育面积（万亩），全县森林抚育作业完成面积。</w:t>
      </w:r>
    </w:p>
    <w:p>
      <w:pPr>
        <w:pStyle w:val="23"/>
      </w:pPr>
      <w:r>
        <w:t>18、退耕还林绩效目标</w:t>
      </w:r>
    </w:p>
    <w:p>
      <w:pPr>
        <w:pStyle w:val="23"/>
      </w:pPr>
      <w:r>
        <w:t>绩效目标：工程治理地区的生态状况得到明显改善。</w:t>
      </w:r>
    </w:p>
    <w:p>
      <w:pPr>
        <w:pStyle w:val="23"/>
      </w:pPr>
      <w:r>
        <w:t>绩效指标：检查查验收率，退耕还林工程检查验收面积占退耕还林任务面积的比例；退耕还林任务完成率，全县完成退耕还林任务面积占省市下达退耕还林任务面积的比率。</w:t>
      </w:r>
    </w:p>
    <w:p>
      <w:pPr>
        <w:pStyle w:val="23"/>
      </w:pPr>
      <w:r>
        <w:t>19、防沙治沙绩效目标</w:t>
      </w:r>
    </w:p>
    <w:p>
      <w:pPr>
        <w:pStyle w:val="23"/>
      </w:pPr>
      <w:r>
        <w:t>绩效目标：沙化土地得以治理，重点治理区生态状况明显改善。</w:t>
      </w:r>
    </w:p>
    <w:p>
      <w:pPr>
        <w:pStyle w:val="23"/>
      </w:pPr>
      <w:r>
        <w:t>绩效指标：治理的沙化土地面积（亩），沙化土地面积治理情况；防沙治沙任务完成率，全县完成的防沙治沙面积与占政府下达的年度任务的比例。</w:t>
      </w:r>
    </w:p>
    <w:p>
      <w:pPr>
        <w:pStyle w:val="23"/>
      </w:pPr>
      <w:r>
        <w:t>20、林业基础保障设施建设绩效目标</w:t>
      </w:r>
    </w:p>
    <w:p>
      <w:pPr>
        <w:pStyle w:val="23"/>
      </w:pPr>
      <w:r>
        <w:t>绩效目标：改善国有林场和基层林业单位的基础设施，缓解国有林场经济危困，保障林业健康发展。</w:t>
      </w:r>
    </w:p>
    <w:p>
      <w:pPr>
        <w:pStyle w:val="23"/>
      </w:pPr>
      <w:r>
        <w:t>绩效指标：林业基础设施完好率，林业基础设施运行情况。</w:t>
      </w:r>
    </w:p>
    <w:p>
      <w:pPr>
        <w:pStyle w:val="23"/>
      </w:pPr>
      <w:r>
        <w:t>21、森林资源监测与管理绩效目标</w:t>
      </w:r>
    </w:p>
    <w:p>
      <w:pPr>
        <w:pStyle w:val="23"/>
      </w:pPr>
      <w:r>
        <w:t>绩效目标：监管全县林地、林权和森林资源，提高林业资源资产安全性、完整性和使用效益。</w:t>
      </w:r>
    </w:p>
    <w:p>
      <w:pPr>
        <w:pStyle w:val="23"/>
      </w:pPr>
      <w:r>
        <w:t>绩效指标：征占用林地前置审核工作完成率，审核工作完成情况占年度目标的比例；森林覆盖率净增量，考核工作完成情况占年度县政府布置的目标的比例。</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1、以盘活土地资源,深化供给侧结构性改革。充分发挥各项国土政策优势,深入开展挖掘土地利用潜力工作，通过实施土地挖潜改造、增减挂钩及工矿废弃地复垦利用项目,提高土地使用效率,拓展用地空间。</w:t>
      </w:r>
    </w:p>
    <w:p>
      <w:pPr>
        <w:pStyle w:val="24"/>
      </w:pPr>
      <w:r>
        <w:t>2、以提升服务效能，助力实体经济发展。全面提升服务效能，加快审批事项改革和流程再造，支持实体经济做优做强，努力为企业提供高效、优质、便捷的服务，提升服务实体经济效率。</w:t>
      </w:r>
    </w:p>
    <w:p>
      <w:pPr>
        <w:pStyle w:val="24"/>
      </w:pPr>
      <w:r>
        <w:t>3、以“三个保障”，助力“乡村振兴”战略。一是资源保障。用好农用地备案和集体建设用地占用政策，全力保障新村建设、基础设施建设等用地；统筹实施增减挂钩项目，改善农村居民居住条件和生态环境质量。二是生态保障。发挥土地整治“1+N”综合效益，通过对“田、水、路、林、村”进行综合整治，改善项目区村容村貌，以及农业基础设施条件。三是权益保障。深入做好农村宅基地、集体建设用地及房屋确权登记发证工作，唤醒农村“沉睡资产”，加快“资源变资产、资金变股金、农民变股民”步伐。</w:t>
      </w:r>
    </w:p>
    <w:p>
      <w:pPr>
        <w:pStyle w:val="24"/>
      </w:pPr>
      <w:r>
        <w:t>4、完善预警机制，强化防范措施，深入开展闲置土地处置攻坚行动。一是强化防范措施。供地并后，及时建立供地台账，设置预警程序。每月初对下3个月应开工地块进行排查，及时下达《开工催告书》。在用地单位合同约定开工时间达9个月时启动用地预警，由执法监察科发出《限期开工通知书》，满一年时，启动闲置土地调查程序，对涉嫌闲置的土地进行实地调查核实，展开闲置土地认定工作。二是敢于较真碰硬。特别是加大对是僵尸企业的处置力度，根据不同情况，坚持以用为先的原则，但该收回的，特别是无偿收回的，坚决收回。</w:t>
      </w:r>
    </w:p>
    <w:p>
      <w:pPr>
        <w:pStyle w:val="24"/>
      </w:pPr>
      <w:r>
        <w:t>5、统筹推进，稳步实施，全力做好“房地一体”确权发证及不动产登记工作和县城区历史数据空间座标修补测工作。一是建立健全不动产登记各项工作制度，加速不动产登记工作高效运转。二是认真做好三调工作。按照国家、省的部署，做好第三次土地利用现状调查，作到早谋划、早准备、早介入、早推进。积极配合做好农村集体土地产权制度试点改革，实现信息联网、资源共享，真正为全县农村产权制度改革提供有力保障。</w:t>
      </w:r>
    </w:p>
    <w:p>
      <w:pPr>
        <w:pStyle w:val="24"/>
      </w:pPr>
      <w:r>
        <w:t>6、按照省市安排完成国土空间规划编制，国土空间内其他专项规划；城乡控规，土地利用总体部分地块调整，在完成国土空间规划的基础上编制城镇控制性详细规划。完成其他交办的规划编制任务。</w:t>
      </w:r>
    </w:p>
    <w:p>
      <w:pPr>
        <w:pStyle w:val="24"/>
      </w:pPr>
      <w:r>
        <w:t>7、进一步明确规划许可标准，强化建设项目、规划条件审查，提高规划许可工作效率，实现城中村、国、省、县、乡道路两侧及乡村规划审查全覆盖。</w:t>
      </w:r>
    </w:p>
    <w:p>
      <w:pPr>
        <w:pStyle w:val="24"/>
      </w:pPr>
      <w:r>
        <w:t>8、加大批后建设项目监管力度和频次，保证批后项目规划严格落实。</w:t>
      </w:r>
    </w:p>
    <w:p>
      <w:pPr>
        <w:pStyle w:val="24"/>
      </w:pPr>
      <w:r>
        <w:t>9、坚持生态立林，改善城乡环境。切实抓好林业重点生态工程建设，实施好城乡绿化和绿色通道建设项目，层层分解任务，责任到人。同时</w:t>
      </w:r>
    </w:p>
    <w:p>
      <w:pPr>
        <w:pStyle w:val="24"/>
      </w:pPr>
      <w:r>
        <w:t>，加大对绿化工作的督查、考核和奖惩力度，确保绿化任务完成。</w:t>
      </w:r>
    </w:p>
    <w:p>
      <w:pPr>
        <w:pStyle w:val="24"/>
      </w:pPr>
      <w:r>
        <w:t>10、坚持产业强林，促进林农增收。按照“生态建设产业化，产业建设生态化”的思路，积极发展以林果产业为主的林业产业。</w:t>
      </w:r>
    </w:p>
    <w:p>
      <w:pPr>
        <w:pStyle w:val="24"/>
      </w:pPr>
      <w:r>
        <w:t>11、坚持科技兴，夯实林业发展基础。加大林业科技推广培训力度，搞好科技下乡活动。加强林木良种繁育、病虫害防治等林业优势项目的培育。强化林业科技人员继续教育，提高科技人员整体素质。</w:t>
      </w:r>
    </w:p>
    <w:p>
      <w:pPr>
        <w:pStyle w:val="24"/>
      </w:pPr>
      <w:r>
        <w:t>12、坚持依法治林，巩固扩大造林成果。加大林业执法力度，抓好林业有害生物防控和森林防火工作。</w:t>
      </w:r>
    </w:p>
    <w:p>
      <w:pPr>
        <w:pStyle w:val="24"/>
        <w:sectPr>
          <w:pgSz w:w="16840" w:h="11900" w:orient="landscape"/>
          <w:pgMar w:top="1361" w:right="1020" w:bottom="1361" w:left="1020" w:header="720" w:footer="720" w:gutter="0"/>
          <w:cols w:space="720" w:num="1"/>
        </w:sectPr>
      </w:pPr>
      <w:r>
        <w:t>13、坚持保障促林，树立崭新工作形象。围绕林业重点生态工程建设、林业改革发展、森林资源保护等加强宣传，展示林业形象；强化资源争取，积极向上级部门争取林业建设项目，力争有更多的林业建设资金到位。强化队伍建设，持续开展作风整顿，完善单位规章制度，加强职工思想教育和业 务知识培训，提高职工综合素质，打造一支政治坚定、作风优良、素质较高，业务过硬的林业干部职工队伍。</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1、“陶山新区加速落地年”活动经费绩效目标表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13043325P00001110002B</w:t>
            </w:r>
          </w:p>
        </w:tc>
        <w:tc>
          <w:tcPr>
            <w:tcW w:w="2835" w:type="dxa"/>
            <w:vAlign w:val="center"/>
          </w:tcPr>
          <w:p>
            <w:pPr>
              <w:pStyle w:val="11"/>
            </w:pPr>
            <w:r>
              <w:t>项目名称</w:t>
            </w:r>
          </w:p>
        </w:tc>
        <w:tc>
          <w:tcPr>
            <w:tcW w:w="6095" w:type="dxa"/>
            <w:gridSpan w:val="3"/>
            <w:vAlign w:val="center"/>
          </w:tcPr>
          <w:p>
            <w:pPr>
              <w:pStyle w:val="13"/>
            </w:pPr>
            <w:r>
              <w:t>“陶山新区加速落地年”活动经费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用于陶山新区办公经费。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1.用于陶山新区办公经费，保障项目加速落地，发挥新区职能，保障陶山新区正常运行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开展新区专项工作数量</w:t>
            </w:r>
          </w:p>
        </w:tc>
        <w:tc>
          <w:tcPr>
            <w:tcW w:w="5386" w:type="dxa"/>
            <w:vAlign w:val="center"/>
          </w:tcPr>
          <w:p>
            <w:pPr>
              <w:pStyle w:val="13"/>
            </w:pPr>
            <w:r>
              <w:t>开展新区工作项目论证、编制文本、资料印刷、办公设备购置等</w:t>
            </w:r>
          </w:p>
        </w:tc>
        <w:tc>
          <w:tcPr>
            <w:tcW w:w="2268" w:type="dxa"/>
            <w:vAlign w:val="center"/>
          </w:tcPr>
          <w:p>
            <w:pPr>
              <w:pStyle w:val="13"/>
            </w:pPr>
            <w:r>
              <w:t>≥15项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每季度按经费审批报告拨付到位</w:t>
            </w:r>
          </w:p>
        </w:tc>
        <w:tc>
          <w:tcPr>
            <w:tcW w:w="2268" w:type="dxa"/>
            <w:vAlign w:val="center"/>
          </w:tcPr>
          <w:p>
            <w:pPr>
              <w:pStyle w:val="13"/>
            </w:pPr>
            <w:r>
              <w:t>3月</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运行保障资金成本</w:t>
            </w:r>
          </w:p>
        </w:tc>
        <w:tc>
          <w:tcPr>
            <w:tcW w:w="2268" w:type="dxa"/>
            <w:vAlign w:val="center"/>
          </w:tcPr>
          <w:p>
            <w:pPr>
              <w:pStyle w:val="13"/>
            </w:pPr>
            <w:r>
              <w:t>20万元</w:t>
            </w:r>
          </w:p>
        </w:tc>
        <w:tc>
          <w:tcPr>
            <w:tcW w:w="1276" w:type="dxa"/>
            <w:vAlign w:val="center"/>
          </w:tcPr>
          <w:p>
            <w:pPr>
              <w:pStyle w:val="13"/>
            </w:pPr>
            <w:r>
              <w:t>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招商引资实现突破，促进县域经济发展。</w:t>
            </w:r>
          </w:p>
        </w:tc>
        <w:tc>
          <w:tcPr>
            <w:tcW w:w="2268" w:type="dxa"/>
            <w:vAlign w:val="center"/>
          </w:tcPr>
          <w:p>
            <w:pPr>
              <w:pStyle w:val="13"/>
            </w:pPr>
            <w:r>
              <w:t>≥85%</w:t>
            </w:r>
          </w:p>
        </w:tc>
        <w:tc>
          <w:tcPr>
            <w:tcW w:w="1276" w:type="dxa"/>
            <w:vAlign w:val="center"/>
          </w:tcPr>
          <w:p>
            <w:pPr>
              <w:pStyle w:val="13"/>
            </w:pPr>
            <w:r>
              <w:t>县委13届七次全会文件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推动新区不断发展</w:t>
            </w:r>
          </w:p>
        </w:tc>
        <w:tc>
          <w:tcPr>
            <w:tcW w:w="5386" w:type="dxa"/>
            <w:vAlign w:val="center"/>
          </w:tcPr>
          <w:p>
            <w:pPr>
              <w:pStyle w:val="13"/>
            </w:pPr>
            <w:r>
              <w:t>推动陶山新区不断深入发展，乡村振兴提质增收。</w:t>
            </w:r>
          </w:p>
        </w:tc>
        <w:tc>
          <w:tcPr>
            <w:tcW w:w="2268" w:type="dxa"/>
            <w:vAlign w:val="center"/>
          </w:tcPr>
          <w:p>
            <w:pPr>
              <w:pStyle w:val="13"/>
            </w:pPr>
            <w:r>
              <w:t>≥90%</w:t>
            </w:r>
          </w:p>
        </w:tc>
        <w:tc>
          <w:tcPr>
            <w:tcW w:w="1276" w:type="dxa"/>
            <w:vAlign w:val="center"/>
          </w:tcPr>
          <w:p>
            <w:pPr>
              <w:pStyle w:val="13"/>
            </w:pPr>
            <w:r>
              <w:t>县委13届七次全会文件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办公人员对经费发放的满意度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2、林业专项工作经费绩效目标表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13043325P00000610001W</w:t>
            </w:r>
          </w:p>
        </w:tc>
        <w:tc>
          <w:tcPr>
            <w:tcW w:w="2835" w:type="dxa"/>
            <w:vAlign w:val="center"/>
          </w:tcPr>
          <w:p>
            <w:pPr>
              <w:pStyle w:val="11"/>
            </w:pPr>
            <w:r>
              <w:t>项目名称</w:t>
            </w:r>
          </w:p>
        </w:tc>
        <w:tc>
          <w:tcPr>
            <w:tcW w:w="6095" w:type="dxa"/>
            <w:gridSpan w:val="3"/>
            <w:vAlign w:val="center"/>
          </w:tcPr>
          <w:p>
            <w:pPr>
              <w:pStyle w:val="13"/>
            </w:pPr>
            <w:r>
              <w:t>林业专项工作经费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w:t>
            </w:r>
          </w:p>
        </w:tc>
        <w:tc>
          <w:tcPr>
            <w:tcW w:w="2835" w:type="dxa"/>
            <w:vAlign w:val="center"/>
          </w:tcPr>
          <w:p>
            <w:pPr>
              <w:pStyle w:val="11"/>
            </w:pPr>
            <w:r>
              <w:t>其中：财政    资金</w:t>
            </w:r>
          </w:p>
        </w:tc>
        <w:tc>
          <w:tcPr>
            <w:tcW w:w="2551" w:type="dxa"/>
            <w:vAlign w:val="center"/>
          </w:tcPr>
          <w:p>
            <w:pPr>
              <w:pStyle w:val="13"/>
            </w:pPr>
            <w:r>
              <w:t>15.20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用于林业专项工作经费。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1.改善办公环境，正常发挥林业职能，保障林业相关工作正常运行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在职干部职工人员数量</w:t>
            </w:r>
          </w:p>
        </w:tc>
        <w:tc>
          <w:tcPr>
            <w:tcW w:w="2268" w:type="dxa"/>
            <w:vAlign w:val="center"/>
          </w:tcPr>
          <w:p>
            <w:pPr>
              <w:pStyle w:val="13"/>
            </w:pPr>
            <w:r>
              <w:t>220人</w:t>
            </w:r>
          </w:p>
        </w:tc>
        <w:tc>
          <w:tcPr>
            <w:tcW w:w="1276" w:type="dxa"/>
            <w:vAlign w:val="center"/>
          </w:tcPr>
          <w:p>
            <w:pPr>
              <w:pStyle w:val="13"/>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每季度按经费审批报告拨付到位</w:t>
            </w:r>
          </w:p>
        </w:tc>
        <w:tc>
          <w:tcPr>
            <w:tcW w:w="2268" w:type="dxa"/>
            <w:vAlign w:val="center"/>
          </w:tcPr>
          <w:p>
            <w:pPr>
              <w:pStyle w:val="13"/>
            </w:pPr>
            <w:r>
              <w:t>≤1季度</w:t>
            </w:r>
          </w:p>
        </w:tc>
        <w:tc>
          <w:tcPr>
            <w:tcW w:w="1276" w:type="dxa"/>
            <w:vAlign w:val="center"/>
          </w:tcPr>
          <w:p>
            <w:pPr>
              <w:pStyle w:val="13"/>
            </w:pPr>
            <w:r>
              <w:t>经费发放审批报告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在职干部职工人均经费水平</w:t>
            </w:r>
          </w:p>
        </w:tc>
        <w:tc>
          <w:tcPr>
            <w:tcW w:w="2268" w:type="dxa"/>
            <w:vAlign w:val="center"/>
          </w:tcPr>
          <w:p>
            <w:pPr>
              <w:pStyle w:val="13"/>
            </w:pPr>
            <w:r>
              <w:t>19万元</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推动重点工作进一步开展</w:t>
            </w:r>
          </w:p>
        </w:tc>
        <w:tc>
          <w:tcPr>
            <w:tcW w:w="5386" w:type="dxa"/>
            <w:vAlign w:val="center"/>
          </w:tcPr>
          <w:p>
            <w:pPr>
              <w:pStyle w:val="13"/>
            </w:pPr>
            <w:r>
              <w:t>助推活力新城、魅力馆陶加快建设，高质量完成承担的重点工作</w:t>
            </w:r>
          </w:p>
        </w:tc>
        <w:tc>
          <w:tcPr>
            <w:tcW w:w="2268" w:type="dxa"/>
            <w:vAlign w:val="center"/>
          </w:tcPr>
          <w:p>
            <w:pPr>
              <w:pStyle w:val="13"/>
            </w:pPr>
            <w:r>
              <w:t>≥95%</w:t>
            </w:r>
          </w:p>
        </w:tc>
        <w:tc>
          <w:tcPr>
            <w:tcW w:w="1276" w:type="dxa"/>
            <w:vAlign w:val="center"/>
          </w:tcPr>
          <w:p>
            <w:pPr>
              <w:pStyle w:val="13"/>
            </w:pPr>
            <w:r>
              <w:t>重点工作考核通报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机关工作人员对单位保障情况的满意程度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3、自然资源专项经费绩效目标表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13043325P000005100042</w:t>
            </w:r>
          </w:p>
        </w:tc>
        <w:tc>
          <w:tcPr>
            <w:tcW w:w="2835" w:type="dxa"/>
            <w:vAlign w:val="center"/>
          </w:tcPr>
          <w:p>
            <w:pPr>
              <w:pStyle w:val="11"/>
            </w:pPr>
            <w:r>
              <w:t>项目名称</w:t>
            </w:r>
          </w:p>
        </w:tc>
        <w:tc>
          <w:tcPr>
            <w:tcW w:w="6095" w:type="dxa"/>
            <w:gridSpan w:val="3"/>
            <w:vAlign w:val="center"/>
          </w:tcPr>
          <w:p>
            <w:pPr>
              <w:pStyle w:val="13"/>
            </w:pPr>
            <w:r>
              <w:t>自然资源专项经费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1496.51</w:t>
            </w:r>
          </w:p>
        </w:tc>
        <w:tc>
          <w:tcPr>
            <w:tcW w:w="2835" w:type="dxa"/>
            <w:vAlign w:val="center"/>
          </w:tcPr>
          <w:p>
            <w:pPr>
              <w:pStyle w:val="11"/>
            </w:pPr>
            <w:r>
              <w:t>其中：财政    资金</w:t>
            </w:r>
          </w:p>
        </w:tc>
        <w:tc>
          <w:tcPr>
            <w:tcW w:w="2551" w:type="dxa"/>
            <w:vAlign w:val="center"/>
          </w:tcPr>
          <w:p>
            <w:pPr>
              <w:pStyle w:val="13"/>
            </w:pPr>
            <w:r>
              <w:t>1496.51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用于我单位自收自支人员工资及社保费、部分公用经费。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1.用于我单位自收自支人员工资及社保费的发放，保障自收自支人员的生活质量。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财政供养人员数量</w:t>
            </w:r>
          </w:p>
        </w:tc>
        <w:tc>
          <w:tcPr>
            <w:tcW w:w="2268" w:type="dxa"/>
            <w:vAlign w:val="center"/>
          </w:tcPr>
          <w:p>
            <w:pPr>
              <w:pStyle w:val="13"/>
            </w:pPr>
            <w:r>
              <w:t>220人</w:t>
            </w:r>
          </w:p>
        </w:tc>
        <w:tc>
          <w:tcPr>
            <w:tcW w:w="1276" w:type="dxa"/>
            <w:vAlign w:val="center"/>
          </w:tcPr>
          <w:p>
            <w:pPr>
              <w:pStyle w:val="13"/>
            </w:pPr>
            <w:r>
              <w:t>自收自支人员花名册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人员经费发放覆盖率</w:t>
            </w:r>
          </w:p>
        </w:tc>
        <w:tc>
          <w:tcPr>
            <w:tcW w:w="5386" w:type="dxa"/>
            <w:vAlign w:val="center"/>
          </w:tcPr>
          <w:p>
            <w:pPr>
              <w:pStyle w:val="13"/>
            </w:pPr>
            <w:r>
              <w:t>实发人数占应发人数的比例</w:t>
            </w:r>
          </w:p>
        </w:tc>
        <w:tc>
          <w:tcPr>
            <w:tcW w:w="2268" w:type="dxa"/>
            <w:vAlign w:val="center"/>
          </w:tcPr>
          <w:p>
            <w:pPr>
              <w:pStyle w:val="13"/>
            </w:pPr>
            <w:r>
              <w:t>100%</w:t>
            </w:r>
          </w:p>
        </w:tc>
        <w:tc>
          <w:tcPr>
            <w:tcW w:w="1276" w:type="dxa"/>
            <w:vAlign w:val="center"/>
          </w:tcPr>
          <w:p>
            <w:pPr>
              <w:pStyle w:val="13"/>
            </w:pPr>
            <w:r>
              <w:t>自收自支人员花名册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按照文件规定及时发放人员经费</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发放财政供养人员工资金额</w:t>
            </w:r>
          </w:p>
        </w:tc>
        <w:tc>
          <w:tcPr>
            <w:tcW w:w="2268" w:type="dxa"/>
            <w:vAlign w:val="center"/>
          </w:tcPr>
          <w:p>
            <w:pPr>
              <w:pStyle w:val="13"/>
            </w:pPr>
            <w:r>
              <w:t>1968万元</w:t>
            </w:r>
          </w:p>
        </w:tc>
        <w:tc>
          <w:tcPr>
            <w:tcW w:w="1276" w:type="dxa"/>
            <w:vAlign w:val="center"/>
          </w:tcPr>
          <w:p>
            <w:pPr>
              <w:pStyle w:val="13"/>
            </w:pPr>
            <w:r>
              <w:t>工资方案表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保障机关工作人员收入稳步增长</w:t>
            </w:r>
          </w:p>
        </w:tc>
        <w:tc>
          <w:tcPr>
            <w:tcW w:w="2268" w:type="dxa"/>
            <w:vAlign w:val="center"/>
          </w:tcPr>
          <w:p>
            <w:pPr>
              <w:pStyle w:val="13"/>
            </w:pPr>
            <w:r>
              <w:t>≥95%</w:t>
            </w:r>
          </w:p>
        </w:tc>
        <w:tc>
          <w:tcPr>
            <w:tcW w:w="1276" w:type="dxa"/>
            <w:vAlign w:val="center"/>
          </w:tcPr>
          <w:p>
            <w:pPr>
              <w:pStyle w:val="13"/>
            </w:pPr>
            <w:r>
              <w:t>人员调资方案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自收自支人员满意度</w:t>
            </w:r>
          </w:p>
        </w:tc>
        <w:tc>
          <w:tcPr>
            <w:tcW w:w="5386" w:type="dxa"/>
            <w:vAlign w:val="center"/>
          </w:tcPr>
          <w:p>
            <w:pPr>
              <w:pStyle w:val="13"/>
            </w:pPr>
            <w:r>
              <w:t>自收自支人员对工资发放的满意程度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4、2024年乡镇苗木采购补贴资金绩效目标表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13043325P00001310002N</w:t>
            </w:r>
          </w:p>
        </w:tc>
        <w:tc>
          <w:tcPr>
            <w:tcW w:w="2835" w:type="dxa"/>
            <w:vAlign w:val="center"/>
          </w:tcPr>
          <w:p>
            <w:pPr>
              <w:pStyle w:val="11"/>
            </w:pPr>
            <w:r>
              <w:t>项目名称</w:t>
            </w:r>
          </w:p>
        </w:tc>
        <w:tc>
          <w:tcPr>
            <w:tcW w:w="6095" w:type="dxa"/>
            <w:gridSpan w:val="3"/>
            <w:vAlign w:val="center"/>
          </w:tcPr>
          <w:p>
            <w:pPr>
              <w:pStyle w:val="13"/>
            </w:pPr>
            <w:r>
              <w:t>2024年乡镇苗木采购补贴资金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用于苗木采购，超额完成2024年的绿化造林任务，优化生态环境，使生态系统功能得到持续改善。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1.用于苗木采购，超额完成2024年的绿化造林任务，优化生态环境，使生态系统功能得到持续改善。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绿化面积</w:t>
            </w:r>
          </w:p>
        </w:tc>
        <w:tc>
          <w:tcPr>
            <w:tcW w:w="5386" w:type="dxa"/>
            <w:vAlign w:val="center"/>
          </w:tcPr>
          <w:p>
            <w:pPr>
              <w:pStyle w:val="13"/>
            </w:pPr>
            <w:r>
              <w:t>全年造林绿化面积</w:t>
            </w:r>
          </w:p>
        </w:tc>
        <w:tc>
          <w:tcPr>
            <w:tcW w:w="2268" w:type="dxa"/>
            <w:vAlign w:val="center"/>
          </w:tcPr>
          <w:p>
            <w:pPr>
              <w:pStyle w:val="13"/>
            </w:pPr>
            <w:r>
              <w:t>≥100亩</w:t>
            </w:r>
          </w:p>
        </w:tc>
        <w:tc>
          <w:tcPr>
            <w:tcW w:w="1276" w:type="dxa"/>
            <w:vAlign w:val="center"/>
          </w:tcPr>
          <w:p>
            <w:pPr>
              <w:pStyle w:val="13"/>
            </w:pPr>
            <w:r>
              <w:t>《馆陶县人民政府办公室</w:t>
            </w:r>
          </w:p>
          <w:p>
            <w:pPr>
              <w:pStyle w:val="13"/>
            </w:pPr>
            <w:r>
              <w:t>关于下达2024年营造林任务的通知》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采购苗木达标率</w:t>
            </w:r>
          </w:p>
        </w:tc>
        <w:tc>
          <w:tcPr>
            <w:tcW w:w="5386" w:type="dxa"/>
            <w:vAlign w:val="center"/>
          </w:tcPr>
          <w:p>
            <w:pPr>
              <w:pStyle w:val="13"/>
            </w:pPr>
            <w:r>
              <w:t>实际苗木采购达标占应采购达标的比例</w:t>
            </w:r>
          </w:p>
        </w:tc>
        <w:tc>
          <w:tcPr>
            <w:tcW w:w="2268" w:type="dxa"/>
            <w:vAlign w:val="center"/>
          </w:tcPr>
          <w:p>
            <w:pPr>
              <w:pStyle w:val="13"/>
            </w:pPr>
            <w:r>
              <w:t>100%</w:t>
            </w:r>
          </w:p>
        </w:tc>
        <w:tc>
          <w:tcPr>
            <w:tcW w:w="1276" w:type="dxa"/>
            <w:vAlign w:val="center"/>
          </w:tcPr>
          <w:p>
            <w:pPr>
              <w:pStyle w:val="13"/>
            </w:pPr>
            <w:r>
              <w:t>苗木质量分级标准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根据文件要求，及时完成2024年造林绿化任务。</w:t>
            </w:r>
          </w:p>
        </w:tc>
        <w:tc>
          <w:tcPr>
            <w:tcW w:w="2268" w:type="dxa"/>
            <w:vAlign w:val="center"/>
          </w:tcPr>
          <w:p>
            <w:pPr>
              <w:pStyle w:val="13"/>
            </w:pPr>
            <w:r>
              <w:t>≤365天</w:t>
            </w:r>
          </w:p>
        </w:tc>
        <w:tc>
          <w:tcPr>
            <w:tcW w:w="1276" w:type="dxa"/>
            <w:vAlign w:val="center"/>
          </w:tcPr>
          <w:p>
            <w:pPr>
              <w:pStyle w:val="13"/>
            </w:pPr>
            <w:r>
              <w:t>《馆陶县人民政府办公室</w:t>
            </w:r>
          </w:p>
          <w:p>
            <w:pPr>
              <w:pStyle w:val="13"/>
            </w:pPr>
            <w:r>
              <w:t>关于下达2024年营造林任务的通知》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采购资金</w:t>
            </w:r>
          </w:p>
        </w:tc>
        <w:tc>
          <w:tcPr>
            <w:tcW w:w="5386" w:type="dxa"/>
            <w:vAlign w:val="center"/>
          </w:tcPr>
          <w:p>
            <w:pPr>
              <w:pStyle w:val="13"/>
            </w:pPr>
            <w:r>
              <w:t>采购的苗木的资金总额</w:t>
            </w:r>
          </w:p>
        </w:tc>
        <w:tc>
          <w:tcPr>
            <w:tcW w:w="2268" w:type="dxa"/>
            <w:vAlign w:val="center"/>
          </w:tcPr>
          <w:p>
            <w:pPr>
              <w:pStyle w:val="13"/>
            </w:pPr>
            <w:r>
              <w:t>100万元</w:t>
            </w:r>
          </w:p>
        </w:tc>
        <w:tc>
          <w:tcPr>
            <w:tcW w:w="1276" w:type="dxa"/>
            <w:vAlign w:val="center"/>
          </w:tcPr>
          <w:p>
            <w:pPr>
              <w:pStyle w:val="13"/>
            </w:pPr>
            <w:r>
              <w:t>资金审批表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绿化美化环境，改善小气候。</w:t>
            </w:r>
          </w:p>
        </w:tc>
        <w:tc>
          <w:tcPr>
            <w:tcW w:w="2268" w:type="dxa"/>
            <w:vAlign w:val="center"/>
          </w:tcPr>
          <w:p>
            <w:pPr>
              <w:pStyle w:val="13"/>
            </w:pPr>
            <w:r>
              <w:t>≥85%</w:t>
            </w:r>
          </w:p>
        </w:tc>
        <w:tc>
          <w:tcPr>
            <w:tcW w:w="1276" w:type="dxa"/>
            <w:vAlign w:val="center"/>
          </w:tcPr>
          <w:p>
            <w:pPr>
              <w:pStyle w:val="13"/>
            </w:pPr>
            <w:r>
              <w:t>河北省防沙治沙规划（2021—2030）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生态系统持续改善</w:t>
            </w:r>
          </w:p>
        </w:tc>
        <w:tc>
          <w:tcPr>
            <w:tcW w:w="5386" w:type="dxa"/>
            <w:vAlign w:val="center"/>
          </w:tcPr>
          <w:p>
            <w:pPr>
              <w:pStyle w:val="13"/>
            </w:pPr>
            <w:r>
              <w:t>优化周边环境，使生态系统功能得到持续改善</w:t>
            </w:r>
          </w:p>
        </w:tc>
        <w:tc>
          <w:tcPr>
            <w:tcW w:w="2268" w:type="dxa"/>
            <w:vAlign w:val="center"/>
          </w:tcPr>
          <w:p>
            <w:pPr>
              <w:pStyle w:val="13"/>
            </w:pPr>
            <w:r>
              <w:t>≥85%</w:t>
            </w:r>
          </w:p>
        </w:tc>
        <w:tc>
          <w:tcPr>
            <w:tcW w:w="1276" w:type="dxa"/>
            <w:vAlign w:val="center"/>
          </w:tcPr>
          <w:p>
            <w:pPr>
              <w:pStyle w:val="13"/>
            </w:pPr>
            <w:r>
              <w:t>河北省防沙治沙规划（2021—2030）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广大群众对造林绿化满意程度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5、2025年美国白蛾防治经费绩效目标表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13043325P000007100078</w:t>
            </w:r>
          </w:p>
        </w:tc>
        <w:tc>
          <w:tcPr>
            <w:tcW w:w="2835" w:type="dxa"/>
            <w:vAlign w:val="center"/>
          </w:tcPr>
          <w:p>
            <w:pPr>
              <w:pStyle w:val="11"/>
            </w:pPr>
            <w:r>
              <w:t>项目名称</w:t>
            </w:r>
          </w:p>
        </w:tc>
        <w:tc>
          <w:tcPr>
            <w:tcW w:w="6095" w:type="dxa"/>
            <w:gridSpan w:val="3"/>
            <w:vAlign w:val="center"/>
          </w:tcPr>
          <w:p>
            <w:pPr>
              <w:pStyle w:val="13"/>
            </w:pPr>
            <w:r>
              <w:t>2025年美国白蛾防治经费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用于支付2025年美国白蛾防治费。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1.2024年飞防面积3万亩，做好美国白蛾防治工作，确保林业生态安全。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防治面积</w:t>
            </w:r>
          </w:p>
        </w:tc>
        <w:tc>
          <w:tcPr>
            <w:tcW w:w="5386" w:type="dxa"/>
            <w:vAlign w:val="center"/>
          </w:tcPr>
          <w:p>
            <w:pPr>
              <w:pStyle w:val="13"/>
            </w:pPr>
            <w:r>
              <w:t>美国白蛾防治面积</w:t>
            </w:r>
          </w:p>
        </w:tc>
        <w:tc>
          <w:tcPr>
            <w:tcW w:w="2268" w:type="dxa"/>
            <w:vAlign w:val="center"/>
          </w:tcPr>
          <w:p>
            <w:pPr>
              <w:pStyle w:val="13"/>
            </w:pPr>
            <w:r>
              <w:t>≥30000亩</w:t>
            </w:r>
          </w:p>
        </w:tc>
        <w:tc>
          <w:tcPr>
            <w:tcW w:w="1276" w:type="dxa"/>
            <w:vAlign w:val="center"/>
          </w:tcPr>
          <w:p>
            <w:pPr>
              <w:pStyle w:val="13"/>
            </w:pPr>
            <w:r>
              <w:t>《邯郸市人民政府办公室关于印发邯郸市“十四五”期间飞机施药防治美国白蛾实施方案的通知》（邯政办字〔2020〕81号）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实际防治面积占全县应防治面积的比例</w:t>
            </w:r>
          </w:p>
        </w:tc>
        <w:tc>
          <w:tcPr>
            <w:tcW w:w="2268" w:type="dxa"/>
            <w:vAlign w:val="center"/>
          </w:tcPr>
          <w:p>
            <w:pPr>
              <w:pStyle w:val="13"/>
            </w:pPr>
            <w:r>
              <w:t>100%</w:t>
            </w:r>
          </w:p>
        </w:tc>
        <w:tc>
          <w:tcPr>
            <w:tcW w:w="1276" w:type="dxa"/>
            <w:vAlign w:val="center"/>
          </w:tcPr>
          <w:p>
            <w:pPr>
              <w:pStyle w:val="13"/>
            </w:pPr>
            <w:r>
              <w:t>合同约定、工作计划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防治任务按要求及时完成</w:t>
            </w:r>
          </w:p>
        </w:tc>
        <w:tc>
          <w:tcPr>
            <w:tcW w:w="2268" w:type="dxa"/>
            <w:vAlign w:val="center"/>
          </w:tcPr>
          <w:p>
            <w:pPr>
              <w:pStyle w:val="13"/>
            </w:pPr>
            <w:r>
              <w:t>≤6月</w:t>
            </w:r>
          </w:p>
        </w:tc>
        <w:tc>
          <w:tcPr>
            <w:tcW w:w="1276" w:type="dxa"/>
            <w:vAlign w:val="center"/>
          </w:tcPr>
          <w:p>
            <w:pPr>
              <w:pStyle w:val="13"/>
            </w:pPr>
            <w:r>
              <w:t>《邯郸市人民政府办公室关于印发邯郸市“十四五”期间飞机施药防治美国白蛾实施方案的通知》（邯政办字〔2020〕81号）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县级财政补助资金总额</w:t>
            </w:r>
          </w:p>
        </w:tc>
        <w:tc>
          <w:tcPr>
            <w:tcW w:w="2268" w:type="dxa"/>
            <w:vAlign w:val="center"/>
          </w:tcPr>
          <w:p>
            <w:pPr>
              <w:pStyle w:val="13"/>
            </w:pPr>
            <w:r>
              <w:t>15万元</w:t>
            </w:r>
          </w:p>
        </w:tc>
        <w:tc>
          <w:tcPr>
            <w:tcW w:w="1276" w:type="dxa"/>
            <w:vAlign w:val="center"/>
          </w:tcPr>
          <w:p>
            <w:pPr>
              <w:pStyle w:val="13"/>
            </w:pPr>
            <w:r>
              <w:t>项目测算表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降低病虫危害经济损失率</w:t>
            </w:r>
          </w:p>
        </w:tc>
        <w:tc>
          <w:tcPr>
            <w:tcW w:w="5386" w:type="dxa"/>
            <w:vAlign w:val="center"/>
          </w:tcPr>
          <w:p>
            <w:pPr>
              <w:pStyle w:val="13"/>
            </w:pPr>
            <w:r>
              <w:t>降低绿植病虫危害带来经济损失率，提高病虫害防治能力。</w:t>
            </w:r>
          </w:p>
        </w:tc>
        <w:tc>
          <w:tcPr>
            <w:tcW w:w="2268" w:type="dxa"/>
            <w:vAlign w:val="center"/>
          </w:tcPr>
          <w:p>
            <w:pPr>
              <w:pStyle w:val="13"/>
            </w:pPr>
            <w:r>
              <w:t>≥90%</w:t>
            </w:r>
          </w:p>
        </w:tc>
        <w:tc>
          <w:tcPr>
            <w:tcW w:w="1276" w:type="dxa"/>
            <w:vAlign w:val="center"/>
          </w:tcPr>
          <w:p>
            <w:pPr>
              <w:pStyle w:val="13"/>
            </w:pPr>
            <w:r>
              <w:t>（邯政办字〔2020〕81号）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改善生态质量</w:t>
            </w:r>
          </w:p>
        </w:tc>
        <w:tc>
          <w:tcPr>
            <w:tcW w:w="5386" w:type="dxa"/>
            <w:vAlign w:val="center"/>
          </w:tcPr>
          <w:p>
            <w:pPr>
              <w:pStyle w:val="13"/>
            </w:pPr>
            <w:r>
              <w:t>增加全县绿化量，生态环境质量得到改善</w:t>
            </w:r>
          </w:p>
        </w:tc>
        <w:tc>
          <w:tcPr>
            <w:tcW w:w="2268" w:type="dxa"/>
            <w:vAlign w:val="center"/>
          </w:tcPr>
          <w:p>
            <w:pPr>
              <w:pStyle w:val="13"/>
            </w:pPr>
            <w:r>
              <w:t>≥90%</w:t>
            </w:r>
          </w:p>
        </w:tc>
        <w:tc>
          <w:tcPr>
            <w:tcW w:w="1276" w:type="dxa"/>
            <w:vAlign w:val="center"/>
          </w:tcPr>
          <w:p>
            <w:pPr>
              <w:pStyle w:val="13"/>
            </w:pPr>
            <w:r>
              <w:t>（邯政办字〔2020〕81号）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辖区群众满意度</w:t>
            </w:r>
          </w:p>
        </w:tc>
        <w:tc>
          <w:tcPr>
            <w:tcW w:w="5386" w:type="dxa"/>
            <w:vAlign w:val="center"/>
          </w:tcPr>
          <w:p>
            <w:pPr>
              <w:pStyle w:val="13"/>
            </w:pPr>
            <w:r>
              <w:t>辖区群众对有害生物防治的满意度</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6、冀财资环[2024]106号河北省财政厅关于提前下达2025年中央财政林业草原改革发展资金预算的通知绩效目标表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13043325P00003710008H</w:t>
            </w:r>
          </w:p>
        </w:tc>
        <w:tc>
          <w:tcPr>
            <w:tcW w:w="2835" w:type="dxa"/>
            <w:vAlign w:val="center"/>
          </w:tcPr>
          <w:p>
            <w:pPr>
              <w:pStyle w:val="11"/>
            </w:pPr>
            <w:r>
              <w:t>项目名称</w:t>
            </w:r>
          </w:p>
        </w:tc>
        <w:tc>
          <w:tcPr>
            <w:tcW w:w="6095" w:type="dxa"/>
            <w:gridSpan w:val="3"/>
            <w:vAlign w:val="center"/>
          </w:tcPr>
          <w:p>
            <w:pPr>
              <w:pStyle w:val="13"/>
            </w:pPr>
            <w:r>
              <w:t>冀财资环[2024]106号河北省财政厅关于提前下达2025年中央财政林业草原改革发展资金预算的通知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11.85</w:t>
            </w:r>
          </w:p>
        </w:tc>
        <w:tc>
          <w:tcPr>
            <w:tcW w:w="2835" w:type="dxa"/>
            <w:vAlign w:val="center"/>
          </w:tcPr>
          <w:p>
            <w:pPr>
              <w:pStyle w:val="11"/>
            </w:pPr>
            <w:r>
              <w:t>其中：财政    资金</w:t>
            </w:r>
          </w:p>
        </w:tc>
        <w:tc>
          <w:tcPr>
            <w:tcW w:w="2551" w:type="dxa"/>
            <w:vAlign w:val="center"/>
          </w:tcPr>
          <w:p>
            <w:pPr>
              <w:pStyle w:val="13"/>
            </w:pPr>
            <w:r>
              <w:t>11.85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用于2025年美国白蛾防治，飞防面积3万亩，做好美国白蛾防治工作，确保林业生态安全。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1.用于2025年美国白蛾防治，飞防面积3万亩，做好美国白蛾防治工作，确保林业生态安全。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防治面积</w:t>
            </w:r>
          </w:p>
        </w:tc>
        <w:tc>
          <w:tcPr>
            <w:tcW w:w="5386" w:type="dxa"/>
            <w:vAlign w:val="center"/>
          </w:tcPr>
          <w:p>
            <w:pPr>
              <w:pStyle w:val="13"/>
            </w:pPr>
            <w:r>
              <w:t>有害生物防治面积</w:t>
            </w:r>
          </w:p>
        </w:tc>
        <w:tc>
          <w:tcPr>
            <w:tcW w:w="2268" w:type="dxa"/>
            <w:vAlign w:val="center"/>
          </w:tcPr>
          <w:p>
            <w:pPr>
              <w:pStyle w:val="13"/>
            </w:pPr>
            <w:r>
              <w:t>≥30000亩</w:t>
            </w:r>
          </w:p>
        </w:tc>
        <w:tc>
          <w:tcPr>
            <w:tcW w:w="1276" w:type="dxa"/>
            <w:vAlign w:val="center"/>
          </w:tcPr>
          <w:p>
            <w:pPr>
              <w:pStyle w:val="13"/>
            </w:pPr>
            <w:r>
              <w:t>《邯郸市人民政府办公室关于印发邯郸市“十四五”期间飞机施药防治美国白蛾实施方案的通知》（邯政办字〔2020〕81号）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实际防治面积占全县应防治面积的比例</w:t>
            </w:r>
          </w:p>
        </w:tc>
        <w:tc>
          <w:tcPr>
            <w:tcW w:w="2268" w:type="dxa"/>
            <w:vAlign w:val="center"/>
          </w:tcPr>
          <w:p>
            <w:pPr>
              <w:pStyle w:val="13"/>
            </w:pPr>
            <w:r>
              <w:t>100%</w:t>
            </w:r>
          </w:p>
        </w:tc>
        <w:tc>
          <w:tcPr>
            <w:tcW w:w="1276" w:type="dxa"/>
            <w:vAlign w:val="center"/>
          </w:tcPr>
          <w:p>
            <w:pPr>
              <w:pStyle w:val="13"/>
            </w:pPr>
            <w:r>
              <w:t>冀财资环[2024]106号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防治任务按要求及时完成</w:t>
            </w:r>
          </w:p>
        </w:tc>
        <w:tc>
          <w:tcPr>
            <w:tcW w:w="2268" w:type="dxa"/>
            <w:vAlign w:val="center"/>
          </w:tcPr>
          <w:p>
            <w:pPr>
              <w:pStyle w:val="13"/>
            </w:pPr>
            <w:r>
              <w:t>≤3月</w:t>
            </w:r>
          </w:p>
        </w:tc>
        <w:tc>
          <w:tcPr>
            <w:tcW w:w="1276" w:type="dxa"/>
            <w:vAlign w:val="center"/>
          </w:tcPr>
          <w:p>
            <w:pPr>
              <w:pStyle w:val="13"/>
            </w:pPr>
            <w:r>
              <w:t>《邯郸市人民政府办公室关于印发邯郸市“十四五”期间飞机施药防治美国白蛾实施方案的通知》（邯政办字〔2020〕81号）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上级财政补助资金总额</w:t>
            </w:r>
          </w:p>
        </w:tc>
        <w:tc>
          <w:tcPr>
            <w:tcW w:w="2268" w:type="dxa"/>
            <w:vAlign w:val="center"/>
          </w:tcPr>
          <w:p>
            <w:pPr>
              <w:pStyle w:val="13"/>
            </w:pPr>
            <w:r>
              <w:t>11.85万元</w:t>
            </w:r>
          </w:p>
        </w:tc>
        <w:tc>
          <w:tcPr>
            <w:tcW w:w="1276" w:type="dxa"/>
            <w:vAlign w:val="center"/>
          </w:tcPr>
          <w:p>
            <w:pPr>
              <w:pStyle w:val="13"/>
            </w:pPr>
            <w:r>
              <w:t>冀财资环[2024]106号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降低病虫危害经济损失率</w:t>
            </w:r>
          </w:p>
        </w:tc>
        <w:tc>
          <w:tcPr>
            <w:tcW w:w="5386" w:type="dxa"/>
            <w:vAlign w:val="center"/>
          </w:tcPr>
          <w:p>
            <w:pPr>
              <w:pStyle w:val="13"/>
            </w:pPr>
            <w:r>
              <w:t>降低绿植病虫危害带来经济损失率，提高病虫害防治能力。</w:t>
            </w:r>
          </w:p>
        </w:tc>
        <w:tc>
          <w:tcPr>
            <w:tcW w:w="2268" w:type="dxa"/>
            <w:vAlign w:val="center"/>
          </w:tcPr>
          <w:p>
            <w:pPr>
              <w:pStyle w:val="13"/>
            </w:pPr>
            <w:r>
              <w:t>≥90%</w:t>
            </w:r>
          </w:p>
        </w:tc>
        <w:tc>
          <w:tcPr>
            <w:tcW w:w="1276" w:type="dxa"/>
            <w:vAlign w:val="center"/>
          </w:tcPr>
          <w:p>
            <w:pPr>
              <w:pStyle w:val="13"/>
            </w:pPr>
            <w:r>
              <w:t>（邯政办字〔2020〕81号）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改善生态质量</w:t>
            </w:r>
          </w:p>
        </w:tc>
        <w:tc>
          <w:tcPr>
            <w:tcW w:w="5386" w:type="dxa"/>
            <w:vAlign w:val="center"/>
          </w:tcPr>
          <w:p>
            <w:pPr>
              <w:pStyle w:val="13"/>
            </w:pPr>
            <w:r>
              <w:t>增加全县绿化量，生态环境质量得到改善</w:t>
            </w:r>
          </w:p>
        </w:tc>
        <w:tc>
          <w:tcPr>
            <w:tcW w:w="2268" w:type="dxa"/>
            <w:vAlign w:val="center"/>
          </w:tcPr>
          <w:p>
            <w:pPr>
              <w:pStyle w:val="13"/>
            </w:pPr>
            <w:r>
              <w:t>≥90%</w:t>
            </w:r>
          </w:p>
        </w:tc>
        <w:tc>
          <w:tcPr>
            <w:tcW w:w="1276" w:type="dxa"/>
            <w:vAlign w:val="center"/>
          </w:tcPr>
          <w:p>
            <w:pPr>
              <w:pStyle w:val="13"/>
            </w:pPr>
            <w:r>
              <w:t>（邯政办字〔2020〕81号）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辖区群众满意度</w:t>
            </w:r>
          </w:p>
        </w:tc>
        <w:tc>
          <w:tcPr>
            <w:tcW w:w="5386" w:type="dxa"/>
            <w:vAlign w:val="center"/>
          </w:tcPr>
          <w:p>
            <w:pPr>
              <w:pStyle w:val="13"/>
            </w:pPr>
            <w:r>
              <w:t>辖区群众对有害生物防治的满意度</w:t>
            </w:r>
          </w:p>
        </w:tc>
        <w:tc>
          <w:tcPr>
            <w:tcW w:w="2268" w:type="dxa"/>
            <w:vAlign w:val="center"/>
          </w:tcPr>
          <w:p>
            <w:pPr>
              <w:pStyle w:val="13"/>
            </w:pPr>
            <w:r>
              <w: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7、冀财资环[2024]113号河北省财政厅关于提前下达2025年省级林业改革发展补助资金的通知绩效目标表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13043325P000037100095</w:t>
            </w:r>
          </w:p>
        </w:tc>
        <w:tc>
          <w:tcPr>
            <w:tcW w:w="2835" w:type="dxa"/>
            <w:vAlign w:val="center"/>
          </w:tcPr>
          <w:p>
            <w:pPr>
              <w:pStyle w:val="11"/>
            </w:pPr>
            <w:r>
              <w:t>项目名称</w:t>
            </w:r>
          </w:p>
        </w:tc>
        <w:tc>
          <w:tcPr>
            <w:tcW w:w="6095" w:type="dxa"/>
            <w:gridSpan w:val="3"/>
            <w:vAlign w:val="center"/>
          </w:tcPr>
          <w:p>
            <w:pPr>
              <w:pStyle w:val="13"/>
            </w:pPr>
            <w:r>
              <w:t>冀财资环[2024]113号河北省财政厅关于提前下达2025年省级林业改革发展补助资金的通知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专项用于重点区域造林绿化奖补资金。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1.专项用于重点区域造林绿化奖补资金，确保林木种苗、科技推广等产业的发展，提升森林覆盖率。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奖补村庄数</w:t>
            </w:r>
          </w:p>
        </w:tc>
        <w:tc>
          <w:tcPr>
            <w:tcW w:w="5386" w:type="dxa"/>
            <w:vAlign w:val="center"/>
          </w:tcPr>
          <w:p>
            <w:pPr>
              <w:pStyle w:val="13"/>
            </w:pPr>
            <w:r>
              <w:t>完成重点区域造林绿化补助村庄数</w:t>
            </w:r>
          </w:p>
        </w:tc>
        <w:tc>
          <w:tcPr>
            <w:tcW w:w="2268" w:type="dxa"/>
            <w:vAlign w:val="center"/>
          </w:tcPr>
          <w:p>
            <w:pPr>
              <w:pStyle w:val="13"/>
            </w:pPr>
            <w:r>
              <w:t>6个</w:t>
            </w:r>
          </w:p>
        </w:tc>
        <w:tc>
          <w:tcPr>
            <w:tcW w:w="1276" w:type="dxa"/>
            <w:vAlign w:val="center"/>
          </w:tcPr>
          <w:p>
            <w:pPr>
              <w:pStyle w:val="13"/>
            </w:pPr>
            <w:r>
              <w:t>冀财资环[2024]113号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成活率</w:t>
            </w:r>
          </w:p>
        </w:tc>
        <w:tc>
          <w:tcPr>
            <w:tcW w:w="5386" w:type="dxa"/>
            <w:vAlign w:val="center"/>
          </w:tcPr>
          <w:p>
            <w:pPr>
              <w:pStyle w:val="13"/>
            </w:pPr>
            <w:r>
              <w:t>重点区域造林绿化成活率占实际造林绿化成活的比例</w:t>
            </w:r>
          </w:p>
        </w:tc>
        <w:tc>
          <w:tcPr>
            <w:tcW w:w="2268" w:type="dxa"/>
            <w:vAlign w:val="center"/>
          </w:tcPr>
          <w:p>
            <w:pPr>
              <w:pStyle w:val="13"/>
            </w:pPr>
            <w:r>
              <w:t>≥95%</w:t>
            </w:r>
          </w:p>
        </w:tc>
        <w:tc>
          <w:tcPr>
            <w:tcW w:w="1276" w:type="dxa"/>
            <w:vAlign w:val="center"/>
          </w:tcPr>
          <w:p>
            <w:pPr>
              <w:pStyle w:val="13"/>
            </w:pPr>
            <w:r>
              <w:t>冀财资环[2024]113号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按照下达任务目标及时完成</w:t>
            </w:r>
          </w:p>
        </w:tc>
        <w:tc>
          <w:tcPr>
            <w:tcW w:w="2268" w:type="dxa"/>
            <w:vAlign w:val="center"/>
          </w:tcPr>
          <w:p>
            <w:pPr>
              <w:pStyle w:val="13"/>
            </w:pPr>
            <w:r>
              <w:t>≤12月</w:t>
            </w:r>
          </w:p>
        </w:tc>
        <w:tc>
          <w:tcPr>
            <w:tcW w:w="1276" w:type="dxa"/>
            <w:vAlign w:val="center"/>
          </w:tcPr>
          <w:p>
            <w:pPr>
              <w:pStyle w:val="13"/>
            </w:pPr>
            <w:r>
              <w:t>冀财资环[2024]113号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造林绿化奖补资金总额</w:t>
            </w:r>
          </w:p>
        </w:tc>
        <w:tc>
          <w:tcPr>
            <w:tcW w:w="2268" w:type="dxa"/>
            <w:vAlign w:val="center"/>
          </w:tcPr>
          <w:p>
            <w:pPr>
              <w:pStyle w:val="13"/>
            </w:pPr>
            <w:r>
              <w:t>20万元</w:t>
            </w:r>
          </w:p>
        </w:tc>
        <w:tc>
          <w:tcPr>
            <w:tcW w:w="1276" w:type="dxa"/>
            <w:vAlign w:val="center"/>
          </w:tcPr>
          <w:p>
            <w:pPr>
              <w:pStyle w:val="13"/>
            </w:pPr>
            <w:r>
              <w:t>冀财资环[2024]113号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增加农户收入水平</w:t>
            </w:r>
          </w:p>
        </w:tc>
        <w:tc>
          <w:tcPr>
            <w:tcW w:w="5386" w:type="dxa"/>
            <w:vAlign w:val="center"/>
          </w:tcPr>
          <w:p>
            <w:pPr>
              <w:pStyle w:val="13"/>
            </w:pPr>
            <w:r>
              <w:t>通过绿化造林补助，增加造林个体农户收入水平。</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提升森林覆盖率</w:t>
            </w:r>
          </w:p>
        </w:tc>
        <w:tc>
          <w:tcPr>
            <w:tcW w:w="5386" w:type="dxa"/>
            <w:vAlign w:val="center"/>
          </w:tcPr>
          <w:p>
            <w:pPr>
              <w:pStyle w:val="13"/>
            </w:pPr>
            <w:r>
              <w:t>通过造林绿化，提升森林覆盖率</w:t>
            </w:r>
          </w:p>
        </w:tc>
        <w:tc>
          <w:tcPr>
            <w:tcW w:w="2268" w:type="dxa"/>
            <w:vAlign w:val="center"/>
          </w:tcPr>
          <w:p>
            <w:pPr>
              <w:pStyle w:val="13"/>
            </w:pPr>
            <w:r>
              <w:t>≥85%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造林个体满意度</w:t>
            </w:r>
          </w:p>
        </w:tc>
        <w:tc>
          <w:tcPr>
            <w:tcW w:w="5386" w:type="dxa"/>
            <w:vAlign w:val="center"/>
          </w:tcPr>
          <w:p>
            <w:pPr>
              <w:pStyle w:val="13"/>
            </w:pPr>
            <w:r>
              <w:t>造林个体对造林绿化奖补的满意度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8、农用地征收社保费绩效目标表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13043325P00001010063G</w:t>
            </w:r>
          </w:p>
        </w:tc>
        <w:tc>
          <w:tcPr>
            <w:tcW w:w="2835" w:type="dxa"/>
            <w:vAlign w:val="center"/>
          </w:tcPr>
          <w:p>
            <w:pPr>
              <w:pStyle w:val="11"/>
            </w:pPr>
            <w:r>
              <w:t>项目名称</w:t>
            </w:r>
          </w:p>
        </w:tc>
        <w:tc>
          <w:tcPr>
            <w:tcW w:w="6095" w:type="dxa"/>
            <w:gridSpan w:val="3"/>
            <w:vAlign w:val="center"/>
          </w:tcPr>
          <w:p>
            <w:pPr>
              <w:pStyle w:val="13"/>
            </w:pPr>
            <w:r>
              <w:t>农用地征收社保费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w:t>
            </w:r>
          </w:p>
        </w:tc>
        <w:tc>
          <w:tcPr>
            <w:tcW w:w="2835" w:type="dxa"/>
            <w:vAlign w:val="center"/>
          </w:tcPr>
          <w:p>
            <w:pPr>
              <w:pStyle w:val="11"/>
            </w:pPr>
            <w:r>
              <w:t>其中：财政    资金</w:t>
            </w:r>
          </w:p>
        </w:tc>
        <w:tc>
          <w:tcPr>
            <w:tcW w:w="2551" w:type="dxa"/>
            <w:vAlign w:val="center"/>
          </w:tcPr>
          <w:p>
            <w:pPr>
              <w:pStyle w:val="13"/>
            </w:pPr>
            <w:r>
              <w:t>1200.00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用于支付被征地农民社保费。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1.完成我县农用地转用征收工作，满足被征地农户社保费用，保障被征地农民长远生计。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土地征收批次</w:t>
            </w:r>
          </w:p>
        </w:tc>
        <w:tc>
          <w:tcPr>
            <w:tcW w:w="5386" w:type="dxa"/>
            <w:vAlign w:val="center"/>
          </w:tcPr>
          <w:p>
            <w:pPr>
              <w:pStyle w:val="13"/>
            </w:pPr>
            <w:r>
              <w:t>完成我县农用地专用征收批次数</w:t>
            </w:r>
          </w:p>
        </w:tc>
        <w:tc>
          <w:tcPr>
            <w:tcW w:w="2268" w:type="dxa"/>
            <w:vAlign w:val="center"/>
          </w:tcPr>
          <w:p>
            <w:pPr>
              <w:pStyle w:val="13"/>
            </w:pPr>
            <w:r>
              <w:t>20批次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交纳完成率</w:t>
            </w:r>
          </w:p>
        </w:tc>
        <w:tc>
          <w:tcPr>
            <w:tcW w:w="5386" w:type="dxa"/>
            <w:vAlign w:val="center"/>
          </w:tcPr>
          <w:p>
            <w:pPr>
              <w:pStyle w:val="13"/>
            </w:pPr>
            <w:r>
              <w:t>实际交纳社保费占应交纳社保费的比率</w:t>
            </w:r>
          </w:p>
        </w:tc>
        <w:tc>
          <w:tcPr>
            <w:tcW w:w="2268" w:type="dxa"/>
            <w:vAlign w:val="center"/>
          </w:tcPr>
          <w:p>
            <w:pPr>
              <w:pStyle w:val="13"/>
            </w:pPr>
            <w:r>
              <w:t>100%</w:t>
            </w:r>
          </w:p>
        </w:tc>
        <w:tc>
          <w:tcPr>
            <w:tcW w:w="1276" w:type="dxa"/>
            <w:vAlign w:val="center"/>
          </w:tcPr>
          <w:p>
            <w:pPr>
              <w:pStyle w:val="13"/>
            </w:pPr>
            <w:r>
              <w:t>资金交纳回执单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按照组卷报批程序每批次及时完成社保费交纳</w:t>
            </w:r>
          </w:p>
        </w:tc>
        <w:tc>
          <w:tcPr>
            <w:tcW w:w="2268" w:type="dxa"/>
            <w:vAlign w:val="center"/>
          </w:tcPr>
          <w:p>
            <w:pPr>
              <w:pStyle w:val="13"/>
            </w:pPr>
            <w:r>
              <w:t>≤30天</w:t>
            </w:r>
          </w:p>
        </w:tc>
        <w:tc>
          <w:tcPr>
            <w:tcW w:w="1276" w:type="dxa"/>
            <w:vAlign w:val="center"/>
          </w:tcPr>
          <w:p>
            <w:pPr>
              <w:pStyle w:val="13"/>
            </w:pPr>
            <w:r>
              <w:t>资金交纳回执单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资金总额</w:t>
            </w:r>
          </w:p>
        </w:tc>
        <w:tc>
          <w:tcPr>
            <w:tcW w:w="5386" w:type="dxa"/>
            <w:vAlign w:val="center"/>
          </w:tcPr>
          <w:p>
            <w:pPr>
              <w:pStyle w:val="13"/>
            </w:pPr>
            <w:r>
              <w:t>实际上交社保费资金总额</w:t>
            </w:r>
          </w:p>
        </w:tc>
        <w:tc>
          <w:tcPr>
            <w:tcW w:w="2268" w:type="dxa"/>
            <w:vAlign w:val="center"/>
          </w:tcPr>
          <w:p>
            <w:pPr>
              <w:pStyle w:val="13"/>
            </w:pPr>
            <w:r>
              <w:t>1500万元</w:t>
            </w:r>
          </w:p>
        </w:tc>
        <w:tc>
          <w:tcPr>
            <w:tcW w:w="1276" w:type="dxa"/>
            <w:vAlign w:val="center"/>
          </w:tcPr>
          <w:p>
            <w:pPr>
              <w:pStyle w:val="13"/>
            </w:pPr>
            <w:r>
              <w:t>项目测算表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保障农民切身利益</w:t>
            </w:r>
          </w:p>
        </w:tc>
        <w:tc>
          <w:tcPr>
            <w:tcW w:w="5386" w:type="dxa"/>
            <w:vAlign w:val="center"/>
          </w:tcPr>
          <w:p>
            <w:pPr>
              <w:pStyle w:val="13"/>
            </w:pPr>
            <w:r>
              <w:t>保障被征地农民的切身利益，使建设项目顺利推进和社会稳定</w:t>
            </w:r>
          </w:p>
        </w:tc>
        <w:tc>
          <w:tcPr>
            <w:tcW w:w="2268" w:type="dxa"/>
            <w:vAlign w:val="center"/>
          </w:tcPr>
          <w:p>
            <w:pPr>
              <w:pStyle w:val="13"/>
            </w:pPr>
            <w:r>
              <w:t>≥90%</w:t>
            </w:r>
          </w:p>
        </w:tc>
        <w:tc>
          <w:tcPr>
            <w:tcW w:w="1276" w:type="dxa"/>
            <w:vAlign w:val="center"/>
          </w:tcPr>
          <w:p>
            <w:pPr>
              <w:pStyle w:val="13"/>
            </w:pPr>
            <w:r>
              <w:t>关于规范被征地社保管理的通知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保障被征地农民的长远生计</w:t>
            </w:r>
          </w:p>
        </w:tc>
        <w:tc>
          <w:tcPr>
            <w:tcW w:w="5386" w:type="dxa"/>
            <w:vAlign w:val="center"/>
          </w:tcPr>
          <w:p>
            <w:pPr>
              <w:pStyle w:val="13"/>
            </w:pPr>
            <w:r>
              <w:t>坚持以人民为中心的发展思想，切实保障被征地农民的长远生计，大大减轻农民负担</w:t>
            </w:r>
          </w:p>
        </w:tc>
        <w:tc>
          <w:tcPr>
            <w:tcW w:w="2268" w:type="dxa"/>
            <w:vAlign w:val="center"/>
          </w:tcPr>
          <w:p>
            <w:pPr>
              <w:pStyle w:val="13"/>
            </w:pPr>
            <w:r>
              <w:t>≥90%</w:t>
            </w:r>
          </w:p>
        </w:tc>
        <w:tc>
          <w:tcPr>
            <w:tcW w:w="1276" w:type="dxa"/>
            <w:vAlign w:val="center"/>
          </w:tcPr>
          <w:p>
            <w:pPr>
              <w:pStyle w:val="13"/>
            </w:pPr>
            <w:r>
              <w:t>关于规范被征地社保管理的通知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5386" w:type="dxa"/>
            <w:vAlign w:val="center"/>
          </w:tcPr>
          <w:p>
            <w:pPr>
              <w:pStyle w:val="13"/>
            </w:pPr>
            <w:r>
              <w:t>被征地农民对缴纳社保费的满意度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9、全面推行林长制工作宣传发动及测绘工作项目资金绩效目标表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13043325P000008100018</w:t>
            </w:r>
          </w:p>
        </w:tc>
        <w:tc>
          <w:tcPr>
            <w:tcW w:w="2835" w:type="dxa"/>
            <w:vAlign w:val="center"/>
          </w:tcPr>
          <w:p>
            <w:pPr>
              <w:pStyle w:val="11"/>
            </w:pPr>
            <w:r>
              <w:t>项目名称</w:t>
            </w:r>
          </w:p>
        </w:tc>
        <w:tc>
          <w:tcPr>
            <w:tcW w:w="6095" w:type="dxa"/>
            <w:gridSpan w:val="3"/>
            <w:vAlign w:val="center"/>
          </w:tcPr>
          <w:p>
            <w:pPr>
              <w:pStyle w:val="13"/>
            </w:pPr>
            <w:r>
              <w:t>全面推行林长制工作宣传发动及测绘工作项目资金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用于支付林长制工作经费及林业卫片测绘费。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1.根据中央、省、市要求，巩固我县“省级林长制改革示范点”工作，并通过省对县、市对县季度、年度上级考核。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工作数量</w:t>
            </w:r>
          </w:p>
        </w:tc>
        <w:tc>
          <w:tcPr>
            <w:tcW w:w="5386" w:type="dxa"/>
            <w:vAlign w:val="center"/>
          </w:tcPr>
          <w:p>
            <w:pPr>
              <w:pStyle w:val="13"/>
            </w:pPr>
            <w:r>
              <w:t>林长制工作宣传数量</w:t>
            </w:r>
          </w:p>
        </w:tc>
        <w:tc>
          <w:tcPr>
            <w:tcW w:w="2268" w:type="dxa"/>
            <w:vAlign w:val="center"/>
          </w:tcPr>
          <w:p>
            <w:pPr>
              <w:pStyle w:val="13"/>
            </w:pPr>
            <w:r>
              <w:t>≥9项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实际完成考核任务占应完成考核任务的比例</w:t>
            </w:r>
          </w:p>
        </w:tc>
        <w:tc>
          <w:tcPr>
            <w:tcW w:w="2268" w:type="dxa"/>
            <w:vAlign w:val="center"/>
          </w:tcPr>
          <w:p>
            <w:pPr>
              <w:pStyle w:val="13"/>
            </w:pPr>
            <w:r>
              <w:t>100%</w:t>
            </w:r>
          </w:p>
        </w:tc>
        <w:tc>
          <w:tcPr>
            <w:tcW w:w="1276" w:type="dxa"/>
            <w:vAlign w:val="center"/>
          </w:tcPr>
          <w:p>
            <w:pPr>
              <w:pStyle w:val="13"/>
            </w:pPr>
            <w:r>
              <w:t>邯林长办字〔2022〕8号）、工作计划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按照省市林长制考核实施方案按时完成。</w:t>
            </w:r>
          </w:p>
        </w:tc>
        <w:tc>
          <w:tcPr>
            <w:tcW w:w="2268" w:type="dxa"/>
            <w:vAlign w:val="center"/>
          </w:tcPr>
          <w:p>
            <w:pPr>
              <w:pStyle w:val="13"/>
            </w:pPr>
            <w:r>
              <w:t>≤1年</w:t>
            </w:r>
          </w:p>
        </w:tc>
        <w:tc>
          <w:tcPr>
            <w:tcW w:w="1276" w:type="dxa"/>
            <w:vAlign w:val="center"/>
          </w:tcPr>
          <w:p>
            <w:pPr>
              <w:pStyle w:val="13"/>
            </w:pPr>
            <w:r>
              <w:t>（邯林长办字〔2022〕8号）、工作计划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完成林长制运行所需资金总额</w:t>
            </w:r>
          </w:p>
        </w:tc>
        <w:tc>
          <w:tcPr>
            <w:tcW w:w="2268" w:type="dxa"/>
            <w:vAlign w:val="center"/>
          </w:tcPr>
          <w:p>
            <w:pPr>
              <w:pStyle w:val="13"/>
            </w:pPr>
            <w:r>
              <w:t>10万元</w:t>
            </w:r>
          </w:p>
        </w:tc>
        <w:tc>
          <w:tcPr>
            <w:tcW w:w="1276" w:type="dxa"/>
            <w:vAlign w:val="center"/>
          </w:tcPr>
          <w:p>
            <w:pPr>
              <w:pStyle w:val="13"/>
            </w:pPr>
            <w:r>
              <w:t>项目测算表、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提升林业资源生态、经济和社会功能</w:t>
            </w:r>
          </w:p>
        </w:tc>
        <w:tc>
          <w:tcPr>
            <w:tcW w:w="5386" w:type="dxa"/>
            <w:vAlign w:val="center"/>
          </w:tcPr>
          <w:p>
            <w:pPr>
              <w:pStyle w:val="13"/>
            </w:pPr>
            <w:r>
              <w:t>完善生态产业化、产业生态化的生态产品价值实现机制，提升林长制改革效益。</w:t>
            </w:r>
          </w:p>
        </w:tc>
        <w:tc>
          <w:tcPr>
            <w:tcW w:w="2268" w:type="dxa"/>
            <w:vAlign w:val="center"/>
          </w:tcPr>
          <w:p>
            <w:pPr>
              <w:pStyle w:val="13"/>
            </w:pPr>
            <w:r>
              <w:t>≥85%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实现长治长效可持续发展</w:t>
            </w:r>
          </w:p>
        </w:tc>
        <w:tc>
          <w:tcPr>
            <w:tcW w:w="5386" w:type="dxa"/>
            <w:vAlign w:val="center"/>
          </w:tcPr>
          <w:p>
            <w:pPr>
              <w:pStyle w:val="13"/>
            </w:pPr>
            <w:r>
              <w:t>实现长治长效可持续发展，提高广大群众植绿护绿爱绿兴绿意识，共同守护好、利用好咸宁绿水青山。</w:t>
            </w:r>
          </w:p>
          <w:p>
            <w:pPr>
              <w:pStyle w:val="13"/>
            </w:pPr>
          </w:p>
          <w:p>
            <w:pPr>
              <w:pStyle w:val="13"/>
            </w:pPr>
          </w:p>
        </w:tc>
        <w:tc>
          <w:tcPr>
            <w:tcW w:w="2268" w:type="dxa"/>
            <w:vAlign w:val="center"/>
          </w:tcPr>
          <w:p>
            <w:pPr>
              <w:pStyle w:val="13"/>
            </w:pPr>
            <w:r>
              <w:t>≥80%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广大群众对林长制工作的满意度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10、森林植被恢复费安排支出项目资金绩效目标表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13043325P000009100060</w:t>
            </w:r>
          </w:p>
        </w:tc>
        <w:tc>
          <w:tcPr>
            <w:tcW w:w="2835" w:type="dxa"/>
            <w:vAlign w:val="center"/>
          </w:tcPr>
          <w:p>
            <w:pPr>
              <w:pStyle w:val="11"/>
            </w:pPr>
            <w:r>
              <w:t>项目名称</w:t>
            </w:r>
          </w:p>
        </w:tc>
        <w:tc>
          <w:tcPr>
            <w:tcW w:w="6095" w:type="dxa"/>
            <w:gridSpan w:val="3"/>
            <w:vAlign w:val="center"/>
          </w:tcPr>
          <w:p>
            <w:pPr>
              <w:pStyle w:val="13"/>
            </w:pPr>
            <w:r>
              <w:t>森林植被恢复费安排支出项目资金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用于林业主管部门在林地被项目或工程占用后，组织再造林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1.用于林业主管部门在林地被项目或工程占用后，组织再造林，保护森林资源，改善生态环境，促进林业可持续发展。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造林面积</w:t>
            </w:r>
          </w:p>
        </w:tc>
        <w:tc>
          <w:tcPr>
            <w:tcW w:w="5386" w:type="dxa"/>
            <w:vAlign w:val="center"/>
          </w:tcPr>
          <w:p>
            <w:pPr>
              <w:pStyle w:val="13"/>
            </w:pPr>
            <w:r>
              <w:t>当年实际占用林地面积</w:t>
            </w:r>
          </w:p>
        </w:tc>
        <w:tc>
          <w:tcPr>
            <w:tcW w:w="2268" w:type="dxa"/>
            <w:vAlign w:val="center"/>
          </w:tcPr>
          <w:p>
            <w:pPr>
              <w:pStyle w:val="13"/>
            </w:pPr>
            <w:r>
              <w:t>≥30亩</w:t>
            </w:r>
          </w:p>
        </w:tc>
        <w:tc>
          <w:tcPr>
            <w:tcW w:w="1276" w:type="dxa"/>
            <w:vAlign w:val="center"/>
          </w:tcPr>
          <w:p>
            <w:pPr>
              <w:pStyle w:val="13"/>
            </w:pPr>
            <w:r>
              <w:t>林长制工作计划、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实际占用的林地占恢复绿化达到森林抚育质量合格的比率</w:t>
            </w:r>
          </w:p>
        </w:tc>
        <w:tc>
          <w:tcPr>
            <w:tcW w:w="2268" w:type="dxa"/>
            <w:vAlign w:val="center"/>
          </w:tcPr>
          <w:p>
            <w:pPr>
              <w:pStyle w:val="13"/>
            </w:pPr>
            <w:r>
              <w:t>100%</w:t>
            </w:r>
          </w:p>
        </w:tc>
        <w:tc>
          <w:tcPr>
            <w:tcW w:w="1276" w:type="dxa"/>
            <w:vAlign w:val="center"/>
          </w:tcPr>
          <w:p>
            <w:pPr>
              <w:pStyle w:val="13"/>
            </w:pPr>
            <w:r>
              <w:t>林长制工作计划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按照工作计划及时完成组织再造林任务。</w:t>
            </w:r>
          </w:p>
        </w:tc>
        <w:tc>
          <w:tcPr>
            <w:tcW w:w="2268" w:type="dxa"/>
            <w:vAlign w:val="center"/>
          </w:tcPr>
          <w:p>
            <w:pPr>
              <w:pStyle w:val="13"/>
            </w:pPr>
            <w:r>
              <w:t>≤1年</w:t>
            </w:r>
          </w:p>
        </w:tc>
        <w:tc>
          <w:tcPr>
            <w:tcW w:w="1276" w:type="dxa"/>
            <w:vAlign w:val="center"/>
          </w:tcPr>
          <w:p>
            <w:pPr>
              <w:pStyle w:val="13"/>
            </w:pPr>
            <w:r>
              <w:t>林长制工作计划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林地被项目或工程占用实际使用资金成本</w:t>
            </w:r>
          </w:p>
        </w:tc>
        <w:tc>
          <w:tcPr>
            <w:tcW w:w="2268" w:type="dxa"/>
            <w:vAlign w:val="center"/>
          </w:tcPr>
          <w:p>
            <w:pPr>
              <w:pStyle w:val="13"/>
            </w:pPr>
            <w:r>
              <w:t>30万元</w:t>
            </w:r>
          </w:p>
        </w:tc>
        <w:tc>
          <w:tcPr>
            <w:tcW w:w="1276" w:type="dxa"/>
            <w:vAlign w:val="center"/>
          </w:tcPr>
          <w:p>
            <w:pPr>
              <w:pStyle w:val="13"/>
            </w:pPr>
            <w:r>
              <w:t>项目测算表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改善生态环境</w:t>
            </w:r>
          </w:p>
        </w:tc>
        <w:tc>
          <w:tcPr>
            <w:tcW w:w="5386" w:type="dxa"/>
            <w:vAlign w:val="center"/>
          </w:tcPr>
          <w:p>
            <w:pPr>
              <w:pStyle w:val="13"/>
            </w:pPr>
            <w:r>
              <w:t>控制林地保有率，调节气候，改善生态环境</w:t>
            </w:r>
          </w:p>
        </w:tc>
        <w:tc>
          <w:tcPr>
            <w:tcW w:w="2268" w:type="dxa"/>
            <w:vAlign w:val="center"/>
          </w:tcPr>
          <w:p>
            <w:pPr>
              <w:pStyle w:val="13"/>
            </w:pPr>
            <w:r>
              <w:t>≥85%</w:t>
            </w:r>
          </w:p>
        </w:tc>
        <w:tc>
          <w:tcPr>
            <w:tcW w:w="1276" w:type="dxa"/>
            <w:vAlign w:val="center"/>
          </w:tcPr>
          <w:p>
            <w:pPr>
              <w:pStyle w:val="13"/>
            </w:pPr>
            <w:r>
              <w:t>林长制工作计划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促进林业可持续发展</w:t>
            </w:r>
          </w:p>
        </w:tc>
        <w:tc>
          <w:tcPr>
            <w:tcW w:w="5386" w:type="dxa"/>
            <w:vAlign w:val="center"/>
          </w:tcPr>
          <w:p>
            <w:pPr>
              <w:pStyle w:val="13"/>
            </w:pPr>
            <w:r>
              <w:t>符合林地长期发展要求，促进林业可持续发展</w:t>
            </w:r>
          </w:p>
        </w:tc>
        <w:tc>
          <w:tcPr>
            <w:tcW w:w="2268" w:type="dxa"/>
            <w:vAlign w:val="center"/>
          </w:tcPr>
          <w:p>
            <w:pPr>
              <w:pStyle w:val="13"/>
            </w:pPr>
            <w:r>
              <w:t>≥80%</w:t>
            </w:r>
          </w:p>
        </w:tc>
        <w:tc>
          <w:tcPr>
            <w:tcW w:w="1276" w:type="dxa"/>
            <w:vAlign w:val="center"/>
          </w:tcPr>
          <w:p>
            <w:pPr>
              <w:pStyle w:val="13"/>
            </w:pPr>
            <w:r>
              <w:t>林长制工作计划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广大群众对造林绿化满意程度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11、泰岳楼北侧绿化占地补偿资金绩效目标表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13043325P000012100021</w:t>
            </w:r>
          </w:p>
        </w:tc>
        <w:tc>
          <w:tcPr>
            <w:tcW w:w="2835" w:type="dxa"/>
            <w:vAlign w:val="center"/>
          </w:tcPr>
          <w:p>
            <w:pPr>
              <w:pStyle w:val="11"/>
            </w:pPr>
            <w:r>
              <w:t>项目名称</w:t>
            </w:r>
          </w:p>
        </w:tc>
        <w:tc>
          <w:tcPr>
            <w:tcW w:w="6095" w:type="dxa"/>
            <w:gridSpan w:val="3"/>
            <w:vAlign w:val="center"/>
          </w:tcPr>
          <w:p>
            <w:pPr>
              <w:pStyle w:val="13"/>
            </w:pPr>
            <w:r>
              <w:t>泰岳楼北侧绿化占地补偿资金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6.45</w:t>
            </w:r>
          </w:p>
        </w:tc>
        <w:tc>
          <w:tcPr>
            <w:tcW w:w="2835" w:type="dxa"/>
            <w:vAlign w:val="center"/>
          </w:tcPr>
          <w:p>
            <w:pPr>
              <w:pStyle w:val="11"/>
            </w:pPr>
            <w:r>
              <w:t>其中：财政    资金</w:t>
            </w:r>
          </w:p>
        </w:tc>
        <w:tc>
          <w:tcPr>
            <w:tcW w:w="2551" w:type="dxa"/>
            <w:vAlign w:val="center"/>
          </w:tcPr>
          <w:p>
            <w:pPr>
              <w:pStyle w:val="13"/>
            </w:pPr>
            <w:r>
              <w:t>6.45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用于支付泰岳楼北侧绿化占地租金。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1.用于支付泰岳楼北侧绿化占地租金，对城区裸土落地播撒草籽，进行地被绿化，有效抑制扬尘污染，增加县城绿化面积。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占地亩数</w:t>
            </w:r>
          </w:p>
        </w:tc>
        <w:tc>
          <w:tcPr>
            <w:tcW w:w="5386" w:type="dxa"/>
            <w:vAlign w:val="center"/>
          </w:tcPr>
          <w:p>
            <w:pPr>
              <w:pStyle w:val="13"/>
            </w:pPr>
            <w:r>
              <w:t>绿化占地亩数</w:t>
            </w:r>
          </w:p>
        </w:tc>
        <w:tc>
          <w:tcPr>
            <w:tcW w:w="2268" w:type="dxa"/>
            <w:vAlign w:val="center"/>
          </w:tcPr>
          <w:p>
            <w:pPr>
              <w:pStyle w:val="13"/>
            </w:pPr>
            <w:r>
              <w:t>128.94亩</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成活率</w:t>
            </w:r>
          </w:p>
        </w:tc>
        <w:tc>
          <w:tcPr>
            <w:tcW w:w="5386" w:type="dxa"/>
            <w:vAlign w:val="center"/>
          </w:tcPr>
          <w:p>
            <w:pPr>
              <w:pStyle w:val="13"/>
            </w:pPr>
            <w:r>
              <w:t>占地绿化树苗成活率占实际占地树苗成活的比例</w:t>
            </w:r>
          </w:p>
        </w:tc>
        <w:tc>
          <w:tcPr>
            <w:tcW w:w="2268" w:type="dxa"/>
            <w:vAlign w:val="center"/>
          </w:tcPr>
          <w:p>
            <w:pPr>
              <w:pStyle w:val="13"/>
            </w:pPr>
            <w:r>
              <w:t>≥90%</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完成实施绿化按时兑付租金</w:t>
            </w:r>
          </w:p>
        </w:tc>
        <w:tc>
          <w:tcPr>
            <w:tcW w:w="2268" w:type="dxa"/>
            <w:vAlign w:val="center"/>
          </w:tcPr>
          <w:p>
            <w:pPr>
              <w:pStyle w:val="13"/>
            </w:pPr>
            <w:r>
              <w:t>≤1年</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占地补偿资金</w:t>
            </w:r>
          </w:p>
        </w:tc>
        <w:tc>
          <w:tcPr>
            <w:tcW w:w="5386" w:type="dxa"/>
            <w:vAlign w:val="center"/>
          </w:tcPr>
          <w:p>
            <w:pPr>
              <w:pStyle w:val="13"/>
            </w:pPr>
            <w:r>
              <w:t>每年支付绿化占地补偿资金的总额</w:t>
            </w:r>
          </w:p>
        </w:tc>
        <w:tc>
          <w:tcPr>
            <w:tcW w:w="2268" w:type="dxa"/>
            <w:vAlign w:val="center"/>
          </w:tcPr>
          <w:p>
            <w:pPr>
              <w:pStyle w:val="13"/>
            </w:pPr>
            <w:r>
              <w:t>6.45万元</w:t>
            </w:r>
          </w:p>
        </w:tc>
        <w:tc>
          <w:tcPr>
            <w:tcW w:w="1276" w:type="dxa"/>
            <w:vAlign w:val="center"/>
          </w:tcPr>
          <w:p>
            <w:pPr>
              <w:pStyle w:val="13"/>
            </w:pPr>
            <w:r>
              <w:t>领导批示、合同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抑制扬尘污染</w:t>
            </w:r>
          </w:p>
        </w:tc>
        <w:tc>
          <w:tcPr>
            <w:tcW w:w="5386" w:type="dxa"/>
            <w:vAlign w:val="center"/>
          </w:tcPr>
          <w:p>
            <w:pPr>
              <w:pStyle w:val="13"/>
            </w:pPr>
            <w:r>
              <w:t>对城区裸土落地播撒草籽，进行地被绿化，有效抑制扬尘污染。</w:t>
            </w:r>
          </w:p>
        </w:tc>
        <w:tc>
          <w:tcPr>
            <w:tcW w:w="2268" w:type="dxa"/>
            <w:vAlign w:val="center"/>
          </w:tcPr>
          <w:p>
            <w:pPr>
              <w:pStyle w:val="13"/>
            </w:pPr>
            <w:r>
              <w:t>≥80%</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改变城区形象</w:t>
            </w:r>
          </w:p>
        </w:tc>
        <w:tc>
          <w:tcPr>
            <w:tcW w:w="5386" w:type="dxa"/>
            <w:vAlign w:val="center"/>
          </w:tcPr>
          <w:p>
            <w:pPr>
              <w:pStyle w:val="13"/>
            </w:pPr>
            <w:r>
              <w:t>对城区闲散地块进行租地绿化可尽快改变形象、提升效果</w:t>
            </w:r>
          </w:p>
        </w:tc>
        <w:tc>
          <w:tcPr>
            <w:tcW w:w="2268" w:type="dxa"/>
            <w:vAlign w:val="center"/>
          </w:tcPr>
          <w:p>
            <w:pPr>
              <w:pStyle w:val="13"/>
            </w:pPr>
            <w:r>
              <w:t>≥85%</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群众对闲散地块绿化的满意度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12、土地征收成片开发方案服务项目资金绩效目标表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13043325P000036100078</w:t>
            </w:r>
          </w:p>
        </w:tc>
        <w:tc>
          <w:tcPr>
            <w:tcW w:w="2835" w:type="dxa"/>
            <w:vAlign w:val="center"/>
          </w:tcPr>
          <w:p>
            <w:pPr>
              <w:pStyle w:val="11"/>
            </w:pPr>
            <w:r>
              <w:t>项目名称</w:t>
            </w:r>
          </w:p>
        </w:tc>
        <w:tc>
          <w:tcPr>
            <w:tcW w:w="6095" w:type="dxa"/>
            <w:gridSpan w:val="3"/>
            <w:vAlign w:val="center"/>
          </w:tcPr>
          <w:p>
            <w:pPr>
              <w:pStyle w:val="13"/>
            </w:pPr>
            <w:r>
              <w:t>土地征收成片开发方案服务项目资金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96.68</w:t>
            </w:r>
          </w:p>
        </w:tc>
        <w:tc>
          <w:tcPr>
            <w:tcW w:w="2835" w:type="dxa"/>
            <w:vAlign w:val="center"/>
          </w:tcPr>
          <w:p>
            <w:pPr>
              <w:pStyle w:val="11"/>
            </w:pPr>
            <w:r>
              <w:t>其中：财政    资金</w:t>
            </w:r>
          </w:p>
        </w:tc>
        <w:tc>
          <w:tcPr>
            <w:tcW w:w="2551" w:type="dxa"/>
            <w:vAlign w:val="center"/>
          </w:tcPr>
          <w:p>
            <w:pPr>
              <w:pStyle w:val="13"/>
            </w:pPr>
            <w:r>
              <w:t>96.68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用于土地征收成片开发方案的编制费。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1.用于土地征收成片开发方案的编制，完成我县农用地转用征收组卷报批工作，为我县经济发展提供支撑。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征收面积</w:t>
            </w:r>
          </w:p>
        </w:tc>
        <w:tc>
          <w:tcPr>
            <w:tcW w:w="5386" w:type="dxa"/>
            <w:vAlign w:val="center"/>
          </w:tcPr>
          <w:p>
            <w:pPr>
              <w:pStyle w:val="13"/>
            </w:pPr>
            <w:r>
              <w:t>完成我县农用地转用征收面积</w:t>
            </w:r>
          </w:p>
        </w:tc>
        <w:tc>
          <w:tcPr>
            <w:tcW w:w="2268" w:type="dxa"/>
            <w:vAlign w:val="center"/>
          </w:tcPr>
          <w:p>
            <w:pPr>
              <w:pStyle w:val="13"/>
            </w:pPr>
            <w:r>
              <w:t>40公顷</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通过率</w:t>
            </w:r>
          </w:p>
        </w:tc>
        <w:tc>
          <w:tcPr>
            <w:tcW w:w="5386" w:type="dxa"/>
            <w:vAlign w:val="center"/>
          </w:tcPr>
          <w:p>
            <w:pPr>
              <w:pStyle w:val="13"/>
            </w:pPr>
            <w:r>
              <w:t>实际完成方案通过率占应完成通过的比例</w:t>
            </w:r>
          </w:p>
        </w:tc>
        <w:tc>
          <w:tcPr>
            <w:tcW w:w="2268" w:type="dxa"/>
            <w:vAlign w:val="center"/>
          </w:tcPr>
          <w:p>
            <w:pPr>
              <w:pStyle w:val="13"/>
            </w:pPr>
            <w:r>
              <w:t>100%</w:t>
            </w:r>
          </w:p>
        </w:tc>
        <w:tc>
          <w:tcPr>
            <w:tcW w:w="1276" w:type="dxa"/>
            <w:vAlign w:val="center"/>
          </w:tcPr>
          <w:p>
            <w:pPr>
              <w:pStyle w:val="13"/>
            </w:pPr>
            <w:r>
              <w:t>邯自然资规发[2021]30号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按照组卷报批进度及时完成</w:t>
            </w:r>
          </w:p>
        </w:tc>
        <w:tc>
          <w:tcPr>
            <w:tcW w:w="2268" w:type="dxa"/>
            <w:vAlign w:val="center"/>
          </w:tcPr>
          <w:p>
            <w:pPr>
              <w:pStyle w:val="13"/>
            </w:pPr>
            <w:r>
              <w:t>100%</w:t>
            </w:r>
          </w:p>
        </w:tc>
        <w:tc>
          <w:tcPr>
            <w:tcW w:w="1276" w:type="dxa"/>
            <w:vAlign w:val="center"/>
          </w:tcPr>
          <w:p>
            <w:pPr>
              <w:pStyle w:val="13"/>
            </w:pPr>
            <w:r>
              <w:t>邯自然资规发[2021]30号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委托第三方所需成本</w:t>
            </w:r>
          </w:p>
        </w:tc>
        <w:tc>
          <w:tcPr>
            <w:tcW w:w="2268" w:type="dxa"/>
            <w:vAlign w:val="center"/>
          </w:tcPr>
          <w:p>
            <w:pPr>
              <w:pStyle w:val="13"/>
            </w:pPr>
            <w:r>
              <w:t>96.68万元</w:t>
            </w:r>
          </w:p>
        </w:tc>
        <w:tc>
          <w:tcPr>
            <w:tcW w:w="1276" w:type="dxa"/>
            <w:vAlign w:val="center"/>
          </w:tcPr>
          <w:p>
            <w:pPr>
              <w:pStyle w:val="13"/>
            </w:pPr>
            <w:r>
              <w:t>绩效评估报告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提供经济发展保障</w:t>
            </w:r>
          </w:p>
        </w:tc>
        <w:tc>
          <w:tcPr>
            <w:tcW w:w="5386" w:type="dxa"/>
            <w:vAlign w:val="center"/>
          </w:tcPr>
          <w:p>
            <w:pPr>
              <w:pStyle w:val="13"/>
            </w:pPr>
            <w:r>
              <w:t>通过土地征收，为馆陶县建设储存后备力量与经济发展保障。</w:t>
            </w:r>
          </w:p>
        </w:tc>
        <w:tc>
          <w:tcPr>
            <w:tcW w:w="2268" w:type="dxa"/>
            <w:vAlign w:val="center"/>
          </w:tcPr>
          <w:p>
            <w:pPr>
              <w:pStyle w:val="13"/>
            </w:pPr>
            <w:r>
              <w:t>≥90%</w:t>
            </w:r>
          </w:p>
        </w:tc>
        <w:tc>
          <w:tcPr>
            <w:tcW w:w="1276" w:type="dxa"/>
            <w:vAlign w:val="center"/>
          </w:tcPr>
          <w:p>
            <w:pPr>
              <w:pStyle w:val="13"/>
            </w:pPr>
            <w:r>
              <w:t>绩效评估报告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提高土地资源配置效率</w:t>
            </w:r>
          </w:p>
        </w:tc>
        <w:tc>
          <w:tcPr>
            <w:tcW w:w="5386" w:type="dxa"/>
            <w:vAlign w:val="center"/>
          </w:tcPr>
          <w:p>
            <w:pPr>
              <w:pStyle w:val="13"/>
            </w:pPr>
            <w:r>
              <w:t>通过方案的实施，能够真正实现统一规划，提高土地资源配置效率。</w:t>
            </w:r>
          </w:p>
        </w:tc>
        <w:tc>
          <w:tcPr>
            <w:tcW w:w="2268" w:type="dxa"/>
            <w:vAlign w:val="center"/>
          </w:tcPr>
          <w:p>
            <w:pPr>
              <w:pStyle w:val="13"/>
            </w:pPr>
            <w:r>
              <w:t>≥90%</w:t>
            </w:r>
          </w:p>
        </w:tc>
        <w:tc>
          <w:tcPr>
            <w:tcW w:w="1276" w:type="dxa"/>
            <w:vAlign w:val="center"/>
          </w:tcPr>
          <w:p>
            <w:pPr>
              <w:pStyle w:val="13"/>
            </w:pPr>
            <w:r>
              <w:t>绩效评估报告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5386" w:type="dxa"/>
            <w:vAlign w:val="center"/>
          </w:tcPr>
          <w:p>
            <w:pPr>
              <w:pStyle w:val="13"/>
            </w:pPr>
            <w:r>
              <w:t>被征收土地农民的满意程度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13、自然资源节约集约示范县创建项目资金绩效目标表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13043325P00003110005L</w:t>
            </w:r>
          </w:p>
        </w:tc>
        <w:tc>
          <w:tcPr>
            <w:tcW w:w="2835" w:type="dxa"/>
            <w:vAlign w:val="center"/>
          </w:tcPr>
          <w:p>
            <w:pPr>
              <w:pStyle w:val="11"/>
            </w:pPr>
            <w:r>
              <w:t>项目名称</w:t>
            </w:r>
          </w:p>
        </w:tc>
        <w:tc>
          <w:tcPr>
            <w:tcW w:w="6095" w:type="dxa"/>
            <w:gridSpan w:val="3"/>
            <w:vAlign w:val="center"/>
          </w:tcPr>
          <w:p>
            <w:pPr>
              <w:pStyle w:val="13"/>
            </w:pPr>
            <w:r>
              <w:t>自然资源节约集约示范县创建项目资金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79.50</w:t>
            </w:r>
          </w:p>
        </w:tc>
        <w:tc>
          <w:tcPr>
            <w:tcW w:w="2835" w:type="dxa"/>
            <w:vAlign w:val="center"/>
          </w:tcPr>
          <w:p>
            <w:pPr>
              <w:pStyle w:val="11"/>
            </w:pPr>
            <w:r>
              <w:t>其中：财政    资金</w:t>
            </w:r>
          </w:p>
        </w:tc>
        <w:tc>
          <w:tcPr>
            <w:tcW w:w="2551" w:type="dxa"/>
            <w:vAlign w:val="center"/>
          </w:tcPr>
          <w:p>
            <w:pPr>
              <w:pStyle w:val="13"/>
            </w:pPr>
            <w:r>
              <w:t>79.50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用于申报全国自然资源节约集约示范县。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1.用于申报全国自然资源节约集约示范县，达到中期评估和期末总结等相关要求，成功得到国家对我县的批复。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服务内容数量</w:t>
            </w:r>
          </w:p>
        </w:tc>
        <w:tc>
          <w:tcPr>
            <w:tcW w:w="5386" w:type="dxa"/>
            <w:vAlign w:val="center"/>
          </w:tcPr>
          <w:p>
            <w:pPr>
              <w:pStyle w:val="13"/>
            </w:pPr>
            <w:r>
              <w:t>申报基础数据相关服务数量</w:t>
            </w:r>
          </w:p>
        </w:tc>
        <w:tc>
          <w:tcPr>
            <w:tcW w:w="2268" w:type="dxa"/>
            <w:vAlign w:val="center"/>
          </w:tcPr>
          <w:p>
            <w:pPr>
              <w:pStyle w:val="13"/>
            </w:pPr>
            <w:r>
              <w:t>5项</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申报通过率</w:t>
            </w:r>
          </w:p>
        </w:tc>
        <w:tc>
          <w:tcPr>
            <w:tcW w:w="5386" w:type="dxa"/>
            <w:vAlign w:val="center"/>
          </w:tcPr>
          <w:p>
            <w:pPr>
              <w:pStyle w:val="13"/>
            </w:pPr>
            <w:r>
              <w:t>实际申报通过率占应申报通过的比例</w:t>
            </w:r>
          </w:p>
        </w:tc>
        <w:tc>
          <w:tcPr>
            <w:tcW w:w="2268" w:type="dxa"/>
            <w:vAlign w:val="center"/>
          </w:tcPr>
          <w:p>
            <w:pPr>
              <w:pStyle w:val="13"/>
            </w:pPr>
            <w:r>
              <w:t>100%</w:t>
            </w:r>
          </w:p>
        </w:tc>
        <w:tc>
          <w:tcPr>
            <w:tcW w:w="1276" w:type="dxa"/>
            <w:vAlign w:val="center"/>
          </w:tcPr>
          <w:p>
            <w:pPr>
              <w:pStyle w:val="13"/>
            </w:pPr>
            <w:r>
              <w:t>冀自然资办发〔2022〕37号、项目合同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及时上报</w:t>
            </w:r>
          </w:p>
        </w:tc>
        <w:tc>
          <w:tcPr>
            <w:tcW w:w="5386" w:type="dxa"/>
            <w:vAlign w:val="center"/>
          </w:tcPr>
          <w:p>
            <w:pPr>
              <w:pStyle w:val="13"/>
            </w:pPr>
            <w:r>
              <w:t>及时上报自然资源节约集约示范县申报材料</w:t>
            </w:r>
          </w:p>
        </w:tc>
        <w:tc>
          <w:tcPr>
            <w:tcW w:w="2268" w:type="dxa"/>
            <w:vAlign w:val="center"/>
          </w:tcPr>
          <w:p>
            <w:pPr>
              <w:pStyle w:val="13"/>
            </w:pPr>
            <w:r>
              <w:t>≤60日</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申报该项目所需的资金总额</w:t>
            </w:r>
          </w:p>
        </w:tc>
        <w:tc>
          <w:tcPr>
            <w:tcW w:w="2268" w:type="dxa"/>
            <w:vAlign w:val="center"/>
          </w:tcPr>
          <w:p>
            <w:pPr>
              <w:pStyle w:val="13"/>
            </w:pPr>
            <w:r>
              <w:t>79.5万元</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提升土地资源承载能力</w:t>
            </w:r>
          </w:p>
        </w:tc>
        <w:tc>
          <w:tcPr>
            <w:tcW w:w="5386" w:type="dxa"/>
            <w:vAlign w:val="center"/>
          </w:tcPr>
          <w:p>
            <w:pPr>
              <w:pStyle w:val="13"/>
            </w:pPr>
            <w:r>
              <w:t>通过节约集约示范县项目实施，提升土地资源承载能力，为企业</w:t>
            </w:r>
            <w:r>
              <w:rPr>
                <w:rFonts w:hint="eastAsia"/>
              </w:rPr>
              <w:t>提质增效</w:t>
            </w:r>
            <w:r>
              <w:t>。</w:t>
            </w:r>
          </w:p>
        </w:tc>
        <w:tc>
          <w:tcPr>
            <w:tcW w:w="2268" w:type="dxa"/>
            <w:vAlign w:val="center"/>
          </w:tcPr>
          <w:p>
            <w:pPr>
              <w:pStyle w:val="13"/>
            </w:pPr>
            <w:r>
              <w:t>≥90%</w:t>
            </w:r>
          </w:p>
        </w:tc>
        <w:tc>
          <w:tcPr>
            <w:tcW w:w="1276" w:type="dxa"/>
            <w:vAlign w:val="center"/>
          </w:tcPr>
          <w:p>
            <w:pPr>
              <w:pStyle w:val="13"/>
            </w:pPr>
            <w:r>
              <w:t>冀自然资办发〔2022〕37号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优化土地利用</w:t>
            </w:r>
          </w:p>
        </w:tc>
        <w:tc>
          <w:tcPr>
            <w:tcW w:w="5386" w:type="dxa"/>
            <w:vAlign w:val="center"/>
          </w:tcPr>
          <w:p>
            <w:pPr>
              <w:pStyle w:val="13"/>
            </w:pPr>
            <w:r>
              <w:t>通过节约集约示范县项目实施，推动城乡统筹发展，优化土地利用格局，土地利用率明显提高</w:t>
            </w:r>
          </w:p>
        </w:tc>
        <w:tc>
          <w:tcPr>
            <w:tcW w:w="2268" w:type="dxa"/>
            <w:vAlign w:val="center"/>
          </w:tcPr>
          <w:p>
            <w:pPr>
              <w:pStyle w:val="13"/>
            </w:pPr>
            <w:r>
              <w:t>≥95%</w:t>
            </w:r>
          </w:p>
        </w:tc>
        <w:tc>
          <w:tcPr>
            <w:tcW w:w="1276" w:type="dxa"/>
            <w:vAlign w:val="center"/>
          </w:tcPr>
          <w:p>
            <w:pPr>
              <w:pStyle w:val="13"/>
            </w:pPr>
            <w:r>
              <w:t>冀自然资办发〔2022〕37号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社会公众对项目实施效果的满意度</w:t>
            </w:r>
          </w:p>
          <w:p>
            <w:pPr>
              <w:pStyle w:val="13"/>
            </w:pP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324馆陶县自然资源和规划局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w:t>
            </w:r>
          </w:p>
        </w:tc>
        <w:tc>
          <w:tcPr>
            <w:tcW w:w="964" w:type="dxa"/>
            <w:vAlign w:val="center"/>
          </w:tcPr>
          <w:p>
            <w:pPr>
              <w:pStyle w:val="16"/>
            </w:pPr>
            <w:r>
              <w:t>26.00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馆陶县自然资源和规划局本级小计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w:t>
            </w:r>
          </w:p>
        </w:tc>
        <w:tc>
          <w:tcPr>
            <w:tcW w:w="964" w:type="dxa"/>
            <w:vAlign w:val="center"/>
          </w:tcPr>
          <w:p>
            <w:pPr>
              <w:pStyle w:val="16"/>
            </w:pPr>
            <w:r>
              <w:t>26.00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0.40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0.15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扫描仪</w:t>
            </w:r>
          </w:p>
        </w:tc>
        <w:tc>
          <w:tcPr>
            <w:tcW w:w="1134" w:type="dxa"/>
            <w:vAlign w:val="center"/>
          </w:tcPr>
          <w:p>
            <w:pPr>
              <w:pStyle w:val="13"/>
            </w:pPr>
            <w:r>
              <w:t>A02021118</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0.40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自然资源专项经费</w:t>
            </w:r>
          </w:p>
        </w:tc>
        <w:tc>
          <w:tcPr>
            <w:tcW w:w="964" w:type="dxa"/>
            <w:vAlign w:val="center"/>
          </w:tcPr>
          <w:p>
            <w:pPr>
              <w:pStyle w:val="12"/>
            </w:pPr>
            <w:r>
              <w:t>1496.51</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0.40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馆陶县自然资源和规划局（含所属单位）上年末固定资产金额为824.31万元（详见下表）。本年度拟购置固定资产总额为</w:t>
      </w:r>
      <w:r>
        <w:rPr>
          <w:rFonts w:hint="eastAsia" w:eastAsia="方正仿宋_GBK" w:cs="Times New Roman"/>
          <w:b w:val="0"/>
          <w:color w:val="000000"/>
          <w:sz w:val="28"/>
          <w:lang w:val="en-US" w:eastAsia="zh-CN"/>
        </w:rPr>
        <w:t>26</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324馆陶县自然资源和规划局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1746.47</w:t>
            </w:r>
          </w:p>
        </w:tc>
        <w:tc>
          <w:tcPr>
            <w:tcW w:w="2835" w:type="dxa"/>
            <w:vAlign w:val="center"/>
          </w:tcPr>
          <w:p>
            <w:pPr>
              <w:pStyle w:val="12"/>
            </w:pPr>
            <w:r>
              <w:t>179.52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1746.47</w:t>
            </w:r>
          </w:p>
        </w:tc>
        <w:tc>
          <w:tcPr>
            <w:tcW w:w="2835" w:type="dxa"/>
            <w:vAlign w:val="center"/>
          </w:tcPr>
          <w:p>
            <w:pPr>
              <w:pStyle w:val="12"/>
            </w:pPr>
            <w:r>
              <w:t>179.52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1667</w:t>
            </w:r>
          </w:p>
        </w:tc>
        <w:tc>
          <w:tcPr>
            <w:tcW w:w="2835" w:type="dxa"/>
            <w:vAlign w:val="center"/>
          </w:tcPr>
          <w:p>
            <w:pPr>
              <w:pStyle w:val="12"/>
            </w:pPr>
            <w:r>
              <w:t>644.79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0C82"/>
    <w:rsid w:val="02111113"/>
    <w:rsid w:val="745753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23</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2025-03-04T09:39:00Z</dcterms:created>
  <dc:creator>Administrator</dc:creator>
  <cp:lastModifiedBy>Administrator</cp:lastModifiedBy>
  <dcterms:modified xsi:type="dcterms:W3CDTF">2025-03-04T02:23:44Z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