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馆陶县自然资源和规划局</w:t>
      </w: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rPr>
          <w:rFonts w:ascii="方正楷体_GBK" w:hAnsi="方正楷体_GBK" w:eastAsia="方正楷体_GBK" w:cs="方正楷体_GBK"/>
          <w:b/>
          <w:color w:val="000000"/>
          <w:sz w:val="28"/>
        </w:rPr>
      </w:pPr>
    </w:p>
    <w:p>
      <w:r>
        <w:rPr>
          <w:rFonts w:ascii="方正楷体_GBK" w:hAnsi="方正楷体_GBK" w:eastAsia="方正楷体_GBK" w:cs="方正楷体_GBK"/>
          <w:b/>
          <w:color w:val="000000"/>
          <w:sz w:val="28"/>
        </w:rPr>
        <w:t>部门预算公开表</w:t>
      </w:r>
    </w:p>
    <w:p>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8"/>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8"/>
        <w:tabs>
          <w:tab w:val="right" w:leader="dot" w:pos="14562"/>
        </w:tabs>
        <w:rPr>
          <w:lang w:eastAsia="zh-CN"/>
        </w:rPr>
      </w:pPr>
      <w:r>
        <w:fldChar w:fldCharType="begin"/>
      </w:r>
      <w:r>
        <w:instrText xml:space="preserve"> HYPERLINK \l "_Toc_2_2_0000000003" </w:instrText>
      </w:r>
      <w:r>
        <w:fldChar w:fldCharType="separate"/>
      </w:r>
      <w:r>
        <w:t>部门预算支出总表</w:t>
      </w:r>
      <w:r>
        <w:tab/>
      </w:r>
      <w:r>
        <w:rPr>
          <w:rFonts w:hint="eastAsia"/>
          <w:lang w:eastAsia="zh-CN"/>
        </w:rPr>
        <w:t>1</w:t>
      </w:r>
      <w:r>
        <w:rPr>
          <w:rFonts w:hint="eastAsia"/>
          <w:lang w:eastAsia="zh-CN"/>
        </w:rPr>
        <w:fldChar w:fldCharType="end"/>
      </w:r>
      <w:r>
        <w:rPr>
          <w:rFonts w:hint="eastAsia"/>
          <w:lang w:eastAsia="zh-CN"/>
        </w:rPr>
        <w:t>2</w:t>
      </w:r>
    </w:p>
    <w:p>
      <w:pPr>
        <w:pStyle w:val="8"/>
        <w:tabs>
          <w:tab w:val="right" w:leader="dot" w:pos="14562"/>
        </w:tabs>
        <w:rPr>
          <w:lang w:eastAsia="zh-CN"/>
        </w:rPr>
      </w:pPr>
      <w:r>
        <w:fldChar w:fldCharType="begin"/>
      </w:r>
      <w:r>
        <w:instrText xml:space="preserve"> HYPERLINK \l "_Toc_2_2_0000000004" </w:instrText>
      </w:r>
      <w:r>
        <w:fldChar w:fldCharType="separate"/>
      </w:r>
      <w:r>
        <w:t>部门预算财政拨款收支总表</w:t>
      </w:r>
      <w:r>
        <w:tab/>
      </w:r>
      <w:r>
        <w:rPr>
          <w:rFonts w:hint="eastAsia"/>
          <w:lang w:eastAsia="zh-CN"/>
        </w:rPr>
        <w:t>1</w:t>
      </w:r>
      <w:r>
        <w:rPr>
          <w:rFonts w:hint="eastAsia"/>
          <w:lang w:eastAsia="zh-CN"/>
        </w:rPr>
        <w:fldChar w:fldCharType="end"/>
      </w:r>
      <w:r>
        <w:rPr>
          <w:rFonts w:hint="eastAsia"/>
          <w:lang w:eastAsia="zh-CN"/>
        </w:rPr>
        <w:t>5</w:t>
      </w:r>
    </w:p>
    <w:p>
      <w:pPr>
        <w:pStyle w:val="8"/>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6</w:t>
      </w:r>
    </w:p>
    <w:p>
      <w:pPr>
        <w:pStyle w:val="8"/>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7</w:t>
      </w:r>
    </w:p>
    <w:p>
      <w:pPr>
        <w:pStyle w:val="8"/>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fldChar w:fldCharType="end"/>
      </w:r>
      <w:r>
        <w:rPr>
          <w:rFonts w:hint="eastAsia"/>
          <w:lang w:eastAsia="zh-CN"/>
        </w:rPr>
        <w:t>19</w:t>
      </w:r>
    </w:p>
    <w:p>
      <w:pPr>
        <w:pStyle w:val="8"/>
        <w:tabs>
          <w:tab w:val="right" w:leader="dot" w:pos="14562"/>
        </w:tabs>
        <w:rPr>
          <w:lang w:eastAsia="zh-CN"/>
        </w:rPr>
      </w:pPr>
      <w:r>
        <w:fldChar w:fldCharType="begin"/>
      </w:r>
      <w:r>
        <w:instrText xml:space="preserve"> HYPERLINK \l "_Toc_2_2_0000000008" </w:instrText>
      </w:r>
      <w:r>
        <w:fldChar w:fldCharType="separate"/>
      </w:r>
      <w:r>
        <w:rPr>
          <w:rStyle w:val="40"/>
          <w:rFonts w:hint="eastAsia" w:ascii="仿宋_GB2312" w:hAnsi="仿宋_GB2312" w:eastAsia="仿宋_GB2312" w:cs="仿宋_GB2312"/>
          <w:b w:val="0"/>
          <w:bCs/>
          <w:sz w:val="28"/>
          <w:szCs w:val="28"/>
        </w:rPr>
        <w:t>部门预算国有资本经营预算财政拨款支出表</w:t>
      </w:r>
      <w:r>
        <w:tab/>
      </w:r>
      <w:r>
        <w:rPr>
          <w:rFonts w:hint="eastAsia"/>
          <w:lang w:eastAsia="zh-CN"/>
        </w:rPr>
        <w:t>2</w:t>
      </w:r>
      <w:r>
        <w:rPr>
          <w:rFonts w:hint="eastAsia"/>
          <w:lang w:eastAsia="zh-CN"/>
        </w:rPr>
        <w:fldChar w:fldCharType="end"/>
      </w:r>
      <w:r>
        <w:rPr>
          <w:rFonts w:hint="eastAsia"/>
          <w:lang w:eastAsia="zh-CN"/>
        </w:rPr>
        <w:t>0</w:t>
      </w:r>
    </w:p>
    <w:p>
      <w:pPr>
        <w:pStyle w:val="8"/>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2</w:t>
      </w:r>
      <w:r>
        <w:rPr>
          <w:rFonts w:hint="eastAsia"/>
          <w:lang w:eastAsia="zh-CN"/>
        </w:rPr>
        <w:fldChar w:fldCharType="end"/>
      </w:r>
      <w:r>
        <w:rPr>
          <w:rFonts w:hint="eastAsia"/>
          <w:lang w:eastAsia="zh-CN"/>
        </w:rPr>
        <w:t>1</w:t>
      </w:r>
    </w:p>
    <w:p>
      <w:r>
        <w:fldChar w:fldCharType="end"/>
      </w:r>
    </w:p>
    <w:p>
      <w:r>
        <w:rPr>
          <w:rFonts w:ascii="方正楷体_GBK" w:hAnsi="方正楷体_GBK" w:eastAsia="方正楷体_GBK" w:cs="方正楷体_GBK"/>
          <w:b/>
          <w:color w:val="000000"/>
          <w:sz w:val="28"/>
        </w:rPr>
        <w:t>部门预算信息公开情况说明</w:t>
      </w:r>
    </w:p>
    <w:p>
      <w:pPr>
        <w:pStyle w:val="8"/>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Style w:val="39"/>
          <w:rFonts w:hint="eastAsia" w:ascii="仿宋_GB2312" w:hAnsi="仿宋_GB2312" w:eastAsia="仿宋_GB2312" w:cs="仿宋_GB2312"/>
          <w:b w:val="0"/>
          <w:bCs/>
        </w:rPr>
        <w:t>部门职责及机构设置情况</w:t>
      </w:r>
      <w:r>
        <w:tab/>
      </w:r>
      <w:r>
        <w:rPr>
          <w:rFonts w:hint="eastAsia"/>
          <w:lang w:eastAsia="zh-CN"/>
        </w:rPr>
        <w:t>2</w:t>
      </w:r>
      <w:r>
        <w:rPr>
          <w:rFonts w:hint="eastAsia"/>
          <w:lang w:eastAsia="zh-CN"/>
        </w:rPr>
        <w:fldChar w:fldCharType="end"/>
      </w:r>
      <w:r>
        <w:rPr>
          <w:rFonts w:hint="eastAsia"/>
          <w:lang w:eastAsia="zh-CN"/>
        </w:rPr>
        <w:t>2</w:t>
      </w:r>
    </w:p>
    <w:p>
      <w:pPr>
        <w:pStyle w:val="8"/>
        <w:tabs>
          <w:tab w:val="right" w:leader="dot" w:pos="14562"/>
        </w:tabs>
        <w:rPr>
          <w:lang w:eastAsia="zh-CN"/>
        </w:rPr>
      </w:pPr>
      <w:r>
        <w:fldChar w:fldCharType="begin"/>
      </w:r>
      <w:r>
        <w:instrText xml:space="preserve"> HYPERLINK \l "_Toc_3_3_0000000011" </w:instrText>
      </w:r>
      <w:r>
        <w:fldChar w:fldCharType="separate"/>
      </w:r>
      <w:r>
        <w:rPr>
          <w:rStyle w:val="40"/>
          <w:rFonts w:hint="eastAsia" w:ascii="仿宋_GB2312" w:hAnsi="仿宋_GB2312" w:eastAsia="仿宋_GB2312" w:cs="仿宋_GB2312"/>
          <w:sz w:val="28"/>
          <w:szCs w:val="28"/>
        </w:rPr>
        <w:t>二</w:t>
      </w:r>
      <w:r>
        <w:rPr>
          <w:rStyle w:val="40"/>
          <w:rFonts w:hint="eastAsia" w:ascii="仿宋_GB2312" w:hAnsi="仿宋_GB2312" w:eastAsia="仿宋_GB2312" w:cs="仿宋_GB2312"/>
          <w:b w:val="0"/>
          <w:bCs/>
          <w:sz w:val="28"/>
          <w:szCs w:val="28"/>
        </w:rPr>
        <w:t>、</w:t>
      </w:r>
      <w:r>
        <w:t>部门预算安排的总体情况</w:t>
      </w:r>
      <w:r>
        <w:tab/>
      </w:r>
      <w:r>
        <w:rPr>
          <w:rFonts w:hint="eastAsia"/>
          <w:lang w:eastAsia="zh-CN"/>
        </w:rPr>
        <w:t>2</w:t>
      </w:r>
      <w:r>
        <w:rPr>
          <w:rFonts w:hint="eastAsia"/>
          <w:lang w:eastAsia="zh-CN"/>
        </w:rPr>
        <w:fldChar w:fldCharType="end"/>
      </w:r>
      <w:r>
        <w:rPr>
          <w:rFonts w:hint="eastAsia"/>
          <w:lang w:eastAsia="zh-CN"/>
        </w:rPr>
        <w:t>7</w:t>
      </w:r>
    </w:p>
    <w:p>
      <w:pPr>
        <w:pStyle w:val="8"/>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8</w:t>
      </w:r>
    </w:p>
    <w:p>
      <w:pPr>
        <w:pStyle w:val="8"/>
        <w:tabs>
          <w:tab w:val="right" w:leader="dot" w:pos="14562"/>
        </w:tabs>
        <w:rPr>
          <w:lang w:eastAsia="zh-CN"/>
        </w:rPr>
      </w:pPr>
      <w:r>
        <w:fldChar w:fldCharType="begin"/>
      </w:r>
      <w:r>
        <w:instrText xml:space="preserve"> HYPERLINK \l "_Toc_3_3_0000000013" </w:instrText>
      </w:r>
      <w:r>
        <w:fldChar w:fldCharType="separate"/>
      </w:r>
      <w:r>
        <w:rPr>
          <w:rStyle w:val="40"/>
          <w:rFonts w:hint="eastAsia" w:ascii="仿宋_GB2312" w:hAnsi="仿宋_GB2312" w:eastAsia="仿宋_GB2312" w:cs="仿宋_GB2312"/>
          <w:b w:val="0"/>
          <w:bCs/>
          <w:sz w:val="28"/>
          <w:szCs w:val="28"/>
        </w:rP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8</w:t>
      </w:r>
    </w:p>
    <w:p>
      <w:pPr>
        <w:pStyle w:val="8"/>
        <w:tabs>
          <w:tab w:val="right" w:leader="dot" w:pos="14562"/>
        </w:tabs>
        <w:rPr>
          <w:lang w:eastAsia="zh-CN"/>
        </w:rPr>
      </w:pPr>
      <w:r>
        <w:fldChar w:fldCharType="begin"/>
      </w:r>
      <w:r>
        <w:instrText xml:space="preserve"> HYPERLINK \l "_Toc_3_3_0000000014" </w:instrText>
      </w:r>
      <w:r>
        <w:fldChar w:fldCharType="separate"/>
      </w:r>
      <w:r>
        <w:rPr>
          <w:rStyle w:val="40"/>
          <w:rFonts w:hint="eastAsia" w:ascii="仿宋_GB2312" w:hAnsi="仿宋_GB2312" w:eastAsia="仿宋_GB2312" w:cs="仿宋_GB2312"/>
          <w:b w:val="0"/>
          <w:bCs/>
          <w:sz w:val="28"/>
          <w:szCs w:val="28"/>
        </w:rPr>
        <w:t>五、预算绩效信息</w:t>
      </w:r>
      <w:r>
        <w:tab/>
      </w:r>
      <w:r>
        <w:rPr>
          <w:rFonts w:hint="eastAsia"/>
          <w:lang w:eastAsia="zh-CN"/>
        </w:rPr>
        <w:t>2</w:t>
      </w:r>
      <w:r>
        <w:rPr>
          <w:rFonts w:hint="eastAsia"/>
          <w:lang w:eastAsia="zh-CN"/>
        </w:rPr>
        <w:fldChar w:fldCharType="end"/>
      </w:r>
      <w:r>
        <w:rPr>
          <w:rFonts w:hint="eastAsia"/>
          <w:lang w:eastAsia="zh-CN"/>
        </w:rPr>
        <w:t>9</w:t>
      </w:r>
    </w:p>
    <w:p>
      <w:pPr>
        <w:pStyle w:val="8"/>
        <w:tabs>
          <w:tab w:val="right" w:leader="dot" w:pos="14562"/>
        </w:tabs>
        <w:rPr>
          <w:lang w:eastAsia="zh-CN"/>
        </w:rPr>
      </w:pPr>
      <w:r>
        <w:fldChar w:fldCharType="begin"/>
      </w:r>
      <w:r>
        <w:instrText xml:space="preserve"> HYPERLINK \l "_Toc_3_3_0000000015" </w:instrText>
      </w:r>
      <w:r>
        <w:fldChar w:fldCharType="separate"/>
      </w:r>
      <w:r>
        <w:rPr>
          <w:rStyle w:val="40"/>
          <w:rFonts w:hint="eastAsia" w:ascii="仿宋_GB2312" w:hAnsi="仿宋_GB2312" w:eastAsia="仿宋_GB2312" w:cs="仿宋_GB2312"/>
          <w:b w:val="0"/>
          <w:bCs/>
          <w:sz w:val="28"/>
          <w:szCs w:val="28"/>
        </w:rPr>
        <w:t>六、</w:t>
      </w:r>
      <w:r>
        <w:t>政府采购预算情况</w:t>
      </w:r>
      <w:r>
        <w:tab/>
      </w:r>
      <w:r>
        <w:rPr>
          <w:rFonts w:hint="eastAsia"/>
          <w:lang w:eastAsia="zh-CN"/>
        </w:rPr>
        <w:t>5</w:t>
      </w:r>
      <w:r>
        <w:rPr>
          <w:rFonts w:hint="eastAsia"/>
          <w:lang w:eastAsia="zh-CN"/>
        </w:rPr>
        <w:fldChar w:fldCharType="end"/>
      </w:r>
      <w:r>
        <w:rPr>
          <w:rFonts w:hint="eastAsia"/>
          <w:lang w:eastAsia="zh-CN"/>
        </w:rPr>
        <w:t>9</w:t>
      </w:r>
    </w:p>
    <w:p>
      <w:pPr>
        <w:pStyle w:val="8"/>
        <w:tabs>
          <w:tab w:val="right" w:leader="dot" w:pos="14562"/>
        </w:tabs>
        <w:rPr>
          <w:lang w:eastAsia="zh-CN"/>
        </w:rPr>
      </w:pPr>
      <w:r>
        <w:fldChar w:fldCharType="begin"/>
      </w:r>
      <w:r>
        <w:instrText xml:space="preserve"> HYPERLINK \l "_Toc_3_3_0000000016" </w:instrText>
      </w:r>
      <w:r>
        <w:fldChar w:fldCharType="separate"/>
      </w:r>
      <w:r>
        <w:rPr>
          <w:rStyle w:val="40"/>
          <w:rFonts w:hint="eastAsia" w:ascii="仿宋_GB2312" w:hAnsi="仿宋_GB2312" w:eastAsia="仿宋_GB2312" w:cs="仿宋_GB2312"/>
          <w:b w:val="0"/>
          <w:bCs/>
          <w:sz w:val="28"/>
          <w:szCs w:val="28"/>
        </w:rPr>
        <w:t>七、国有资产信息</w:t>
      </w:r>
      <w:r>
        <w:tab/>
      </w:r>
      <w:r>
        <w:rPr>
          <w:rFonts w:hint="eastAsia"/>
          <w:lang w:eastAsia="zh-CN"/>
        </w:rPr>
        <w:t>5</w:t>
      </w:r>
      <w:r>
        <w:rPr>
          <w:rFonts w:hint="eastAsia"/>
          <w:lang w:eastAsia="zh-CN"/>
        </w:rPr>
        <w:fldChar w:fldCharType="end"/>
      </w:r>
      <w:r>
        <w:rPr>
          <w:rFonts w:hint="eastAsia"/>
          <w:lang w:eastAsia="zh-CN"/>
        </w:rPr>
        <w:t>9</w:t>
      </w:r>
    </w:p>
    <w:p>
      <w:pPr>
        <w:pStyle w:val="8"/>
        <w:tabs>
          <w:tab w:val="right" w:leader="dot" w:pos="14562"/>
        </w:tabs>
        <w:rPr>
          <w:lang w:eastAsia="zh-CN"/>
        </w:rPr>
      </w:pPr>
      <w:r>
        <w:fldChar w:fldCharType="begin"/>
      </w:r>
      <w:r>
        <w:instrText xml:space="preserve"> HYPERLINK \l "_Toc_3_3_0000000017" </w:instrText>
      </w:r>
      <w:r>
        <w:fldChar w:fldCharType="separate"/>
      </w:r>
      <w:r>
        <w:rPr>
          <w:rStyle w:val="40"/>
          <w:rFonts w:hint="eastAsia" w:ascii="仿宋_GB2312" w:hAnsi="仿宋_GB2312" w:eastAsia="仿宋_GB2312" w:cs="仿宋_GB2312"/>
          <w:b w:val="0"/>
          <w:bCs/>
          <w:sz w:val="28"/>
          <w:szCs w:val="28"/>
        </w:rPr>
        <w:t>八、名词解释</w:t>
      </w:r>
      <w:r>
        <w:tab/>
      </w:r>
      <w:r>
        <w:rPr>
          <w:rFonts w:hint="eastAsia"/>
          <w:lang w:eastAsia="zh-CN"/>
        </w:rPr>
        <w:t>6</w:t>
      </w:r>
      <w:r>
        <w:rPr>
          <w:rFonts w:hint="eastAsia"/>
          <w:lang w:eastAsia="zh-CN"/>
        </w:rPr>
        <w:fldChar w:fldCharType="end"/>
      </w:r>
      <w:r>
        <w:rPr>
          <w:rFonts w:hint="eastAsia"/>
          <w:lang w:eastAsia="zh-CN"/>
        </w:rPr>
        <w:t>0</w:t>
      </w:r>
    </w:p>
    <w:p>
      <w:pPr>
        <w:pStyle w:val="8"/>
        <w:tabs>
          <w:tab w:val="right" w:leader="dot" w:pos="14562"/>
        </w:tabs>
        <w:rPr>
          <w:lang w:eastAsia="zh-CN"/>
        </w:rPr>
      </w:pPr>
      <w:r>
        <w:fldChar w:fldCharType="begin"/>
      </w:r>
      <w:r>
        <w:instrText xml:space="preserve"> HYPERLINK \l "_Toc_3_3_0000000018" </w:instrText>
      </w:r>
      <w:r>
        <w:fldChar w:fldCharType="separate"/>
      </w:r>
      <w:r>
        <w:rPr>
          <w:rStyle w:val="40"/>
          <w:rFonts w:hint="eastAsia" w:ascii="仿宋_GB2312" w:hAnsi="仿宋_GB2312" w:eastAsia="仿宋_GB2312" w:cs="仿宋_GB2312"/>
          <w:b w:val="0"/>
          <w:bCs/>
          <w:sz w:val="28"/>
          <w:szCs w:val="28"/>
        </w:rPr>
        <w:t>九、</w:t>
      </w:r>
      <w:r>
        <w:t>其他需要说明的事项</w:t>
      </w:r>
      <w:r>
        <w:tab/>
      </w:r>
      <w:r>
        <w:rPr>
          <w:rFonts w:hint="eastAsia"/>
          <w:lang w:eastAsia="zh-CN"/>
        </w:rPr>
        <w:t>6</w:t>
      </w:r>
      <w:r>
        <w:rPr>
          <w:rFonts w:hint="eastAsia"/>
          <w:lang w:eastAsia="zh-CN"/>
        </w:rPr>
        <w:fldChar w:fldCharType="end"/>
      </w:r>
      <w:r>
        <w:rPr>
          <w:rFonts w:hint="eastAsia"/>
          <w:lang w:eastAsia="zh-CN"/>
        </w:rPr>
        <w:t>1</w:t>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6"/>
            </w:pPr>
            <w:r>
              <w:t>324馆陶县自然资源和规划局</w:t>
            </w:r>
          </w:p>
        </w:tc>
        <w:tc>
          <w:tcPr>
            <w:tcW w:w="2126" w:type="dxa"/>
            <w:tcBorders>
              <w:top w:val="single" w:color="FFFFFF" w:sz="6" w:space="0"/>
              <w:left w:val="single" w:color="FFFFFF" w:sz="6" w:space="0"/>
              <w:right w:val="single" w:color="FFFFFF" w:sz="6" w:space="0"/>
            </w:tcBorders>
            <w:vAlign w:val="center"/>
          </w:tcPr>
          <w:p>
            <w:pPr>
              <w:pStyle w:val="1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6661" w:type="dxa"/>
            <w:gridSpan w:val="2"/>
            <w:vAlign w:val="center"/>
          </w:tcPr>
          <w:p>
            <w:pPr>
              <w:pStyle w:val="17"/>
            </w:pPr>
            <w:r>
              <w:t>收入</w:t>
            </w:r>
          </w:p>
        </w:tc>
        <w:tc>
          <w:tcPr>
            <w:tcW w:w="6661" w:type="dxa"/>
            <w:gridSpan w:val="2"/>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7"/>
            </w:pPr>
            <w:r>
              <w:t>项  目</w:t>
            </w:r>
          </w:p>
        </w:tc>
        <w:tc>
          <w:tcPr>
            <w:tcW w:w="2126" w:type="dxa"/>
            <w:vAlign w:val="center"/>
          </w:tcPr>
          <w:p>
            <w:pPr>
              <w:pStyle w:val="17"/>
            </w:pPr>
            <w:r>
              <w:t>预算数</w:t>
            </w:r>
          </w:p>
        </w:tc>
        <w:tc>
          <w:tcPr>
            <w:tcW w:w="4535" w:type="dxa"/>
            <w:vAlign w:val="center"/>
          </w:tcPr>
          <w:p>
            <w:pPr>
              <w:pStyle w:val="17"/>
            </w:pPr>
            <w:r>
              <w:t>项  目</w:t>
            </w:r>
          </w:p>
        </w:tc>
        <w:tc>
          <w:tcPr>
            <w:tcW w:w="2126" w:type="dxa"/>
            <w:vAlign w:val="center"/>
          </w:tcPr>
          <w:p>
            <w:pPr>
              <w:pStyle w:val="1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4535" w:type="dxa"/>
            <w:vAlign w:val="center"/>
          </w:tcPr>
          <w:p>
            <w:pPr>
              <w:pStyle w:val="17"/>
            </w:pPr>
            <w:r>
              <w:t>1</w:t>
            </w:r>
          </w:p>
        </w:tc>
        <w:tc>
          <w:tcPr>
            <w:tcW w:w="2126" w:type="dxa"/>
            <w:vAlign w:val="center"/>
          </w:tcPr>
          <w:p>
            <w:pPr>
              <w:pStyle w:val="17"/>
            </w:pPr>
            <w:r>
              <w:t>2</w:t>
            </w:r>
          </w:p>
        </w:tc>
        <w:tc>
          <w:tcPr>
            <w:tcW w:w="4535" w:type="dxa"/>
            <w:vAlign w:val="center"/>
          </w:tcPr>
          <w:p>
            <w:pPr>
              <w:pStyle w:val="17"/>
            </w:pPr>
            <w:r>
              <w:t>3</w:t>
            </w:r>
          </w:p>
        </w:tc>
        <w:tc>
          <w:tcPr>
            <w:tcW w:w="2126" w:type="dxa"/>
            <w:vAlign w:val="center"/>
          </w:tcPr>
          <w:p>
            <w:pPr>
              <w:pStyle w:val="1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一、一般公共预算拨款收入</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35692800.00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一、一般公共服务支出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二、政府性基金预算拨款收入</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二、外交支出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三、国防支出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四、财政专户管理资金收入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四、公共安全支出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五、事业收入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五、教育支出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六、事业单位经营收入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六、科学技术支出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七、上级补助收入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七、文化旅游体育与传媒支出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八、附属单位上缴收入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八、社会保障和就业支出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九、其他收入</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九、社会保险基金支出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十、卫生健康支出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十一、节能环保支出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十二、城乡社区支出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十三、农林水支出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十四、交通运输支出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十五、资源勘探工业信息等支出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十六、商业服务业等支出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十七、金融支出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十八、援助其他地区支出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十九、自然资源海洋气象等支出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二十、住房保障支出</w:t>
            </w:r>
          </w:p>
        </w:tc>
        <w:tc>
          <w:tcPr>
            <w:tcW w:w="2126"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二十一、粮油物资储备支出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二十二、国有资本经营预算支出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二十三、灾害防治及应急管理支出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二十四、预备费</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二十五、其他支出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二十六、转移性支出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二十七、债务还本支出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二十八、债务付息支出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二十九、债务发行费用支出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4535" w:type="dxa"/>
            <w:vAlign w:val="center"/>
          </w:tcPr>
          <w:p>
            <w:pPr>
              <w:pStyle w:val="19"/>
              <w:rPr>
                <w:rFonts w:hint="eastAsia" w:asciiTheme="minorEastAsia" w:hAnsiTheme="minorEastAsia" w:eastAsiaTheme="minorEastAsia" w:cstheme="minorEastAsia"/>
              </w:rPr>
            </w:pP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三十、抗疫特别国债安排的支出</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4535" w:type="dxa"/>
            <w:vAlign w:val="center"/>
          </w:tcPr>
          <w:p>
            <w:pPr>
              <w:pStyle w:val="21"/>
            </w:pPr>
            <w:r>
              <w:t>本年收入合计</w:t>
            </w:r>
          </w:p>
        </w:tc>
        <w:tc>
          <w:tcPr>
            <w:tcW w:w="2126" w:type="dxa"/>
            <w:vAlign w:val="center"/>
          </w:tcPr>
          <w:p>
            <w:pPr>
              <w:pStyle w:val="22"/>
            </w:pPr>
            <w:r>
              <w:t>51886800.00</w:t>
            </w:r>
          </w:p>
        </w:tc>
        <w:tc>
          <w:tcPr>
            <w:tcW w:w="4535" w:type="dxa"/>
            <w:vAlign w:val="center"/>
          </w:tcPr>
          <w:p>
            <w:pPr>
              <w:pStyle w:val="21"/>
            </w:pPr>
            <w:r>
              <w:t>本年支出合计</w:t>
            </w:r>
          </w:p>
        </w:tc>
        <w:tc>
          <w:tcPr>
            <w:tcW w:w="2126" w:type="dxa"/>
            <w:vAlign w:val="center"/>
          </w:tcPr>
          <w:p>
            <w:pPr>
              <w:pStyle w:val="22"/>
            </w:pPr>
            <w:r>
              <w:t>51886800.00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上年结转结余</w:t>
            </w:r>
          </w:p>
        </w:tc>
        <w:tc>
          <w:tcPr>
            <w:tcW w:w="2126" w:type="dxa"/>
            <w:vAlign w:val="center"/>
          </w:tcPr>
          <w:p>
            <w:pPr>
              <w:pStyle w:val="18"/>
              <w:rPr>
                <w:rFonts w:hint="eastAsia" w:asciiTheme="minorEastAsia" w:hAnsiTheme="minorEastAsia" w:eastAsiaTheme="minorEastAsia" w:cstheme="minorEastAsia"/>
              </w:rPr>
            </w:pP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年终结转结余</w:t>
            </w:r>
          </w:p>
        </w:tc>
        <w:tc>
          <w:tcPr>
            <w:tcW w:w="2126"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4535" w:type="dxa"/>
            <w:vAlign w:val="center"/>
          </w:tcPr>
          <w:p>
            <w:pPr>
              <w:pStyle w:val="21"/>
            </w:pPr>
            <w:r>
              <w:t>收入总计</w:t>
            </w:r>
          </w:p>
        </w:tc>
        <w:tc>
          <w:tcPr>
            <w:tcW w:w="2126" w:type="dxa"/>
            <w:vAlign w:val="center"/>
          </w:tcPr>
          <w:p>
            <w:pPr>
              <w:pStyle w:val="22"/>
            </w:pPr>
            <w:r>
              <w:t>51886800.00</w:t>
            </w:r>
          </w:p>
        </w:tc>
        <w:tc>
          <w:tcPr>
            <w:tcW w:w="4535" w:type="dxa"/>
            <w:vAlign w:val="center"/>
          </w:tcPr>
          <w:p>
            <w:pPr>
              <w:pStyle w:val="21"/>
            </w:pPr>
            <w:r>
              <w:t>支出总计</w:t>
            </w:r>
          </w:p>
        </w:tc>
        <w:tc>
          <w:tcPr>
            <w:tcW w:w="2126" w:type="dxa"/>
            <w:vAlign w:val="center"/>
          </w:tcPr>
          <w:p>
            <w:pPr>
              <w:pStyle w:val="22"/>
            </w:pPr>
            <w:r>
              <w:t>51886800.00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6"/>
            </w:pPr>
            <w:r>
              <w:t>324馆陶县自然资源和规划局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1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7"/>
            </w:pPr>
            <w:r>
              <w:t>序号</w:t>
            </w:r>
          </w:p>
        </w:tc>
        <w:tc>
          <w:tcPr>
            <w:tcW w:w="2551" w:type="dxa"/>
            <w:gridSpan w:val="2"/>
            <w:vAlign w:val="center"/>
          </w:tcPr>
          <w:p>
            <w:pPr>
              <w:pStyle w:val="17"/>
            </w:pPr>
            <w:r>
              <w:t>功能分类科目</w:t>
            </w:r>
          </w:p>
        </w:tc>
        <w:tc>
          <w:tcPr>
            <w:tcW w:w="1134" w:type="dxa"/>
            <w:vMerge w:val="restart"/>
            <w:vAlign w:val="center"/>
          </w:tcPr>
          <w:p>
            <w:pPr>
              <w:pStyle w:val="17"/>
            </w:pPr>
            <w:r>
              <w:t>合计</w:t>
            </w:r>
          </w:p>
        </w:tc>
        <w:tc>
          <w:tcPr>
            <w:tcW w:w="9071" w:type="dxa"/>
            <w:gridSpan w:val="8"/>
            <w:vAlign w:val="center"/>
          </w:tcPr>
          <w:p>
            <w:pPr>
              <w:pStyle w:val="17"/>
            </w:pPr>
            <w:r>
              <w:t>本年收入</w:t>
            </w:r>
          </w:p>
        </w:tc>
        <w:tc>
          <w:tcPr>
            <w:tcW w:w="1134" w:type="dxa"/>
            <w:vMerge w:val="restart"/>
            <w:vAlign w:val="center"/>
          </w:tcPr>
          <w:p>
            <w:pPr>
              <w:pStyle w:val="1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7"/>
            </w:pPr>
            <w:r>
              <w:t>科目    编码</w:t>
            </w:r>
          </w:p>
        </w:tc>
        <w:tc>
          <w:tcPr>
            <w:tcW w:w="1559" w:type="dxa"/>
            <w:vAlign w:val="center"/>
          </w:tcPr>
          <w:p>
            <w:pPr>
              <w:pStyle w:val="17"/>
            </w:pPr>
            <w:r>
              <w:t>科目名称</w:t>
            </w:r>
          </w:p>
        </w:tc>
        <w:tc>
          <w:tcPr>
            <w:tcW w:w="1134" w:type="dxa"/>
            <w:vMerge w:val="continue"/>
          </w:tcPr>
          <w:p/>
        </w:tc>
        <w:tc>
          <w:tcPr>
            <w:tcW w:w="1134" w:type="dxa"/>
            <w:vAlign w:val="center"/>
          </w:tcPr>
          <w:p>
            <w:pPr>
              <w:pStyle w:val="17"/>
            </w:pPr>
            <w:r>
              <w:t>小计</w:t>
            </w:r>
          </w:p>
        </w:tc>
        <w:tc>
          <w:tcPr>
            <w:tcW w:w="1134" w:type="dxa"/>
            <w:vAlign w:val="center"/>
          </w:tcPr>
          <w:p>
            <w:pPr>
              <w:pStyle w:val="17"/>
            </w:pPr>
            <w:r>
              <w:t>财政拨款 收入</w:t>
            </w:r>
          </w:p>
        </w:tc>
        <w:tc>
          <w:tcPr>
            <w:tcW w:w="1134" w:type="dxa"/>
            <w:vAlign w:val="center"/>
          </w:tcPr>
          <w:p>
            <w:pPr>
              <w:pStyle w:val="17"/>
            </w:pPr>
            <w:r>
              <w:t>财政专户 收入</w:t>
            </w:r>
          </w:p>
        </w:tc>
        <w:tc>
          <w:tcPr>
            <w:tcW w:w="1134" w:type="dxa"/>
            <w:vAlign w:val="center"/>
          </w:tcPr>
          <w:p>
            <w:pPr>
              <w:pStyle w:val="17"/>
            </w:pPr>
            <w:r>
              <w:t>事业收入</w:t>
            </w:r>
          </w:p>
        </w:tc>
        <w:tc>
          <w:tcPr>
            <w:tcW w:w="1134" w:type="dxa"/>
            <w:vAlign w:val="center"/>
          </w:tcPr>
          <w:p>
            <w:pPr>
              <w:pStyle w:val="17"/>
            </w:pPr>
            <w:r>
              <w:t>经营收入</w:t>
            </w:r>
          </w:p>
        </w:tc>
        <w:tc>
          <w:tcPr>
            <w:tcW w:w="1134" w:type="dxa"/>
            <w:vAlign w:val="center"/>
          </w:tcPr>
          <w:p>
            <w:pPr>
              <w:pStyle w:val="17"/>
            </w:pPr>
            <w:r>
              <w:t>上级补助收入</w:t>
            </w:r>
          </w:p>
        </w:tc>
        <w:tc>
          <w:tcPr>
            <w:tcW w:w="1134" w:type="dxa"/>
            <w:vAlign w:val="center"/>
          </w:tcPr>
          <w:p>
            <w:pPr>
              <w:pStyle w:val="17"/>
            </w:pPr>
            <w:r>
              <w:t>附属单位上缴收入</w:t>
            </w:r>
          </w:p>
        </w:tc>
        <w:tc>
          <w:tcPr>
            <w:tcW w:w="1134" w:type="dxa"/>
            <w:vAlign w:val="center"/>
          </w:tcPr>
          <w:p>
            <w:pPr>
              <w:pStyle w:val="1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7"/>
            </w:pPr>
            <w:r>
              <w:t>栏次</w:t>
            </w:r>
          </w:p>
        </w:tc>
        <w:tc>
          <w:tcPr>
            <w:tcW w:w="992" w:type="dxa"/>
            <w:vAlign w:val="center"/>
          </w:tcPr>
          <w:p>
            <w:pPr>
              <w:pStyle w:val="17"/>
            </w:pPr>
            <w:r>
              <w:t>1</w:t>
            </w:r>
          </w:p>
        </w:tc>
        <w:tc>
          <w:tcPr>
            <w:tcW w:w="1559" w:type="dxa"/>
            <w:vAlign w:val="center"/>
          </w:tcPr>
          <w:p>
            <w:pPr>
              <w:pStyle w:val="17"/>
            </w:pPr>
            <w:r>
              <w:t>2</w:t>
            </w:r>
          </w:p>
        </w:tc>
        <w:tc>
          <w:tcPr>
            <w:tcW w:w="1134" w:type="dxa"/>
            <w:vAlign w:val="center"/>
          </w:tcPr>
          <w:p>
            <w:pPr>
              <w:pStyle w:val="17"/>
            </w:pPr>
            <w:r>
              <w:t>3</w:t>
            </w:r>
          </w:p>
        </w:tc>
        <w:tc>
          <w:tcPr>
            <w:tcW w:w="1134" w:type="dxa"/>
            <w:vAlign w:val="center"/>
          </w:tcPr>
          <w:p>
            <w:pPr>
              <w:pStyle w:val="17"/>
            </w:pPr>
            <w:r>
              <w:t>4</w:t>
            </w:r>
          </w:p>
        </w:tc>
        <w:tc>
          <w:tcPr>
            <w:tcW w:w="1134" w:type="dxa"/>
            <w:vAlign w:val="center"/>
          </w:tcPr>
          <w:p>
            <w:pPr>
              <w:pStyle w:val="17"/>
            </w:pPr>
            <w:r>
              <w:t>5</w:t>
            </w:r>
          </w:p>
        </w:tc>
        <w:tc>
          <w:tcPr>
            <w:tcW w:w="1134" w:type="dxa"/>
            <w:vAlign w:val="center"/>
          </w:tcPr>
          <w:p>
            <w:pPr>
              <w:pStyle w:val="17"/>
            </w:pPr>
            <w:r>
              <w:t>6</w:t>
            </w:r>
          </w:p>
        </w:tc>
        <w:tc>
          <w:tcPr>
            <w:tcW w:w="1134" w:type="dxa"/>
            <w:vAlign w:val="center"/>
          </w:tcPr>
          <w:p>
            <w:pPr>
              <w:pStyle w:val="17"/>
            </w:pPr>
            <w:r>
              <w:t>7</w:t>
            </w:r>
          </w:p>
        </w:tc>
        <w:tc>
          <w:tcPr>
            <w:tcW w:w="1134" w:type="dxa"/>
            <w:vAlign w:val="center"/>
          </w:tcPr>
          <w:p>
            <w:pPr>
              <w:pStyle w:val="17"/>
            </w:pPr>
            <w:r>
              <w:t>8</w:t>
            </w:r>
          </w:p>
        </w:tc>
        <w:tc>
          <w:tcPr>
            <w:tcW w:w="1134" w:type="dxa"/>
            <w:vAlign w:val="center"/>
          </w:tcPr>
          <w:p>
            <w:pPr>
              <w:pStyle w:val="17"/>
            </w:pPr>
            <w:r>
              <w:t>9</w:t>
            </w:r>
          </w:p>
        </w:tc>
        <w:tc>
          <w:tcPr>
            <w:tcW w:w="1134" w:type="dxa"/>
            <w:vAlign w:val="center"/>
          </w:tcPr>
          <w:p>
            <w:pPr>
              <w:pStyle w:val="17"/>
            </w:pPr>
            <w:r>
              <w:t>10</w:t>
            </w:r>
          </w:p>
        </w:tc>
        <w:tc>
          <w:tcPr>
            <w:tcW w:w="1134" w:type="dxa"/>
            <w:vAlign w:val="center"/>
          </w:tcPr>
          <w:p>
            <w:pPr>
              <w:pStyle w:val="17"/>
            </w:pPr>
            <w:r>
              <w:t>11</w:t>
            </w:r>
          </w:p>
        </w:tc>
        <w:tc>
          <w:tcPr>
            <w:tcW w:w="1134" w:type="dxa"/>
            <w:vAlign w:val="center"/>
          </w:tcPr>
          <w:p>
            <w:pPr>
              <w:pStyle w:val="1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w:t>
            </w:r>
          </w:p>
        </w:tc>
        <w:tc>
          <w:tcPr>
            <w:tcW w:w="992" w:type="dxa"/>
            <w:vAlign w:val="center"/>
          </w:tcPr>
          <w:p>
            <w:pPr>
              <w:pStyle w:val="23"/>
            </w:pPr>
          </w:p>
        </w:tc>
        <w:tc>
          <w:tcPr>
            <w:tcW w:w="1559" w:type="dxa"/>
            <w:vAlign w:val="center"/>
          </w:tcPr>
          <w:p>
            <w:pPr>
              <w:pStyle w:val="21"/>
            </w:pPr>
            <w:r>
              <w:t>合计</w:t>
            </w:r>
          </w:p>
        </w:tc>
        <w:tc>
          <w:tcPr>
            <w:tcW w:w="1134" w:type="dxa"/>
            <w:vAlign w:val="center"/>
          </w:tcPr>
          <w:p>
            <w:pPr>
              <w:pStyle w:val="22"/>
            </w:pPr>
            <w:r>
              <w:t>51886800.00</w:t>
            </w:r>
          </w:p>
        </w:tc>
        <w:tc>
          <w:tcPr>
            <w:tcW w:w="1134" w:type="dxa"/>
            <w:vAlign w:val="center"/>
          </w:tcPr>
          <w:p>
            <w:pPr>
              <w:pStyle w:val="22"/>
            </w:pPr>
            <w:r>
              <w:t>51886800.00</w:t>
            </w:r>
          </w:p>
        </w:tc>
        <w:tc>
          <w:tcPr>
            <w:tcW w:w="1134" w:type="dxa"/>
            <w:vAlign w:val="center"/>
          </w:tcPr>
          <w:p>
            <w:pPr>
              <w:pStyle w:val="22"/>
            </w:pPr>
            <w:r>
              <w:t>51886800.00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1559"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rPr>
                <w:rFonts w:hint="eastAsia" w:asciiTheme="minorEastAsia" w:hAnsiTheme="minorEastAsia" w:eastAsiaTheme="minorEastAsia" w:cstheme="minorEastAsia"/>
              </w:rPr>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1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528" w:type="dxa"/>
            <w:gridSpan w:val="2"/>
            <w:vAlign w:val="center"/>
          </w:tcPr>
          <w:p>
            <w:pPr>
              <w:pStyle w:val="17"/>
            </w:pPr>
            <w:r>
              <w:t>功能分类科目</w:t>
            </w:r>
          </w:p>
        </w:tc>
        <w:tc>
          <w:tcPr>
            <w:tcW w:w="1361" w:type="dxa"/>
            <w:vMerge w:val="restart"/>
            <w:vAlign w:val="center"/>
          </w:tcPr>
          <w:p>
            <w:pPr>
              <w:pStyle w:val="17"/>
            </w:pPr>
            <w:r>
              <w:t>合计</w:t>
            </w:r>
          </w:p>
        </w:tc>
        <w:tc>
          <w:tcPr>
            <w:tcW w:w="1361" w:type="dxa"/>
            <w:vMerge w:val="restart"/>
            <w:vAlign w:val="center"/>
          </w:tcPr>
          <w:p>
            <w:pPr>
              <w:pStyle w:val="17"/>
            </w:pPr>
            <w:r>
              <w:t>基本支出</w:t>
            </w:r>
          </w:p>
        </w:tc>
        <w:tc>
          <w:tcPr>
            <w:tcW w:w="1361" w:type="dxa"/>
            <w:vMerge w:val="restart"/>
            <w:vAlign w:val="center"/>
          </w:tcPr>
          <w:p>
            <w:pPr>
              <w:pStyle w:val="17"/>
            </w:pPr>
            <w:r>
              <w:t>项目支出</w:t>
            </w:r>
          </w:p>
        </w:tc>
        <w:tc>
          <w:tcPr>
            <w:tcW w:w="1361" w:type="dxa"/>
            <w:vMerge w:val="restart"/>
            <w:vAlign w:val="center"/>
          </w:tcPr>
          <w:p>
            <w:pPr>
              <w:pStyle w:val="17"/>
            </w:pPr>
            <w:r>
              <w:t>经营支出</w:t>
            </w:r>
          </w:p>
        </w:tc>
        <w:tc>
          <w:tcPr>
            <w:tcW w:w="1361" w:type="dxa"/>
            <w:vMerge w:val="restart"/>
            <w:vAlign w:val="center"/>
          </w:tcPr>
          <w:p>
            <w:pPr>
              <w:pStyle w:val="17"/>
            </w:pPr>
            <w:r>
              <w:t>上解上级     支出</w:t>
            </w:r>
          </w:p>
        </w:tc>
        <w:tc>
          <w:tcPr>
            <w:tcW w:w="1361" w:type="dxa"/>
            <w:vMerge w:val="restart"/>
            <w:vAlign w:val="center"/>
          </w:tcPr>
          <w:p>
            <w:pPr>
              <w:pStyle w:val="1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7"/>
            </w:pPr>
            <w:r>
              <w:t>科目    编码</w:t>
            </w:r>
          </w:p>
        </w:tc>
        <w:tc>
          <w:tcPr>
            <w:tcW w:w="4535" w:type="dxa"/>
            <w:vAlign w:val="center"/>
          </w:tcPr>
          <w:p>
            <w:pPr>
              <w:pStyle w:val="1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992" w:type="dxa"/>
            <w:vAlign w:val="center"/>
          </w:tcPr>
          <w:p>
            <w:pPr>
              <w:pStyle w:val="17"/>
            </w:pPr>
            <w:r>
              <w:t>1</w:t>
            </w:r>
          </w:p>
        </w:tc>
        <w:tc>
          <w:tcPr>
            <w:tcW w:w="4535" w:type="dxa"/>
            <w:vAlign w:val="center"/>
          </w:tcPr>
          <w:p>
            <w:pPr>
              <w:pStyle w:val="17"/>
            </w:pPr>
            <w:r>
              <w:t>2</w:t>
            </w:r>
          </w:p>
        </w:tc>
        <w:tc>
          <w:tcPr>
            <w:tcW w:w="1361" w:type="dxa"/>
            <w:vAlign w:val="center"/>
          </w:tcPr>
          <w:p>
            <w:pPr>
              <w:pStyle w:val="17"/>
            </w:pPr>
            <w:r>
              <w:t>3</w:t>
            </w:r>
          </w:p>
        </w:tc>
        <w:tc>
          <w:tcPr>
            <w:tcW w:w="1361" w:type="dxa"/>
            <w:vAlign w:val="center"/>
          </w:tcPr>
          <w:p>
            <w:pPr>
              <w:pStyle w:val="17"/>
            </w:pPr>
            <w:r>
              <w:t>4</w:t>
            </w:r>
          </w:p>
        </w:tc>
        <w:tc>
          <w:tcPr>
            <w:tcW w:w="1361" w:type="dxa"/>
            <w:vAlign w:val="center"/>
          </w:tcPr>
          <w:p>
            <w:pPr>
              <w:pStyle w:val="17"/>
            </w:pPr>
            <w:r>
              <w:t>5</w:t>
            </w:r>
          </w:p>
        </w:tc>
        <w:tc>
          <w:tcPr>
            <w:tcW w:w="1361" w:type="dxa"/>
            <w:vAlign w:val="center"/>
          </w:tcPr>
          <w:p>
            <w:pPr>
              <w:pStyle w:val="17"/>
            </w:pPr>
            <w:r>
              <w:t>6</w:t>
            </w:r>
          </w:p>
        </w:tc>
        <w:tc>
          <w:tcPr>
            <w:tcW w:w="1361" w:type="dxa"/>
            <w:vAlign w:val="center"/>
          </w:tcPr>
          <w:p>
            <w:pPr>
              <w:pStyle w:val="17"/>
            </w:pPr>
            <w:r>
              <w:t>7</w:t>
            </w:r>
          </w:p>
        </w:tc>
        <w:tc>
          <w:tcPr>
            <w:tcW w:w="1361" w:type="dxa"/>
            <w:vAlign w:val="center"/>
          </w:tcPr>
          <w:p>
            <w:pPr>
              <w:pStyle w:val="1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992" w:type="dxa"/>
            <w:vAlign w:val="center"/>
          </w:tcPr>
          <w:p>
            <w:pPr>
              <w:pStyle w:val="23"/>
            </w:pPr>
          </w:p>
        </w:tc>
        <w:tc>
          <w:tcPr>
            <w:tcW w:w="4535" w:type="dxa"/>
            <w:vAlign w:val="center"/>
          </w:tcPr>
          <w:p>
            <w:pPr>
              <w:pStyle w:val="21"/>
            </w:pPr>
            <w:r>
              <w:t>合计</w:t>
            </w:r>
          </w:p>
        </w:tc>
        <w:tc>
          <w:tcPr>
            <w:tcW w:w="1361" w:type="dxa"/>
            <w:vAlign w:val="center"/>
          </w:tcPr>
          <w:p>
            <w:pPr>
              <w:pStyle w:val="22"/>
            </w:pPr>
            <w:r>
              <w:t>51886800.00</w:t>
            </w:r>
          </w:p>
        </w:tc>
        <w:tc>
          <w:tcPr>
            <w:tcW w:w="1361" w:type="dxa"/>
            <w:vAlign w:val="center"/>
          </w:tcPr>
          <w:p>
            <w:pPr>
              <w:pStyle w:val="22"/>
            </w:pPr>
            <w:r>
              <w:t>4809400.00</w:t>
            </w:r>
          </w:p>
        </w:tc>
        <w:tc>
          <w:tcPr>
            <w:tcW w:w="1361" w:type="dxa"/>
            <w:vAlign w:val="center"/>
          </w:tcPr>
          <w:p>
            <w:pPr>
              <w:pStyle w:val="22"/>
            </w:pPr>
            <w:r>
              <w:t>47077400.00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1548000.00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11973400.00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99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pPr>
              <w:pStyle w:val="18"/>
              <w:rPr>
                <w:rFonts w:hint="eastAsia" w:asciiTheme="minorEastAsia" w:hAnsiTheme="minorEastAsia" w:eastAsiaTheme="minorEastAsia" w:cstheme="minorEastAsia"/>
              </w:rPr>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3402" w:type="dxa"/>
            <w:tcBorders>
              <w:top w:val="single" w:color="FFFFFF" w:sz="6" w:space="0"/>
              <w:left w:val="single" w:color="FFFFFF" w:sz="6" w:space="0"/>
              <w:right w:val="single" w:color="FFFFFF" w:sz="6" w:space="0"/>
            </w:tcBorders>
            <w:vAlign w:val="center"/>
          </w:tcPr>
          <w:p>
            <w:pPr>
              <w:pStyle w:val="1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4876" w:type="dxa"/>
            <w:gridSpan w:val="2"/>
            <w:vAlign w:val="center"/>
          </w:tcPr>
          <w:p>
            <w:pPr>
              <w:pStyle w:val="17"/>
            </w:pPr>
            <w:r>
              <w:t>收入</w:t>
            </w:r>
          </w:p>
        </w:tc>
        <w:tc>
          <w:tcPr>
            <w:tcW w:w="9298" w:type="dxa"/>
            <w:gridSpan w:val="5"/>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7"/>
            </w:pPr>
            <w:r>
              <w:t>项  目</w:t>
            </w:r>
          </w:p>
        </w:tc>
        <w:tc>
          <w:tcPr>
            <w:tcW w:w="1474" w:type="dxa"/>
            <w:vAlign w:val="center"/>
          </w:tcPr>
          <w:p>
            <w:pPr>
              <w:pStyle w:val="17"/>
            </w:pPr>
            <w:r>
              <w:t>金额</w:t>
            </w:r>
          </w:p>
        </w:tc>
        <w:tc>
          <w:tcPr>
            <w:tcW w:w="3402" w:type="dxa"/>
            <w:vAlign w:val="center"/>
          </w:tcPr>
          <w:p>
            <w:pPr>
              <w:pStyle w:val="17"/>
            </w:pPr>
            <w:r>
              <w:t>项  目</w:t>
            </w:r>
          </w:p>
        </w:tc>
        <w:tc>
          <w:tcPr>
            <w:tcW w:w="1474" w:type="dxa"/>
            <w:vAlign w:val="center"/>
          </w:tcPr>
          <w:p>
            <w:pPr>
              <w:pStyle w:val="17"/>
            </w:pPr>
            <w:r>
              <w:t>合计</w:t>
            </w:r>
          </w:p>
        </w:tc>
        <w:tc>
          <w:tcPr>
            <w:tcW w:w="1474" w:type="dxa"/>
            <w:vAlign w:val="center"/>
          </w:tcPr>
          <w:p>
            <w:pPr>
              <w:pStyle w:val="17"/>
            </w:pPr>
            <w:r>
              <w:t>一般公共预算财政拨款</w:t>
            </w:r>
          </w:p>
        </w:tc>
        <w:tc>
          <w:tcPr>
            <w:tcW w:w="1474" w:type="dxa"/>
            <w:vAlign w:val="center"/>
          </w:tcPr>
          <w:p>
            <w:pPr>
              <w:pStyle w:val="17"/>
            </w:pPr>
            <w:r>
              <w:t>政府性基金预算财政    拨款</w:t>
            </w:r>
          </w:p>
        </w:tc>
        <w:tc>
          <w:tcPr>
            <w:tcW w:w="1474" w:type="dxa"/>
            <w:vAlign w:val="center"/>
          </w:tcPr>
          <w:p>
            <w:pPr>
              <w:pStyle w:val="1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3402" w:type="dxa"/>
            <w:vAlign w:val="center"/>
          </w:tcPr>
          <w:p>
            <w:pPr>
              <w:pStyle w:val="17"/>
            </w:pPr>
            <w:r>
              <w:t>1</w:t>
            </w:r>
          </w:p>
        </w:tc>
        <w:tc>
          <w:tcPr>
            <w:tcW w:w="1474" w:type="dxa"/>
            <w:vAlign w:val="center"/>
          </w:tcPr>
          <w:p>
            <w:pPr>
              <w:pStyle w:val="17"/>
            </w:pPr>
            <w:r>
              <w:t>2</w:t>
            </w:r>
          </w:p>
        </w:tc>
        <w:tc>
          <w:tcPr>
            <w:tcW w:w="3402" w:type="dxa"/>
            <w:vAlign w:val="center"/>
          </w:tcPr>
          <w:p>
            <w:pPr>
              <w:pStyle w:val="17"/>
            </w:pPr>
            <w:r>
              <w:t>3</w:t>
            </w:r>
          </w:p>
        </w:tc>
        <w:tc>
          <w:tcPr>
            <w:tcW w:w="1474" w:type="dxa"/>
            <w:vAlign w:val="center"/>
          </w:tcPr>
          <w:p>
            <w:pPr>
              <w:pStyle w:val="17"/>
            </w:pPr>
            <w:r>
              <w:t>4</w:t>
            </w:r>
          </w:p>
        </w:tc>
        <w:tc>
          <w:tcPr>
            <w:tcW w:w="1474" w:type="dxa"/>
            <w:vAlign w:val="center"/>
          </w:tcPr>
          <w:p>
            <w:pPr>
              <w:pStyle w:val="17"/>
            </w:pPr>
            <w:r>
              <w:t>5</w:t>
            </w:r>
          </w:p>
        </w:tc>
        <w:tc>
          <w:tcPr>
            <w:tcW w:w="1474" w:type="dxa"/>
            <w:vAlign w:val="center"/>
          </w:tcPr>
          <w:p>
            <w:pPr>
              <w:pStyle w:val="17"/>
            </w:pPr>
            <w:r>
              <w:t>6</w:t>
            </w:r>
          </w:p>
        </w:tc>
        <w:tc>
          <w:tcPr>
            <w:tcW w:w="1474" w:type="dxa"/>
            <w:vAlign w:val="center"/>
          </w:tcPr>
          <w:p>
            <w:pPr>
              <w:pStyle w:val="1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35692800.00</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一、一般公共服务支出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二、外交支出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w:t>
            </w: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三、国防支出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四、公共安全支出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五、教育支出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六、科学技术支出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七、文化旅游体育与传媒支出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八、社会保障和就业支出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九、社会保险基金支出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十、卫生健康支出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十一、节能环保支出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十二、城乡社区支出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十三、农林水支出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十四、交通运输支出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十五、资源勘探工业信息等支出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十六、商业服务业等支出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十七、金融支出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十八、援助其他地区支出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十九、自然资源海洋气象等支出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二十、住房保障支出</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474"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二十一、粮油物资储备支出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二十二、国有资本经营预算支出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二十三、灾害防治及应急管理支出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二十四、预备费</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二十五、其他支出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二十六、转移性支出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二十七、债务还本支出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二十八、债务付息支出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二十九、债务发行费用支出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三十、抗疫特别国债安排的支出</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3402" w:type="dxa"/>
            <w:vAlign w:val="center"/>
          </w:tcPr>
          <w:p>
            <w:pPr>
              <w:pStyle w:val="21"/>
            </w:pPr>
            <w:r>
              <w:t>本年收入合计</w:t>
            </w:r>
          </w:p>
        </w:tc>
        <w:tc>
          <w:tcPr>
            <w:tcW w:w="1474" w:type="dxa"/>
            <w:vAlign w:val="center"/>
          </w:tcPr>
          <w:p>
            <w:pPr>
              <w:pStyle w:val="22"/>
            </w:pPr>
            <w:r>
              <w:t>51886800.00</w:t>
            </w:r>
          </w:p>
        </w:tc>
        <w:tc>
          <w:tcPr>
            <w:tcW w:w="3402" w:type="dxa"/>
            <w:vAlign w:val="center"/>
          </w:tcPr>
          <w:p>
            <w:pPr>
              <w:pStyle w:val="21"/>
            </w:pPr>
            <w:r>
              <w:t>本年支出合计</w:t>
            </w:r>
          </w:p>
        </w:tc>
        <w:tc>
          <w:tcPr>
            <w:tcW w:w="1474" w:type="dxa"/>
            <w:vAlign w:val="center"/>
          </w:tcPr>
          <w:p>
            <w:pPr>
              <w:pStyle w:val="22"/>
            </w:pPr>
            <w:r>
              <w:t>51886800.00</w:t>
            </w:r>
          </w:p>
        </w:tc>
        <w:tc>
          <w:tcPr>
            <w:tcW w:w="1474" w:type="dxa"/>
            <w:vAlign w:val="center"/>
          </w:tcPr>
          <w:p>
            <w:pPr>
              <w:pStyle w:val="22"/>
            </w:pPr>
            <w:r>
              <w:t>35692800.00</w:t>
            </w:r>
          </w:p>
        </w:tc>
        <w:tc>
          <w:tcPr>
            <w:tcW w:w="1474" w:type="dxa"/>
            <w:vAlign w:val="center"/>
          </w:tcPr>
          <w:p>
            <w:pPr>
              <w:pStyle w:val="22"/>
            </w:pPr>
            <w:r>
              <w:t>16194000.00</w:t>
            </w:r>
          </w:p>
        </w:tc>
        <w:tc>
          <w:tcPr>
            <w:tcW w:w="1474"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年初财政拨款结转和结余</w:t>
            </w: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年末财政拨款结转和结余</w:t>
            </w: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w:t>
            </w: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34</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w:t>
            </w: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35</w:t>
            </w:r>
          </w:p>
        </w:tc>
        <w:tc>
          <w:tcPr>
            <w:tcW w:w="3402"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w:t>
            </w:r>
          </w:p>
        </w:tc>
        <w:tc>
          <w:tcPr>
            <w:tcW w:w="1474" w:type="dxa"/>
            <w:vAlign w:val="center"/>
          </w:tcPr>
          <w:p>
            <w:pPr>
              <w:pStyle w:val="18"/>
              <w:rPr>
                <w:rFonts w:hint="eastAsia" w:asciiTheme="minorEastAsia" w:hAnsiTheme="minorEastAsia" w:eastAsiaTheme="minorEastAsia" w:cstheme="minorEastAsia"/>
              </w:rPr>
            </w:pPr>
          </w:p>
        </w:tc>
        <w:tc>
          <w:tcPr>
            <w:tcW w:w="3402" w:type="dxa"/>
            <w:vAlign w:val="center"/>
          </w:tcPr>
          <w:p>
            <w:pPr>
              <w:pStyle w:val="19"/>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c>
          <w:tcPr>
            <w:tcW w:w="1474"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36</w:t>
            </w:r>
          </w:p>
        </w:tc>
        <w:tc>
          <w:tcPr>
            <w:tcW w:w="3402" w:type="dxa"/>
            <w:vAlign w:val="center"/>
          </w:tcPr>
          <w:p>
            <w:pPr>
              <w:pStyle w:val="21"/>
            </w:pPr>
            <w:r>
              <w:t>收入总计</w:t>
            </w:r>
          </w:p>
        </w:tc>
        <w:tc>
          <w:tcPr>
            <w:tcW w:w="1474" w:type="dxa"/>
            <w:vAlign w:val="center"/>
          </w:tcPr>
          <w:p>
            <w:pPr>
              <w:pStyle w:val="22"/>
            </w:pPr>
            <w:r>
              <w:t>51886800.00</w:t>
            </w:r>
          </w:p>
        </w:tc>
        <w:tc>
          <w:tcPr>
            <w:tcW w:w="3402" w:type="dxa"/>
            <w:vAlign w:val="center"/>
          </w:tcPr>
          <w:p>
            <w:pPr>
              <w:pStyle w:val="21"/>
            </w:pPr>
            <w:r>
              <w:t>支出总计</w:t>
            </w:r>
          </w:p>
        </w:tc>
        <w:tc>
          <w:tcPr>
            <w:tcW w:w="1474" w:type="dxa"/>
            <w:vAlign w:val="center"/>
          </w:tcPr>
          <w:p>
            <w:pPr>
              <w:pStyle w:val="22"/>
            </w:pPr>
            <w:r>
              <w:t>51886800.00</w:t>
            </w:r>
          </w:p>
        </w:tc>
        <w:tc>
          <w:tcPr>
            <w:tcW w:w="1474" w:type="dxa"/>
            <w:vAlign w:val="center"/>
          </w:tcPr>
          <w:p>
            <w:pPr>
              <w:pStyle w:val="22"/>
            </w:pPr>
            <w:r>
              <w:t>35692800.00</w:t>
            </w:r>
          </w:p>
        </w:tc>
        <w:tc>
          <w:tcPr>
            <w:tcW w:w="1474" w:type="dxa"/>
            <w:vAlign w:val="center"/>
          </w:tcPr>
          <w:p>
            <w:pPr>
              <w:pStyle w:val="22"/>
            </w:pPr>
            <w:r>
              <w:t>16194000.00</w:t>
            </w:r>
          </w:p>
        </w:tc>
        <w:tc>
          <w:tcPr>
            <w:tcW w:w="1474" w:type="dxa"/>
            <w:vAlign w:val="center"/>
          </w:tcPr>
          <w:p>
            <w:pPr>
              <w:pStyle w:val="22"/>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1191" w:type="dxa"/>
            <w:vAlign w:val="center"/>
          </w:tcPr>
          <w:p>
            <w:pPr>
              <w:pStyle w:val="23"/>
            </w:pPr>
          </w:p>
        </w:tc>
        <w:tc>
          <w:tcPr>
            <w:tcW w:w="4535" w:type="dxa"/>
            <w:vAlign w:val="center"/>
          </w:tcPr>
          <w:p>
            <w:pPr>
              <w:pStyle w:val="21"/>
            </w:pPr>
            <w:r>
              <w:t>合计</w:t>
            </w:r>
          </w:p>
        </w:tc>
        <w:tc>
          <w:tcPr>
            <w:tcW w:w="2551" w:type="dxa"/>
            <w:vAlign w:val="center"/>
          </w:tcPr>
          <w:p>
            <w:pPr>
              <w:pStyle w:val="22"/>
            </w:pPr>
            <w:r>
              <w:t>35692800.00</w:t>
            </w:r>
          </w:p>
        </w:tc>
        <w:tc>
          <w:tcPr>
            <w:tcW w:w="2551" w:type="dxa"/>
            <w:vAlign w:val="center"/>
          </w:tcPr>
          <w:p>
            <w:pPr>
              <w:pStyle w:val="22"/>
            </w:pPr>
            <w:r>
              <w:t>4809400.00</w:t>
            </w:r>
          </w:p>
        </w:tc>
        <w:tc>
          <w:tcPr>
            <w:tcW w:w="2551" w:type="dxa"/>
            <w:vAlign w:val="center"/>
          </w:tcPr>
          <w:p>
            <w:pPr>
              <w:pStyle w:val="22"/>
            </w:pPr>
            <w:r>
              <w:t>30883400.00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1548000.00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11973400.00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支出部门经济分类科目</w:t>
            </w:r>
          </w:p>
        </w:tc>
        <w:tc>
          <w:tcPr>
            <w:tcW w:w="7654" w:type="dxa"/>
            <w:gridSpan w:val="3"/>
            <w:vAlign w:val="center"/>
          </w:tcPr>
          <w:p>
            <w:pPr>
              <w:pStyle w:val="1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Align w:val="center"/>
          </w:tcPr>
          <w:p>
            <w:pPr>
              <w:pStyle w:val="17"/>
            </w:pPr>
            <w:r>
              <w:t>合计</w:t>
            </w:r>
          </w:p>
        </w:tc>
        <w:tc>
          <w:tcPr>
            <w:tcW w:w="2551" w:type="dxa"/>
            <w:vAlign w:val="center"/>
          </w:tcPr>
          <w:p>
            <w:pPr>
              <w:pStyle w:val="17"/>
            </w:pPr>
            <w:r>
              <w:t>人员经费</w:t>
            </w:r>
          </w:p>
        </w:tc>
        <w:tc>
          <w:tcPr>
            <w:tcW w:w="2551" w:type="dxa"/>
            <w:vAlign w:val="center"/>
          </w:tcPr>
          <w:p>
            <w:pPr>
              <w:pStyle w:val="1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1191" w:type="dxa"/>
            <w:vAlign w:val="center"/>
          </w:tcPr>
          <w:p>
            <w:pPr>
              <w:pStyle w:val="23"/>
            </w:pPr>
          </w:p>
        </w:tc>
        <w:tc>
          <w:tcPr>
            <w:tcW w:w="4535" w:type="dxa"/>
            <w:vAlign w:val="center"/>
          </w:tcPr>
          <w:p>
            <w:pPr>
              <w:pStyle w:val="21"/>
            </w:pPr>
            <w:r>
              <w:t>合计</w:t>
            </w:r>
          </w:p>
        </w:tc>
        <w:tc>
          <w:tcPr>
            <w:tcW w:w="2551" w:type="dxa"/>
            <w:vAlign w:val="center"/>
          </w:tcPr>
          <w:p>
            <w:pPr>
              <w:pStyle w:val="22"/>
            </w:pPr>
            <w:r>
              <w:t>4809400.00</w:t>
            </w:r>
          </w:p>
        </w:tc>
        <w:tc>
          <w:tcPr>
            <w:tcW w:w="2551" w:type="dxa"/>
            <w:vAlign w:val="center"/>
          </w:tcPr>
          <w:p>
            <w:pPr>
              <w:pStyle w:val="22"/>
            </w:pPr>
            <w:r>
              <w:t>3289400.00</w:t>
            </w:r>
          </w:p>
        </w:tc>
        <w:tc>
          <w:tcPr>
            <w:tcW w:w="2551" w:type="dxa"/>
            <w:vAlign w:val="center"/>
          </w:tcPr>
          <w:p>
            <w:pPr>
              <w:pStyle w:val="22"/>
            </w:pPr>
            <w:r>
              <w:t>1520000.00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工资福利支出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2944400.00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2944400.00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基本工资</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1322200.00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1322200.00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津贴补贴</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270000.00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270000.00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奖金</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497000.00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497000.00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30107</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绩效工资</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226000.00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226000.00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职业年金缴费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城镇职工基本医疗保险缴费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105000.00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105000.00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其他社会保障缴费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商品和服务支出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1440000.00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1440000.00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办公费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320000.00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印刷费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水费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30206</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电费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30207</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邮电费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60000.00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物业管理费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30211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差旅费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30213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维修(护)费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30226</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劳务费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21000.00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30231</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公务用车运行维护费</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30239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其他交通费用</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对个人和家庭的补助</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345000.00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345000.00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生活补助</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40000.00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40000.00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30309</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奖励金</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305000.00</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305000.00</w:t>
            </w:r>
          </w:p>
        </w:tc>
        <w:tc>
          <w:tcPr>
            <w:tcW w:w="255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310</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资本性支出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31002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办公设备购置</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1191" w:type="dxa"/>
            <w:vAlign w:val="center"/>
          </w:tcPr>
          <w:p>
            <w:pPr>
              <w:pStyle w:val="23"/>
            </w:pPr>
          </w:p>
        </w:tc>
        <w:tc>
          <w:tcPr>
            <w:tcW w:w="4535" w:type="dxa"/>
            <w:vAlign w:val="center"/>
          </w:tcPr>
          <w:p>
            <w:pPr>
              <w:pStyle w:val="21"/>
            </w:pPr>
            <w:r>
              <w:t>合计</w:t>
            </w:r>
          </w:p>
        </w:tc>
        <w:tc>
          <w:tcPr>
            <w:tcW w:w="2551" w:type="dxa"/>
            <w:vAlign w:val="center"/>
          </w:tcPr>
          <w:p>
            <w:pPr>
              <w:pStyle w:val="22"/>
            </w:pPr>
            <w:r>
              <w:t>16194000.00</w:t>
            </w:r>
          </w:p>
        </w:tc>
        <w:tc>
          <w:tcPr>
            <w:tcW w:w="2551" w:type="dxa"/>
            <w:vAlign w:val="center"/>
          </w:tcPr>
          <w:p>
            <w:pPr>
              <w:pStyle w:val="22"/>
            </w:pPr>
          </w:p>
        </w:tc>
        <w:tc>
          <w:tcPr>
            <w:tcW w:w="2551" w:type="dxa"/>
            <w:vAlign w:val="center"/>
          </w:tcPr>
          <w:p>
            <w:pPr>
              <w:pStyle w:val="22"/>
            </w:pPr>
            <w: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1191"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4535"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2551" w:type="dxa"/>
            <w:vAlign w:val="center"/>
          </w:tcPr>
          <w:p>
            <w:pPr>
              <w:pStyle w:val="18"/>
              <w:rPr>
                <w:rFonts w:hint="eastAsia" w:asciiTheme="minorEastAsia" w:hAnsiTheme="minorEastAsia" w:eastAsiaTheme="minorEastAsia" w:cstheme="minorEastAsia"/>
              </w:rPr>
            </w:pPr>
          </w:p>
        </w:tc>
        <w:tc>
          <w:tcPr>
            <w:tcW w:w="255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p>
        </w:tc>
        <w:tc>
          <w:tcPr>
            <w:tcW w:w="1191" w:type="dxa"/>
            <w:vAlign w:val="center"/>
          </w:tcPr>
          <w:p>
            <w:pPr>
              <w:pStyle w:val="19"/>
            </w:pPr>
          </w:p>
        </w:tc>
        <w:tc>
          <w:tcPr>
            <w:tcW w:w="4535" w:type="dxa"/>
            <w:vAlign w:val="center"/>
          </w:tcPr>
          <w:p>
            <w:pPr>
              <w:pStyle w:val="19"/>
            </w:pPr>
          </w:p>
        </w:tc>
        <w:tc>
          <w:tcPr>
            <w:tcW w:w="2551" w:type="dxa"/>
            <w:vAlign w:val="center"/>
          </w:tcPr>
          <w:p>
            <w:pPr>
              <w:pStyle w:val="18"/>
            </w:pPr>
          </w:p>
        </w:tc>
        <w:tc>
          <w:tcPr>
            <w:tcW w:w="2551" w:type="dxa"/>
            <w:vAlign w:val="center"/>
          </w:tcPr>
          <w:p>
            <w:pPr>
              <w:pStyle w:val="18"/>
            </w:pPr>
          </w:p>
        </w:tc>
        <w:tc>
          <w:tcPr>
            <w:tcW w:w="2551" w:type="dxa"/>
            <w:vAlign w:val="center"/>
          </w:tcPr>
          <w:p>
            <w:pPr>
              <w:pStyle w:val="18"/>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6"/>
            </w:pPr>
            <w:r>
              <w:t>324馆陶县自然资源和规划局</w:t>
            </w:r>
          </w:p>
        </w:tc>
        <w:tc>
          <w:tcPr>
            <w:tcW w:w="2381" w:type="dxa"/>
            <w:tcBorders>
              <w:top w:val="single" w:color="FFFFFF" w:sz="6" w:space="0"/>
              <w:left w:val="single" w:color="FFFFFF" w:sz="6" w:space="0"/>
              <w:right w:val="single" w:color="FFFFFF" w:sz="6" w:space="0"/>
            </w:tcBorders>
            <w:vAlign w:val="center"/>
          </w:tcPr>
          <w:p>
            <w:pPr>
              <w:pStyle w:val="1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3798" w:type="dxa"/>
            <w:vMerge w:val="restart"/>
            <w:vAlign w:val="center"/>
          </w:tcPr>
          <w:p>
            <w:pPr>
              <w:pStyle w:val="17"/>
            </w:pPr>
            <w:r>
              <w:t>项  目</w:t>
            </w:r>
          </w:p>
        </w:tc>
        <w:tc>
          <w:tcPr>
            <w:tcW w:w="9524" w:type="dxa"/>
            <w:gridSpan w:val="4"/>
            <w:vAlign w:val="center"/>
          </w:tcPr>
          <w:p>
            <w:pPr>
              <w:pStyle w:val="1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7"/>
            </w:pPr>
            <w:r>
              <w:t>合计</w:t>
            </w:r>
          </w:p>
        </w:tc>
        <w:tc>
          <w:tcPr>
            <w:tcW w:w="2381" w:type="dxa"/>
            <w:vAlign w:val="center"/>
          </w:tcPr>
          <w:p>
            <w:pPr>
              <w:pStyle w:val="17"/>
            </w:pPr>
            <w:r>
              <w:t>一般公共预算              财政拨款</w:t>
            </w:r>
          </w:p>
        </w:tc>
        <w:tc>
          <w:tcPr>
            <w:tcW w:w="2381" w:type="dxa"/>
            <w:vAlign w:val="center"/>
          </w:tcPr>
          <w:p>
            <w:pPr>
              <w:pStyle w:val="17"/>
            </w:pPr>
            <w:r>
              <w:t>政府性基金                  预算拨款</w:t>
            </w:r>
          </w:p>
        </w:tc>
        <w:tc>
          <w:tcPr>
            <w:tcW w:w="2381" w:type="dxa"/>
            <w:vAlign w:val="center"/>
          </w:tcPr>
          <w:p>
            <w:pPr>
              <w:pStyle w:val="1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7"/>
            </w:pPr>
            <w:r>
              <w:t>栏次</w:t>
            </w:r>
          </w:p>
        </w:tc>
        <w:tc>
          <w:tcPr>
            <w:tcW w:w="3798" w:type="dxa"/>
            <w:vAlign w:val="center"/>
          </w:tcPr>
          <w:p>
            <w:pPr>
              <w:pStyle w:val="17"/>
            </w:pPr>
            <w:r>
              <w:t>1</w:t>
            </w:r>
          </w:p>
        </w:tc>
        <w:tc>
          <w:tcPr>
            <w:tcW w:w="2381" w:type="dxa"/>
            <w:vAlign w:val="center"/>
          </w:tcPr>
          <w:p>
            <w:pPr>
              <w:pStyle w:val="17"/>
            </w:pPr>
            <w:r>
              <w:t>2</w:t>
            </w:r>
          </w:p>
        </w:tc>
        <w:tc>
          <w:tcPr>
            <w:tcW w:w="2381" w:type="dxa"/>
            <w:vAlign w:val="center"/>
          </w:tcPr>
          <w:p>
            <w:pPr>
              <w:pStyle w:val="17"/>
            </w:pPr>
            <w:r>
              <w:t>3</w:t>
            </w:r>
          </w:p>
        </w:tc>
        <w:tc>
          <w:tcPr>
            <w:tcW w:w="2381" w:type="dxa"/>
            <w:vAlign w:val="center"/>
          </w:tcPr>
          <w:p>
            <w:pPr>
              <w:pStyle w:val="17"/>
            </w:pPr>
            <w:r>
              <w:t>4</w:t>
            </w:r>
          </w:p>
        </w:tc>
        <w:tc>
          <w:tcPr>
            <w:tcW w:w="238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bookmarkStart w:id="18" w:name="_GoBack" w:colFirst="1" w:colLast="5"/>
            <w:r>
              <w:rPr>
                <w:rFonts w:hint="eastAsia"/>
                <w:lang w:eastAsia="zh-CN"/>
              </w:rPr>
              <w:t>1</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合计</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rPr>
                <w:rFonts w:hint="eastAsia"/>
                <w:lang w:eastAsia="zh-CN"/>
              </w:rPr>
              <w:t>2</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一、因公出国（境）费</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rPr>
                <w:rFonts w:hint="eastAsia"/>
                <w:lang w:eastAsia="zh-CN"/>
              </w:rPr>
              <w:t>3</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二、公务用车购置及运维费</w:t>
            </w:r>
          </w:p>
        </w:tc>
        <w:tc>
          <w:tcPr>
            <w:tcW w:w="238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rPr>
                <w:rFonts w:hint="eastAsia"/>
                <w:lang w:eastAsia="zh-CN"/>
              </w:rPr>
              <w:t>4</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其中：公务用车购置费</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rPr>
                <w:rFonts w:hint="eastAsia"/>
                <w:lang w:eastAsia="zh-CN"/>
              </w:rPr>
              <w:t>5</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 xml:space="preserve">           公务用车运行费</w:t>
            </w:r>
          </w:p>
        </w:tc>
        <w:tc>
          <w:tcPr>
            <w:tcW w:w="238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rPr>
                <w:rFonts w:hint="eastAsia"/>
                <w:lang w:eastAsia="zh-CN"/>
              </w:rPr>
              <w:t>6</w:t>
            </w:r>
          </w:p>
        </w:tc>
        <w:tc>
          <w:tcPr>
            <w:tcW w:w="3798" w:type="dxa"/>
            <w:vAlign w:val="center"/>
          </w:tcPr>
          <w:p>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三、公务接待费</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pPr>
              <w:pStyle w:val="18"/>
              <w:rPr>
                <w:rFonts w:hint="eastAsia" w:asciiTheme="minorEastAsia" w:hAnsiTheme="minorEastAsia" w:eastAsiaTheme="minorEastAsia" w:cstheme="minorEastAsia"/>
              </w:rPr>
            </w:pPr>
          </w:p>
        </w:tc>
        <w:tc>
          <w:tcPr>
            <w:tcW w:w="2381" w:type="dxa"/>
            <w:vAlign w:val="center"/>
          </w:tcPr>
          <w:p>
            <w:pPr>
              <w:pStyle w:val="18"/>
              <w:rPr>
                <w:rFonts w:hint="eastAsia" w:asciiTheme="minorEastAsia" w:hAnsiTheme="minorEastAsia" w:eastAsiaTheme="minorEastAsia" w:cstheme="minorEastAsia"/>
              </w:rPr>
            </w:pPr>
          </w:p>
        </w:tc>
      </w:tr>
      <w:bookmarkEnd w:id="18"/>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馆陶县自然资源和规划局2022年部门预算信息公开情况说明</w:t>
      </w:r>
    </w:p>
    <w:p>
      <w:pPr>
        <w:jc w:val="center"/>
      </w:pPr>
      <w:r>
        <w:rPr>
          <w:rFonts w:ascii="方正小标宋_GBK" w:hAnsi="方正小标宋_GBK" w:eastAsia="方正小标宋_GBK" w:cs="方正小标宋_GBK"/>
          <w:color w:val="000000"/>
          <w:sz w:val="44"/>
        </w:rPr>
        <w:t>馆陶县自然资源和规划局2022年部门预算信息公开情况说明</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按照《中华人民共和国预算法》、《地方预决算公开操作规程》和《关于进一步推进预算公开工作的实施意见》规定，现将馆陶县自然资源和规划局2022年部门预算公开如下：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（一）履行全民所有土地、矿产、林地、草地、湿地、水等自然资源资产所有者职责和所有国土空间用途管制职责。监督检查自然资源和国土空间规划及测绘等法律法规的执行情况。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（九）负责管理全县地质勘查行业和地质工作。编制地质勘查规划并监督检查执行情况。管理县级地质勘查项目。组织实施重大地质矿产勘查专项。负责古生物化石的监督管理。</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（十）负责全县矿产资源管理工作。负责矿产资源储量管理。负责矿业权管理。会同有关部门负责落实保护性开采的特定矿种、优势矿产的调控及相关管理工作。负责矿产资源合理利用和保护工作。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（十一）负责全县测绘地理信息管理工作。负责基础测绘和测绘行业管理。负责测绘资质资格与信用管理，监督管理地理信息安全和市场秩序。负责地理信息公共服务管理。负责测量标志保护。</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（十二）推动全县自然资源领域科技发展。实施自然资源领域科技创新发展和人才培养战略、规划和计划。组织实施重大科技工程及创新能力建设，推进自然资源信息化和信息资料的公共服务。</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（十三）查处全县自然资源开发利用和国土空间规划及测绘重大违法案件。指导监督各乡镇、经济开发区有关行政执法工作。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（十四）负责组织编制、审查、报批和实施县域城镇体系规划、馆陶县城市总体规划、分区规划、详细规划、专项规划、城市设计和历史文化名城保护规划、风景名胜区规划及相关工作。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（二十）负责监督管理全县荒漠化防治工作。组织开展荒漠调查，组织拟订全县防沙治沙及沙化土地封禁保护区建设规划，监督管理沙化土地的开发利用。</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（二十四）落实全县林业和草原资源优化配置及木材利用政策，负责林产品质量监督和生态扶贫相关工作。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（二十六）承担林业综合行政执法工作；负责全县林业重大违法案件的查处，负责林业行政执法监管工作，负责林区社会治安治理工作。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（二十八）负责全县林业和草原科技、教育和外事工作，负责全县林业和草原人才队伍建设，组织实施林业和草原国际交流与合作事务，承担湿地、防治荒漠化、濒危野生动植物等国际公约履约工作。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（二十九）负责全县自然保护区、风景名胜区、自然遗产、地质公园等管理工作。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（三十）负责指导和组织各乡镇、经济开发区的规划编制及报批工作。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（三十一）负责城市规划区内建设规划的核实和批后管理。</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（三十二）组织开展全县自然资源对外交流合作。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（三十三）完成县委、县政府交办的其他任务。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7"/>
            </w:pPr>
            <w:r>
              <w:t>单位名称</w:t>
            </w:r>
          </w:p>
        </w:tc>
        <w:tc>
          <w:tcPr>
            <w:tcW w:w="1843" w:type="dxa"/>
            <w:vAlign w:val="center"/>
          </w:tcPr>
          <w:p>
            <w:pPr>
              <w:pStyle w:val="17"/>
            </w:pPr>
            <w:r>
              <w:t>单位性质</w:t>
            </w:r>
          </w:p>
        </w:tc>
        <w:tc>
          <w:tcPr>
            <w:tcW w:w="2126" w:type="dxa"/>
            <w:vAlign w:val="center"/>
          </w:tcPr>
          <w:p>
            <w:pPr>
              <w:pStyle w:val="17"/>
            </w:pPr>
            <w:r>
              <w:t>单位规格</w:t>
            </w:r>
          </w:p>
        </w:tc>
        <w:tc>
          <w:tcPr>
            <w:tcW w:w="3827" w:type="dxa"/>
            <w:vAlign w:val="center"/>
          </w:tcPr>
          <w:p>
            <w:pPr>
              <w:pStyle w:val="1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9"/>
            </w:pPr>
            <w:r>
              <w:t>馆陶县自然资源和规划局本级</w:t>
            </w:r>
          </w:p>
        </w:tc>
        <w:tc>
          <w:tcPr>
            <w:tcW w:w="1843" w:type="dxa"/>
            <w:vAlign w:val="center"/>
          </w:tcPr>
          <w:p>
            <w:pPr>
              <w:pStyle w:val="20"/>
            </w:pPr>
            <w:r>
              <w:t>事业</w:t>
            </w:r>
          </w:p>
        </w:tc>
        <w:tc>
          <w:tcPr>
            <w:tcW w:w="2126" w:type="dxa"/>
            <w:vAlign w:val="center"/>
          </w:tcPr>
          <w:p>
            <w:pPr>
              <w:pStyle w:val="20"/>
            </w:pPr>
            <w:r>
              <w:t>正科级</w:t>
            </w:r>
          </w:p>
        </w:tc>
        <w:tc>
          <w:tcPr>
            <w:tcW w:w="3827" w:type="dxa"/>
            <w:vAlign w:val="center"/>
          </w:tcPr>
          <w:p>
            <w:pPr>
              <w:pStyle w:val="20"/>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9"/>
            </w:pPr>
            <w:r>
              <w:t>馆陶县自然资源和规划局（事业）</w:t>
            </w:r>
          </w:p>
        </w:tc>
        <w:tc>
          <w:tcPr>
            <w:tcW w:w="1843" w:type="dxa"/>
            <w:vAlign w:val="center"/>
          </w:tcPr>
          <w:p>
            <w:pPr>
              <w:pStyle w:val="20"/>
            </w:pPr>
            <w:r>
              <w:t>事业</w:t>
            </w:r>
          </w:p>
        </w:tc>
        <w:tc>
          <w:tcPr>
            <w:tcW w:w="2126" w:type="dxa"/>
            <w:vAlign w:val="center"/>
          </w:tcPr>
          <w:p>
            <w:pPr>
              <w:pStyle w:val="20"/>
            </w:pPr>
            <w:r>
              <w:t>正科级</w:t>
            </w:r>
          </w:p>
        </w:tc>
        <w:tc>
          <w:tcPr>
            <w:tcW w:w="3827" w:type="dxa"/>
            <w:vAlign w:val="center"/>
          </w:tcPr>
          <w:p>
            <w:pPr>
              <w:pStyle w:val="20"/>
            </w:pPr>
            <w: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按照预算管理有关规定，目前我单位部门预算的编制实行综合预算管理，即全部收入和支出都反映的预算中。馆陶县自然资源和规划局的收支包含在部门预算中。</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1、收入说明</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反映本部门当年全部收入。2022年预算收入5188.68万元，其中：一般公共预算收入3569.28万元，基金预算收入1619.4万元，财政专户核拨收入0万元，其他来源收入0万元。</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2、支出说明</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预算总表支出栏、基本支出表、项目支出表按经济分类和支出功能分类科目编制，反映馆陶县自然资源和规划局年度部门预算中支出预算的总体情况。2022年部门支出预算为5188.68万元，其中：人员经费328.94万、公用经费为152万（公务交通补贴9万、移动通讯补贴6万），专项经费4707.74万（规划展馆运行经费5万,自然资源专项经费1197.34万，林业专项工作经费19万，2022年美国白蛾防治费15万，馆陶县土地征收成片开发方案服务项目资金40万，馆陶县2022年度卫片执法检查放线测绘项目资金10万，馆陶县总体城市设计、重点地区城市设计和大运河沿线城市建设风貌设计、控制性详细规划项目140万，农用地征收社保费1500万，重点项目测绘资金10万，土地勘测定界项目资金10万，全面推行林长制工作宣传发动及测绘工作项目资金5万，冀财资环［2021]117号河北省财政厅关于提前下达2022年度省级林业草原转移支付资金的通知220万，历史数据空间坐标修补测项目资金57万，馆陶县柴堡镇等6个乡镇国土空间规划编制项目100万，馆陶县土地整治项目资金1000万，馆陶县土地征收社会稳定风险分析评估项目资金50万，森林植被恢复费安排支出资金30万，国道G106馆陶段绕城改建工程土地组卷报批服务项目资金29.4万，冀财资环［2021]106号河北省财政厅关于提前下达2022年中央财政林业改革发展资金预算的通知270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3、比上年增减情况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2022年部门预算收支安排5188.68万元,较2021年减少2580.6736万元，其中：基本支出增加102.68万元,专项支出较2021年减少2683.3536万元。</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1" w:name="_Toc_3_3_0000000012"/>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机关运行经费安排情况</w:t>
      </w:r>
      <w:bookmarkEnd w:id="11"/>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2022年，我部门机关运行经费共计安排152万元，主要用于公用经费、公务员交通补贴支出。</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2" w:name="_Toc_3_3_0000000013"/>
      <w:r>
        <w:rPr>
          <w:rFonts w:hint="eastAsia" w:ascii="仿宋_GB2312" w:hAnsi="仿宋_GB2312" w:eastAsia="仿宋_GB2312" w:cs="仿宋_GB2312"/>
          <w:sz w:val="28"/>
          <w:szCs w:val="28"/>
        </w:rPr>
        <w:t>四、财政拨款“三公”经费预算情况及增减变化原因</w:t>
      </w:r>
      <w:bookmarkEnd w:id="12"/>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2022年，我部门财政拨款“三公”经费预算安排</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较上年增加0.9万元（为</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其中因公出国（境）费0万元，公务用车购置及运行维护费</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万元（其中：公务用车购置费0万元，公务用车运行维护费</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万元，公务接待费0万元。</w:t>
      </w:r>
      <w:r>
        <w:rPr>
          <w:rFonts w:hint="eastAsia" w:ascii="仿宋_GB2312" w:hAnsi="仿宋_GB2312" w:eastAsia="仿宋_GB2312" w:cs="仿宋_GB2312"/>
          <w:sz w:val="28"/>
          <w:szCs w:val="28"/>
          <w:lang w:eastAsia="zh-CN"/>
        </w:rPr>
        <w:t>增加的主要原因为：2021年车辆因疫情原因一直未修理，2022年计划将车辆彻底维修，申请增加车辆维护费预算</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3" w:name="_Toc_3_3_0000000014"/>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五、预算绩效信息</w:t>
      </w:r>
      <w:bookmarkEnd w:id="13"/>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部门整体绩效目标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（一）总体绩效目标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绩效目标：以习近平新时代中国特色社会主义思想为指导，全面贯彻党的十九大精神，认真落实党中央、国务院决策和省委、市委、县委部署，统筹推进“五位一体”总体布局和协调推进“四个全面”战略布局，牢固树立和贯彻落实新发展理念，完成耕地和基本农田保护任务，各行业合理用地需求得到保障，及时掌握全县土地变更信息，进一步提高土地节约集约利用水平;掌握地面沉降动态变化数据，提高地质灾害预警预报能力，为政府防灾减灾宏观决策提供最新、最全面的参考依据;规范做好自然资源国土空间规划编制和实施，用地计划、用地预审管理，发挥规划对实现空间治理现代化的引领作用，强化城乡规划与土地利用规划有效对接。以城乡规划和土地利用规划修编为抓手，深入推进空间规划体系和建设导则体系建设。严格按照《</w:t>
      </w:r>
      <w:r>
        <w:rPr>
          <w:rFonts w:hint="eastAsia" w:ascii="仿宋_GB2312" w:hAnsi="仿宋_GB2312" w:eastAsia="仿宋_GB2312" w:cs="仿宋_GB2312"/>
          <w:sz w:val="28"/>
          <w:szCs w:val="28"/>
          <w:lang w:eastAsia="zh-CN"/>
        </w:rPr>
        <w:t>中华人民</w:t>
      </w:r>
      <w:r>
        <w:rPr>
          <w:rFonts w:hint="eastAsia" w:ascii="仿宋_GB2312" w:hAnsi="仿宋_GB2312" w:eastAsia="仿宋_GB2312" w:cs="仿宋_GB2312"/>
          <w:sz w:val="28"/>
          <w:szCs w:val="28"/>
        </w:rPr>
        <w:t>共和国土地</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法》、《中华人民共和国城乡规划法》、《中华人民共和国森林法》相关法律规定，认真做好2022年自然资源和规划工作。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（二）分项绩效目标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分项绩效目标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（一）自然资源政务管理职责绩效目标: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绩效目标：（规范做好自然资源调查监测评价，全面推行自然资源工作依法行政，推动普法工作落实，做好行政复议、行政应诉工作，推进自然资源科技的应用和推广。提高自然资源事业发展保障能力，）</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绩效指标：1、综合事务管理工作任务完成率；2、综合业务管理工作完成率。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（二）土地资源管理职责绩效目标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绩效目标：组织开展土地级别与基准地价更新，编制县本级国有建设用地年度供应计划，加强国有建设用地供应管理，科学调控土地市场。</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绩效指标：县本级国有建设用地供地计划工作完成率。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（三）耕地保护监督职责绩效目标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绩效目标：完成相关耕地与基本农田保护管理工作，确保全省耕地保有量和基本农田保护面积，组织实施最严格的耕地保护制度。</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绩效指标：1、耕地质量检测评价与定级完成率；2、永久基本农田数据库更新监管率。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（四）自然资源调查监测职责绩效目标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绩效目标：利用现有相关自然资源调查成果，统一组织实施全线自然资源调查，掌握重要自然资源的数量、质量、分布、权属、保护和开发利用状况。农业、水力资源调查指导等相关工作。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绩效指标：定期组织实施全县性自然资源基础调查、变更调查、动态监测和分析评价。</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（五）地理信息管理职责绩效目标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绩效目标：加强地理信息成果管理和测量标志保护及重要的地理信息数据审核。为地理信息应急提供保障服务，加强地理信息公共服务指导监督。</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绩效指标：1、地理信息数据审核完成率；2、系统运行维护完成率；3、项目建设与运维完成率。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（六）自然资源和规划执法与监察职责绩效目标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绩效目标：保障执法检查的基础性建设，指导乡（镇）执法工作，加强日常执法监管，将违法解决在初始、遏制在萌芽。做好重大违法案件查处，严厉打击违法，维护群众合法权益</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绩效指标：1、重大案件处理情况向交办单位反馈率；基础性保障项目完成率；3、举报线索处置率。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（七）不动产确权登记职责绩效目标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绩效目标：推进各类自然资源和不动产统一确权登记、权籍调查。做好自然资源和不动产权属调查处理工作。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绩效指标：1、不动产权属争议调处达标率；2、房地一体宅基地和集体建设用地确权登记完成率；3、县不动产登记信息数据上报率。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（八）城乡规划指导职责绩效目标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绩效目标：提升城乡规划编制水平和经济开发区规划编制水平，搞好各乡(镇)村总体规划的编制审查工作。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绩效指标：1、规划数据库更新维护率；2、各类规划编制率；3、规划实施监测、评价完成率。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（九）国土空间规划职责绩效目标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绩效目标：规范做好国土空间各类规划编制和实施，充分发挥国土空间规划的管控作用。</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绩效指标：1、规划数据库更新维护率；2、各类规划编制率；3、规划实施监测、评价完成率。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（十）国土空间生态修复职责绩效目标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绩效目标：指导乡(镇）国土空间生态修复工作，提高群众满意度。</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绩效指标：1、群众满意度；2、项目工程完成情况。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（十一）林业生态保护职责绩效目标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绩效目标：加强森林资源保护力度、加强湿地保护恢复，促进全县生态环境进一步改善。</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绩效指标：1、林业资源保护管理工作任务完成率；2、湿地监测管理目标完成率；3、群众满意度。</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（十二）林业资源保护中心职责绩效目标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绩效目标：落实全县森林资源保护发展政策措施，监督检查、执行全县森林采伐限额，承担林地相关管理工作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绩效指标：1、林业资源保护管理工作任务完成率；2、群众满意度。</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（十三）林业产业技术服务职责绩效目标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绩效目标：承担林木种子、草种管理工作，组织种质资源普查收集、评价利用和种质资源库建设。</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绩效指标：1、培育林下经济面积亩数；2、林业贴息贷款落实率；3、群众满意度。</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（十四）建设用地转用征收绩效目标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绩效目标：完成建设用地转用征收工作，完成勘测定界测绘工作，满足企业和个人建设用地需求，促进我县经济发展。</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绩效指标：1、各类土地用途转用的审核、报批工作完成率；2、完成审核、报批的工作量与全年应完成工作量的比率。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（十五）综合业务管理绩效目标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绩效目标：加强管理，圆满完成县委、县政府交办任务</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绩效指标：综合业务管理工作完成率，综合业务管理工作完成情况。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（十六）规划展馆运行绩效目标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绩效目标：加强机关事务性管理，提高机关自身工作能力。</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绩效指标：综合事务管理工作完成率，综合事务管理工作完成情况。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（十七）森林抚育绩效目标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绩效目标：提高森林质量，促进林业持续发展。</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绩效指标：森林抚育面积（万亩），全县森林抚育作业完成面积。</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（十八）退耕还林绩效目标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绩效目标：工程治理地区的生态状况得到明显改善。</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绩效指标：检查查验收率，退耕还林工程检查验收面积占退耕还林任务面积的比例；退耕还林任务完成率，全县完成退耕还林任务面积占省市下达退耕还林任务面积的比率。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（十九）防沙治沙绩效目标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绩效目标：沙化土地得以治理，重点治理区生态状况明显改善。</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绩效指标：治理的沙化土地面积（亩），沙化土地面积治理情况；防沙治沙任务完成率，全县完成的防沙治沙面积与占政府下达的年度任务的比例。</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（二十）林业基础保障设施建设绩效目标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绩效目标：改善国有林场和基层林业单位的基础设施，缓解国有林场经济危困，保障林业健康发展。</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绩效指标：林业基础设施完好率，林业基础设施运行情况。</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（二十一）森林资源监测与管理绩效目标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绩效目标：监管全县林地、林权和森林资源，提高林业资源资产安全性、完整性和使用效益。</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绩效指标：征占用林地前置审核工作完成率，审核工作完成情况占年度目标的比例；森林覆盖率净增量，考核工作完成情况占年度县政府布置的目标的比例。</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（三）工作保障措施</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工作保障措施</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（一）以盘活土地资源,深化供给侧结构性改革。充分发挥各项国土政策优势,深入开展挖掘土地利用潜力工作，通过实施土地挖潜改造、增减挂钩及工矿废弃地复垦利用项目,提高土地使用效率,拓展用地空间。</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（二）以提升服务效能，助力实体经济发展。全面提升服务效能，加快审批事项改革和流程再造，支持实体经济做优做强，努力为企业提供高效、优质、便捷的服务，提升服务实体经济效率。</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以“三个保障”，助力“乡村振兴”战略。一是资源保障。用好农用地备案和集体建设用地占用政策，全力保障新村建设、基础设施建设等用地；统筹实施增减挂钩项目，改善农村居民居住条件和生态环境质量。二是生态保障。发挥土地整治“1+N”综合效益，通过对“田、水、路、林、村”进行综合整治，改善项目区村容村貌，以及农业基础设施条件。三是权益保障。深入做好农村宅基地、集体建设用地及房屋确权登记发证工作，唤醒农村“沉睡资产”，加快“资源变资产、资金变股金、农民变股民”步伐。</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完善预警机制，强化防范措施，深入开展闲置土地处置攻坚行动。一是强化防范措施。供地并后，及时建立供地台账，设置预警程序。每月初对下3个月应开工地块进行排查，及时下达《开工催告书》。在用地单位合同约定开工时间达9个月时启动用地预警，由执法监察科发出《限期开工通知书》，满一年时，启动闲置土地调查程序，对涉嫌闲置的土地进行实地调查核实，展开闲置土地认定工作。二是敢于较真碰硬。特别是加大对是僵尸企业的处置力度，根据不同情况，坚持以用为先的原则，但该收回的，特别是无偿收回的，坚决收回。</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统筹推进，稳步实施，全力做好“房地一体”确权发证及不动产登记工作和县城区历史数据空间座标修补测工作。一是建立健全不动产登记各项工作制度，加速不动产登记工作高效运转。二是认真做好三调工作。按照国家、省的部署，做好第三次土地利用现状调查，作到早谋划、早准备、早介入、早推进。积极配合做好农村集体土地产权制度试点改革，实现信息联网、资源共享，真正为全县农村产权制度改革提供有力保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（六）按照省市安排完成国土空间规划编制，国土空间内其他专项规划；城乡控规，土地利用总体部分地块调整，在完成国土空间规划的基础上编制城镇控制性详细规划。完成其他交办的规划编制任务。</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（七）进一步明确规划许可标准，强化建设项目、规划条件审查，提高规划许可工作效率，实现城中村、国、省、县、乡道路两侧及乡村规划审查全覆盖。</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（八）加大批后建设项目监管力度和频次，保证批后项目规划严格落实。</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（九）坚持生态立林，改善城乡环境。切实抓好林业重点生态工程建设，实施好城乡绿化和绿色通道建设项目，层层分解任务，责任到人。同时，加大对绿化工作的督查、考核和奖惩力度，确保绿化任务完成。</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（十）坚持产业强林，促进林农增收。按照“生态建设产业化，产业建设生态化”的思路，积极发展以林果产业为主的林业产业。</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（十一）坚持科技兴，夯实林业发展基础。加大林业科技推广培训力度，搞好科技下乡活动。加强林木良种繁育、病虫害防治等林业优势项目的培育。强化林业科技人员继续教育，提高科技人员整体素质。</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（十二）坚持依法治林，巩固扩大造林成果。加大林业执法力度，抓好林业有害生物防控和森林防火工作。</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坚持保障促林，树立崭新工作形象。围绕林业重点生态工程建设、林业改革发展、森林资源保护等加强宣传，展示林业形象；强化资源争取，积极向上级部门争取林业建设项目，力争有更多的林业建设资金到位。强化队伍建设，持续开展作风整顿，完善单位规章制度，加强职工思想教育和业务知识培训，提高职工综合素质，打造一支政治坚定、作风优良、素质较高，业务过硬的林业干部职工队伍。</w:t>
      </w:r>
    </w:p>
    <w:p>
      <w:pPr>
        <w:ind w:firstLine="64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第二部分  专项资金绩效目标</w:t>
      </w:r>
    </w:p>
    <w:p>
      <w:pPr>
        <w:ind w:firstLine="640"/>
        <w:rPr>
          <w:rFonts w:ascii="方正楷体_GBK" w:hAnsi="方正楷体_GBK" w:eastAsia="方正楷体_GBK" w:cs="方正楷体_GBK"/>
          <w:b/>
          <w:color w:val="000000"/>
          <w:sz w:val="32"/>
        </w:rPr>
      </w:pPr>
    </w:p>
    <w:p>
      <w:pPr>
        <w:ind w:firstLine="560"/>
        <w:rPr>
          <w:rFonts w:ascii="方正仿宋_GBK" w:hAnsi="方正仿宋_GBK" w:eastAsia="方正仿宋_GBK" w:cs="方正仿宋_GBK"/>
          <w:b/>
          <w:color w:val="000000"/>
          <w:sz w:val="28"/>
        </w:rPr>
      </w:pPr>
    </w:p>
    <w:p>
      <w:pPr>
        <w:ind w:firstLine="560"/>
        <w:rPr>
          <w:rFonts w:ascii="方正仿宋_GBK" w:hAnsi="方正仿宋_GBK" w:eastAsia="方正仿宋_GBK" w:cs="方正仿宋_GBK"/>
          <w:b/>
          <w:color w:val="000000"/>
          <w:sz w:val="28"/>
        </w:rPr>
      </w:pPr>
    </w:p>
    <w:p>
      <w:pPr>
        <w:ind w:firstLine="560"/>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冀财资环[2021]117号 河北省财政厅关于提前下达2022年度省级林业草原转移支付资金</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w:t>
            </w:r>
            <w:r>
              <w:rPr>
                <w:rFonts w:hint="eastAsia"/>
              </w:rPr>
              <w:t>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tcPr>
          <w:p>
            <w:pPr>
              <w:textAlignment w:val="top"/>
            </w:pPr>
            <w:r>
              <w:rPr>
                <w:rFonts w:ascii="Calibri" w:hAnsi="Calibri" w:eastAsia="宋体" w:cs="Calibri"/>
                <w:color w:val="000000"/>
                <w:sz w:val="22"/>
                <w:szCs w:val="22"/>
                <w:lang w:eastAsia="zh-CN"/>
              </w:rPr>
              <w:t>林业效益补偿</w:t>
            </w:r>
          </w:p>
        </w:tc>
        <w:tc>
          <w:tcPr>
            <w:tcW w:w="2835" w:type="dxa"/>
          </w:tcPr>
          <w:p>
            <w:pPr>
              <w:textAlignment w:val="top"/>
            </w:pPr>
            <w:r>
              <w:rPr>
                <w:rFonts w:ascii="Calibri" w:hAnsi="Calibri" w:eastAsia="宋体" w:cs="Calibri"/>
                <w:color w:val="000000"/>
                <w:sz w:val="22"/>
                <w:szCs w:val="22"/>
                <w:lang w:eastAsia="zh-CN"/>
              </w:rPr>
              <w:t>林业效益补偿面积</w:t>
            </w:r>
          </w:p>
        </w:tc>
        <w:tc>
          <w:tcPr>
            <w:tcW w:w="2551" w:type="dxa"/>
          </w:tcPr>
          <w:p>
            <w:pPr>
              <w:textAlignment w:val="top"/>
              <w:rPr>
                <w:rFonts w:eastAsia="宋体"/>
                <w:lang w:eastAsia="zh-CN"/>
              </w:rPr>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5000亩</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tcPr>
          <w:p>
            <w:pPr>
              <w:textAlignment w:val="top"/>
            </w:pPr>
            <w:r>
              <w:rPr>
                <w:rFonts w:ascii="Calibri" w:hAnsi="Calibri" w:eastAsia="宋体" w:cs="Calibri"/>
                <w:color w:val="000000"/>
                <w:sz w:val="22"/>
                <w:szCs w:val="22"/>
                <w:lang w:eastAsia="zh-CN"/>
              </w:rPr>
              <w:t>绿化成活率</w:t>
            </w:r>
          </w:p>
        </w:tc>
        <w:tc>
          <w:tcPr>
            <w:tcW w:w="2835" w:type="dxa"/>
          </w:tcPr>
          <w:p>
            <w:pPr>
              <w:textAlignment w:val="top"/>
            </w:pPr>
            <w:r>
              <w:rPr>
                <w:rFonts w:ascii="Calibri" w:hAnsi="Calibri" w:eastAsia="宋体" w:cs="Calibri"/>
                <w:color w:val="000000"/>
                <w:sz w:val="22"/>
                <w:szCs w:val="22"/>
                <w:lang w:eastAsia="zh-CN"/>
              </w:rPr>
              <w:t>绿化成活率</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tcPr>
          <w:p>
            <w:pPr>
              <w:textAlignment w:val="top"/>
            </w:pPr>
            <w:r>
              <w:rPr>
                <w:rFonts w:ascii="Calibri" w:hAnsi="Calibri" w:eastAsia="宋体" w:cs="Calibri"/>
                <w:color w:val="000000"/>
                <w:sz w:val="22"/>
                <w:szCs w:val="22"/>
                <w:lang w:eastAsia="zh-CN"/>
              </w:rPr>
              <w:t>绿化任务完成度</w:t>
            </w:r>
          </w:p>
        </w:tc>
        <w:tc>
          <w:tcPr>
            <w:tcW w:w="2835" w:type="dxa"/>
          </w:tcPr>
          <w:p>
            <w:pPr>
              <w:textAlignment w:val="top"/>
            </w:pPr>
            <w:r>
              <w:rPr>
                <w:rFonts w:ascii="Calibri" w:hAnsi="Calibri" w:eastAsia="宋体" w:cs="Calibri"/>
                <w:color w:val="000000"/>
                <w:sz w:val="22"/>
                <w:szCs w:val="22"/>
                <w:lang w:eastAsia="zh-CN"/>
              </w:rPr>
              <w:t>绿化任务完成度</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tcPr>
          <w:p>
            <w:pPr>
              <w:textAlignment w:val="top"/>
            </w:pPr>
            <w:r>
              <w:rPr>
                <w:rFonts w:ascii="Calibri" w:hAnsi="Calibri" w:eastAsia="宋体" w:cs="Calibri"/>
                <w:color w:val="000000"/>
                <w:sz w:val="22"/>
                <w:szCs w:val="22"/>
                <w:lang w:eastAsia="zh-CN"/>
              </w:rPr>
              <w:t>项目实际成本</w:t>
            </w:r>
          </w:p>
        </w:tc>
        <w:tc>
          <w:tcPr>
            <w:tcW w:w="2835" w:type="dxa"/>
          </w:tcPr>
          <w:p>
            <w:pPr>
              <w:textAlignment w:val="top"/>
            </w:pPr>
            <w:r>
              <w:rPr>
                <w:rFonts w:ascii="Calibri" w:hAnsi="Calibri" w:eastAsia="宋体" w:cs="Calibri"/>
                <w:color w:val="000000"/>
                <w:sz w:val="22"/>
                <w:szCs w:val="22"/>
                <w:lang w:eastAsia="zh-CN"/>
              </w:rPr>
              <w:t>项目实际成本</w:t>
            </w:r>
          </w:p>
        </w:tc>
        <w:tc>
          <w:tcPr>
            <w:tcW w:w="2551" w:type="dxa"/>
          </w:tcPr>
          <w:p>
            <w:pPr>
              <w:textAlignment w:val="top"/>
              <w:rPr>
                <w:rFonts w:eastAsia="宋体"/>
                <w:lang w:eastAsia="zh-CN"/>
              </w:rPr>
            </w:pPr>
            <w:r>
              <w:rPr>
                <w:rFonts w:hint="eastAsia" w:eastAsia="宋体"/>
                <w:lang w:eastAsia="zh-CN"/>
              </w:rPr>
              <w:t>220万元</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tcPr>
          <w:p>
            <w:pPr>
              <w:textAlignment w:val="top"/>
            </w:pPr>
            <w:r>
              <w:rPr>
                <w:rFonts w:ascii="Calibri" w:hAnsi="Calibri" w:eastAsia="宋体" w:cs="Calibri"/>
                <w:color w:val="000000"/>
                <w:sz w:val="22"/>
                <w:szCs w:val="22"/>
                <w:lang w:eastAsia="zh-CN"/>
              </w:rPr>
              <w:t>使用良种苗木用材林生长量和经济</w:t>
            </w:r>
          </w:p>
        </w:tc>
        <w:tc>
          <w:tcPr>
            <w:tcW w:w="2835" w:type="dxa"/>
          </w:tcPr>
          <w:p>
            <w:pPr>
              <w:textAlignment w:val="top"/>
            </w:pPr>
            <w:r>
              <w:rPr>
                <w:rFonts w:ascii="Calibri" w:hAnsi="Calibri" w:eastAsia="宋体" w:cs="Calibri"/>
                <w:color w:val="000000"/>
                <w:sz w:val="22"/>
                <w:szCs w:val="22"/>
                <w:lang w:eastAsia="zh-CN"/>
              </w:rPr>
              <w:t>使用良种苗木用材林生长量和经济林产量提高（是否）</w:t>
            </w:r>
          </w:p>
        </w:tc>
        <w:tc>
          <w:tcPr>
            <w:tcW w:w="2551" w:type="dxa"/>
          </w:tcPr>
          <w:p>
            <w:pPr>
              <w:textAlignment w:val="top"/>
              <w:rPr>
                <w:rFonts w:eastAsia="宋体"/>
                <w:lang w:eastAsia="zh-CN"/>
              </w:rPr>
            </w:pPr>
            <w:r>
              <w:rPr>
                <w:rFonts w:hint="eastAsia" w:eastAsia="宋体"/>
                <w:lang w:eastAsia="zh-CN"/>
              </w:rPr>
              <w:t>是</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tcPr>
          <w:p>
            <w:pPr>
              <w:textAlignment w:val="top"/>
            </w:pPr>
            <w:r>
              <w:rPr>
                <w:rFonts w:ascii="Calibri" w:hAnsi="Calibri" w:eastAsia="宋体" w:cs="Calibri"/>
                <w:color w:val="000000"/>
                <w:sz w:val="22"/>
                <w:szCs w:val="22"/>
                <w:lang w:eastAsia="zh-CN"/>
              </w:rPr>
              <w:t>造林绿化维护率</w:t>
            </w:r>
          </w:p>
        </w:tc>
        <w:tc>
          <w:tcPr>
            <w:tcW w:w="2835" w:type="dxa"/>
          </w:tcPr>
          <w:p>
            <w:pPr>
              <w:textAlignment w:val="top"/>
            </w:pPr>
            <w:r>
              <w:rPr>
                <w:rFonts w:ascii="Calibri" w:hAnsi="Calibri" w:eastAsia="宋体" w:cs="Calibri"/>
                <w:color w:val="000000"/>
                <w:sz w:val="22"/>
                <w:szCs w:val="22"/>
                <w:lang w:eastAsia="zh-CN"/>
              </w:rPr>
              <w:t>造林绿化得到有效维护</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tcPr>
          <w:p>
            <w:pPr>
              <w:textAlignment w:val="top"/>
            </w:pPr>
            <w:r>
              <w:rPr>
                <w:rFonts w:ascii="Calibri" w:hAnsi="Calibri" w:eastAsia="宋体" w:cs="Calibri"/>
                <w:color w:val="000000"/>
                <w:sz w:val="22"/>
                <w:szCs w:val="22"/>
                <w:lang w:eastAsia="zh-CN"/>
              </w:rPr>
              <w:t>林业有害生物防治率</w:t>
            </w:r>
          </w:p>
        </w:tc>
        <w:tc>
          <w:tcPr>
            <w:tcW w:w="2835" w:type="dxa"/>
          </w:tcPr>
          <w:p>
            <w:pPr>
              <w:textAlignment w:val="top"/>
            </w:pPr>
            <w:r>
              <w:rPr>
                <w:rFonts w:ascii="Calibri" w:hAnsi="Calibri" w:eastAsia="宋体" w:cs="Calibri"/>
                <w:color w:val="000000"/>
                <w:sz w:val="22"/>
                <w:szCs w:val="22"/>
                <w:lang w:eastAsia="zh-CN"/>
              </w:rPr>
              <w:t>林业有害生物防治率</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tcPr>
          <w:p>
            <w:pPr>
              <w:textAlignment w:val="top"/>
            </w:pPr>
            <w:r>
              <w:rPr>
                <w:rFonts w:ascii="Calibri" w:hAnsi="Calibri" w:eastAsia="宋体" w:cs="Calibri"/>
                <w:color w:val="000000"/>
                <w:sz w:val="22"/>
                <w:szCs w:val="22"/>
                <w:lang w:eastAsia="zh-CN"/>
              </w:rPr>
              <w:t>林业产业健康稳定发展可持续影响</w:t>
            </w:r>
          </w:p>
        </w:tc>
        <w:tc>
          <w:tcPr>
            <w:tcW w:w="2835" w:type="dxa"/>
          </w:tcPr>
          <w:p>
            <w:pPr>
              <w:textAlignment w:val="top"/>
            </w:pPr>
            <w:r>
              <w:rPr>
                <w:rFonts w:ascii="Calibri" w:hAnsi="Calibri" w:eastAsia="宋体" w:cs="Calibri"/>
                <w:color w:val="000000"/>
                <w:sz w:val="22"/>
                <w:szCs w:val="22"/>
                <w:lang w:eastAsia="zh-CN"/>
              </w:rPr>
              <w:t>林业产业健康稳定发展可持续影响</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tcPr>
          <w:p>
            <w:pPr>
              <w:textAlignment w:val="top"/>
            </w:pPr>
            <w:r>
              <w:rPr>
                <w:rFonts w:ascii="Calibri" w:hAnsi="Calibri" w:eastAsia="宋体" w:cs="Calibri"/>
                <w:color w:val="000000"/>
                <w:sz w:val="22"/>
                <w:szCs w:val="22"/>
                <w:lang w:eastAsia="zh-CN"/>
              </w:rPr>
              <w:t>社会满意度</w:t>
            </w:r>
          </w:p>
        </w:tc>
        <w:tc>
          <w:tcPr>
            <w:tcW w:w="2835" w:type="dxa"/>
          </w:tcPr>
          <w:p>
            <w:pPr>
              <w:textAlignment w:val="top"/>
            </w:pPr>
            <w:r>
              <w:rPr>
                <w:rFonts w:ascii="Calibri" w:hAnsi="Calibri" w:eastAsia="宋体" w:cs="Calibri"/>
                <w:color w:val="000000"/>
                <w:sz w:val="22"/>
                <w:szCs w:val="22"/>
                <w:lang w:eastAsia="zh-CN"/>
              </w:rPr>
              <w:t>社会满意度</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问卷调查</w:t>
            </w:r>
          </w:p>
        </w:tc>
      </w:tr>
    </w:tbl>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pPr>
        <w:rPr>
          <w:rFonts w:ascii="方正仿宋_GBK" w:hAnsi="方正仿宋_GBK" w:eastAsia="方正仿宋_GBK" w:cs="方正仿宋_GBK"/>
          <w:b/>
          <w:color w:val="000000"/>
          <w:sz w:val="28"/>
          <w:lang w:eastAsia="zh-CN"/>
        </w:rPr>
      </w:pPr>
    </w:p>
    <w:p>
      <w:r>
        <w:rPr>
          <w:rFonts w:hint="eastAsia" w:ascii="方正仿宋_GBK" w:hAnsi="方正仿宋_GBK" w:eastAsia="方正仿宋_GBK" w:cs="方正仿宋_GBK"/>
          <w:b/>
          <w:color w:val="000000"/>
          <w:sz w:val="28"/>
          <w:lang w:eastAsia="zh-CN"/>
        </w:rPr>
        <w:t>2</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冀财资环[2021]106号 河北省财政厅关于提前下达2022年中央财政林业改革发展资金</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w:t>
            </w:r>
            <w:r>
              <w:rPr>
                <w:rFonts w:hint="eastAsia"/>
              </w:rPr>
              <w:t>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tcPr>
          <w:p>
            <w:pPr>
              <w:textAlignment w:val="top"/>
            </w:pPr>
            <w:r>
              <w:rPr>
                <w:rFonts w:ascii="Calibri" w:hAnsi="Calibri" w:eastAsia="宋体" w:cs="Calibri"/>
                <w:color w:val="000000"/>
                <w:sz w:val="22"/>
                <w:szCs w:val="22"/>
                <w:lang w:eastAsia="zh-CN"/>
              </w:rPr>
              <w:t>绿化造林面积</w:t>
            </w:r>
          </w:p>
        </w:tc>
        <w:tc>
          <w:tcPr>
            <w:tcW w:w="2835" w:type="dxa"/>
          </w:tcPr>
          <w:p>
            <w:pPr>
              <w:textAlignment w:val="top"/>
            </w:pPr>
            <w:r>
              <w:rPr>
                <w:rFonts w:ascii="Calibri" w:hAnsi="Calibri" w:eastAsia="宋体" w:cs="Calibri"/>
                <w:color w:val="000000"/>
                <w:sz w:val="22"/>
                <w:szCs w:val="22"/>
                <w:lang w:eastAsia="zh-CN"/>
              </w:rPr>
              <w:t>完成绿化造林面积</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5000亩</w:t>
            </w:r>
          </w:p>
        </w:tc>
        <w:tc>
          <w:tcPr>
            <w:tcW w:w="2268" w:type="dxa"/>
          </w:tcPr>
          <w:p>
            <w:pPr>
              <w:textAlignment w:val="top"/>
            </w:pPr>
            <w:r>
              <w:rPr>
                <w:rFonts w:ascii="Calibri" w:hAnsi="Calibri" w:eastAsia="宋体" w:cs="Calibri"/>
                <w:color w:val="000000"/>
                <w:sz w:val="22"/>
                <w:szCs w:val="22"/>
                <w:lang w:eastAsia="zh-CN"/>
              </w:rP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tcPr>
          <w:p>
            <w:pPr>
              <w:textAlignment w:val="top"/>
            </w:pPr>
            <w:r>
              <w:rPr>
                <w:rFonts w:ascii="Calibri" w:hAnsi="Calibri" w:eastAsia="宋体" w:cs="Calibri"/>
                <w:color w:val="000000"/>
                <w:sz w:val="22"/>
                <w:szCs w:val="22"/>
                <w:lang w:eastAsia="zh-CN"/>
              </w:rPr>
              <w:t>造林完成面积合格率</w:t>
            </w:r>
          </w:p>
        </w:tc>
        <w:tc>
          <w:tcPr>
            <w:tcW w:w="2835" w:type="dxa"/>
          </w:tcPr>
          <w:p>
            <w:pPr>
              <w:textAlignment w:val="top"/>
            </w:pPr>
            <w:r>
              <w:rPr>
                <w:rFonts w:ascii="Calibri" w:hAnsi="Calibri" w:eastAsia="宋体" w:cs="Calibri"/>
                <w:color w:val="000000"/>
                <w:sz w:val="22"/>
                <w:szCs w:val="22"/>
                <w:lang w:eastAsia="zh-CN"/>
              </w:rPr>
              <w:t>造林完成面积合格率</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tcPr>
          <w:p>
            <w:pPr>
              <w:textAlignment w:val="top"/>
            </w:pPr>
            <w:r>
              <w:rPr>
                <w:rFonts w:ascii="Calibri" w:hAnsi="Calibri" w:eastAsia="宋体" w:cs="Calibri"/>
                <w:color w:val="000000"/>
                <w:sz w:val="22"/>
                <w:szCs w:val="22"/>
                <w:lang w:eastAsia="zh-CN"/>
              </w:rPr>
              <w:t>造林任务完成率</w:t>
            </w:r>
          </w:p>
        </w:tc>
        <w:tc>
          <w:tcPr>
            <w:tcW w:w="2835" w:type="dxa"/>
          </w:tcPr>
          <w:p>
            <w:pPr>
              <w:textAlignment w:val="top"/>
            </w:pPr>
            <w:r>
              <w:rPr>
                <w:rFonts w:ascii="Calibri" w:hAnsi="Calibri" w:eastAsia="宋体" w:cs="Calibri"/>
                <w:color w:val="000000"/>
                <w:sz w:val="22"/>
                <w:szCs w:val="22"/>
                <w:lang w:eastAsia="zh-CN"/>
              </w:rPr>
              <w:t>造林当期任务完成率</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tcPr>
          <w:p>
            <w:pPr>
              <w:textAlignment w:val="top"/>
            </w:pPr>
            <w:r>
              <w:rPr>
                <w:rFonts w:ascii="Calibri" w:hAnsi="Calibri" w:eastAsia="宋体" w:cs="Calibri"/>
                <w:color w:val="000000"/>
                <w:sz w:val="22"/>
                <w:szCs w:val="22"/>
                <w:lang w:eastAsia="zh-CN"/>
              </w:rPr>
              <w:t>项目补助成本</w:t>
            </w:r>
          </w:p>
        </w:tc>
        <w:tc>
          <w:tcPr>
            <w:tcW w:w="2835" w:type="dxa"/>
          </w:tcPr>
          <w:p>
            <w:pPr>
              <w:textAlignment w:val="top"/>
            </w:pPr>
            <w:r>
              <w:rPr>
                <w:rFonts w:ascii="Calibri" w:hAnsi="Calibri" w:eastAsia="宋体" w:cs="Calibri"/>
                <w:color w:val="000000"/>
                <w:sz w:val="22"/>
                <w:szCs w:val="22"/>
                <w:lang w:eastAsia="zh-CN"/>
              </w:rPr>
              <w:t>项目补助成本</w:t>
            </w:r>
          </w:p>
        </w:tc>
        <w:tc>
          <w:tcPr>
            <w:tcW w:w="2551" w:type="dxa"/>
          </w:tcPr>
          <w:p>
            <w:pPr>
              <w:textAlignment w:val="top"/>
              <w:rPr>
                <w:rFonts w:ascii="Calibri" w:hAnsi="Calibri" w:eastAsia="宋体" w:cs="Calibri"/>
                <w:color w:val="000000"/>
                <w:sz w:val="22"/>
                <w:szCs w:val="22"/>
                <w:lang w:eastAsia="zh-CN"/>
              </w:rPr>
            </w:pPr>
            <w:r>
              <w:rPr>
                <w:rFonts w:hint="eastAsia" w:ascii="Calibri" w:hAnsi="Calibri" w:eastAsia="宋体" w:cs="Calibri"/>
                <w:color w:val="000000"/>
                <w:sz w:val="22"/>
                <w:szCs w:val="22"/>
                <w:lang w:eastAsia="zh-CN"/>
              </w:rPr>
              <w:t>500元/ 每亩</w:t>
            </w:r>
          </w:p>
        </w:tc>
        <w:tc>
          <w:tcPr>
            <w:tcW w:w="2268" w:type="dxa"/>
          </w:tcPr>
          <w:p>
            <w:pPr>
              <w:textAlignment w:val="top"/>
            </w:pPr>
            <w:r>
              <w:rPr>
                <w:rFonts w:ascii="Calibri" w:hAnsi="Calibri" w:eastAsia="宋体" w:cs="Calibri"/>
                <w:color w:val="000000"/>
                <w:sz w:val="22"/>
                <w:szCs w:val="22"/>
                <w:lang w:eastAsia="zh-CN"/>
              </w:rP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tcPr>
          <w:p>
            <w:pPr>
              <w:textAlignment w:val="top"/>
            </w:pPr>
            <w:r>
              <w:rPr>
                <w:rFonts w:ascii="Calibri" w:hAnsi="Calibri" w:eastAsia="宋体" w:cs="Calibri"/>
                <w:color w:val="000000"/>
                <w:sz w:val="22"/>
                <w:szCs w:val="22"/>
                <w:lang w:eastAsia="zh-CN"/>
              </w:rPr>
              <w:t>增加农户个体收入水平</w:t>
            </w:r>
          </w:p>
        </w:tc>
        <w:tc>
          <w:tcPr>
            <w:tcW w:w="2835" w:type="dxa"/>
          </w:tcPr>
          <w:p>
            <w:pPr>
              <w:textAlignment w:val="top"/>
            </w:pPr>
            <w:r>
              <w:rPr>
                <w:rFonts w:ascii="Calibri" w:hAnsi="Calibri" w:eastAsia="宋体" w:cs="Calibri"/>
                <w:color w:val="000000"/>
                <w:sz w:val="22"/>
                <w:szCs w:val="22"/>
                <w:lang w:eastAsia="zh-CN"/>
              </w:rPr>
              <w:t>增加造林个体农户收入水平</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tcPr>
          <w:p>
            <w:pPr>
              <w:textAlignment w:val="top"/>
            </w:pPr>
            <w:r>
              <w:rPr>
                <w:rFonts w:ascii="Calibri" w:hAnsi="Calibri" w:eastAsia="宋体" w:cs="Calibri"/>
                <w:color w:val="000000"/>
                <w:sz w:val="22"/>
                <w:szCs w:val="22"/>
                <w:lang w:eastAsia="zh-CN"/>
              </w:rPr>
              <w:t>造林绿化维护率</w:t>
            </w:r>
          </w:p>
        </w:tc>
        <w:tc>
          <w:tcPr>
            <w:tcW w:w="2835" w:type="dxa"/>
          </w:tcPr>
          <w:p>
            <w:pPr>
              <w:textAlignment w:val="top"/>
            </w:pPr>
            <w:r>
              <w:rPr>
                <w:rFonts w:ascii="Calibri" w:hAnsi="Calibri" w:eastAsia="宋体" w:cs="Calibri"/>
                <w:color w:val="000000"/>
                <w:sz w:val="22"/>
                <w:szCs w:val="22"/>
                <w:lang w:eastAsia="zh-CN"/>
              </w:rPr>
              <w:t>造林绿化得到有效维护</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tcPr>
          <w:p>
            <w:pPr>
              <w:textAlignment w:val="top"/>
            </w:pPr>
            <w:r>
              <w:rPr>
                <w:rFonts w:ascii="Calibri" w:hAnsi="Calibri" w:eastAsia="宋体" w:cs="Calibri"/>
                <w:color w:val="000000"/>
                <w:sz w:val="22"/>
                <w:szCs w:val="22"/>
                <w:lang w:eastAsia="zh-CN"/>
              </w:rPr>
              <w:t>林业有害生物防治率</w:t>
            </w:r>
          </w:p>
        </w:tc>
        <w:tc>
          <w:tcPr>
            <w:tcW w:w="2835" w:type="dxa"/>
          </w:tcPr>
          <w:p>
            <w:pPr>
              <w:textAlignment w:val="top"/>
            </w:pPr>
            <w:r>
              <w:rPr>
                <w:rFonts w:ascii="Calibri" w:hAnsi="Calibri" w:eastAsia="宋体" w:cs="Calibri"/>
                <w:color w:val="000000"/>
                <w:sz w:val="22"/>
                <w:szCs w:val="22"/>
                <w:lang w:eastAsia="zh-CN"/>
              </w:rPr>
              <w:t>林业有害生物防治完成率</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95%</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tcPr>
          <w:p>
            <w:pPr>
              <w:textAlignment w:val="top"/>
            </w:pPr>
            <w:r>
              <w:rPr>
                <w:rFonts w:ascii="Calibri" w:hAnsi="Calibri" w:eastAsia="宋体" w:cs="Calibri"/>
                <w:color w:val="000000"/>
                <w:sz w:val="22"/>
                <w:szCs w:val="22"/>
                <w:lang w:eastAsia="zh-CN"/>
              </w:rPr>
              <w:t>符合林业长期发展要求</w:t>
            </w:r>
          </w:p>
        </w:tc>
        <w:tc>
          <w:tcPr>
            <w:tcW w:w="2835" w:type="dxa"/>
          </w:tcPr>
          <w:p>
            <w:pPr>
              <w:textAlignment w:val="top"/>
            </w:pPr>
            <w:r>
              <w:rPr>
                <w:rFonts w:ascii="Calibri" w:hAnsi="Calibri" w:eastAsia="宋体" w:cs="Calibri"/>
                <w:color w:val="000000"/>
                <w:sz w:val="22"/>
                <w:szCs w:val="22"/>
                <w:lang w:eastAsia="zh-CN"/>
              </w:rPr>
              <w:t>符合林业长期发展要求</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tcPr>
          <w:p>
            <w:pPr>
              <w:textAlignment w:val="top"/>
            </w:pPr>
            <w:r>
              <w:rPr>
                <w:rFonts w:ascii="Calibri" w:hAnsi="Calibri" w:eastAsia="宋体" w:cs="Calibri"/>
                <w:color w:val="000000"/>
                <w:sz w:val="22"/>
                <w:szCs w:val="22"/>
                <w:lang w:eastAsia="zh-CN"/>
              </w:rPr>
              <w:t>补助农户满意度</w:t>
            </w:r>
          </w:p>
        </w:tc>
        <w:tc>
          <w:tcPr>
            <w:tcW w:w="2835" w:type="dxa"/>
          </w:tcPr>
          <w:p>
            <w:pPr>
              <w:textAlignment w:val="top"/>
            </w:pPr>
            <w:r>
              <w:rPr>
                <w:rFonts w:ascii="Calibri" w:hAnsi="Calibri" w:eastAsia="宋体" w:cs="Calibri"/>
                <w:color w:val="000000"/>
                <w:sz w:val="22"/>
                <w:szCs w:val="22"/>
                <w:lang w:eastAsia="zh-CN"/>
              </w:rPr>
              <w:t>补助农户满意度</w:t>
            </w:r>
          </w:p>
        </w:tc>
        <w:tc>
          <w:tcPr>
            <w:tcW w:w="2551" w:type="dxa"/>
          </w:tcPr>
          <w:p>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pPr>
              <w:textAlignment w:val="top"/>
            </w:pPr>
            <w:r>
              <w:rPr>
                <w:rFonts w:ascii="Calibri" w:hAnsi="Calibri" w:eastAsia="宋体" w:cs="Calibri"/>
                <w:color w:val="000000"/>
                <w:sz w:val="22"/>
                <w:szCs w:val="22"/>
                <w:lang w:eastAsia="zh-CN"/>
              </w:rPr>
              <w:t>问卷调查</w:t>
            </w:r>
          </w:p>
        </w:tc>
      </w:tr>
    </w:tbl>
    <w:p>
      <w:pPr>
        <w:ind w:firstLine="640"/>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r>
        <w:rPr>
          <w:rFonts w:ascii="方正仿宋_GBK" w:hAnsi="方正仿宋_GBK" w:eastAsia="方正仿宋_GBK" w:cs="方正仿宋_GBK"/>
          <w:b/>
          <w:color w:val="000000"/>
          <w:sz w:val="28"/>
        </w:rPr>
        <w:t>1、规划展馆运行经费绩效目标表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1.按时拨付展馆公用经费，保证规划展馆正常运行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展馆公用经费</w:t>
            </w:r>
          </w:p>
        </w:tc>
        <w:tc>
          <w:tcPr>
            <w:tcW w:w="2835" w:type="dxa"/>
            <w:vAlign w:val="center"/>
          </w:tcPr>
          <w:p>
            <w:pPr>
              <w:pStyle w:val="19"/>
            </w:pPr>
            <w:r>
              <w:t xml:space="preserve">展馆运行维护 </w:t>
            </w:r>
          </w:p>
        </w:tc>
        <w:tc>
          <w:tcPr>
            <w:tcW w:w="2551" w:type="dxa"/>
            <w:vAlign w:val="center"/>
          </w:tcPr>
          <w:p>
            <w:pPr>
              <w:pStyle w:val="19"/>
            </w:pPr>
            <w:r>
              <w:t>保障展馆正常运行</w:t>
            </w:r>
          </w:p>
        </w:tc>
        <w:tc>
          <w:tcPr>
            <w:tcW w:w="2268" w:type="dxa"/>
            <w:vAlign w:val="center"/>
          </w:tcPr>
          <w:p>
            <w:pPr>
              <w:pStyle w:val="19"/>
            </w:pPr>
            <w:r>
              <w:t>2014年9月3</w:t>
            </w:r>
            <w:r>
              <w:rPr>
                <w:rFonts w:hint="eastAsia"/>
                <w:lang w:val="en-US" w:eastAsia="zh-CN"/>
              </w:rPr>
              <w:t>0</w:t>
            </w:r>
            <w:r>
              <w:t>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有效支出进度</w:t>
            </w:r>
          </w:p>
        </w:tc>
        <w:tc>
          <w:tcPr>
            <w:tcW w:w="2835" w:type="dxa"/>
            <w:vAlign w:val="center"/>
          </w:tcPr>
          <w:p>
            <w:pPr>
              <w:pStyle w:val="19"/>
            </w:pPr>
            <w:r>
              <w:t>展馆维护保障率</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按时拨付</w:t>
            </w:r>
          </w:p>
        </w:tc>
        <w:tc>
          <w:tcPr>
            <w:tcW w:w="2835" w:type="dxa"/>
            <w:vAlign w:val="center"/>
          </w:tcPr>
          <w:p>
            <w:pPr>
              <w:pStyle w:val="19"/>
            </w:pPr>
            <w:r>
              <w:t>按时拨付</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运行保障成本</w:t>
            </w:r>
          </w:p>
        </w:tc>
        <w:tc>
          <w:tcPr>
            <w:tcW w:w="2835" w:type="dxa"/>
            <w:vAlign w:val="center"/>
          </w:tcPr>
          <w:p>
            <w:pPr>
              <w:pStyle w:val="19"/>
            </w:pPr>
            <w:r>
              <w:t>运行保障成本</w:t>
            </w:r>
          </w:p>
        </w:tc>
        <w:tc>
          <w:tcPr>
            <w:tcW w:w="2551" w:type="dxa"/>
            <w:vAlign w:val="center"/>
          </w:tcPr>
          <w:p>
            <w:pPr>
              <w:pStyle w:val="19"/>
            </w:pPr>
            <w:r>
              <w:t>5万元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促进县域经济发展</w:t>
            </w:r>
          </w:p>
        </w:tc>
        <w:tc>
          <w:tcPr>
            <w:tcW w:w="2835" w:type="dxa"/>
            <w:vAlign w:val="center"/>
          </w:tcPr>
          <w:p>
            <w:pPr>
              <w:pStyle w:val="19"/>
            </w:pPr>
            <w:r>
              <w:t>促进县域经济发展</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县城社会效益</w:t>
            </w:r>
          </w:p>
        </w:tc>
        <w:tc>
          <w:tcPr>
            <w:tcW w:w="2835" w:type="dxa"/>
            <w:vAlign w:val="center"/>
          </w:tcPr>
          <w:p>
            <w:pPr>
              <w:pStyle w:val="19"/>
            </w:pPr>
            <w:r>
              <w:t>县城社会效益</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促进县域环境发展</w:t>
            </w:r>
          </w:p>
        </w:tc>
        <w:tc>
          <w:tcPr>
            <w:tcW w:w="2835" w:type="dxa"/>
            <w:vAlign w:val="center"/>
          </w:tcPr>
          <w:p>
            <w:pPr>
              <w:pStyle w:val="19"/>
            </w:pPr>
            <w:r>
              <w:t>促进县域环境发展</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保障展馆正常运行</w:t>
            </w:r>
          </w:p>
        </w:tc>
        <w:tc>
          <w:tcPr>
            <w:tcW w:w="2835" w:type="dxa"/>
            <w:vAlign w:val="center"/>
          </w:tcPr>
          <w:p>
            <w:pPr>
              <w:pStyle w:val="19"/>
            </w:pPr>
            <w:r>
              <w:t>保障展馆正常运行</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满意度</w:t>
            </w:r>
          </w:p>
        </w:tc>
        <w:tc>
          <w:tcPr>
            <w:tcW w:w="2835" w:type="dxa"/>
            <w:vAlign w:val="center"/>
          </w:tcPr>
          <w:p>
            <w:pPr>
              <w:pStyle w:val="19"/>
            </w:pPr>
            <w:r>
              <w:t>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2、林业专项工作经费绩效目标表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1.改善办公环境，正常发挥林业职能，维持单位正常运行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林业专项工作经费</w:t>
            </w:r>
          </w:p>
        </w:tc>
        <w:tc>
          <w:tcPr>
            <w:tcW w:w="2835" w:type="dxa"/>
            <w:vAlign w:val="center"/>
          </w:tcPr>
          <w:p>
            <w:pPr>
              <w:pStyle w:val="19"/>
            </w:pPr>
            <w:r>
              <w:t>林业专项工作经费</w:t>
            </w:r>
          </w:p>
        </w:tc>
        <w:tc>
          <w:tcPr>
            <w:tcW w:w="2551" w:type="dxa"/>
            <w:vAlign w:val="center"/>
          </w:tcPr>
          <w:p>
            <w:pPr>
              <w:pStyle w:val="19"/>
            </w:pPr>
            <w:r>
              <w:t>保障林业工作发挥林业职能</w:t>
            </w:r>
          </w:p>
        </w:tc>
        <w:tc>
          <w:tcPr>
            <w:tcW w:w="2268" w:type="dxa"/>
            <w:vAlign w:val="center"/>
          </w:tcPr>
          <w:p>
            <w:pPr>
              <w:pStyle w:val="19"/>
            </w:pPr>
            <w:r>
              <w:t>2017年11月28日县长办公会议纪要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林业专项工作办结率</w:t>
            </w:r>
          </w:p>
        </w:tc>
        <w:tc>
          <w:tcPr>
            <w:tcW w:w="2835" w:type="dxa"/>
            <w:vAlign w:val="center"/>
          </w:tcPr>
          <w:p>
            <w:pPr>
              <w:pStyle w:val="19"/>
            </w:pPr>
            <w:r>
              <w:t>林业专项工作办结率</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资金拨付及时率</w:t>
            </w:r>
          </w:p>
        </w:tc>
        <w:tc>
          <w:tcPr>
            <w:tcW w:w="2835" w:type="dxa"/>
            <w:vAlign w:val="center"/>
          </w:tcPr>
          <w:p>
            <w:pPr>
              <w:pStyle w:val="19"/>
            </w:pPr>
            <w:r>
              <w:t>资金拨付及时率</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运行保障成本</w:t>
            </w:r>
          </w:p>
        </w:tc>
        <w:tc>
          <w:tcPr>
            <w:tcW w:w="2835" w:type="dxa"/>
            <w:vAlign w:val="center"/>
          </w:tcPr>
          <w:p>
            <w:pPr>
              <w:pStyle w:val="19"/>
            </w:pPr>
            <w:r>
              <w:t>运行保障成本</w:t>
            </w:r>
          </w:p>
        </w:tc>
        <w:tc>
          <w:tcPr>
            <w:tcW w:w="2551" w:type="dxa"/>
            <w:vAlign w:val="center"/>
          </w:tcPr>
          <w:p>
            <w:pPr>
              <w:pStyle w:val="19"/>
            </w:pPr>
            <w:r>
              <w:t>19万元</w:t>
            </w:r>
          </w:p>
        </w:tc>
        <w:tc>
          <w:tcPr>
            <w:tcW w:w="2268" w:type="dxa"/>
            <w:vAlign w:val="center"/>
          </w:tcPr>
          <w:p>
            <w:pPr>
              <w:pStyle w:val="19"/>
            </w:pPr>
            <w:r>
              <w:t>2017年11月28日县长办公会议纪要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促进县域经济发展</w:t>
            </w:r>
          </w:p>
        </w:tc>
        <w:tc>
          <w:tcPr>
            <w:tcW w:w="2835" w:type="dxa"/>
            <w:vAlign w:val="center"/>
          </w:tcPr>
          <w:p>
            <w:pPr>
              <w:pStyle w:val="19"/>
            </w:pPr>
            <w:r>
              <w:t>促进县域经济发展</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县城社会效益</w:t>
            </w:r>
          </w:p>
        </w:tc>
        <w:tc>
          <w:tcPr>
            <w:tcW w:w="2835" w:type="dxa"/>
            <w:vAlign w:val="center"/>
          </w:tcPr>
          <w:p>
            <w:pPr>
              <w:pStyle w:val="19"/>
            </w:pPr>
            <w:r>
              <w:t>县城社会效益</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促进县域环境发展</w:t>
            </w:r>
          </w:p>
        </w:tc>
        <w:tc>
          <w:tcPr>
            <w:tcW w:w="2835" w:type="dxa"/>
            <w:vAlign w:val="center"/>
          </w:tcPr>
          <w:p>
            <w:pPr>
              <w:pStyle w:val="19"/>
            </w:pPr>
            <w:r>
              <w:t>促进县域环境发展</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保障林业工作正常运行</w:t>
            </w:r>
          </w:p>
        </w:tc>
        <w:tc>
          <w:tcPr>
            <w:tcW w:w="2835" w:type="dxa"/>
            <w:vAlign w:val="center"/>
          </w:tcPr>
          <w:p>
            <w:pPr>
              <w:pStyle w:val="19"/>
            </w:pPr>
            <w:r>
              <w:t>保障林业工作正常运行</w:t>
            </w:r>
          </w:p>
        </w:tc>
        <w:tc>
          <w:tcPr>
            <w:tcW w:w="2551" w:type="dxa"/>
            <w:vAlign w:val="center"/>
          </w:tcPr>
          <w:p>
            <w:pPr>
              <w:pStyle w:val="19"/>
            </w:pPr>
            <w:r>
              <w:t>≥90%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满意度</w:t>
            </w:r>
          </w:p>
        </w:tc>
        <w:tc>
          <w:tcPr>
            <w:tcW w:w="2835" w:type="dxa"/>
            <w:vAlign w:val="center"/>
          </w:tcPr>
          <w:p>
            <w:pPr>
              <w:pStyle w:val="19"/>
            </w:pPr>
            <w:r>
              <w:t>社会满意度</w:t>
            </w:r>
          </w:p>
        </w:tc>
        <w:tc>
          <w:tcPr>
            <w:tcW w:w="2551" w:type="dxa"/>
            <w:vAlign w:val="center"/>
          </w:tcPr>
          <w:p>
            <w:pPr>
              <w:pStyle w:val="19"/>
            </w:pPr>
            <w:r>
              <w:t>≥95%</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3、自然资源专项经费绩效目标表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1.保障我单位人员、公用经费的发放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人员工资发放人数</w:t>
            </w:r>
          </w:p>
        </w:tc>
        <w:tc>
          <w:tcPr>
            <w:tcW w:w="2835" w:type="dxa"/>
            <w:vAlign w:val="center"/>
          </w:tcPr>
          <w:p>
            <w:pPr>
              <w:pStyle w:val="19"/>
            </w:pPr>
            <w:r>
              <w:t>自收自支人员工资及公用经费发放人数</w:t>
            </w:r>
          </w:p>
        </w:tc>
        <w:tc>
          <w:tcPr>
            <w:tcW w:w="2551" w:type="dxa"/>
            <w:vAlign w:val="center"/>
          </w:tcPr>
          <w:p>
            <w:pPr>
              <w:pStyle w:val="19"/>
            </w:pPr>
            <w:r>
              <w:t>人</w:t>
            </w:r>
          </w:p>
        </w:tc>
        <w:tc>
          <w:tcPr>
            <w:tcW w:w="2268" w:type="dxa"/>
            <w:vAlign w:val="center"/>
          </w:tcPr>
          <w:p>
            <w:pPr>
              <w:pStyle w:val="19"/>
            </w:pPr>
            <w:r>
              <w:t>人事组织部门审批表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人员公用发放到位率</w:t>
            </w:r>
          </w:p>
        </w:tc>
        <w:tc>
          <w:tcPr>
            <w:tcW w:w="2835" w:type="dxa"/>
            <w:vAlign w:val="center"/>
          </w:tcPr>
          <w:p>
            <w:pPr>
              <w:pStyle w:val="19"/>
            </w:pPr>
            <w:r>
              <w:t>保障工资发放到位</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工资发放时间</w:t>
            </w:r>
          </w:p>
        </w:tc>
        <w:tc>
          <w:tcPr>
            <w:tcW w:w="2835" w:type="dxa"/>
            <w:vAlign w:val="center"/>
          </w:tcPr>
          <w:p>
            <w:pPr>
              <w:pStyle w:val="19"/>
            </w:pPr>
            <w:r>
              <w:t>工资发放具体时间</w:t>
            </w:r>
          </w:p>
        </w:tc>
        <w:tc>
          <w:tcPr>
            <w:tcW w:w="2551" w:type="dxa"/>
            <w:vAlign w:val="center"/>
          </w:tcPr>
          <w:p>
            <w:pPr>
              <w:pStyle w:val="19"/>
            </w:pPr>
            <w:r>
              <w:t>每月15日前发放（遇节假日或特殊不定因素实时发放）</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资金成本</w:t>
            </w:r>
          </w:p>
        </w:tc>
        <w:tc>
          <w:tcPr>
            <w:tcW w:w="2835" w:type="dxa"/>
            <w:vAlign w:val="center"/>
          </w:tcPr>
          <w:p>
            <w:pPr>
              <w:pStyle w:val="19"/>
            </w:pPr>
            <w:r>
              <w:t>资金成本</w:t>
            </w:r>
          </w:p>
        </w:tc>
        <w:tc>
          <w:tcPr>
            <w:tcW w:w="2551" w:type="dxa"/>
            <w:vAlign w:val="center"/>
          </w:tcPr>
          <w:p>
            <w:pPr>
              <w:pStyle w:val="19"/>
            </w:pPr>
            <w:r>
              <w:t>1974万元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人员生活水平</w:t>
            </w:r>
          </w:p>
        </w:tc>
        <w:tc>
          <w:tcPr>
            <w:tcW w:w="2835" w:type="dxa"/>
            <w:vAlign w:val="center"/>
          </w:tcPr>
          <w:p>
            <w:pPr>
              <w:pStyle w:val="19"/>
            </w:pPr>
            <w:r>
              <w:t>人员生活水平稳定</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人员稳定率</w:t>
            </w:r>
          </w:p>
        </w:tc>
        <w:tc>
          <w:tcPr>
            <w:tcW w:w="2835" w:type="dxa"/>
            <w:vAlign w:val="center"/>
          </w:tcPr>
          <w:p>
            <w:pPr>
              <w:pStyle w:val="19"/>
            </w:pPr>
            <w:r>
              <w:t>保障自收自支人员稳定</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自收自支人员经费保障稳定</w:t>
            </w:r>
          </w:p>
        </w:tc>
        <w:tc>
          <w:tcPr>
            <w:tcW w:w="2835" w:type="dxa"/>
            <w:vAlign w:val="center"/>
          </w:tcPr>
          <w:p>
            <w:pPr>
              <w:pStyle w:val="19"/>
            </w:pPr>
            <w:r>
              <w:t>自收自支人员经费保障稳定</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提升人员素质</w:t>
            </w:r>
          </w:p>
        </w:tc>
        <w:tc>
          <w:tcPr>
            <w:tcW w:w="2835" w:type="dxa"/>
            <w:vAlign w:val="center"/>
          </w:tcPr>
          <w:p>
            <w:pPr>
              <w:pStyle w:val="19"/>
            </w:pPr>
            <w:r>
              <w:t>提升人员素质</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满意度</w:t>
            </w:r>
          </w:p>
        </w:tc>
        <w:tc>
          <w:tcPr>
            <w:tcW w:w="2835" w:type="dxa"/>
            <w:vAlign w:val="center"/>
          </w:tcPr>
          <w:p>
            <w:pPr>
              <w:pStyle w:val="19"/>
            </w:pPr>
            <w:r>
              <w:t>自收自支人员满意程度</w:t>
            </w:r>
          </w:p>
        </w:tc>
        <w:tc>
          <w:tcPr>
            <w:tcW w:w="2551" w:type="dxa"/>
            <w:vAlign w:val="center"/>
          </w:tcPr>
          <w:p>
            <w:pPr>
              <w:pStyle w:val="19"/>
            </w:pPr>
            <w:r>
              <w:t>≥95%</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4、2022年美国白蛾防治费绩效目标表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1.做好美国白蛾防治工作，确保林业生态安全。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美国白蛾防治面积</w:t>
            </w:r>
          </w:p>
        </w:tc>
        <w:tc>
          <w:tcPr>
            <w:tcW w:w="2835" w:type="dxa"/>
            <w:vAlign w:val="center"/>
          </w:tcPr>
          <w:p>
            <w:pPr>
              <w:pStyle w:val="19"/>
            </w:pPr>
            <w:r>
              <w:t>完成美国白蛾防治面积</w:t>
            </w:r>
          </w:p>
        </w:tc>
        <w:tc>
          <w:tcPr>
            <w:tcW w:w="2551" w:type="dxa"/>
            <w:vAlign w:val="center"/>
          </w:tcPr>
          <w:p>
            <w:pPr>
              <w:pStyle w:val="19"/>
            </w:pPr>
            <w:r>
              <w:t>20000亩</w:t>
            </w:r>
          </w:p>
        </w:tc>
        <w:tc>
          <w:tcPr>
            <w:tcW w:w="2268" w:type="dxa"/>
            <w:vAlign w:val="center"/>
          </w:tcPr>
          <w:p>
            <w:pPr>
              <w:pStyle w:val="19"/>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质量达标率</w:t>
            </w:r>
          </w:p>
        </w:tc>
        <w:tc>
          <w:tcPr>
            <w:tcW w:w="2835" w:type="dxa"/>
            <w:vAlign w:val="center"/>
          </w:tcPr>
          <w:p>
            <w:pPr>
              <w:pStyle w:val="19"/>
            </w:pPr>
            <w:r>
              <w:t>防治面积质量达标率</w:t>
            </w:r>
          </w:p>
        </w:tc>
        <w:tc>
          <w:tcPr>
            <w:tcW w:w="2551" w:type="dxa"/>
            <w:vAlign w:val="center"/>
          </w:tcPr>
          <w:p>
            <w:pPr>
              <w:pStyle w:val="19"/>
            </w:pPr>
            <w:r>
              <w:t>≥95%</w:t>
            </w:r>
          </w:p>
        </w:tc>
        <w:tc>
          <w:tcPr>
            <w:tcW w:w="2268" w:type="dxa"/>
            <w:vAlign w:val="center"/>
          </w:tcPr>
          <w:p>
            <w:pPr>
              <w:pStyle w:val="19"/>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完成及时率</w:t>
            </w:r>
          </w:p>
        </w:tc>
        <w:tc>
          <w:tcPr>
            <w:tcW w:w="2835" w:type="dxa"/>
            <w:vAlign w:val="center"/>
          </w:tcPr>
          <w:p>
            <w:pPr>
              <w:pStyle w:val="19"/>
            </w:pPr>
            <w:r>
              <w:t>防治任务完成及时率</w:t>
            </w:r>
          </w:p>
        </w:tc>
        <w:tc>
          <w:tcPr>
            <w:tcW w:w="2551" w:type="dxa"/>
            <w:vAlign w:val="center"/>
          </w:tcPr>
          <w:p>
            <w:pPr>
              <w:pStyle w:val="19"/>
            </w:pPr>
            <w:r>
              <w:t>100%</w:t>
            </w:r>
          </w:p>
        </w:tc>
        <w:tc>
          <w:tcPr>
            <w:tcW w:w="2268" w:type="dxa"/>
            <w:vAlign w:val="center"/>
          </w:tcPr>
          <w:p>
            <w:pPr>
              <w:pStyle w:val="19"/>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县级财政补助资金</w:t>
            </w:r>
          </w:p>
        </w:tc>
        <w:tc>
          <w:tcPr>
            <w:tcW w:w="2835" w:type="dxa"/>
            <w:vAlign w:val="center"/>
          </w:tcPr>
          <w:p>
            <w:pPr>
              <w:pStyle w:val="19"/>
            </w:pPr>
            <w:r>
              <w:t>县级财政补助资金（万元）</w:t>
            </w:r>
          </w:p>
        </w:tc>
        <w:tc>
          <w:tcPr>
            <w:tcW w:w="2551" w:type="dxa"/>
            <w:vAlign w:val="center"/>
          </w:tcPr>
          <w:p>
            <w:pPr>
              <w:pStyle w:val="19"/>
            </w:pPr>
            <w:r>
              <w:t>15万元</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绿化植物病虫危害经济损失比率</w:t>
            </w:r>
          </w:p>
        </w:tc>
        <w:tc>
          <w:tcPr>
            <w:tcW w:w="2835" w:type="dxa"/>
            <w:vAlign w:val="center"/>
          </w:tcPr>
          <w:p>
            <w:pPr>
              <w:pStyle w:val="19"/>
            </w:pPr>
            <w:r>
              <w:t>降低绿植病虫危害带来经济损失率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增加全县绿化量</w:t>
            </w:r>
          </w:p>
        </w:tc>
        <w:tc>
          <w:tcPr>
            <w:tcW w:w="2835" w:type="dxa"/>
            <w:vAlign w:val="center"/>
          </w:tcPr>
          <w:p>
            <w:pPr>
              <w:pStyle w:val="19"/>
            </w:pPr>
            <w:r>
              <w:t>增加全县绿化量</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生态环境质量改善</w:t>
            </w:r>
          </w:p>
        </w:tc>
        <w:tc>
          <w:tcPr>
            <w:tcW w:w="2835" w:type="dxa"/>
            <w:vAlign w:val="center"/>
          </w:tcPr>
          <w:p>
            <w:pPr>
              <w:pStyle w:val="19"/>
            </w:pPr>
            <w:r>
              <w:t>生态环境质量改善</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提高我县病虫害防治能力</w:t>
            </w:r>
          </w:p>
        </w:tc>
        <w:tc>
          <w:tcPr>
            <w:tcW w:w="2835" w:type="dxa"/>
            <w:vAlign w:val="center"/>
          </w:tcPr>
          <w:p>
            <w:pPr>
              <w:pStyle w:val="19"/>
            </w:pPr>
            <w:r>
              <w:t>提高我县病虫害防治能力</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5、馆陶县2022年度卫片执法检查放线测绘项目资金绩效目标表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1.完成自然资源部下发的2022年度土地卫片违法图斑、日常巡查发现的疑似违法占地、违规建设等情况需进行实地测量、认定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违法占地图斑测绘量</w:t>
            </w:r>
          </w:p>
        </w:tc>
        <w:tc>
          <w:tcPr>
            <w:tcW w:w="2835" w:type="dxa"/>
            <w:vAlign w:val="center"/>
          </w:tcPr>
          <w:p>
            <w:pPr>
              <w:pStyle w:val="19"/>
            </w:pPr>
            <w:r>
              <w:t>违法占地图斑测绘量</w:t>
            </w:r>
          </w:p>
        </w:tc>
        <w:tc>
          <w:tcPr>
            <w:tcW w:w="2551" w:type="dxa"/>
            <w:vAlign w:val="center"/>
          </w:tcPr>
          <w:p>
            <w:pPr>
              <w:pStyle w:val="19"/>
            </w:pPr>
            <w:r>
              <w:t>根据上级下达图斑数量确定</w:t>
            </w:r>
          </w:p>
        </w:tc>
        <w:tc>
          <w:tcPr>
            <w:tcW w:w="2268" w:type="dxa"/>
            <w:vAlign w:val="center"/>
          </w:tcPr>
          <w:p>
            <w:pPr>
              <w:pStyle w:val="19"/>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测绘成果合格率</w:t>
            </w:r>
          </w:p>
        </w:tc>
        <w:tc>
          <w:tcPr>
            <w:tcW w:w="2835" w:type="dxa"/>
            <w:vAlign w:val="center"/>
          </w:tcPr>
          <w:p>
            <w:pPr>
              <w:pStyle w:val="19"/>
            </w:pPr>
            <w:r>
              <w:t>测绘成果合格率</w:t>
            </w:r>
          </w:p>
        </w:tc>
        <w:tc>
          <w:tcPr>
            <w:tcW w:w="2551" w:type="dxa"/>
            <w:vAlign w:val="center"/>
          </w:tcPr>
          <w:p>
            <w:pPr>
              <w:pStyle w:val="19"/>
            </w:pPr>
            <w:r>
              <w:t>100%</w:t>
            </w:r>
          </w:p>
        </w:tc>
        <w:tc>
          <w:tcPr>
            <w:tcW w:w="2268" w:type="dxa"/>
            <w:vAlign w:val="center"/>
          </w:tcPr>
          <w:p>
            <w:pPr>
              <w:pStyle w:val="19"/>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工作任务完成及时率</w:t>
            </w:r>
          </w:p>
        </w:tc>
        <w:tc>
          <w:tcPr>
            <w:tcW w:w="2835" w:type="dxa"/>
            <w:vAlign w:val="center"/>
          </w:tcPr>
          <w:p>
            <w:pPr>
              <w:pStyle w:val="19"/>
            </w:pPr>
            <w:r>
              <w:t>工作任务完成及时率</w:t>
            </w:r>
          </w:p>
        </w:tc>
        <w:tc>
          <w:tcPr>
            <w:tcW w:w="2551" w:type="dxa"/>
            <w:vAlign w:val="center"/>
          </w:tcPr>
          <w:p>
            <w:pPr>
              <w:pStyle w:val="19"/>
            </w:pPr>
            <w:r>
              <w:t>100%</w:t>
            </w:r>
          </w:p>
        </w:tc>
        <w:tc>
          <w:tcPr>
            <w:tcW w:w="2268" w:type="dxa"/>
            <w:vAlign w:val="center"/>
          </w:tcPr>
          <w:p>
            <w:pPr>
              <w:pStyle w:val="19"/>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测绘所需成本</w:t>
            </w:r>
          </w:p>
        </w:tc>
        <w:tc>
          <w:tcPr>
            <w:tcW w:w="2835" w:type="dxa"/>
            <w:vAlign w:val="center"/>
          </w:tcPr>
          <w:p>
            <w:pPr>
              <w:pStyle w:val="19"/>
            </w:pPr>
            <w:r>
              <w:t>测绘所需成本</w:t>
            </w:r>
          </w:p>
        </w:tc>
        <w:tc>
          <w:tcPr>
            <w:tcW w:w="2551" w:type="dxa"/>
            <w:vAlign w:val="center"/>
          </w:tcPr>
          <w:p>
            <w:pPr>
              <w:pStyle w:val="19"/>
            </w:pPr>
            <w:r>
              <w:t>50万元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促进县域经济发展</w:t>
            </w:r>
          </w:p>
        </w:tc>
        <w:tc>
          <w:tcPr>
            <w:tcW w:w="2835" w:type="dxa"/>
            <w:vAlign w:val="center"/>
          </w:tcPr>
          <w:p>
            <w:pPr>
              <w:pStyle w:val="19"/>
            </w:pPr>
            <w:r>
              <w:t>促进县域经济发展</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测绘结果合格率</w:t>
            </w:r>
          </w:p>
        </w:tc>
        <w:tc>
          <w:tcPr>
            <w:tcW w:w="2835" w:type="dxa"/>
            <w:vAlign w:val="center"/>
          </w:tcPr>
          <w:p>
            <w:pPr>
              <w:pStyle w:val="19"/>
            </w:pPr>
            <w:r>
              <w:t>逐宗图斑测绘结果合格率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测绘数据合格率</w:t>
            </w:r>
          </w:p>
        </w:tc>
        <w:tc>
          <w:tcPr>
            <w:tcW w:w="2835" w:type="dxa"/>
            <w:vAlign w:val="center"/>
          </w:tcPr>
          <w:p>
            <w:pPr>
              <w:pStyle w:val="19"/>
            </w:pPr>
            <w:r>
              <w:t>测绘数据合格率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基础测绘保障程度</w:t>
            </w:r>
          </w:p>
        </w:tc>
        <w:tc>
          <w:tcPr>
            <w:tcW w:w="2835" w:type="dxa"/>
            <w:vAlign w:val="center"/>
          </w:tcPr>
          <w:p>
            <w:pPr>
              <w:pStyle w:val="19"/>
            </w:pPr>
            <w:r>
              <w:t>基础测绘保障程度</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单位满意度测评</w:t>
            </w:r>
          </w:p>
        </w:tc>
        <w:tc>
          <w:tcPr>
            <w:tcW w:w="2835" w:type="dxa"/>
            <w:vAlign w:val="center"/>
          </w:tcPr>
          <w:p>
            <w:pPr>
              <w:pStyle w:val="19"/>
            </w:pPr>
            <w:r>
              <w:t>单位满意度测评</w:t>
            </w:r>
          </w:p>
        </w:tc>
        <w:tc>
          <w:tcPr>
            <w:tcW w:w="2551" w:type="dxa"/>
            <w:vAlign w:val="center"/>
          </w:tcPr>
          <w:p>
            <w:pPr>
              <w:pStyle w:val="19"/>
            </w:pPr>
            <w:r>
              <w:t>≥95%</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6、馆陶县柴堡镇等6个乡镇国土空间规划编制项目绩效目标表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1.完成乡镇国土空间规划编制工作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规划编制完成率(%)</w:t>
            </w:r>
          </w:p>
        </w:tc>
        <w:tc>
          <w:tcPr>
            <w:tcW w:w="2835" w:type="dxa"/>
            <w:vAlign w:val="center"/>
          </w:tcPr>
          <w:p>
            <w:pPr>
              <w:pStyle w:val="19"/>
            </w:pPr>
            <w:r>
              <w:t>规划编制完成的进度占计划完成的比率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规划编制合格率(%)</w:t>
            </w:r>
          </w:p>
        </w:tc>
        <w:tc>
          <w:tcPr>
            <w:tcW w:w="2835" w:type="dxa"/>
            <w:vAlign w:val="center"/>
          </w:tcPr>
          <w:p>
            <w:pPr>
              <w:pStyle w:val="19"/>
            </w:pPr>
            <w:r>
              <w:t>规划符合国家、省、市法律法规及规范要求</w:t>
            </w:r>
          </w:p>
        </w:tc>
        <w:tc>
          <w:tcPr>
            <w:tcW w:w="2551" w:type="dxa"/>
            <w:vAlign w:val="center"/>
          </w:tcPr>
          <w:p>
            <w:pPr>
              <w:pStyle w:val="19"/>
            </w:pPr>
            <w:r>
              <w:t>100%</w:t>
            </w:r>
          </w:p>
        </w:tc>
        <w:tc>
          <w:tcPr>
            <w:tcW w:w="2268" w:type="dxa"/>
            <w:vAlign w:val="center"/>
          </w:tcPr>
          <w:p>
            <w:pPr>
              <w:pStyle w:val="19"/>
            </w:pPr>
            <w:r>
              <w:t>（冀自然办发〔2019〕34号）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规划编制进度完成时限</w:t>
            </w:r>
          </w:p>
        </w:tc>
        <w:tc>
          <w:tcPr>
            <w:tcW w:w="2835" w:type="dxa"/>
            <w:vAlign w:val="center"/>
          </w:tcPr>
          <w:p>
            <w:pPr>
              <w:pStyle w:val="19"/>
            </w:pPr>
            <w:r>
              <w:t>按照省市进度要求完成编制任务</w:t>
            </w:r>
          </w:p>
        </w:tc>
        <w:tc>
          <w:tcPr>
            <w:tcW w:w="2551" w:type="dxa"/>
            <w:vAlign w:val="center"/>
          </w:tcPr>
          <w:p>
            <w:pPr>
              <w:pStyle w:val="19"/>
            </w:pPr>
            <w:r>
              <w:t>100%</w:t>
            </w:r>
          </w:p>
        </w:tc>
        <w:tc>
          <w:tcPr>
            <w:tcW w:w="2268" w:type="dxa"/>
            <w:vAlign w:val="center"/>
          </w:tcPr>
          <w:p>
            <w:pPr>
              <w:pStyle w:val="19"/>
            </w:pPr>
            <w:r>
              <w:t>（冀自然办发〔2019〕34号）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完成工作所需资金</w:t>
            </w:r>
          </w:p>
        </w:tc>
        <w:tc>
          <w:tcPr>
            <w:tcW w:w="2835" w:type="dxa"/>
            <w:vAlign w:val="center"/>
          </w:tcPr>
          <w:p>
            <w:pPr>
              <w:pStyle w:val="19"/>
            </w:pPr>
            <w:r>
              <w:t>完成工作所需资金</w:t>
            </w:r>
          </w:p>
        </w:tc>
        <w:tc>
          <w:tcPr>
            <w:tcW w:w="2551" w:type="dxa"/>
            <w:vAlign w:val="center"/>
          </w:tcPr>
          <w:p>
            <w:pPr>
              <w:pStyle w:val="19"/>
            </w:pPr>
            <w:r>
              <w:t>270万元</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拉动地方经济发展</w:t>
            </w:r>
          </w:p>
        </w:tc>
        <w:tc>
          <w:tcPr>
            <w:tcW w:w="2835" w:type="dxa"/>
            <w:vAlign w:val="center"/>
          </w:tcPr>
          <w:p>
            <w:pPr>
              <w:pStyle w:val="19"/>
            </w:pPr>
            <w:r>
              <w:t>拉动地方经济发展</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规划设计功能实现率(%)</w:t>
            </w:r>
          </w:p>
        </w:tc>
        <w:tc>
          <w:tcPr>
            <w:tcW w:w="2835" w:type="dxa"/>
            <w:vAlign w:val="center"/>
          </w:tcPr>
          <w:p>
            <w:pPr>
              <w:pStyle w:val="19"/>
            </w:pPr>
            <w:r>
              <w:t>规划功能实施体现的社会价值</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土地资源利用率</w:t>
            </w:r>
          </w:p>
        </w:tc>
        <w:tc>
          <w:tcPr>
            <w:tcW w:w="2835" w:type="dxa"/>
            <w:vAlign w:val="center"/>
          </w:tcPr>
          <w:p>
            <w:pPr>
              <w:pStyle w:val="19"/>
            </w:pPr>
            <w:r>
              <w:t>改善土地资源利用率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城乡规划对土地资源的持续影响</w:t>
            </w:r>
          </w:p>
        </w:tc>
        <w:tc>
          <w:tcPr>
            <w:tcW w:w="2835" w:type="dxa"/>
            <w:vAlign w:val="center"/>
          </w:tcPr>
          <w:p>
            <w:pPr>
              <w:pStyle w:val="19"/>
            </w:pPr>
            <w:r>
              <w:t>城乡规划对土地资源的持续影响</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服务对象满意度</w:t>
            </w:r>
          </w:p>
        </w:tc>
        <w:tc>
          <w:tcPr>
            <w:tcW w:w="2835" w:type="dxa"/>
            <w:vAlign w:val="center"/>
          </w:tcPr>
          <w:p>
            <w:pPr>
              <w:pStyle w:val="19"/>
            </w:pPr>
            <w:r>
              <w:t>服务对象满意度</w:t>
            </w:r>
          </w:p>
        </w:tc>
        <w:tc>
          <w:tcPr>
            <w:tcW w:w="2551" w:type="dxa"/>
            <w:vAlign w:val="center"/>
          </w:tcPr>
          <w:p>
            <w:pPr>
              <w:pStyle w:val="19"/>
            </w:pPr>
            <w:r>
              <w:t>≥95%</w:t>
            </w:r>
          </w:p>
        </w:tc>
        <w:tc>
          <w:tcPr>
            <w:tcW w:w="2268" w:type="dxa"/>
            <w:vAlign w:val="center"/>
          </w:tcPr>
          <w:p>
            <w:pPr>
              <w:pStyle w:val="1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7、馆陶县土地征收成片开发方案服务项目资金绩效目标表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1.保证土地征收成片开发方案的编制，完成我县农用地转用征收报卷工作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农用地转用征收工作量</w:t>
            </w:r>
          </w:p>
        </w:tc>
        <w:tc>
          <w:tcPr>
            <w:tcW w:w="2835" w:type="dxa"/>
            <w:vAlign w:val="center"/>
          </w:tcPr>
          <w:p>
            <w:pPr>
              <w:pStyle w:val="19"/>
            </w:pPr>
            <w:r>
              <w:t>完成全年我县农用地转用征收工作数量</w:t>
            </w:r>
          </w:p>
        </w:tc>
        <w:tc>
          <w:tcPr>
            <w:tcW w:w="2551" w:type="dxa"/>
            <w:vAlign w:val="center"/>
          </w:tcPr>
          <w:p>
            <w:pPr>
              <w:pStyle w:val="19"/>
            </w:pPr>
            <w:r>
              <w:t>实际征收数量</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成片开发方案编制</w:t>
            </w:r>
          </w:p>
        </w:tc>
        <w:tc>
          <w:tcPr>
            <w:tcW w:w="2835" w:type="dxa"/>
            <w:vAlign w:val="center"/>
          </w:tcPr>
          <w:p>
            <w:pPr>
              <w:pStyle w:val="19"/>
            </w:pPr>
            <w:r>
              <w:t>完成成片开发方案编制</w:t>
            </w:r>
          </w:p>
        </w:tc>
        <w:tc>
          <w:tcPr>
            <w:tcW w:w="2551" w:type="dxa"/>
            <w:vAlign w:val="center"/>
          </w:tcPr>
          <w:p>
            <w:pPr>
              <w:pStyle w:val="19"/>
            </w:pPr>
            <w:r>
              <w:t>100%</w:t>
            </w:r>
          </w:p>
        </w:tc>
        <w:tc>
          <w:tcPr>
            <w:tcW w:w="2268" w:type="dxa"/>
            <w:vAlign w:val="center"/>
          </w:tcPr>
          <w:p>
            <w:pPr>
              <w:pStyle w:val="19"/>
            </w:pPr>
            <w:r>
              <w:t>冀自然资发[2021]11号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方案上报市政府</w:t>
            </w:r>
          </w:p>
        </w:tc>
        <w:tc>
          <w:tcPr>
            <w:tcW w:w="2835" w:type="dxa"/>
            <w:vAlign w:val="center"/>
          </w:tcPr>
          <w:p>
            <w:pPr>
              <w:pStyle w:val="19"/>
            </w:pPr>
            <w:r>
              <w:t>方案及时上报市政府</w:t>
            </w:r>
          </w:p>
        </w:tc>
        <w:tc>
          <w:tcPr>
            <w:tcW w:w="2551" w:type="dxa"/>
            <w:vAlign w:val="center"/>
          </w:tcPr>
          <w:p>
            <w:pPr>
              <w:pStyle w:val="19"/>
            </w:pPr>
            <w:r>
              <w:t>100%</w:t>
            </w:r>
          </w:p>
        </w:tc>
        <w:tc>
          <w:tcPr>
            <w:tcW w:w="2268" w:type="dxa"/>
            <w:vAlign w:val="center"/>
          </w:tcPr>
          <w:p>
            <w:pPr>
              <w:pStyle w:val="19"/>
            </w:pPr>
            <w:r>
              <w:t>冀自然资发[2021]11号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委托第三方所需要成本</w:t>
            </w:r>
          </w:p>
        </w:tc>
        <w:tc>
          <w:tcPr>
            <w:tcW w:w="2835" w:type="dxa"/>
            <w:vAlign w:val="center"/>
          </w:tcPr>
          <w:p>
            <w:pPr>
              <w:pStyle w:val="19"/>
            </w:pPr>
            <w:r>
              <w:t>委托第三方所需要成本</w:t>
            </w:r>
          </w:p>
        </w:tc>
        <w:tc>
          <w:tcPr>
            <w:tcW w:w="2551" w:type="dxa"/>
            <w:vAlign w:val="center"/>
          </w:tcPr>
          <w:p>
            <w:pPr>
              <w:pStyle w:val="19"/>
            </w:pPr>
            <w:r>
              <w:t>182.63万元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自然资源开发利用现状掌握率</w:t>
            </w:r>
          </w:p>
        </w:tc>
        <w:tc>
          <w:tcPr>
            <w:tcW w:w="2835" w:type="dxa"/>
            <w:vAlign w:val="center"/>
          </w:tcPr>
          <w:p>
            <w:pPr>
              <w:pStyle w:val="19"/>
            </w:pPr>
            <w:r>
              <w:t>自然资源开发利用现状掌握率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带来良好社会效益</w:t>
            </w:r>
          </w:p>
        </w:tc>
        <w:tc>
          <w:tcPr>
            <w:tcW w:w="2835" w:type="dxa"/>
            <w:vAlign w:val="center"/>
          </w:tcPr>
          <w:p>
            <w:pPr>
              <w:pStyle w:val="19"/>
            </w:pPr>
            <w:r>
              <w:t>带来良好社会效益</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节约集约用地率</w:t>
            </w:r>
          </w:p>
        </w:tc>
        <w:tc>
          <w:tcPr>
            <w:tcW w:w="2835" w:type="dxa"/>
            <w:vAlign w:val="center"/>
          </w:tcPr>
          <w:p>
            <w:pPr>
              <w:pStyle w:val="19"/>
            </w:pPr>
            <w:r>
              <w:t>节约集约用地率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促进我县可持续发展</w:t>
            </w:r>
          </w:p>
        </w:tc>
        <w:tc>
          <w:tcPr>
            <w:tcW w:w="2835" w:type="dxa"/>
            <w:vAlign w:val="center"/>
          </w:tcPr>
          <w:p>
            <w:pPr>
              <w:pStyle w:val="19"/>
            </w:pPr>
            <w:r>
              <w:t>为我县经济发展提供支撑</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被征地农民调查满意率</w:t>
            </w:r>
          </w:p>
        </w:tc>
        <w:tc>
          <w:tcPr>
            <w:tcW w:w="2835" w:type="dxa"/>
            <w:vAlign w:val="center"/>
          </w:tcPr>
          <w:p>
            <w:pPr>
              <w:pStyle w:val="19"/>
            </w:pPr>
            <w:r>
              <w:t>被征地农民调查满意率</w:t>
            </w:r>
          </w:p>
        </w:tc>
        <w:tc>
          <w:tcPr>
            <w:tcW w:w="2551" w:type="dxa"/>
            <w:vAlign w:val="center"/>
          </w:tcPr>
          <w:p>
            <w:pPr>
              <w:pStyle w:val="19"/>
            </w:pPr>
            <w:r>
              <w:t>≥95%</w:t>
            </w:r>
          </w:p>
        </w:tc>
        <w:tc>
          <w:tcPr>
            <w:tcW w:w="2268" w:type="dxa"/>
            <w:vAlign w:val="center"/>
          </w:tcPr>
          <w:p>
            <w:pPr>
              <w:pStyle w:val="19"/>
            </w:pPr>
            <w:r>
              <w:t>满意度调查表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8、馆陶县土地征收社会稳定风险分析评估项目资金绩效目标表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1.完成土地征收工作，开展社会稳定风险评估项目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完成建设用地转用征收报卷</w:t>
            </w:r>
          </w:p>
        </w:tc>
        <w:tc>
          <w:tcPr>
            <w:tcW w:w="2835" w:type="dxa"/>
            <w:vAlign w:val="center"/>
          </w:tcPr>
          <w:p>
            <w:pPr>
              <w:pStyle w:val="19"/>
            </w:pPr>
            <w:r>
              <w:t>完成建设用地转用征收报卷批次数量</w:t>
            </w:r>
          </w:p>
        </w:tc>
        <w:tc>
          <w:tcPr>
            <w:tcW w:w="2551" w:type="dxa"/>
            <w:vAlign w:val="center"/>
          </w:tcPr>
          <w:p>
            <w:pPr>
              <w:pStyle w:val="19"/>
            </w:pPr>
            <w:r>
              <w:t>完成土地征收12个批次</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社会稳定风险评估</w:t>
            </w:r>
          </w:p>
        </w:tc>
        <w:tc>
          <w:tcPr>
            <w:tcW w:w="2835" w:type="dxa"/>
            <w:vAlign w:val="center"/>
          </w:tcPr>
          <w:p>
            <w:pPr>
              <w:pStyle w:val="19"/>
            </w:pPr>
            <w:r>
              <w:t>评估社会稳定风险合格率</w:t>
            </w:r>
          </w:p>
        </w:tc>
        <w:tc>
          <w:tcPr>
            <w:tcW w:w="2551" w:type="dxa"/>
            <w:vAlign w:val="center"/>
          </w:tcPr>
          <w:p>
            <w:pPr>
              <w:pStyle w:val="19"/>
            </w:pPr>
            <w:r>
              <w:t>100%</w:t>
            </w:r>
          </w:p>
        </w:tc>
        <w:tc>
          <w:tcPr>
            <w:tcW w:w="2268" w:type="dxa"/>
            <w:vAlign w:val="center"/>
          </w:tcPr>
          <w:p>
            <w:pPr>
              <w:pStyle w:val="19"/>
            </w:pPr>
            <w:r>
              <w:t>土地征收报卷要求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社会风险评估完成及时性</w:t>
            </w:r>
          </w:p>
        </w:tc>
        <w:tc>
          <w:tcPr>
            <w:tcW w:w="2835" w:type="dxa"/>
            <w:vAlign w:val="center"/>
          </w:tcPr>
          <w:p>
            <w:pPr>
              <w:pStyle w:val="19"/>
            </w:pPr>
            <w:r>
              <w:t>社会风险评估完成及时性</w:t>
            </w:r>
          </w:p>
        </w:tc>
        <w:tc>
          <w:tcPr>
            <w:tcW w:w="2551" w:type="dxa"/>
            <w:vAlign w:val="center"/>
          </w:tcPr>
          <w:p>
            <w:pPr>
              <w:pStyle w:val="19"/>
            </w:pPr>
            <w:r>
              <w:t>100%</w:t>
            </w:r>
          </w:p>
        </w:tc>
        <w:tc>
          <w:tcPr>
            <w:tcW w:w="2268" w:type="dxa"/>
            <w:vAlign w:val="center"/>
          </w:tcPr>
          <w:p>
            <w:pPr>
              <w:pStyle w:val="19"/>
            </w:pPr>
            <w:r>
              <w:t>土地征收报卷要求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委托第三方所需的安全评估成本</w:t>
            </w:r>
          </w:p>
        </w:tc>
        <w:tc>
          <w:tcPr>
            <w:tcW w:w="2835" w:type="dxa"/>
            <w:vAlign w:val="center"/>
          </w:tcPr>
          <w:p>
            <w:pPr>
              <w:pStyle w:val="19"/>
            </w:pPr>
            <w:r>
              <w:t>委托第三方所需的安全评估成本</w:t>
            </w:r>
          </w:p>
        </w:tc>
        <w:tc>
          <w:tcPr>
            <w:tcW w:w="2551" w:type="dxa"/>
            <w:vAlign w:val="center"/>
          </w:tcPr>
          <w:p>
            <w:pPr>
              <w:pStyle w:val="19"/>
            </w:pPr>
            <w:r>
              <w:t>213.79万元</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保障被征地农户利益</w:t>
            </w:r>
          </w:p>
        </w:tc>
        <w:tc>
          <w:tcPr>
            <w:tcW w:w="2835" w:type="dxa"/>
            <w:vAlign w:val="center"/>
          </w:tcPr>
          <w:p>
            <w:pPr>
              <w:pStyle w:val="19"/>
            </w:pPr>
            <w:r>
              <w:t>保障被征地农民利益带动农民增收</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减少被征收农户存在潜伏风险</w:t>
            </w:r>
          </w:p>
        </w:tc>
        <w:tc>
          <w:tcPr>
            <w:tcW w:w="2835" w:type="dxa"/>
            <w:vAlign w:val="center"/>
          </w:tcPr>
          <w:p>
            <w:pPr>
              <w:pStyle w:val="19"/>
            </w:pPr>
            <w:r>
              <w:t>减少被征收农户存在潜伏风险率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对土征收加强风险防范</w:t>
            </w:r>
          </w:p>
        </w:tc>
        <w:tc>
          <w:tcPr>
            <w:tcW w:w="2835" w:type="dxa"/>
            <w:vAlign w:val="center"/>
          </w:tcPr>
          <w:p>
            <w:pPr>
              <w:pStyle w:val="19"/>
            </w:pPr>
            <w:r>
              <w:t>对土征收加强风险防范比率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可持续性服务</w:t>
            </w:r>
          </w:p>
        </w:tc>
        <w:tc>
          <w:tcPr>
            <w:tcW w:w="2835" w:type="dxa"/>
            <w:vAlign w:val="center"/>
          </w:tcPr>
          <w:p>
            <w:pPr>
              <w:pStyle w:val="19"/>
            </w:pPr>
            <w:r>
              <w:t>可持续性服务</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评估对象满意度　</w:t>
            </w:r>
          </w:p>
        </w:tc>
        <w:tc>
          <w:tcPr>
            <w:tcW w:w="2835" w:type="dxa"/>
            <w:vAlign w:val="center"/>
          </w:tcPr>
          <w:p>
            <w:pPr>
              <w:pStyle w:val="19"/>
            </w:pPr>
            <w:r>
              <w:t>评估对象满意度　</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9、馆陶县土地整治项目资金绩效目标表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1.保障全县基本农田和耕地，改善农村生产生活条件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土地整治面积</w:t>
            </w:r>
          </w:p>
        </w:tc>
        <w:tc>
          <w:tcPr>
            <w:tcW w:w="2835" w:type="dxa"/>
            <w:vAlign w:val="center"/>
          </w:tcPr>
          <w:p>
            <w:pPr>
              <w:pStyle w:val="19"/>
            </w:pPr>
            <w:r>
              <w:t>土地整治面积</w:t>
            </w:r>
          </w:p>
        </w:tc>
        <w:tc>
          <w:tcPr>
            <w:tcW w:w="2551" w:type="dxa"/>
            <w:vAlign w:val="center"/>
          </w:tcPr>
          <w:p>
            <w:pPr>
              <w:pStyle w:val="19"/>
            </w:pPr>
            <w:r>
              <w:t>5000亩</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土地整治通过验收率</w:t>
            </w:r>
          </w:p>
        </w:tc>
        <w:tc>
          <w:tcPr>
            <w:tcW w:w="2835" w:type="dxa"/>
            <w:vAlign w:val="center"/>
          </w:tcPr>
          <w:p>
            <w:pPr>
              <w:pStyle w:val="19"/>
            </w:pPr>
            <w:r>
              <w:t>土地整治质量等别通过验收率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施工完成时限</w:t>
            </w:r>
          </w:p>
        </w:tc>
        <w:tc>
          <w:tcPr>
            <w:tcW w:w="2835" w:type="dxa"/>
            <w:vAlign w:val="center"/>
          </w:tcPr>
          <w:p>
            <w:pPr>
              <w:pStyle w:val="19"/>
            </w:pPr>
            <w:r>
              <w:t>按照施工方案组织实施完成时限</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项目完成所需资金</w:t>
            </w:r>
          </w:p>
        </w:tc>
        <w:tc>
          <w:tcPr>
            <w:tcW w:w="2835" w:type="dxa"/>
            <w:vAlign w:val="center"/>
          </w:tcPr>
          <w:p>
            <w:pPr>
              <w:pStyle w:val="19"/>
            </w:pPr>
            <w:r>
              <w:t>项目完成所需资金</w:t>
            </w:r>
          </w:p>
        </w:tc>
        <w:tc>
          <w:tcPr>
            <w:tcW w:w="2551" w:type="dxa"/>
            <w:vAlign w:val="center"/>
          </w:tcPr>
          <w:p>
            <w:pPr>
              <w:pStyle w:val="19"/>
            </w:pPr>
            <w:r>
              <w:t>1500万元</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实现耕地增产</w:t>
            </w:r>
          </w:p>
        </w:tc>
        <w:tc>
          <w:tcPr>
            <w:tcW w:w="2835" w:type="dxa"/>
            <w:vAlign w:val="center"/>
          </w:tcPr>
          <w:p>
            <w:pPr>
              <w:pStyle w:val="19"/>
            </w:pPr>
            <w:r>
              <w:t>实现耕地增产量</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推动城乡统筹发展，优化土地利用</w:t>
            </w:r>
          </w:p>
        </w:tc>
        <w:tc>
          <w:tcPr>
            <w:tcW w:w="2835" w:type="dxa"/>
            <w:vAlign w:val="center"/>
          </w:tcPr>
          <w:p>
            <w:pPr>
              <w:pStyle w:val="19"/>
            </w:pPr>
            <w:r>
              <w:t>推动城乡统筹发展，优化土地利用格局，土地利用率明显提高</w:t>
            </w:r>
          </w:p>
        </w:tc>
        <w:tc>
          <w:tcPr>
            <w:tcW w:w="2551" w:type="dxa"/>
            <w:vAlign w:val="center"/>
          </w:tcPr>
          <w:p>
            <w:pPr>
              <w:pStyle w:val="19"/>
            </w:pPr>
            <w:r>
              <w:t>≥85%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耕地质量提升</w:t>
            </w:r>
          </w:p>
        </w:tc>
        <w:tc>
          <w:tcPr>
            <w:tcW w:w="2835" w:type="dxa"/>
            <w:vAlign w:val="center"/>
          </w:tcPr>
          <w:p>
            <w:pPr>
              <w:pStyle w:val="19"/>
            </w:pPr>
            <w:r>
              <w:t>耕地质量提升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促进耕地“三位一体”发展</w:t>
            </w:r>
          </w:p>
        </w:tc>
        <w:tc>
          <w:tcPr>
            <w:tcW w:w="2835" w:type="dxa"/>
            <w:vAlign w:val="center"/>
          </w:tcPr>
          <w:p>
            <w:pPr>
              <w:pStyle w:val="19"/>
            </w:pPr>
            <w:r>
              <w:t>促进耕地“三位一体”发展</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10、馆陶县总体城市设计、重点地区城市设计和大运河沿线城市建设风貌设计、控制性详细规划项目绩效目标表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1.加强大运河空间管控力度，优化空间形态与沿岸风貌，与国土空间规划相协调，完善大运河沿线与周边地区功能结构，统筹安排各项基础设施，合理组织规划区内的旧城改造、村庄迁并。</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规划成果数量完成率</w:t>
            </w:r>
          </w:p>
        </w:tc>
        <w:tc>
          <w:tcPr>
            <w:tcW w:w="2835" w:type="dxa"/>
            <w:vAlign w:val="center"/>
          </w:tcPr>
          <w:p>
            <w:pPr>
              <w:pStyle w:val="19"/>
            </w:pPr>
            <w:r>
              <w:t>制作规划文本和规划图件完成率</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规划方案通过率</w:t>
            </w:r>
          </w:p>
        </w:tc>
        <w:tc>
          <w:tcPr>
            <w:tcW w:w="2835" w:type="dxa"/>
            <w:vAlign w:val="center"/>
          </w:tcPr>
          <w:p>
            <w:pPr>
              <w:pStyle w:val="19"/>
            </w:pPr>
            <w:r>
              <w:t>符合相关规范标准并通过评审</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编制进度上报成果</w:t>
            </w:r>
          </w:p>
        </w:tc>
        <w:tc>
          <w:tcPr>
            <w:tcW w:w="2835" w:type="dxa"/>
            <w:vAlign w:val="center"/>
          </w:tcPr>
          <w:p>
            <w:pPr>
              <w:pStyle w:val="19"/>
            </w:pPr>
            <w:r>
              <w:t>按照批复时间及时上报成果</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委托第三方所需要成本</w:t>
            </w:r>
          </w:p>
        </w:tc>
        <w:tc>
          <w:tcPr>
            <w:tcW w:w="2835" w:type="dxa"/>
            <w:vAlign w:val="center"/>
          </w:tcPr>
          <w:p>
            <w:pPr>
              <w:pStyle w:val="19"/>
            </w:pPr>
            <w:r>
              <w:t>委托第三方所需要成本</w:t>
            </w:r>
          </w:p>
        </w:tc>
        <w:tc>
          <w:tcPr>
            <w:tcW w:w="2551" w:type="dxa"/>
            <w:vAlign w:val="center"/>
          </w:tcPr>
          <w:p>
            <w:pPr>
              <w:pStyle w:val="19"/>
            </w:pPr>
            <w:r>
              <w:t>350万元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土地利用率</w:t>
            </w:r>
          </w:p>
        </w:tc>
        <w:tc>
          <w:tcPr>
            <w:tcW w:w="2835" w:type="dxa"/>
            <w:vAlign w:val="center"/>
          </w:tcPr>
          <w:p>
            <w:pPr>
              <w:pStyle w:val="19"/>
            </w:pPr>
            <w:r>
              <w:t>优化用地布局、节约集约土地</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城乡风貌与生活品质</w:t>
            </w:r>
          </w:p>
        </w:tc>
        <w:tc>
          <w:tcPr>
            <w:tcW w:w="2835" w:type="dxa"/>
            <w:vAlign w:val="center"/>
          </w:tcPr>
          <w:p>
            <w:pPr>
              <w:pStyle w:val="19"/>
            </w:pPr>
            <w:r>
              <w:t>塑造特色风貌、提升生活品质</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大运河保护传承利用</w:t>
            </w:r>
          </w:p>
        </w:tc>
        <w:tc>
          <w:tcPr>
            <w:tcW w:w="2835" w:type="dxa"/>
            <w:vAlign w:val="center"/>
          </w:tcPr>
          <w:p>
            <w:pPr>
              <w:pStyle w:val="19"/>
            </w:pPr>
            <w:r>
              <w:t>保护延续生态与文化、提升塑造景观风貌</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传播大运河文化</w:t>
            </w:r>
          </w:p>
        </w:tc>
        <w:tc>
          <w:tcPr>
            <w:tcW w:w="2835" w:type="dxa"/>
            <w:vAlign w:val="center"/>
          </w:tcPr>
          <w:p>
            <w:pPr>
              <w:pStyle w:val="19"/>
            </w:pPr>
            <w:r>
              <w:t>传播推广大运河文化</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群众满意度</w:t>
            </w:r>
          </w:p>
        </w:tc>
        <w:tc>
          <w:tcPr>
            <w:tcW w:w="2551" w:type="dxa"/>
            <w:vAlign w:val="center"/>
          </w:tcPr>
          <w:p>
            <w:pPr>
              <w:pStyle w:val="19"/>
            </w:pPr>
            <w:r>
              <w:t>≥90%</w:t>
            </w:r>
          </w:p>
        </w:tc>
        <w:tc>
          <w:tcPr>
            <w:tcW w:w="2268" w:type="dxa"/>
            <w:vAlign w:val="center"/>
          </w:tcPr>
          <w:p>
            <w:pPr>
              <w:pStyle w:val="1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11、国道G106馆陶段绕城改建工程土地组卷报批服务项目资金绩效目标表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1.项目已提交国家，等待国家下发批复文件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组卷报批执行量</w:t>
            </w:r>
          </w:p>
        </w:tc>
        <w:tc>
          <w:tcPr>
            <w:tcW w:w="2835" w:type="dxa"/>
            <w:vAlign w:val="center"/>
          </w:tcPr>
          <w:p>
            <w:pPr>
              <w:pStyle w:val="19"/>
            </w:pPr>
            <w:r>
              <w:t>完成组卷手续报批完成量</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组卷报批完成率</w:t>
            </w:r>
          </w:p>
        </w:tc>
        <w:tc>
          <w:tcPr>
            <w:tcW w:w="2835" w:type="dxa"/>
            <w:vAlign w:val="center"/>
          </w:tcPr>
          <w:p>
            <w:pPr>
              <w:pStyle w:val="19"/>
            </w:pPr>
            <w:r>
              <w:t>项目组卷完成报国家批准，国家下发批复文件</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组卷报批及时率</w:t>
            </w:r>
          </w:p>
        </w:tc>
        <w:tc>
          <w:tcPr>
            <w:tcW w:w="2835" w:type="dxa"/>
            <w:vAlign w:val="center"/>
          </w:tcPr>
          <w:p>
            <w:pPr>
              <w:pStyle w:val="19"/>
            </w:pPr>
            <w:r>
              <w:t>组卷报批及时率</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委托第三方所需要成本</w:t>
            </w:r>
          </w:p>
        </w:tc>
        <w:tc>
          <w:tcPr>
            <w:tcW w:w="2835" w:type="dxa"/>
            <w:vAlign w:val="center"/>
          </w:tcPr>
          <w:p>
            <w:pPr>
              <w:pStyle w:val="19"/>
            </w:pPr>
            <w:r>
              <w:t>委托第三方所需资金成本</w:t>
            </w:r>
          </w:p>
        </w:tc>
        <w:tc>
          <w:tcPr>
            <w:tcW w:w="2551" w:type="dxa"/>
            <w:vAlign w:val="center"/>
          </w:tcPr>
          <w:p>
            <w:pPr>
              <w:pStyle w:val="19"/>
            </w:pPr>
            <w:r>
              <w:t>29.4万元</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县域经济发展</w:t>
            </w:r>
          </w:p>
        </w:tc>
        <w:tc>
          <w:tcPr>
            <w:tcW w:w="2835" w:type="dxa"/>
            <w:vAlign w:val="center"/>
          </w:tcPr>
          <w:p>
            <w:pPr>
              <w:pStyle w:val="19"/>
            </w:pPr>
            <w:r>
              <w:t>促进县域经济发展</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推动城乡统筹发展，优化土地利用</w:t>
            </w:r>
          </w:p>
        </w:tc>
        <w:tc>
          <w:tcPr>
            <w:tcW w:w="2835" w:type="dxa"/>
            <w:vAlign w:val="center"/>
          </w:tcPr>
          <w:p>
            <w:pPr>
              <w:pStyle w:val="19"/>
            </w:pPr>
            <w:r>
              <w:t>推动城乡统筹发展，优化土地利用格局，土地利用率明显提高</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生态环境质量改善</w:t>
            </w:r>
          </w:p>
        </w:tc>
        <w:tc>
          <w:tcPr>
            <w:tcW w:w="2835" w:type="dxa"/>
            <w:vAlign w:val="center"/>
          </w:tcPr>
          <w:p>
            <w:pPr>
              <w:pStyle w:val="19"/>
            </w:pPr>
            <w:r>
              <w:t>生态环境质量改善</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县域经济发展</w:t>
            </w:r>
          </w:p>
        </w:tc>
        <w:tc>
          <w:tcPr>
            <w:tcW w:w="2835" w:type="dxa"/>
            <w:vAlign w:val="center"/>
          </w:tcPr>
          <w:p>
            <w:pPr>
              <w:pStyle w:val="19"/>
            </w:pPr>
            <w:r>
              <w:t>促进县域经济发展</w:t>
            </w:r>
          </w:p>
        </w:tc>
        <w:tc>
          <w:tcPr>
            <w:tcW w:w="2551" w:type="dxa"/>
            <w:vAlign w:val="center"/>
          </w:tcPr>
          <w:p>
            <w:pPr>
              <w:pStyle w:val="19"/>
            </w:pPr>
            <w:r>
              <w:t>≥95%</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人民群众满意度</w:t>
            </w:r>
          </w:p>
        </w:tc>
        <w:tc>
          <w:tcPr>
            <w:tcW w:w="2835" w:type="dxa"/>
            <w:vAlign w:val="center"/>
          </w:tcPr>
          <w:p>
            <w:pPr>
              <w:pStyle w:val="19"/>
            </w:pPr>
            <w:r>
              <w:t>人民群众满意率</w:t>
            </w:r>
          </w:p>
        </w:tc>
        <w:tc>
          <w:tcPr>
            <w:tcW w:w="2551" w:type="dxa"/>
            <w:vAlign w:val="center"/>
          </w:tcPr>
          <w:p>
            <w:pPr>
              <w:pStyle w:val="19"/>
            </w:pPr>
            <w:r>
              <w:t>≥95%</w:t>
            </w:r>
          </w:p>
        </w:tc>
        <w:tc>
          <w:tcPr>
            <w:tcW w:w="2268" w:type="dxa"/>
            <w:vAlign w:val="center"/>
          </w:tcPr>
          <w:p>
            <w:pPr>
              <w:pStyle w:val="1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12、冀财资环[2021]106号 河北省财政厅关于提前下达2022年中央财政林业改革发展资金预算的通知绩效目标表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绿化造林面积</w:t>
            </w:r>
          </w:p>
        </w:tc>
        <w:tc>
          <w:tcPr>
            <w:tcW w:w="2835" w:type="dxa"/>
            <w:vAlign w:val="center"/>
          </w:tcPr>
          <w:p>
            <w:pPr>
              <w:pStyle w:val="19"/>
            </w:pPr>
            <w:r>
              <w:t>完成绿化造林面积</w:t>
            </w:r>
          </w:p>
        </w:tc>
        <w:tc>
          <w:tcPr>
            <w:tcW w:w="2551" w:type="dxa"/>
            <w:vAlign w:val="center"/>
          </w:tcPr>
          <w:p>
            <w:pPr>
              <w:pStyle w:val="19"/>
            </w:pPr>
            <w:r>
              <w:t>5000亩</w:t>
            </w:r>
          </w:p>
        </w:tc>
        <w:tc>
          <w:tcPr>
            <w:tcW w:w="2268" w:type="dxa"/>
            <w:vAlign w:val="center"/>
          </w:tcPr>
          <w:p>
            <w:pPr>
              <w:pStyle w:val="19"/>
            </w:pPr>
            <w: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造林完成面积合格率</w:t>
            </w:r>
          </w:p>
        </w:tc>
        <w:tc>
          <w:tcPr>
            <w:tcW w:w="2835" w:type="dxa"/>
            <w:vAlign w:val="center"/>
          </w:tcPr>
          <w:p>
            <w:pPr>
              <w:pStyle w:val="19"/>
            </w:pPr>
            <w:r>
              <w:t>造林完成面积合格率</w:t>
            </w:r>
          </w:p>
        </w:tc>
        <w:tc>
          <w:tcPr>
            <w:tcW w:w="2551" w:type="dxa"/>
            <w:vAlign w:val="center"/>
          </w:tcPr>
          <w:p>
            <w:pPr>
              <w:pStyle w:val="19"/>
            </w:pPr>
            <w:r>
              <w:t>≥85%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造林任务完成率</w:t>
            </w:r>
          </w:p>
        </w:tc>
        <w:tc>
          <w:tcPr>
            <w:tcW w:w="2835" w:type="dxa"/>
            <w:vAlign w:val="center"/>
          </w:tcPr>
          <w:p>
            <w:pPr>
              <w:pStyle w:val="19"/>
            </w:pPr>
            <w:r>
              <w:t>造林当期任务完成率</w:t>
            </w:r>
          </w:p>
        </w:tc>
        <w:tc>
          <w:tcPr>
            <w:tcW w:w="2551" w:type="dxa"/>
            <w:vAlign w:val="center"/>
          </w:tcPr>
          <w:p>
            <w:pPr>
              <w:pStyle w:val="19"/>
            </w:pPr>
            <w:r>
              <w:t>≥85%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项目补助成本</w:t>
            </w:r>
          </w:p>
        </w:tc>
        <w:tc>
          <w:tcPr>
            <w:tcW w:w="2835" w:type="dxa"/>
            <w:vAlign w:val="center"/>
          </w:tcPr>
          <w:p>
            <w:pPr>
              <w:pStyle w:val="19"/>
            </w:pPr>
            <w:r>
              <w:t>项目补助成本</w:t>
            </w:r>
          </w:p>
        </w:tc>
        <w:tc>
          <w:tcPr>
            <w:tcW w:w="2551" w:type="dxa"/>
            <w:vAlign w:val="center"/>
          </w:tcPr>
          <w:p>
            <w:pPr>
              <w:pStyle w:val="19"/>
            </w:pPr>
            <w:r>
              <w:t>500元/每亩</w:t>
            </w:r>
          </w:p>
        </w:tc>
        <w:tc>
          <w:tcPr>
            <w:tcW w:w="2268" w:type="dxa"/>
            <w:vAlign w:val="center"/>
          </w:tcPr>
          <w:p>
            <w:pPr>
              <w:pStyle w:val="19"/>
            </w:pPr>
            <w: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增加农户个体收入水平</w:t>
            </w:r>
          </w:p>
        </w:tc>
        <w:tc>
          <w:tcPr>
            <w:tcW w:w="2835" w:type="dxa"/>
            <w:vAlign w:val="center"/>
          </w:tcPr>
          <w:p>
            <w:pPr>
              <w:pStyle w:val="19"/>
            </w:pPr>
            <w:r>
              <w:t>增加造林个体农户收入水平</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造林绿化维护率</w:t>
            </w:r>
          </w:p>
        </w:tc>
        <w:tc>
          <w:tcPr>
            <w:tcW w:w="2835" w:type="dxa"/>
            <w:vAlign w:val="center"/>
          </w:tcPr>
          <w:p>
            <w:pPr>
              <w:pStyle w:val="19"/>
            </w:pPr>
            <w:r>
              <w:t>造林绿化得到有效维护</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林业有害生物防治率</w:t>
            </w:r>
          </w:p>
        </w:tc>
        <w:tc>
          <w:tcPr>
            <w:tcW w:w="2835" w:type="dxa"/>
            <w:vAlign w:val="center"/>
          </w:tcPr>
          <w:p>
            <w:pPr>
              <w:pStyle w:val="19"/>
            </w:pPr>
            <w:r>
              <w:t>林业有害生物防治完成率</w:t>
            </w:r>
          </w:p>
        </w:tc>
        <w:tc>
          <w:tcPr>
            <w:tcW w:w="2551" w:type="dxa"/>
            <w:vAlign w:val="center"/>
          </w:tcPr>
          <w:p>
            <w:pPr>
              <w:pStyle w:val="19"/>
            </w:pPr>
            <w:r>
              <w:t>≥95%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符合林业长期发展要求</w:t>
            </w:r>
          </w:p>
        </w:tc>
        <w:tc>
          <w:tcPr>
            <w:tcW w:w="2835" w:type="dxa"/>
            <w:vAlign w:val="center"/>
          </w:tcPr>
          <w:p>
            <w:pPr>
              <w:pStyle w:val="19"/>
            </w:pPr>
            <w:r>
              <w:t>符合林业长期发展要求</w:t>
            </w:r>
          </w:p>
        </w:tc>
        <w:tc>
          <w:tcPr>
            <w:tcW w:w="2551" w:type="dxa"/>
            <w:vAlign w:val="center"/>
          </w:tcPr>
          <w:p>
            <w:pPr>
              <w:pStyle w:val="19"/>
            </w:pPr>
            <w:r>
              <w:t>≥95%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补助农户满意度</w:t>
            </w:r>
          </w:p>
        </w:tc>
        <w:tc>
          <w:tcPr>
            <w:tcW w:w="2835" w:type="dxa"/>
            <w:vAlign w:val="center"/>
          </w:tcPr>
          <w:p>
            <w:pPr>
              <w:pStyle w:val="19"/>
            </w:pPr>
            <w:r>
              <w:t>补助农户满意度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13、冀财资环[2021]106号 河北省财政厅关于提前下达2022年中央财政林业改革发展资金预算的通知绩效目标表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1.做好有害生物防治工作，确保林业生态安全。</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完成有害生物防治面积</w:t>
            </w:r>
          </w:p>
        </w:tc>
        <w:tc>
          <w:tcPr>
            <w:tcW w:w="2835" w:type="dxa"/>
            <w:vAlign w:val="center"/>
          </w:tcPr>
          <w:p>
            <w:pPr>
              <w:pStyle w:val="19"/>
            </w:pPr>
            <w:r>
              <w:t>完成有害生物防治面积</w:t>
            </w:r>
          </w:p>
        </w:tc>
        <w:tc>
          <w:tcPr>
            <w:tcW w:w="2551" w:type="dxa"/>
            <w:vAlign w:val="center"/>
          </w:tcPr>
          <w:p>
            <w:pPr>
              <w:pStyle w:val="19"/>
            </w:pPr>
            <w:r>
              <w:t>20000亩</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质量达标率</w:t>
            </w:r>
          </w:p>
        </w:tc>
        <w:tc>
          <w:tcPr>
            <w:tcW w:w="2835" w:type="dxa"/>
            <w:vAlign w:val="center"/>
          </w:tcPr>
          <w:p>
            <w:pPr>
              <w:pStyle w:val="19"/>
            </w:pPr>
            <w:r>
              <w:t>防治面积质量达标率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完成及时率</w:t>
            </w:r>
          </w:p>
        </w:tc>
        <w:tc>
          <w:tcPr>
            <w:tcW w:w="2835" w:type="dxa"/>
            <w:vAlign w:val="center"/>
          </w:tcPr>
          <w:p>
            <w:pPr>
              <w:pStyle w:val="19"/>
            </w:pPr>
            <w:r>
              <w:t>防治任务完成及时率</w:t>
            </w:r>
          </w:p>
        </w:tc>
        <w:tc>
          <w:tcPr>
            <w:tcW w:w="2551" w:type="dxa"/>
            <w:vAlign w:val="center"/>
          </w:tcPr>
          <w:p>
            <w:pPr>
              <w:pStyle w:val="19"/>
            </w:pPr>
            <w:r>
              <w:t>100%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县级财政补助资金</w:t>
            </w:r>
          </w:p>
        </w:tc>
        <w:tc>
          <w:tcPr>
            <w:tcW w:w="2835" w:type="dxa"/>
            <w:vAlign w:val="center"/>
          </w:tcPr>
          <w:p>
            <w:pPr>
              <w:pStyle w:val="19"/>
            </w:pPr>
            <w:r>
              <w:t>县级财政补助资金（万元）</w:t>
            </w:r>
          </w:p>
        </w:tc>
        <w:tc>
          <w:tcPr>
            <w:tcW w:w="2551" w:type="dxa"/>
            <w:vAlign w:val="center"/>
          </w:tcPr>
          <w:p>
            <w:pPr>
              <w:pStyle w:val="19"/>
            </w:pPr>
            <w:r>
              <w:t>20万元</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绿化植物病虫危害经济损失比率</w:t>
            </w:r>
          </w:p>
        </w:tc>
        <w:tc>
          <w:tcPr>
            <w:tcW w:w="2835" w:type="dxa"/>
            <w:vAlign w:val="center"/>
          </w:tcPr>
          <w:p>
            <w:pPr>
              <w:pStyle w:val="19"/>
            </w:pPr>
            <w:r>
              <w:t>降低绿植病虫危害带来经济损失率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增加全县绿化量</w:t>
            </w:r>
          </w:p>
        </w:tc>
        <w:tc>
          <w:tcPr>
            <w:tcW w:w="2835" w:type="dxa"/>
            <w:vAlign w:val="center"/>
          </w:tcPr>
          <w:p>
            <w:pPr>
              <w:pStyle w:val="19"/>
            </w:pPr>
            <w:r>
              <w:t>增加全县绿化量</w:t>
            </w:r>
          </w:p>
        </w:tc>
        <w:tc>
          <w:tcPr>
            <w:tcW w:w="2551" w:type="dxa"/>
            <w:vAlign w:val="center"/>
          </w:tcPr>
          <w:p>
            <w:pPr>
              <w:pStyle w:val="19"/>
            </w:pPr>
            <w:r>
              <w:t>≥85%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生态环境质量改善</w:t>
            </w:r>
          </w:p>
        </w:tc>
        <w:tc>
          <w:tcPr>
            <w:tcW w:w="2835" w:type="dxa"/>
            <w:vAlign w:val="center"/>
          </w:tcPr>
          <w:p>
            <w:pPr>
              <w:pStyle w:val="19"/>
            </w:pPr>
            <w:r>
              <w:t>生态环境质量改善</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提高我县病虫害防治能力</w:t>
            </w:r>
          </w:p>
        </w:tc>
        <w:tc>
          <w:tcPr>
            <w:tcW w:w="2835" w:type="dxa"/>
            <w:vAlign w:val="center"/>
          </w:tcPr>
          <w:p>
            <w:pPr>
              <w:pStyle w:val="19"/>
            </w:pPr>
            <w:r>
              <w:t>提高我县病虫害防治能力</w:t>
            </w:r>
          </w:p>
        </w:tc>
        <w:tc>
          <w:tcPr>
            <w:tcW w:w="2551" w:type="dxa"/>
            <w:vAlign w:val="center"/>
          </w:tcPr>
          <w:p>
            <w:pPr>
              <w:pStyle w:val="19"/>
            </w:pPr>
            <w:r>
              <w:t>≥95%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14、冀财资环[2021]117号 河北省财政厅关于提前下达2022年度省级林业草原转移支付资金的通知绩效目标表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林业效益补偿</w:t>
            </w:r>
          </w:p>
        </w:tc>
        <w:tc>
          <w:tcPr>
            <w:tcW w:w="2835" w:type="dxa"/>
            <w:vAlign w:val="center"/>
          </w:tcPr>
          <w:p>
            <w:pPr>
              <w:pStyle w:val="19"/>
            </w:pPr>
            <w:r>
              <w:t>林业效益补偿面积</w:t>
            </w:r>
          </w:p>
        </w:tc>
        <w:tc>
          <w:tcPr>
            <w:tcW w:w="2551" w:type="dxa"/>
            <w:vAlign w:val="center"/>
          </w:tcPr>
          <w:p>
            <w:pPr>
              <w:pStyle w:val="19"/>
            </w:pPr>
            <w:r>
              <w:t>5000亩</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绿化成活率</w:t>
            </w:r>
          </w:p>
        </w:tc>
        <w:tc>
          <w:tcPr>
            <w:tcW w:w="2835" w:type="dxa"/>
            <w:vAlign w:val="center"/>
          </w:tcPr>
          <w:p>
            <w:pPr>
              <w:pStyle w:val="19"/>
            </w:pPr>
            <w:r>
              <w:t>绿化成活率</w:t>
            </w:r>
          </w:p>
        </w:tc>
        <w:tc>
          <w:tcPr>
            <w:tcW w:w="2551" w:type="dxa"/>
            <w:vAlign w:val="center"/>
          </w:tcPr>
          <w:p>
            <w:pPr>
              <w:pStyle w:val="19"/>
            </w:pPr>
            <w:r>
              <w:t>≥85%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绿化任务完成度</w:t>
            </w:r>
          </w:p>
        </w:tc>
        <w:tc>
          <w:tcPr>
            <w:tcW w:w="2835" w:type="dxa"/>
            <w:vAlign w:val="center"/>
          </w:tcPr>
          <w:p>
            <w:pPr>
              <w:pStyle w:val="19"/>
            </w:pPr>
            <w:r>
              <w:t>绿化任务完成度</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项目实际成本</w:t>
            </w:r>
          </w:p>
        </w:tc>
        <w:tc>
          <w:tcPr>
            <w:tcW w:w="2835" w:type="dxa"/>
            <w:vAlign w:val="center"/>
          </w:tcPr>
          <w:p>
            <w:pPr>
              <w:pStyle w:val="19"/>
            </w:pPr>
            <w:r>
              <w:t>项目实际成本</w:t>
            </w:r>
          </w:p>
        </w:tc>
        <w:tc>
          <w:tcPr>
            <w:tcW w:w="2551" w:type="dxa"/>
            <w:vAlign w:val="center"/>
          </w:tcPr>
          <w:p>
            <w:pPr>
              <w:pStyle w:val="19"/>
            </w:pPr>
            <w:r>
              <w:t>220万元</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使用良种苗木用材林生长量和经济</w:t>
            </w:r>
          </w:p>
        </w:tc>
        <w:tc>
          <w:tcPr>
            <w:tcW w:w="2835" w:type="dxa"/>
            <w:vAlign w:val="center"/>
          </w:tcPr>
          <w:p>
            <w:pPr>
              <w:pStyle w:val="19"/>
            </w:pPr>
            <w:r>
              <w:t>使用良种苗木用材林生长量和经济林产量提高（是否）</w:t>
            </w:r>
          </w:p>
        </w:tc>
        <w:tc>
          <w:tcPr>
            <w:tcW w:w="2551" w:type="dxa"/>
            <w:vAlign w:val="center"/>
          </w:tcPr>
          <w:p>
            <w:pPr>
              <w:pStyle w:val="19"/>
            </w:pPr>
            <w:r>
              <w:t>是</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造林绿化维护率</w:t>
            </w:r>
          </w:p>
        </w:tc>
        <w:tc>
          <w:tcPr>
            <w:tcW w:w="2835" w:type="dxa"/>
            <w:vAlign w:val="center"/>
          </w:tcPr>
          <w:p>
            <w:pPr>
              <w:pStyle w:val="19"/>
            </w:pPr>
            <w:r>
              <w:t>造林绿化得到有效维护</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林业有害生物防治率</w:t>
            </w:r>
          </w:p>
        </w:tc>
        <w:tc>
          <w:tcPr>
            <w:tcW w:w="2835" w:type="dxa"/>
            <w:vAlign w:val="center"/>
          </w:tcPr>
          <w:p>
            <w:pPr>
              <w:pStyle w:val="19"/>
            </w:pPr>
            <w:r>
              <w:t>林业有害生物防治率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林业产业健康稳定发展可持续影响</w:t>
            </w:r>
          </w:p>
        </w:tc>
        <w:tc>
          <w:tcPr>
            <w:tcW w:w="2835" w:type="dxa"/>
            <w:vAlign w:val="center"/>
          </w:tcPr>
          <w:p>
            <w:pPr>
              <w:pStyle w:val="19"/>
            </w:pPr>
            <w:r>
              <w:t>林业产业健康稳定发展可持续影响</w:t>
            </w:r>
          </w:p>
        </w:tc>
        <w:tc>
          <w:tcPr>
            <w:tcW w:w="2551" w:type="dxa"/>
            <w:vAlign w:val="center"/>
          </w:tcPr>
          <w:p>
            <w:pPr>
              <w:pStyle w:val="19"/>
            </w:pPr>
            <w:r>
              <w:t>≥95%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社会满意度</w:t>
            </w:r>
          </w:p>
        </w:tc>
        <w:tc>
          <w:tcPr>
            <w:tcW w:w="2835" w:type="dxa"/>
            <w:vAlign w:val="center"/>
          </w:tcPr>
          <w:p>
            <w:pPr>
              <w:pStyle w:val="19"/>
            </w:pPr>
            <w:r>
              <w:t>社会满意度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15、历史数据空间坐标修补测项目资金绩效目标表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1.为群众办理不动产登记时方便快捷提供基础数据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办理不动产登记手续数量</w:t>
            </w:r>
          </w:p>
        </w:tc>
        <w:tc>
          <w:tcPr>
            <w:tcW w:w="2835" w:type="dxa"/>
            <w:vAlign w:val="center"/>
          </w:tcPr>
          <w:p>
            <w:pPr>
              <w:pStyle w:val="19"/>
            </w:pPr>
            <w:r>
              <w:t>办理不动产登记手续数量</w:t>
            </w:r>
          </w:p>
        </w:tc>
        <w:tc>
          <w:tcPr>
            <w:tcW w:w="2551" w:type="dxa"/>
            <w:vAlign w:val="center"/>
          </w:tcPr>
          <w:p>
            <w:pPr>
              <w:pStyle w:val="19"/>
            </w:pPr>
            <w:r>
              <w:t>≥5000宗</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权籍调查成果完善率</w:t>
            </w:r>
          </w:p>
        </w:tc>
        <w:tc>
          <w:tcPr>
            <w:tcW w:w="2835" w:type="dxa"/>
            <w:vAlign w:val="center"/>
          </w:tcPr>
          <w:p>
            <w:pPr>
              <w:pStyle w:val="19"/>
            </w:pPr>
            <w:r>
              <w:t>符合地籍规程</w:t>
            </w:r>
          </w:p>
        </w:tc>
        <w:tc>
          <w:tcPr>
            <w:tcW w:w="2551" w:type="dxa"/>
            <w:vAlign w:val="center"/>
          </w:tcPr>
          <w:p>
            <w:pPr>
              <w:pStyle w:val="19"/>
            </w:pPr>
            <w:r>
              <w:t>100%</w:t>
            </w:r>
          </w:p>
        </w:tc>
        <w:tc>
          <w:tcPr>
            <w:tcW w:w="2268" w:type="dxa"/>
            <w:vAlign w:val="center"/>
          </w:tcPr>
          <w:p>
            <w:pPr>
              <w:pStyle w:val="19"/>
            </w:pPr>
            <w:r>
              <w:t>河北省自然资源厅关于进一步完善不动产登记信息管理基础平台功能规范登记行为的通知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完成及时性</w:t>
            </w:r>
          </w:p>
        </w:tc>
        <w:tc>
          <w:tcPr>
            <w:tcW w:w="2835" w:type="dxa"/>
            <w:vAlign w:val="center"/>
          </w:tcPr>
          <w:p>
            <w:pPr>
              <w:pStyle w:val="19"/>
            </w:pPr>
            <w:r>
              <w:t>按上级进度限时完成率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委托第三方所需用的项目成本</w:t>
            </w:r>
          </w:p>
        </w:tc>
        <w:tc>
          <w:tcPr>
            <w:tcW w:w="2835" w:type="dxa"/>
            <w:vAlign w:val="center"/>
          </w:tcPr>
          <w:p>
            <w:pPr>
              <w:pStyle w:val="19"/>
            </w:pPr>
            <w:r>
              <w:t>委托第三方所需用的项目成本</w:t>
            </w:r>
          </w:p>
        </w:tc>
        <w:tc>
          <w:tcPr>
            <w:tcW w:w="2551" w:type="dxa"/>
            <w:vAlign w:val="center"/>
          </w:tcPr>
          <w:p>
            <w:pPr>
              <w:pStyle w:val="19"/>
            </w:pPr>
            <w:r>
              <w:t>57万元</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国有土地办理不动产进度</w:t>
            </w:r>
          </w:p>
        </w:tc>
        <w:tc>
          <w:tcPr>
            <w:tcW w:w="2835" w:type="dxa"/>
            <w:vAlign w:val="center"/>
          </w:tcPr>
          <w:p>
            <w:pPr>
              <w:pStyle w:val="19"/>
            </w:pPr>
            <w:r>
              <w:t>加快国有土地办理不动产进度</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加快不动产手续办理</w:t>
            </w:r>
          </w:p>
        </w:tc>
        <w:tc>
          <w:tcPr>
            <w:tcW w:w="2835" w:type="dxa"/>
            <w:vAlign w:val="center"/>
          </w:tcPr>
          <w:p>
            <w:pPr>
              <w:pStyle w:val="19"/>
            </w:pPr>
            <w:r>
              <w:t>加快不动产手续办理</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办证效率提升</w:t>
            </w:r>
          </w:p>
        </w:tc>
        <w:tc>
          <w:tcPr>
            <w:tcW w:w="2835" w:type="dxa"/>
            <w:vAlign w:val="center"/>
          </w:tcPr>
          <w:p>
            <w:pPr>
              <w:pStyle w:val="19"/>
            </w:pPr>
            <w:r>
              <w:t>办证效率提升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为群众带来的可持续影响率</w:t>
            </w:r>
          </w:p>
        </w:tc>
        <w:tc>
          <w:tcPr>
            <w:tcW w:w="2835" w:type="dxa"/>
            <w:vAlign w:val="center"/>
          </w:tcPr>
          <w:p>
            <w:pPr>
              <w:pStyle w:val="19"/>
            </w:pPr>
            <w:r>
              <w:t>达到群众持续可用</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受益群众满意度</w:t>
            </w:r>
          </w:p>
        </w:tc>
        <w:tc>
          <w:tcPr>
            <w:tcW w:w="2835" w:type="dxa"/>
            <w:vAlign w:val="center"/>
          </w:tcPr>
          <w:p>
            <w:pPr>
              <w:pStyle w:val="19"/>
            </w:pPr>
            <w:r>
              <w:t>满意占全调查人数比率</w:t>
            </w:r>
          </w:p>
          <w:p>
            <w:pPr>
              <w:pStyle w:val="19"/>
            </w:pPr>
          </w:p>
          <w:p>
            <w:pPr>
              <w:pStyle w:val="19"/>
            </w:pPr>
          </w:p>
          <w:p>
            <w:pPr>
              <w:pStyle w:val="19"/>
            </w:pP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16、农用地征收社保费绩效目标表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1.完成我县农用地转用征收工作，满足被征地农户社保费用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农用地转用征收数量</w:t>
            </w:r>
          </w:p>
        </w:tc>
        <w:tc>
          <w:tcPr>
            <w:tcW w:w="2835" w:type="dxa"/>
            <w:vAlign w:val="center"/>
          </w:tcPr>
          <w:p>
            <w:pPr>
              <w:pStyle w:val="19"/>
            </w:pPr>
            <w:r>
              <w:t>农用地转用征收批次数量</w:t>
            </w:r>
          </w:p>
        </w:tc>
        <w:tc>
          <w:tcPr>
            <w:tcW w:w="2551" w:type="dxa"/>
            <w:vAlign w:val="center"/>
          </w:tcPr>
          <w:p>
            <w:pPr>
              <w:pStyle w:val="19"/>
            </w:pPr>
            <w:r>
              <w:t>12批次</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农用地征收费保障率</w:t>
            </w:r>
          </w:p>
        </w:tc>
        <w:tc>
          <w:tcPr>
            <w:tcW w:w="2835" w:type="dxa"/>
            <w:vAlign w:val="center"/>
          </w:tcPr>
          <w:p>
            <w:pPr>
              <w:pStyle w:val="19"/>
            </w:pPr>
            <w:r>
              <w:t>农用地征收费保障率</w:t>
            </w:r>
          </w:p>
        </w:tc>
        <w:tc>
          <w:tcPr>
            <w:tcW w:w="2551" w:type="dxa"/>
            <w:vAlign w:val="center"/>
          </w:tcPr>
          <w:p>
            <w:pPr>
              <w:pStyle w:val="19"/>
            </w:pPr>
            <w:r>
              <w:t>100%</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社保费拨付时限</w:t>
            </w:r>
          </w:p>
        </w:tc>
        <w:tc>
          <w:tcPr>
            <w:tcW w:w="2835" w:type="dxa"/>
            <w:vAlign w:val="center"/>
          </w:tcPr>
          <w:p>
            <w:pPr>
              <w:pStyle w:val="19"/>
            </w:pPr>
            <w:r>
              <w:t>社保费拨付到位时限</w:t>
            </w:r>
          </w:p>
        </w:tc>
        <w:tc>
          <w:tcPr>
            <w:tcW w:w="2551" w:type="dxa"/>
            <w:vAlign w:val="center"/>
          </w:tcPr>
          <w:p>
            <w:pPr>
              <w:pStyle w:val="19"/>
            </w:pPr>
            <w:r>
              <w:t>≥95%</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保障成本</w:t>
            </w:r>
          </w:p>
        </w:tc>
        <w:tc>
          <w:tcPr>
            <w:tcW w:w="2835" w:type="dxa"/>
            <w:vAlign w:val="center"/>
          </w:tcPr>
          <w:p>
            <w:pPr>
              <w:pStyle w:val="19"/>
            </w:pPr>
            <w:r>
              <w:t>社保费保障成本</w:t>
            </w:r>
          </w:p>
        </w:tc>
        <w:tc>
          <w:tcPr>
            <w:tcW w:w="2551" w:type="dxa"/>
            <w:vAlign w:val="center"/>
          </w:tcPr>
          <w:p>
            <w:pPr>
              <w:pStyle w:val="19"/>
            </w:pPr>
            <w:r>
              <w:t>1500万元</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保障被征地农户生活水平</w:t>
            </w:r>
          </w:p>
        </w:tc>
        <w:tc>
          <w:tcPr>
            <w:tcW w:w="2835" w:type="dxa"/>
            <w:vAlign w:val="center"/>
          </w:tcPr>
          <w:p>
            <w:pPr>
              <w:pStyle w:val="19"/>
            </w:pPr>
            <w:r>
              <w:t>保障被征地农户生活水平</w:t>
            </w:r>
          </w:p>
        </w:tc>
        <w:tc>
          <w:tcPr>
            <w:tcW w:w="2551" w:type="dxa"/>
            <w:vAlign w:val="center"/>
          </w:tcPr>
          <w:p>
            <w:pPr>
              <w:pStyle w:val="19"/>
            </w:pPr>
            <w:r>
              <w:t>≥90%</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保障农民收入和长远生计</w:t>
            </w:r>
          </w:p>
        </w:tc>
        <w:tc>
          <w:tcPr>
            <w:tcW w:w="2835" w:type="dxa"/>
            <w:vAlign w:val="center"/>
          </w:tcPr>
          <w:p>
            <w:pPr>
              <w:pStyle w:val="19"/>
            </w:pPr>
            <w:r>
              <w:t>妥善安置被征地农户，切实保障被征地农民的长远生计</w:t>
            </w:r>
          </w:p>
        </w:tc>
        <w:tc>
          <w:tcPr>
            <w:tcW w:w="2551" w:type="dxa"/>
            <w:vAlign w:val="center"/>
          </w:tcPr>
          <w:p>
            <w:pPr>
              <w:pStyle w:val="19"/>
            </w:pPr>
            <w:r>
              <w:t>≥90%</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促进农村生态和谐发展</w:t>
            </w:r>
          </w:p>
        </w:tc>
        <w:tc>
          <w:tcPr>
            <w:tcW w:w="2835" w:type="dxa"/>
            <w:vAlign w:val="center"/>
          </w:tcPr>
          <w:p>
            <w:pPr>
              <w:pStyle w:val="19"/>
            </w:pPr>
            <w:r>
              <w:t>促进农村生态和谐发展情况</w:t>
            </w:r>
          </w:p>
        </w:tc>
        <w:tc>
          <w:tcPr>
            <w:tcW w:w="2551" w:type="dxa"/>
            <w:vAlign w:val="center"/>
          </w:tcPr>
          <w:p>
            <w:pPr>
              <w:pStyle w:val="19"/>
            </w:pPr>
            <w:r>
              <w:t>≥95%</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推动农村惠农政策的贯彻落实</w:t>
            </w:r>
          </w:p>
        </w:tc>
        <w:tc>
          <w:tcPr>
            <w:tcW w:w="2835" w:type="dxa"/>
            <w:vAlign w:val="center"/>
          </w:tcPr>
          <w:p>
            <w:pPr>
              <w:pStyle w:val="19"/>
            </w:pPr>
            <w:r>
              <w:t>推动农村惠农政策的贯彻落实</w:t>
            </w:r>
          </w:p>
        </w:tc>
        <w:tc>
          <w:tcPr>
            <w:tcW w:w="2551" w:type="dxa"/>
            <w:vAlign w:val="center"/>
          </w:tcPr>
          <w:p>
            <w:pPr>
              <w:pStyle w:val="19"/>
            </w:pPr>
            <w:r>
              <w:t>≥95%</w:t>
            </w:r>
          </w:p>
        </w:tc>
        <w:tc>
          <w:tcPr>
            <w:tcW w:w="2268" w:type="dxa"/>
            <w:vAlign w:val="center"/>
          </w:tcPr>
          <w:p>
            <w:pPr>
              <w:pStyle w:val="19"/>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农民满意度</w:t>
            </w:r>
          </w:p>
        </w:tc>
        <w:tc>
          <w:tcPr>
            <w:tcW w:w="2835" w:type="dxa"/>
            <w:vAlign w:val="center"/>
          </w:tcPr>
          <w:p>
            <w:pPr>
              <w:pStyle w:val="19"/>
            </w:pPr>
            <w:r>
              <w:t>被征地农民满意度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17、全面推行林长制工作宣传发动及测绘工作项目资金绩效目标表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1.保护发展森林草原资源的主体责任，建立长效机制，搞好宣传发动及核实林地和草地等生态保护区。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宣传核实数量</w:t>
            </w:r>
          </w:p>
        </w:tc>
        <w:tc>
          <w:tcPr>
            <w:tcW w:w="2835" w:type="dxa"/>
            <w:vAlign w:val="center"/>
          </w:tcPr>
          <w:p>
            <w:pPr>
              <w:pStyle w:val="19"/>
            </w:pPr>
            <w:r>
              <w:t>电视台、微信等平台宣传及地块核实数量</w:t>
            </w:r>
          </w:p>
        </w:tc>
        <w:tc>
          <w:tcPr>
            <w:tcW w:w="2551" w:type="dxa"/>
            <w:vAlign w:val="center"/>
          </w:tcPr>
          <w:p>
            <w:pPr>
              <w:pStyle w:val="19"/>
            </w:pPr>
            <w:r>
              <w:t>宣传制作3万份，核实以实际下发数量</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森林资源调查覆盖率</w:t>
            </w:r>
          </w:p>
        </w:tc>
        <w:tc>
          <w:tcPr>
            <w:tcW w:w="2835" w:type="dxa"/>
            <w:vAlign w:val="center"/>
          </w:tcPr>
          <w:p>
            <w:pPr>
              <w:pStyle w:val="19"/>
            </w:pPr>
            <w:r>
              <w:t>森林资源调查覆盖率</w:t>
            </w:r>
          </w:p>
        </w:tc>
        <w:tc>
          <w:tcPr>
            <w:tcW w:w="2551" w:type="dxa"/>
            <w:vAlign w:val="center"/>
          </w:tcPr>
          <w:p>
            <w:pPr>
              <w:pStyle w:val="19"/>
            </w:pPr>
            <w:r>
              <w:t>100%</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林长制工作建设任务完成率</w:t>
            </w:r>
          </w:p>
        </w:tc>
        <w:tc>
          <w:tcPr>
            <w:tcW w:w="2835" w:type="dxa"/>
            <w:vAlign w:val="center"/>
          </w:tcPr>
          <w:p>
            <w:pPr>
              <w:pStyle w:val="19"/>
            </w:pPr>
            <w:r>
              <w:t>林长制工作建设任务完成时限</w:t>
            </w:r>
          </w:p>
        </w:tc>
        <w:tc>
          <w:tcPr>
            <w:tcW w:w="2551" w:type="dxa"/>
            <w:vAlign w:val="center"/>
          </w:tcPr>
          <w:p>
            <w:pPr>
              <w:pStyle w:val="19"/>
            </w:pPr>
            <w:r>
              <w:t>100%</w:t>
            </w:r>
          </w:p>
        </w:tc>
        <w:tc>
          <w:tcPr>
            <w:tcW w:w="2268" w:type="dxa"/>
            <w:vAlign w:val="center"/>
          </w:tcPr>
          <w:p>
            <w:pPr>
              <w:pStyle w:val="19"/>
            </w:pPr>
            <w:r>
              <w:t>县林长制工作实施方案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资金成本</w:t>
            </w:r>
          </w:p>
        </w:tc>
        <w:tc>
          <w:tcPr>
            <w:tcW w:w="2835" w:type="dxa"/>
            <w:vAlign w:val="center"/>
          </w:tcPr>
          <w:p>
            <w:pPr>
              <w:pStyle w:val="19"/>
            </w:pPr>
            <w:r>
              <w:t>宣传核实所需资金成本</w:t>
            </w:r>
          </w:p>
        </w:tc>
        <w:tc>
          <w:tcPr>
            <w:tcW w:w="2551" w:type="dxa"/>
            <w:vAlign w:val="center"/>
          </w:tcPr>
          <w:p>
            <w:pPr>
              <w:pStyle w:val="19"/>
            </w:pPr>
            <w:r>
              <w:t>15万元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为全县经济发展提供经济支撑</w:t>
            </w:r>
          </w:p>
        </w:tc>
        <w:tc>
          <w:tcPr>
            <w:tcW w:w="2835" w:type="dxa"/>
            <w:vAlign w:val="center"/>
          </w:tcPr>
          <w:p>
            <w:pPr>
              <w:pStyle w:val="19"/>
            </w:pPr>
            <w:r>
              <w:t>在经济发展中提供数据支撑</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森林资源监测任务完成率（%）</w:t>
            </w:r>
          </w:p>
        </w:tc>
        <w:tc>
          <w:tcPr>
            <w:tcW w:w="2835" w:type="dxa"/>
            <w:vAlign w:val="center"/>
          </w:tcPr>
          <w:p>
            <w:pPr>
              <w:pStyle w:val="19"/>
            </w:pPr>
            <w:r>
              <w:t>森林资源监测任务完成率（%）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涉林违法犯罪得到有力打击</w:t>
            </w:r>
          </w:p>
        </w:tc>
        <w:tc>
          <w:tcPr>
            <w:tcW w:w="2835" w:type="dxa"/>
            <w:vAlign w:val="center"/>
          </w:tcPr>
          <w:p>
            <w:pPr>
              <w:pStyle w:val="19"/>
            </w:pPr>
            <w:r>
              <w:t>涉林违法犯罪打击率</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符合林业长期发展要求</w:t>
            </w:r>
          </w:p>
        </w:tc>
        <w:tc>
          <w:tcPr>
            <w:tcW w:w="2835" w:type="dxa"/>
            <w:vAlign w:val="center"/>
          </w:tcPr>
          <w:p>
            <w:pPr>
              <w:pStyle w:val="19"/>
            </w:pPr>
            <w:r>
              <w:t>符合林业长期发展要求</w:t>
            </w:r>
          </w:p>
        </w:tc>
        <w:tc>
          <w:tcPr>
            <w:tcW w:w="2551" w:type="dxa"/>
            <w:vAlign w:val="center"/>
          </w:tcPr>
          <w:p>
            <w:pPr>
              <w:pStyle w:val="19"/>
            </w:pPr>
            <w:r>
              <w:t>≥90%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服务对象满意度指标</w:t>
            </w:r>
          </w:p>
        </w:tc>
        <w:tc>
          <w:tcPr>
            <w:tcW w:w="2835" w:type="dxa"/>
            <w:vAlign w:val="center"/>
          </w:tcPr>
          <w:p>
            <w:pPr>
              <w:pStyle w:val="19"/>
            </w:pPr>
            <w:r>
              <w:t>服务对象满意度指标</w:t>
            </w:r>
          </w:p>
        </w:tc>
        <w:tc>
          <w:tcPr>
            <w:tcW w:w="2551" w:type="dxa"/>
            <w:vAlign w:val="center"/>
          </w:tcPr>
          <w:p>
            <w:pPr>
              <w:pStyle w:val="19"/>
            </w:pPr>
            <w:r>
              <w:t>≥90%</w:t>
            </w:r>
          </w:p>
        </w:tc>
        <w:tc>
          <w:tcPr>
            <w:tcW w:w="2268" w:type="dxa"/>
            <w:vAlign w:val="center"/>
          </w:tcPr>
          <w:p>
            <w:pPr>
              <w:pStyle w:val="1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18、森林植被恢复费安排支出资金绩效目标表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1.用于林业主管部门在林地被项目或工程占用后，组织再造林，保护森林资源，改善生态环境，促进林业可持续发展。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森林抚育面积（亩）</w:t>
            </w:r>
          </w:p>
        </w:tc>
        <w:tc>
          <w:tcPr>
            <w:tcW w:w="2835" w:type="dxa"/>
            <w:vAlign w:val="center"/>
          </w:tcPr>
          <w:p>
            <w:pPr>
              <w:pStyle w:val="19"/>
            </w:pPr>
            <w:r>
              <w:t>森林抚育面积（亩）</w:t>
            </w:r>
          </w:p>
        </w:tc>
        <w:tc>
          <w:tcPr>
            <w:tcW w:w="2551" w:type="dxa"/>
            <w:vAlign w:val="center"/>
          </w:tcPr>
          <w:p>
            <w:pPr>
              <w:pStyle w:val="19"/>
            </w:pPr>
            <w:r>
              <w:t>被占用的实际亩数</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森林抚育质量合格率</w:t>
            </w:r>
          </w:p>
        </w:tc>
        <w:tc>
          <w:tcPr>
            <w:tcW w:w="2835" w:type="dxa"/>
            <w:vAlign w:val="center"/>
          </w:tcPr>
          <w:p>
            <w:pPr>
              <w:pStyle w:val="19"/>
            </w:pPr>
            <w:r>
              <w:t>森林抚育质量合格率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森林抚育对林区保持环境稳定（是否明显）</w:t>
            </w:r>
          </w:p>
        </w:tc>
        <w:tc>
          <w:tcPr>
            <w:tcW w:w="2835" w:type="dxa"/>
            <w:vAlign w:val="center"/>
          </w:tcPr>
          <w:p>
            <w:pPr>
              <w:pStyle w:val="19"/>
            </w:pPr>
            <w:r>
              <w:t>森林抚育对林区保持环境稳定（是否明显）</w:t>
            </w:r>
          </w:p>
        </w:tc>
        <w:tc>
          <w:tcPr>
            <w:tcW w:w="2551" w:type="dxa"/>
            <w:vAlign w:val="center"/>
          </w:tcPr>
          <w:p>
            <w:pPr>
              <w:pStyle w:val="19"/>
            </w:pPr>
            <w:r>
              <w:t>是</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林地被项目或工程占用实际使用成本</w:t>
            </w:r>
          </w:p>
        </w:tc>
        <w:tc>
          <w:tcPr>
            <w:tcW w:w="2835" w:type="dxa"/>
            <w:vAlign w:val="center"/>
          </w:tcPr>
          <w:p>
            <w:pPr>
              <w:pStyle w:val="19"/>
            </w:pPr>
            <w:r>
              <w:t>林地被项目或工程占用实际使用成本</w:t>
            </w:r>
          </w:p>
        </w:tc>
        <w:tc>
          <w:tcPr>
            <w:tcW w:w="2551" w:type="dxa"/>
            <w:vAlign w:val="center"/>
          </w:tcPr>
          <w:p>
            <w:pPr>
              <w:pStyle w:val="19"/>
            </w:pPr>
            <w:r>
              <w:t>林地被项目或工程占用实际使用成本</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确保林地生长量和经济林产量提高（是否）</w:t>
            </w:r>
          </w:p>
        </w:tc>
        <w:tc>
          <w:tcPr>
            <w:tcW w:w="2835" w:type="dxa"/>
            <w:vAlign w:val="center"/>
          </w:tcPr>
          <w:p>
            <w:pPr>
              <w:pStyle w:val="19"/>
            </w:pPr>
            <w:r>
              <w:t>确保林地生长量和经济林产量提高（是否）</w:t>
            </w:r>
          </w:p>
        </w:tc>
        <w:tc>
          <w:tcPr>
            <w:tcW w:w="2551" w:type="dxa"/>
            <w:vAlign w:val="center"/>
          </w:tcPr>
          <w:p>
            <w:pPr>
              <w:pStyle w:val="19"/>
            </w:pPr>
            <w:r>
              <w:t>是</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森林资源监测任务完成率（%）</w:t>
            </w:r>
          </w:p>
        </w:tc>
        <w:tc>
          <w:tcPr>
            <w:tcW w:w="2835" w:type="dxa"/>
            <w:vAlign w:val="center"/>
          </w:tcPr>
          <w:p>
            <w:pPr>
              <w:pStyle w:val="19"/>
            </w:pPr>
            <w:r>
              <w:t>森林资源监测任务完成率（%）</w:t>
            </w:r>
          </w:p>
        </w:tc>
        <w:tc>
          <w:tcPr>
            <w:tcW w:w="2551" w:type="dxa"/>
            <w:vAlign w:val="center"/>
          </w:tcPr>
          <w:p>
            <w:pPr>
              <w:pStyle w:val="19"/>
            </w:pPr>
            <w:r>
              <w:t>≥95%</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林地保有率</w:t>
            </w:r>
          </w:p>
        </w:tc>
        <w:tc>
          <w:tcPr>
            <w:tcW w:w="2835" w:type="dxa"/>
            <w:vAlign w:val="center"/>
          </w:tcPr>
          <w:p>
            <w:pPr>
              <w:pStyle w:val="19"/>
            </w:pPr>
            <w:r>
              <w:t>控制林地保有率</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符合林地长期发展要求</w:t>
            </w:r>
          </w:p>
        </w:tc>
        <w:tc>
          <w:tcPr>
            <w:tcW w:w="2835" w:type="dxa"/>
            <w:vAlign w:val="center"/>
          </w:tcPr>
          <w:p>
            <w:pPr>
              <w:pStyle w:val="19"/>
            </w:pPr>
            <w:r>
              <w:t>符合林地长期发展要求</w:t>
            </w:r>
          </w:p>
        </w:tc>
        <w:tc>
          <w:tcPr>
            <w:tcW w:w="2551" w:type="dxa"/>
            <w:vAlign w:val="center"/>
          </w:tcPr>
          <w:p>
            <w:pPr>
              <w:pStyle w:val="19"/>
            </w:pPr>
            <w:r>
              <w:t>≥90%</w:t>
            </w:r>
          </w:p>
        </w:tc>
        <w:tc>
          <w:tcPr>
            <w:tcW w:w="2268" w:type="dxa"/>
            <w:vAlign w:val="center"/>
          </w:tcPr>
          <w:p>
            <w:pPr>
              <w:pStyle w:val="1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林地资源保护满意度</w:t>
            </w:r>
          </w:p>
        </w:tc>
        <w:tc>
          <w:tcPr>
            <w:tcW w:w="2835" w:type="dxa"/>
            <w:vAlign w:val="center"/>
          </w:tcPr>
          <w:p>
            <w:pPr>
              <w:pStyle w:val="19"/>
            </w:pPr>
            <w:r>
              <w:t>林地资源保护满意度</w:t>
            </w:r>
          </w:p>
        </w:tc>
        <w:tc>
          <w:tcPr>
            <w:tcW w:w="2551" w:type="dxa"/>
            <w:vAlign w:val="center"/>
          </w:tcPr>
          <w:p>
            <w:pPr>
              <w:pStyle w:val="19"/>
            </w:pPr>
            <w:r>
              <w:t>≥90%</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19、土地勘测定界项目资金绩效目标表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1.2022年完成1500亩土地勘测定界任务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土地勘测定界任务</w:t>
            </w:r>
          </w:p>
        </w:tc>
        <w:tc>
          <w:tcPr>
            <w:tcW w:w="2835" w:type="dxa"/>
            <w:vAlign w:val="center"/>
          </w:tcPr>
          <w:p>
            <w:pPr>
              <w:pStyle w:val="19"/>
            </w:pPr>
            <w:r>
              <w:t>2022年完成土地勘测定界任务</w:t>
            </w:r>
          </w:p>
        </w:tc>
        <w:tc>
          <w:tcPr>
            <w:tcW w:w="2551" w:type="dxa"/>
            <w:vAlign w:val="center"/>
          </w:tcPr>
          <w:p>
            <w:pPr>
              <w:pStyle w:val="19"/>
            </w:pPr>
            <w:r>
              <w:t>≥1500亩</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完成项目测绘</w:t>
            </w:r>
          </w:p>
        </w:tc>
        <w:tc>
          <w:tcPr>
            <w:tcW w:w="2835" w:type="dxa"/>
            <w:vAlign w:val="center"/>
          </w:tcPr>
          <w:p>
            <w:pPr>
              <w:pStyle w:val="19"/>
            </w:pPr>
            <w:r>
              <w:t>完成项目测绘合格率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工作任务完成及时率</w:t>
            </w:r>
          </w:p>
        </w:tc>
        <w:tc>
          <w:tcPr>
            <w:tcW w:w="2835" w:type="dxa"/>
            <w:vAlign w:val="center"/>
          </w:tcPr>
          <w:p>
            <w:pPr>
              <w:pStyle w:val="19"/>
            </w:pPr>
            <w:r>
              <w:t>工作任务完成及时率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测绘成本</w:t>
            </w:r>
          </w:p>
        </w:tc>
        <w:tc>
          <w:tcPr>
            <w:tcW w:w="2835" w:type="dxa"/>
            <w:vAlign w:val="center"/>
          </w:tcPr>
          <w:p>
            <w:pPr>
              <w:pStyle w:val="19"/>
            </w:pPr>
            <w:r>
              <w:t>测绘所需资金成本</w:t>
            </w:r>
          </w:p>
        </w:tc>
        <w:tc>
          <w:tcPr>
            <w:tcW w:w="2551" w:type="dxa"/>
            <w:vAlign w:val="center"/>
          </w:tcPr>
          <w:p>
            <w:pPr>
              <w:pStyle w:val="19"/>
            </w:pPr>
            <w:r>
              <w:t>30万元</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为招商引资提供便利</w:t>
            </w:r>
          </w:p>
        </w:tc>
        <w:tc>
          <w:tcPr>
            <w:tcW w:w="2835" w:type="dxa"/>
            <w:vAlign w:val="center"/>
          </w:tcPr>
          <w:p>
            <w:pPr>
              <w:pStyle w:val="19"/>
            </w:pPr>
            <w:r>
              <w:t>为招商引资提供便利，为居民增收提供条件。</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保障用地审批工作更科学化、规范化、制度化</w:t>
            </w:r>
          </w:p>
        </w:tc>
        <w:tc>
          <w:tcPr>
            <w:tcW w:w="2835" w:type="dxa"/>
            <w:vAlign w:val="center"/>
          </w:tcPr>
          <w:p>
            <w:pPr>
              <w:pStyle w:val="19"/>
            </w:pPr>
            <w:r>
              <w:t>严格控制非农业建设占用耕地，保障耕地保护制度的实施。</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测绘数据合格率</w:t>
            </w:r>
          </w:p>
        </w:tc>
        <w:tc>
          <w:tcPr>
            <w:tcW w:w="2835" w:type="dxa"/>
            <w:vAlign w:val="center"/>
          </w:tcPr>
          <w:p>
            <w:pPr>
              <w:pStyle w:val="19"/>
            </w:pPr>
            <w:r>
              <w:t>测绘数据合格率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基础测绘保障程度</w:t>
            </w:r>
          </w:p>
        </w:tc>
        <w:tc>
          <w:tcPr>
            <w:tcW w:w="2835" w:type="dxa"/>
            <w:vAlign w:val="center"/>
          </w:tcPr>
          <w:p>
            <w:pPr>
              <w:pStyle w:val="19"/>
            </w:pPr>
            <w:r>
              <w:t>基础测绘保障程度</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企业调查满意</w:t>
            </w:r>
          </w:p>
        </w:tc>
        <w:tc>
          <w:tcPr>
            <w:tcW w:w="2835" w:type="dxa"/>
            <w:vAlign w:val="center"/>
          </w:tcPr>
          <w:p>
            <w:pPr>
              <w:pStyle w:val="19"/>
            </w:pPr>
            <w:r>
              <w:t>企业满意率</w:t>
            </w:r>
          </w:p>
        </w:tc>
        <w:tc>
          <w:tcPr>
            <w:tcW w:w="2551" w:type="dxa"/>
            <w:vAlign w:val="center"/>
          </w:tcPr>
          <w:p>
            <w:pPr>
              <w:pStyle w:val="19"/>
            </w:pPr>
            <w:r>
              <w:t>≥95%</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20、重点项目测绘资金绩效目标表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1.保障县委县政府安排和各乡镇县直部门、经济开发区需测量的重点项目测绘工作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测绘任务数量</w:t>
            </w:r>
          </w:p>
        </w:tc>
        <w:tc>
          <w:tcPr>
            <w:tcW w:w="2835" w:type="dxa"/>
            <w:vAlign w:val="center"/>
          </w:tcPr>
          <w:p>
            <w:pPr>
              <w:pStyle w:val="19"/>
            </w:pPr>
            <w:r>
              <w:t>重点项目测绘数量</w:t>
            </w:r>
          </w:p>
        </w:tc>
        <w:tc>
          <w:tcPr>
            <w:tcW w:w="2551" w:type="dxa"/>
            <w:vAlign w:val="center"/>
          </w:tcPr>
          <w:p>
            <w:pPr>
              <w:pStyle w:val="19"/>
            </w:pPr>
            <w:r>
              <w:t>按政府实际安排完成的数量</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基础测绘项目检验合格率</w:t>
            </w:r>
          </w:p>
        </w:tc>
        <w:tc>
          <w:tcPr>
            <w:tcW w:w="2835" w:type="dxa"/>
            <w:vAlign w:val="center"/>
          </w:tcPr>
          <w:p>
            <w:pPr>
              <w:pStyle w:val="19"/>
            </w:pPr>
            <w:r>
              <w:t>基础测绘项目检验合格率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各项任务完成及时率（%）</w:t>
            </w:r>
          </w:p>
        </w:tc>
        <w:tc>
          <w:tcPr>
            <w:tcW w:w="2835" w:type="dxa"/>
            <w:vAlign w:val="center"/>
          </w:tcPr>
          <w:p>
            <w:pPr>
              <w:pStyle w:val="19"/>
            </w:pPr>
            <w:r>
              <w:t>各项任务完成及时率（%）</w:t>
            </w:r>
          </w:p>
        </w:tc>
        <w:tc>
          <w:tcPr>
            <w:tcW w:w="2551" w:type="dxa"/>
            <w:vAlign w:val="center"/>
          </w:tcPr>
          <w:p>
            <w:pPr>
              <w:pStyle w:val="19"/>
            </w:pPr>
            <w:r>
              <w:t>100%</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完成工作所需资金</w:t>
            </w:r>
          </w:p>
        </w:tc>
        <w:tc>
          <w:tcPr>
            <w:tcW w:w="2835" w:type="dxa"/>
            <w:vAlign w:val="center"/>
          </w:tcPr>
          <w:p>
            <w:pPr>
              <w:pStyle w:val="19"/>
            </w:pPr>
            <w:r>
              <w:t>完成工作所需资金</w:t>
            </w:r>
          </w:p>
        </w:tc>
        <w:tc>
          <w:tcPr>
            <w:tcW w:w="2551" w:type="dxa"/>
            <w:vAlign w:val="center"/>
          </w:tcPr>
          <w:p>
            <w:pPr>
              <w:pStyle w:val="19"/>
            </w:pPr>
            <w:r>
              <w:t>50万元</w:t>
            </w:r>
          </w:p>
        </w:tc>
        <w:tc>
          <w:tcPr>
            <w:tcW w:w="2268"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经济效益指标</w:t>
            </w:r>
          </w:p>
        </w:tc>
        <w:tc>
          <w:tcPr>
            <w:tcW w:w="2835" w:type="dxa"/>
            <w:vAlign w:val="center"/>
          </w:tcPr>
          <w:p>
            <w:pPr>
              <w:pStyle w:val="19"/>
            </w:pPr>
            <w:r>
              <w:t>项目前期工作完成情况</w:t>
            </w:r>
          </w:p>
        </w:tc>
        <w:tc>
          <w:tcPr>
            <w:tcW w:w="2835" w:type="dxa"/>
            <w:vAlign w:val="center"/>
          </w:tcPr>
          <w:p>
            <w:pPr>
              <w:pStyle w:val="19"/>
            </w:pPr>
            <w:r>
              <w:t>项目前期工作完成情况</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测绘结果使用率</w:t>
            </w:r>
          </w:p>
        </w:tc>
        <w:tc>
          <w:tcPr>
            <w:tcW w:w="2835" w:type="dxa"/>
            <w:vAlign w:val="center"/>
          </w:tcPr>
          <w:p>
            <w:pPr>
              <w:pStyle w:val="19"/>
            </w:pPr>
            <w:r>
              <w:t>测绘结果使用率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测绘数据合格率</w:t>
            </w:r>
          </w:p>
        </w:tc>
        <w:tc>
          <w:tcPr>
            <w:tcW w:w="2835" w:type="dxa"/>
            <w:vAlign w:val="center"/>
          </w:tcPr>
          <w:p>
            <w:pPr>
              <w:pStyle w:val="19"/>
            </w:pPr>
            <w:r>
              <w:t>测绘数据合格率</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基础测绘保障程度</w:t>
            </w:r>
          </w:p>
        </w:tc>
        <w:tc>
          <w:tcPr>
            <w:tcW w:w="2835" w:type="dxa"/>
            <w:vAlign w:val="center"/>
          </w:tcPr>
          <w:p>
            <w:pPr>
              <w:pStyle w:val="19"/>
            </w:pPr>
            <w:r>
              <w:t>基础测绘保障程度</w:t>
            </w:r>
          </w:p>
        </w:tc>
        <w:tc>
          <w:tcPr>
            <w:tcW w:w="2551" w:type="dxa"/>
            <w:vAlign w:val="center"/>
          </w:tcPr>
          <w:p>
            <w:pPr>
              <w:pStyle w:val="19"/>
            </w:pPr>
            <w:r>
              <w:t>≥95%</w:t>
            </w:r>
          </w:p>
        </w:tc>
        <w:tc>
          <w:tcPr>
            <w:tcW w:w="2268" w:type="dxa"/>
            <w:vAlign w:val="center"/>
          </w:tcPr>
          <w:p>
            <w:pPr>
              <w:pStyle w:val="1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服务对象满意度指标</w:t>
            </w:r>
          </w:p>
        </w:tc>
        <w:tc>
          <w:tcPr>
            <w:tcW w:w="2835" w:type="dxa"/>
            <w:vAlign w:val="center"/>
          </w:tcPr>
          <w:p>
            <w:pPr>
              <w:pStyle w:val="19"/>
            </w:pPr>
            <w:r>
              <w:t>服务对象满意度指标</w:t>
            </w:r>
          </w:p>
        </w:tc>
        <w:tc>
          <w:tcPr>
            <w:tcW w:w="2551" w:type="dxa"/>
            <w:vAlign w:val="center"/>
          </w:tcPr>
          <w:p>
            <w:pPr>
              <w:pStyle w:val="19"/>
            </w:pPr>
            <w:r>
              <w:t>≥95%</w:t>
            </w:r>
          </w:p>
        </w:tc>
        <w:tc>
          <w:tcPr>
            <w:tcW w:w="2268" w:type="dxa"/>
            <w:vAlign w:val="center"/>
          </w:tcPr>
          <w:p>
            <w:pPr>
              <w:pStyle w:val="19"/>
            </w:pPr>
            <w:r>
              <w:t>问卷调查</w:t>
            </w:r>
          </w:p>
        </w:tc>
      </w:tr>
    </w:tbl>
    <w:p>
      <w:pPr>
        <w:sectPr>
          <w:pgSz w:w="16840" w:h="11900" w:orient="landscape"/>
          <w:pgMar w:top="1361" w:right="1020" w:bottom="1134" w:left="1020" w:header="720" w:footer="720" w:gutter="0"/>
          <w:cols w:space="720" w:num="1"/>
        </w:sectPr>
      </w:pPr>
    </w:p>
    <w:p>
      <w:pPr>
        <w:spacing w:before="10" w:after="1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2022年，馆陶县自然资源和规划局安排政府采购预算0.00万元。具体内容见下表。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6"/>
            </w:pPr>
            <w:r>
              <w:t>324馆陶县自然资源和规划局</w:t>
            </w:r>
          </w:p>
        </w:tc>
        <w:tc>
          <w:tcPr>
            <w:tcW w:w="8674" w:type="dxa"/>
            <w:gridSpan w:val="9"/>
            <w:tcBorders>
              <w:top w:val="single" w:color="FFFFFF" w:sz="6" w:space="0"/>
              <w:left w:val="single" w:color="FFFFFF" w:sz="6" w:space="0"/>
              <w:right w:val="single" w:color="FFFFFF" w:sz="6" w:space="0"/>
            </w:tcBorders>
            <w:vAlign w:val="center"/>
          </w:tcPr>
          <w:p>
            <w:pPr>
              <w:pStyle w:val="3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7"/>
            </w:pPr>
            <w:r>
              <w:t>政府采购项目来源</w:t>
            </w:r>
          </w:p>
        </w:tc>
        <w:tc>
          <w:tcPr>
            <w:tcW w:w="1134" w:type="dxa"/>
            <w:vMerge w:val="restart"/>
            <w:vAlign w:val="center"/>
          </w:tcPr>
          <w:p>
            <w:pPr>
              <w:pStyle w:val="17"/>
            </w:pPr>
            <w:r>
              <w:t>采购物品名称</w:t>
            </w:r>
          </w:p>
        </w:tc>
        <w:tc>
          <w:tcPr>
            <w:tcW w:w="1134" w:type="dxa"/>
            <w:vMerge w:val="restart"/>
            <w:vAlign w:val="center"/>
          </w:tcPr>
          <w:p>
            <w:pPr>
              <w:pStyle w:val="17"/>
            </w:pPr>
            <w:r>
              <w:t>政府采购目录序号</w:t>
            </w:r>
          </w:p>
        </w:tc>
        <w:tc>
          <w:tcPr>
            <w:tcW w:w="709" w:type="dxa"/>
            <w:vMerge w:val="restart"/>
            <w:vAlign w:val="center"/>
          </w:tcPr>
          <w:p>
            <w:pPr>
              <w:pStyle w:val="17"/>
            </w:pPr>
            <w:r>
              <w:t>计量  单位</w:t>
            </w:r>
          </w:p>
        </w:tc>
        <w:tc>
          <w:tcPr>
            <w:tcW w:w="850" w:type="dxa"/>
            <w:vMerge w:val="restart"/>
            <w:vAlign w:val="center"/>
          </w:tcPr>
          <w:p>
            <w:pPr>
              <w:pStyle w:val="17"/>
            </w:pPr>
            <w:r>
              <w:t>数量</w:t>
            </w:r>
          </w:p>
        </w:tc>
        <w:tc>
          <w:tcPr>
            <w:tcW w:w="850" w:type="dxa"/>
            <w:vMerge w:val="restart"/>
            <w:vAlign w:val="center"/>
          </w:tcPr>
          <w:p>
            <w:pPr>
              <w:pStyle w:val="17"/>
            </w:pPr>
            <w:r>
              <w:t>单价</w:t>
            </w:r>
          </w:p>
        </w:tc>
        <w:tc>
          <w:tcPr>
            <w:tcW w:w="7710" w:type="dxa"/>
            <w:gridSpan w:val="8"/>
            <w:vAlign w:val="center"/>
          </w:tcPr>
          <w:p>
            <w:pPr>
              <w:pStyle w:val="17"/>
            </w:pPr>
            <w:r>
              <w:t>政府采购金额（当年部门预算安排资金）</w:t>
            </w:r>
          </w:p>
        </w:tc>
        <w:tc>
          <w:tcPr>
            <w:tcW w:w="964" w:type="dxa"/>
            <w:vMerge w:val="restart"/>
            <w:vAlign w:val="center"/>
          </w:tcPr>
          <w:p>
            <w:pPr>
              <w:pStyle w:val="1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7"/>
            </w:pPr>
            <w:r>
              <w:t>项目名称</w:t>
            </w:r>
          </w:p>
        </w:tc>
        <w:tc>
          <w:tcPr>
            <w:tcW w:w="964" w:type="dxa"/>
            <w:vAlign w:val="center"/>
          </w:tcPr>
          <w:p>
            <w:pPr>
              <w:pStyle w:val="1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7"/>
            </w:pPr>
            <w:r>
              <w:t>合计</w:t>
            </w:r>
          </w:p>
        </w:tc>
        <w:tc>
          <w:tcPr>
            <w:tcW w:w="964" w:type="dxa"/>
            <w:vAlign w:val="center"/>
          </w:tcPr>
          <w:p>
            <w:pPr>
              <w:pStyle w:val="17"/>
            </w:pPr>
            <w:r>
              <w:t>一般公共预算拨款</w:t>
            </w:r>
          </w:p>
        </w:tc>
        <w:tc>
          <w:tcPr>
            <w:tcW w:w="964" w:type="dxa"/>
            <w:vAlign w:val="center"/>
          </w:tcPr>
          <w:p>
            <w:pPr>
              <w:pStyle w:val="17"/>
            </w:pPr>
            <w:r>
              <w:t>基金预算拨款</w:t>
            </w:r>
          </w:p>
        </w:tc>
        <w:tc>
          <w:tcPr>
            <w:tcW w:w="964" w:type="dxa"/>
            <w:vAlign w:val="center"/>
          </w:tcPr>
          <w:p>
            <w:pPr>
              <w:pStyle w:val="17"/>
            </w:pPr>
            <w:r>
              <w:t>国有资本经营预算拨款</w:t>
            </w:r>
          </w:p>
        </w:tc>
        <w:tc>
          <w:tcPr>
            <w:tcW w:w="964" w:type="dxa"/>
            <w:vAlign w:val="center"/>
          </w:tcPr>
          <w:p>
            <w:pPr>
              <w:pStyle w:val="17"/>
            </w:pPr>
            <w:r>
              <w:t>财政专户核拨</w:t>
            </w:r>
          </w:p>
        </w:tc>
        <w:tc>
          <w:tcPr>
            <w:tcW w:w="964" w:type="dxa"/>
            <w:vAlign w:val="center"/>
          </w:tcPr>
          <w:p>
            <w:pPr>
              <w:pStyle w:val="17"/>
            </w:pPr>
            <w:r>
              <w:t>单位    资金</w:t>
            </w:r>
          </w:p>
        </w:tc>
        <w:tc>
          <w:tcPr>
            <w:tcW w:w="964" w:type="dxa"/>
            <w:vAlign w:val="center"/>
          </w:tcPr>
          <w:p>
            <w:pPr>
              <w:pStyle w:val="17"/>
            </w:pPr>
            <w:r>
              <w:t>财政拨    款结转</w:t>
            </w:r>
          </w:p>
        </w:tc>
        <w:tc>
          <w:tcPr>
            <w:tcW w:w="964" w:type="dxa"/>
            <w:vAlign w:val="center"/>
          </w:tcPr>
          <w:p>
            <w:pPr>
              <w:pStyle w:val="1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20"/>
            </w:pPr>
          </w:p>
        </w:tc>
        <w:tc>
          <w:tcPr>
            <w:tcW w:w="850" w:type="dxa"/>
            <w:vAlign w:val="center"/>
          </w:tcPr>
          <w:p>
            <w:pPr>
              <w:pStyle w:val="18"/>
            </w:pPr>
          </w:p>
        </w:tc>
        <w:tc>
          <w:tcPr>
            <w:tcW w:w="850"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5"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馆陶县自然资源和规划局（含所属单位）上年末固定资产金额为</w:t>
      </w:r>
      <w:r>
        <w:rPr>
          <w:rFonts w:hint="eastAsia" w:eastAsia="方正仿宋_GBK"/>
          <w:color w:val="000000"/>
          <w:sz w:val="28"/>
          <w:lang w:eastAsia="zh-CN"/>
        </w:rPr>
        <w:t>682.773911</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6"/>
            </w:pPr>
            <w:r>
              <w:t>32</w:t>
            </w:r>
            <w:r>
              <w:rPr>
                <w:rFonts w:hint="eastAsia"/>
                <w:lang w:eastAsia="zh-CN"/>
              </w:rPr>
              <w:t>4</w:t>
            </w:r>
            <w:r>
              <w:t>馆陶县</w:t>
            </w:r>
            <w:r>
              <w:rPr>
                <w:rFonts w:hint="eastAsia"/>
                <w:lang w:eastAsia="zh-CN"/>
              </w:rPr>
              <w:t>自然资源和规划局</w:t>
            </w:r>
            <w:r>
              <w:t>本级</w:t>
            </w:r>
          </w:p>
        </w:tc>
        <w:tc>
          <w:tcPr>
            <w:tcW w:w="5670" w:type="dxa"/>
            <w:gridSpan w:val="2"/>
            <w:tcBorders>
              <w:top w:val="single" w:color="FFFFFF" w:sz="6" w:space="0"/>
              <w:left w:val="single" w:color="FFFFFF" w:sz="6" w:space="0"/>
              <w:right w:val="single" w:color="FFFFFF" w:sz="6" w:space="0"/>
            </w:tcBorders>
            <w:vAlign w:val="center"/>
          </w:tcPr>
          <w:p>
            <w:pPr>
              <w:pStyle w:val="14"/>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7"/>
            </w:pPr>
            <w:r>
              <w:t>项   目</w:t>
            </w:r>
          </w:p>
        </w:tc>
        <w:tc>
          <w:tcPr>
            <w:tcW w:w="2835" w:type="dxa"/>
            <w:vAlign w:val="center"/>
          </w:tcPr>
          <w:p>
            <w:pPr>
              <w:pStyle w:val="17"/>
            </w:pPr>
            <w:r>
              <w:t>数量</w:t>
            </w:r>
          </w:p>
        </w:tc>
        <w:tc>
          <w:tcPr>
            <w:tcW w:w="2835" w:type="dxa"/>
            <w:vAlign w:val="center"/>
          </w:tcPr>
          <w:p>
            <w:pPr>
              <w:pStyle w:val="1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rPr>
                <w:lang w:eastAsia="zh-CN"/>
              </w:rPr>
            </w:pPr>
            <w:r>
              <w:rPr>
                <w:rFonts w:hint="eastAsia"/>
                <w:lang w:eastAsia="zh-CN"/>
              </w:rPr>
              <w:t>资产总额</w:t>
            </w:r>
          </w:p>
        </w:tc>
        <w:tc>
          <w:tcPr>
            <w:tcW w:w="2835" w:type="dxa"/>
            <w:vAlign w:val="center"/>
          </w:tcPr>
          <w:p>
            <w:pPr>
              <w:pStyle w:val="20"/>
              <w:rPr>
                <w:lang w:eastAsia="zh-CN"/>
              </w:rPr>
            </w:pPr>
            <w:r>
              <w:rPr>
                <w:rFonts w:hint="eastAsia"/>
                <w:lang w:eastAsia="zh-CN"/>
              </w:rPr>
              <w:t>——</w:t>
            </w:r>
          </w:p>
        </w:tc>
        <w:tc>
          <w:tcPr>
            <w:tcW w:w="2835" w:type="dxa"/>
            <w:vAlign w:val="center"/>
          </w:tcPr>
          <w:p>
            <w:pPr>
              <w:pStyle w:val="18"/>
              <w:rPr>
                <w:lang w:eastAsia="zh-CN"/>
              </w:rPr>
            </w:pPr>
            <w:r>
              <w:rPr>
                <w:rFonts w:hint="eastAsia"/>
                <w:lang w:eastAsia="zh-CN"/>
              </w:rPr>
              <w:t>6827739.11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rPr>
                <w:lang w:eastAsia="zh-CN"/>
              </w:rPr>
            </w:pPr>
            <w:r>
              <w:rPr>
                <w:rFonts w:hint="eastAsia"/>
                <w:lang w:eastAsia="zh-CN"/>
              </w:rPr>
              <w:t>1、房屋（平方米）</w:t>
            </w:r>
          </w:p>
        </w:tc>
        <w:tc>
          <w:tcPr>
            <w:tcW w:w="2835" w:type="dxa"/>
            <w:vAlign w:val="center"/>
          </w:tcPr>
          <w:p>
            <w:pPr>
              <w:pStyle w:val="20"/>
              <w:rPr>
                <w:lang w:eastAsia="zh-CN"/>
              </w:rPr>
            </w:pPr>
            <w:r>
              <w:rPr>
                <w:rFonts w:hint="eastAsia" w:ascii="宋体" w:hAnsi="宋体" w:eastAsia="仿宋" w:cs="宋体"/>
                <w:color w:val="000000"/>
                <w:sz w:val="22"/>
                <w:lang w:eastAsia="zh-CN"/>
              </w:rPr>
              <w:t>101102.54</w:t>
            </w:r>
          </w:p>
        </w:tc>
        <w:tc>
          <w:tcPr>
            <w:tcW w:w="2835" w:type="dxa"/>
            <w:vAlign w:val="center"/>
          </w:tcPr>
          <w:p>
            <w:pPr>
              <w:pStyle w:val="18"/>
              <w:rPr>
                <w:lang w:eastAsia="zh-CN"/>
              </w:rPr>
            </w:pPr>
            <w:r>
              <w:rPr>
                <w:rFonts w:hint="eastAsia"/>
                <w:lang w:eastAsia="zh-CN"/>
              </w:rPr>
              <w:t>1037814.87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rPr>
                <w:lang w:eastAsia="zh-CN"/>
              </w:rPr>
            </w:pPr>
            <w:r>
              <w:rPr>
                <w:rFonts w:hint="eastAsia"/>
                <w:lang w:eastAsia="zh-CN"/>
              </w:rPr>
              <w:t xml:space="preserve">    其中：办公用房（平方米）</w:t>
            </w:r>
          </w:p>
        </w:tc>
        <w:tc>
          <w:tcPr>
            <w:tcW w:w="2835" w:type="dxa"/>
            <w:vAlign w:val="center"/>
          </w:tcPr>
          <w:p>
            <w:pPr>
              <w:pStyle w:val="20"/>
              <w:rPr>
                <w:lang w:eastAsia="zh-CN"/>
              </w:rPr>
            </w:pPr>
            <w:r>
              <w:rPr>
                <w:rFonts w:hint="eastAsia" w:ascii="宋体" w:hAnsi="宋体" w:eastAsia="仿宋" w:cs="宋体"/>
                <w:color w:val="000000"/>
                <w:sz w:val="22"/>
                <w:lang w:eastAsia="zh-CN"/>
              </w:rPr>
              <w:t>101102.54</w:t>
            </w:r>
          </w:p>
        </w:tc>
        <w:tc>
          <w:tcPr>
            <w:tcW w:w="2835" w:type="dxa"/>
            <w:vAlign w:val="center"/>
          </w:tcPr>
          <w:p>
            <w:pPr>
              <w:pStyle w:val="18"/>
              <w:rPr>
                <w:lang w:eastAsia="zh-CN"/>
              </w:rPr>
            </w:pPr>
            <w:r>
              <w:rPr>
                <w:rFonts w:hint="eastAsia"/>
                <w:lang w:eastAsia="zh-CN"/>
              </w:rPr>
              <w:t>1037814.87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rPr>
                <w:lang w:eastAsia="zh-CN"/>
              </w:rPr>
            </w:pPr>
            <w:r>
              <w:rPr>
                <w:rFonts w:hint="eastAsia"/>
                <w:lang w:eastAsia="zh-CN"/>
              </w:rPr>
              <w:t>2、车辆（台、辆）</w:t>
            </w:r>
          </w:p>
        </w:tc>
        <w:tc>
          <w:tcPr>
            <w:tcW w:w="2835" w:type="dxa"/>
            <w:vAlign w:val="center"/>
          </w:tcPr>
          <w:p>
            <w:pPr>
              <w:pStyle w:val="20"/>
              <w:rPr>
                <w:lang w:eastAsia="zh-CN"/>
              </w:rPr>
            </w:pPr>
            <w:r>
              <w:rPr>
                <w:rFonts w:hint="eastAsia"/>
                <w:lang w:eastAsia="zh-CN"/>
              </w:rPr>
              <w:t>7</w:t>
            </w:r>
          </w:p>
        </w:tc>
        <w:tc>
          <w:tcPr>
            <w:tcW w:w="2835" w:type="dxa"/>
            <w:vAlign w:val="center"/>
          </w:tcPr>
          <w:p>
            <w:pPr>
              <w:pStyle w:val="18"/>
              <w:rPr>
                <w:lang w:eastAsia="zh-CN"/>
              </w:rPr>
            </w:pPr>
            <w:r>
              <w:rPr>
                <w:rFonts w:hint="eastAsia"/>
                <w:lang w:eastAsia="zh-CN"/>
              </w:rPr>
              <w:t>185396.24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rPr>
                <w:lang w:eastAsia="zh-CN"/>
              </w:rPr>
            </w:pPr>
            <w:r>
              <w:rPr>
                <w:rFonts w:hint="eastAsia"/>
                <w:lang w:eastAsia="zh-CN"/>
              </w:rPr>
              <w:t>3、其他固定资产</w:t>
            </w:r>
          </w:p>
        </w:tc>
        <w:tc>
          <w:tcPr>
            <w:tcW w:w="2835" w:type="dxa"/>
            <w:vAlign w:val="center"/>
          </w:tcPr>
          <w:p>
            <w:pPr>
              <w:pStyle w:val="20"/>
              <w:rPr>
                <w:lang w:eastAsia="zh-CN"/>
              </w:rPr>
            </w:pPr>
            <w:r>
              <w:rPr>
                <w:rFonts w:hint="eastAsia"/>
                <w:lang w:eastAsia="zh-CN"/>
              </w:rPr>
              <w:t>——</w:t>
            </w:r>
          </w:p>
        </w:tc>
        <w:tc>
          <w:tcPr>
            <w:tcW w:w="2835" w:type="dxa"/>
            <w:vAlign w:val="center"/>
          </w:tcPr>
          <w:p>
            <w:pPr>
              <w:pStyle w:val="18"/>
              <w:rPr>
                <w:lang w:eastAsia="zh-CN"/>
              </w:rPr>
            </w:pPr>
            <w:r>
              <w:rPr>
                <w:rFonts w:hint="eastAsia"/>
                <w:lang w:eastAsia="zh-CN"/>
              </w:rPr>
              <w:t>5604528</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方正仿宋_GBK"/>
          <w:lang w:eastAsia="zh-CN"/>
        </w:rPr>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1FA98-67FF-46BD-9952-4B4386F6CF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C507ED9-2A56-450F-ADF8-CC615DAC59A8}"/>
  </w:font>
  <w:font w:name="方正仿宋_GBK">
    <w:panose1 w:val="03000509000000000000"/>
    <w:charset w:val="86"/>
    <w:family w:val="auto"/>
    <w:pitch w:val="default"/>
    <w:sig w:usb0="00000000" w:usb1="00000000" w:usb2="00000000" w:usb3="00000000" w:csb0="00000000" w:csb1="00000000"/>
    <w:embedRegular r:id="rId3" w:fontKey="{EE3958BE-011D-42CC-ABD5-07B5AFCA04BB}"/>
  </w:font>
  <w:font w:name="方正小标宋_GBK">
    <w:panose1 w:val="02000000000000000000"/>
    <w:charset w:val="86"/>
    <w:family w:val="script"/>
    <w:pitch w:val="default"/>
    <w:sig w:usb0="00000000" w:usb1="00000000" w:usb2="00000000" w:usb3="00000000" w:csb0="00000000" w:csb1="00000000"/>
    <w:embedRegular r:id="rId4" w:fontKey="{9E260473-87FD-4482-A774-C9C42360BFDC}"/>
  </w:font>
  <w:font w:name="方正书宋_GBK">
    <w:panose1 w:val="03000509000000000000"/>
    <w:charset w:val="86"/>
    <w:family w:val="auto"/>
    <w:pitch w:val="default"/>
    <w:sig w:usb0="00000000" w:usb1="00000000" w:usb2="00000000" w:usb3="00000000" w:csb0="00000000" w:csb1="00000000"/>
    <w:embedRegular r:id="rId5" w:fontKey="{8876C052-B5ED-49E5-A449-1D057144A281}"/>
  </w:font>
  <w:font w:name="方正楷体_GBK">
    <w:panose1 w:val="03000509000000000000"/>
    <w:charset w:val="86"/>
    <w:family w:val="auto"/>
    <w:pitch w:val="default"/>
    <w:sig w:usb0="00000000" w:usb1="00000000" w:usb2="00000000" w:usb3="00000000" w:csb0="00000000" w:csb1="00000000"/>
    <w:embedRegular r:id="rId6" w:fontKey="{8D6AFFD1-CEC3-4C5D-A615-EBC9319E1625}"/>
  </w:font>
  <w:font w:name="仿宋_GB2312">
    <w:panose1 w:val="02010609030101010101"/>
    <w:charset w:val="86"/>
    <w:family w:val="auto"/>
    <w:pitch w:val="default"/>
    <w:sig w:usb0="00000001" w:usb1="080E0000" w:usb2="00000000" w:usb3="00000000" w:csb0="00040000" w:csb1="00000000"/>
    <w:embedRegular r:id="rId7" w:fontKey="{8F1627C9-758F-4CCD-AA26-32FB12A45F9A}"/>
  </w:font>
  <w:font w:name="仿宋">
    <w:panose1 w:val="02010609060101010101"/>
    <w:charset w:val="86"/>
    <w:family w:val="modern"/>
    <w:pitch w:val="default"/>
    <w:sig w:usb0="800002BF" w:usb1="38CF7CFA" w:usb2="00000016" w:usb3="00000000" w:csb0="00040001" w:csb1="00000000"/>
    <w:embedRegular r:id="rId8" w:fontKey="{AFA68C34-F474-4D79-A8E7-FE26FA24933E}"/>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720"/>
  <w:evenAndOddHeaders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280581"/>
    <w:rsid w:val="001C6131"/>
    <w:rsid w:val="00257447"/>
    <w:rsid w:val="00280581"/>
    <w:rsid w:val="004134D2"/>
    <w:rsid w:val="0070704E"/>
    <w:rsid w:val="00AB6919"/>
    <w:rsid w:val="00CD7F9B"/>
    <w:rsid w:val="00DD3A57"/>
    <w:rsid w:val="00EB0DDB"/>
    <w:rsid w:val="11EB02CB"/>
    <w:rsid w:val="178C134F"/>
    <w:rsid w:val="1907743C"/>
    <w:rsid w:val="19A85142"/>
    <w:rsid w:val="1A5D0E07"/>
    <w:rsid w:val="34CF6CFE"/>
    <w:rsid w:val="35794934"/>
    <w:rsid w:val="3EE23271"/>
    <w:rsid w:val="43DD2593"/>
    <w:rsid w:val="4B636678"/>
    <w:rsid w:val="4D4A1353"/>
    <w:rsid w:val="66D15FB5"/>
    <w:rsid w:val="6B4C7487"/>
    <w:rsid w:val="6FEE1C5D"/>
    <w:rsid w:val="73EA5201"/>
    <w:rsid w:val="772A5CAC"/>
    <w:rsid w:val="787B40B8"/>
    <w:rsid w:val="7B905463"/>
    <w:rsid w:val="7EDC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basedOn w:val="1"/>
    <w:next w:val="1"/>
    <w:link w:val="40"/>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38"/>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39"/>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link w:val="41"/>
    <w:qFormat/>
    <w:uiPriority w:val="0"/>
    <w:pPr>
      <w:ind w:left="480"/>
    </w:pPr>
  </w:style>
  <w:style w:type="paragraph" w:styleId="6">
    <w:name w:val="footer"/>
    <w:basedOn w:val="1"/>
    <w:link w:val="37"/>
    <w:semiHidden/>
    <w:unhideWhenUsed/>
    <w:qFormat/>
    <w:uiPriority w:val="99"/>
    <w:pPr>
      <w:tabs>
        <w:tab w:val="center" w:pos="4153"/>
        <w:tab w:val="right" w:pos="8306"/>
      </w:tabs>
      <w:snapToGrid w:val="0"/>
    </w:pPr>
    <w:rPr>
      <w:sz w:val="18"/>
      <w:szCs w:val="18"/>
    </w:rPr>
  </w:style>
  <w:style w:type="paragraph" w:styleId="7">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before="120"/>
      <w:ind w:firstLine="560"/>
    </w:pPr>
    <w:rPr>
      <w:rFonts w:eastAsia="方正仿宋_GBK"/>
      <w:color w:val="000000"/>
      <w:sz w:val="28"/>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basedOn w:val="1"/>
    <w:qFormat/>
    <w:uiPriority w:val="0"/>
    <w:pPr>
      <w:jc w:val="right"/>
    </w:pPr>
    <w:rPr>
      <w:rFonts w:ascii="方正书宋_GBK" w:hAnsi="方正书宋_GBK" w:eastAsia="方正书宋_GBK" w:cs="方正书宋_GBK"/>
    </w:rPr>
  </w:style>
  <w:style w:type="paragraph" w:customStyle="1" w:styleId="32">
    <w:name w:val="插入文本样式-插入单位职责文件"/>
    <w:basedOn w:val="1"/>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6">
    <w:name w:val="页眉 字符"/>
    <w:basedOn w:val="13"/>
    <w:link w:val="7"/>
    <w:semiHidden/>
    <w:qFormat/>
    <w:uiPriority w:val="99"/>
    <w:rPr>
      <w:rFonts w:eastAsia="Times New Roman"/>
      <w:sz w:val="18"/>
      <w:szCs w:val="18"/>
      <w:lang w:eastAsia="uk-UA"/>
    </w:rPr>
  </w:style>
  <w:style w:type="character" w:customStyle="1" w:styleId="37">
    <w:name w:val="页脚 字符"/>
    <w:basedOn w:val="13"/>
    <w:link w:val="6"/>
    <w:semiHidden/>
    <w:qFormat/>
    <w:uiPriority w:val="99"/>
    <w:rPr>
      <w:rFonts w:eastAsia="Times New Roman"/>
      <w:sz w:val="18"/>
      <w:szCs w:val="18"/>
      <w:lang w:eastAsia="uk-UA"/>
    </w:rPr>
  </w:style>
  <w:style w:type="character" w:customStyle="1" w:styleId="38">
    <w:name w:val="标题 3 Char"/>
    <w:link w:val="3"/>
    <w:qFormat/>
    <w:uiPriority w:val="0"/>
    <w:rPr>
      <w:b/>
      <w:sz w:val="32"/>
    </w:rPr>
  </w:style>
  <w:style w:type="character" w:customStyle="1" w:styleId="39">
    <w:name w:val="标题 4 Char"/>
    <w:link w:val="4"/>
    <w:qFormat/>
    <w:uiPriority w:val="0"/>
    <w:rPr>
      <w:rFonts w:ascii="Arial" w:hAnsi="Arial" w:eastAsia="黑体"/>
      <w:b/>
      <w:sz w:val="28"/>
    </w:rPr>
  </w:style>
  <w:style w:type="character" w:customStyle="1" w:styleId="40">
    <w:name w:val="标题 2 Char"/>
    <w:link w:val="2"/>
    <w:qFormat/>
    <w:uiPriority w:val="0"/>
    <w:rPr>
      <w:rFonts w:ascii="Arial" w:hAnsi="Arial" w:eastAsia="黑体"/>
      <w:b/>
      <w:sz w:val="32"/>
    </w:rPr>
  </w:style>
  <w:style w:type="character" w:customStyle="1" w:styleId="41">
    <w:name w:val="目录 3 Char"/>
    <w:link w:val="5"/>
    <w:qFormat/>
    <w:uiPriority w:val="0"/>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1" Type="http://schemas.openxmlformats.org/officeDocument/2006/relationships/fontTable" Target="fontTable.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2022-03-17T15:36:19Z</dcterms:created>
  <dcterms:modified xsi:type="dcterms:W3CDTF">2022-03-17T07:36:19Z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2022-03-17T15:36:26Z</dcterms:created>
  <dcterms:modified xsi:type="dcterms:W3CDTF">2022-03-17T07:36:26Z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2022-03-17T15:36:12Z</dcterms:created>
  <dcterms:modified xsi:type="dcterms:W3CDTF">2022-03-17T07:36:12Z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2022-03-17T15:36:26Z</dcterms:created>
  <dcterms:modified xsi:type="dcterms:W3CDTF">2022-03-17T07:36:26Z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366C57B-0824-4BB5-AE26-E72E18C3C6B3}">
  <ds:schemaRefs/>
</ds:datastoreItem>
</file>

<file path=customXml/itemProps11.xml><?xml version="1.0" encoding="utf-8"?>
<ds:datastoreItem xmlns:ds="http://schemas.openxmlformats.org/officeDocument/2006/customXml" ds:itemID="{B94EA258-3E38-40AC-9863-890931DD6A24}">
  <ds:schemaRefs/>
</ds:datastoreItem>
</file>

<file path=customXml/itemProps12.xml><?xml version="1.0" encoding="utf-8"?>
<ds:datastoreItem xmlns:ds="http://schemas.openxmlformats.org/officeDocument/2006/customXml" ds:itemID="{9B9275F1-2AE9-47EA-8AA7-0210016E81E9}">
  <ds:schemaRefs/>
</ds:datastoreItem>
</file>

<file path=customXml/itemProps13.xml><?xml version="1.0" encoding="utf-8"?>
<ds:datastoreItem xmlns:ds="http://schemas.openxmlformats.org/officeDocument/2006/customXml" ds:itemID="{7E46F4E0-4B12-4386-9FAE-30810BCE1E49}">
  <ds:schemaRefs/>
</ds:datastoreItem>
</file>

<file path=customXml/itemProps14.xml><?xml version="1.0" encoding="utf-8"?>
<ds:datastoreItem xmlns:ds="http://schemas.openxmlformats.org/officeDocument/2006/customXml" ds:itemID="{D3E2792E-1AF6-4215-BF98-A90C75D13076}">
  <ds:schemaRefs/>
</ds:datastoreItem>
</file>

<file path=customXml/itemProps15.xml><?xml version="1.0" encoding="utf-8"?>
<ds:datastoreItem xmlns:ds="http://schemas.openxmlformats.org/officeDocument/2006/customXml" ds:itemID="{563B487D-DE56-46C9-88EB-CC399438C89B}">
  <ds:schemaRefs/>
</ds:datastoreItem>
</file>

<file path=customXml/itemProps16.xml><?xml version="1.0" encoding="utf-8"?>
<ds:datastoreItem xmlns:ds="http://schemas.openxmlformats.org/officeDocument/2006/customXml" ds:itemID="{1FF5C1C1-A20D-4D31-BF06-C3EBF4A7AEFD}">
  <ds:schemaRefs/>
</ds:datastoreItem>
</file>

<file path=customXml/itemProps17.xml><?xml version="1.0" encoding="utf-8"?>
<ds:datastoreItem xmlns:ds="http://schemas.openxmlformats.org/officeDocument/2006/customXml" ds:itemID="{EF7388C4-9E7B-4FE8-9D77-0A7E4E4D115F}">
  <ds:schemaRefs/>
</ds:datastoreItem>
</file>

<file path=customXml/itemProps18.xml><?xml version="1.0" encoding="utf-8"?>
<ds:datastoreItem xmlns:ds="http://schemas.openxmlformats.org/officeDocument/2006/customXml" ds:itemID="{FBC24649-5128-438E-99AA-FFF15A3C41A0}">
  <ds:schemaRefs/>
</ds:datastoreItem>
</file>

<file path=customXml/itemProps19.xml><?xml version="1.0" encoding="utf-8"?>
<ds:datastoreItem xmlns:ds="http://schemas.openxmlformats.org/officeDocument/2006/customXml" ds:itemID="{5FC69520-483E-41F2-B610-41772D048A1D}">
  <ds:schemaRefs/>
</ds:datastoreItem>
</file>

<file path=customXml/itemProps2.xml><?xml version="1.0" encoding="utf-8"?>
<ds:datastoreItem xmlns:ds="http://schemas.openxmlformats.org/officeDocument/2006/customXml" ds:itemID="{F0A22826-F80D-4DBF-8AEE-78EF44486B92}">
  <ds:schemaRefs/>
</ds:datastoreItem>
</file>

<file path=customXml/itemProps20.xml><?xml version="1.0" encoding="utf-8"?>
<ds:datastoreItem xmlns:ds="http://schemas.openxmlformats.org/officeDocument/2006/customXml" ds:itemID="{E8F24454-D4CE-4972-B698-1F6D2F4D2DE1}">
  <ds:schemaRefs/>
</ds:datastoreItem>
</file>

<file path=customXml/itemProps21.xml><?xml version="1.0" encoding="utf-8"?>
<ds:datastoreItem xmlns:ds="http://schemas.openxmlformats.org/officeDocument/2006/customXml" ds:itemID="{8C9E6611-7D84-4515-9CC9-51683CDE45BC}">
  <ds:schemaRefs/>
</ds:datastoreItem>
</file>

<file path=customXml/itemProps22.xml><?xml version="1.0" encoding="utf-8"?>
<ds:datastoreItem xmlns:ds="http://schemas.openxmlformats.org/officeDocument/2006/customXml" ds:itemID="{30EA6164-F008-466F-AA89-6E87E0555E8B}">
  <ds:schemaRefs/>
</ds:datastoreItem>
</file>

<file path=customXml/itemProps23.xml><?xml version="1.0" encoding="utf-8"?>
<ds:datastoreItem xmlns:ds="http://schemas.openxmlformats.org/officeDocument/2006/customXml" ds:itemID="{979F3D6C-DF2C-4094-820D-670BDCA63943}">
  <ds:schemaRefs/>
</ds:datastoreItem>
</file>

<file path=customXml/itemProps24.xml><?xml version="1.0" encoding="utf-8"?>
<ds:datastoreItem xmlns:ds="http://schemas.openxmlformats.org/officeDocument/2006/customXml" ds:itemID="{4B6151EF-324D-4344-9055-17FC68CA0F3A}">
  <ds:schemaRefs/>
</ds:datastoreItem>
</file>

<file path=customXml/itemProps25.xml><?xml version="1.0" encoding="utf-8"?>
<ds:datastoreItem xmlns:ds="http://schemas.openxmlformats.org/officeDocument/2006/customXml" ds:itemID="{56CE0AF9-7851-40FB-9C56-FA3D69C9C3AD}">
  <ds:schemaRefs/>
</ds:datastoreItem>
</file>

<file path=customXml/itemProps26.xml><?xml version="1.0" encoding="utf-8"?>
<ds:datastoreItem xmlns:ds="http://schemas.openxmlformats.org/officeDocument/2006/customXml" ds:itemID="{061783B6-E3B9-4E24-B6BE-DB64A80B3492}">
  <ds:schemaRefs/>
</ds:datastoreItem>
</file>

<file path=customXml/itemProps27.xml><?xml version="1.0" encoding="utf-8"?>
<ds:datastoreItem xmlns:ds="http://schemas.openxmlformats.org/officeDocument/2006/customXml" ds:itemID="{9F11B885-C3B8-402F-ADE9-73CDF708FDE6}">
  <ds:schemaRefs/>
</ds:datastoreItem>
</file>

<file path=customXml/itemProps28.xml><?xml version="1.0" encoding="utf-8"?>
<ds:datastoreItem xmlns:ds="http://schemas.openxmlformats.org/officeDocument/2006/customXml" ds:itemID="{E432E79B-7BC9-4F26-BE93-6041AB873FED}">
  <ds:schemaRefs/>
</ds:datastoreItem>
</file>

<file path=customXml/itemProps29.xml><?xml version="1.0" encoding="utf-8"?>
<ds:datastoreItem xmlns:ds="http://schemas.openxmlformats.org/officeDocument/2006/customXml" ds:itemID="{A1181CA9-5C72-4F9F-9EE2-3388A608C1DF}">
  <ds:schemaRefs/>
</ds:datastoreItem>
</file>

<file path=customXml/itemProps3.xml><?xml version="1.0" encoding="utf-8"?>
<ds:datastoreItem xmlns:ds="http://schemas.openxmlformats.org/officeDocument/2006/customXml" ds:itemID="{0B3733E0-F835-413C-90F4-917B812F6AB0}">
  <ds:schemaRefs/>
</ds:datastoreItem>
</file>

<file path=customXml/itemProps30.xml><?xml version="1.0" encoding="utf-8"?>
<ds:datastoreItem xmlns:ds="http://schemas.openxmlformats.org/officeDocument/2006/customXml" ds:itemID="{DE3AC4B6-22D6-427A-83A7-53B3D120A0D9}">
  <ds:schemaRefs/>
</ds:datastoreItem>
</file>

<file path=customXml/itemProps31.xml><?xml version="1.0" encoding="utf-8"?>
<ds:datastoreItem xmlns:ds="http://schemas.openxmlformats.org/officeDocument/2006/customXml" ds:itemID="{C4F39046-337B-46F0-89A1-E1B2E8A53973}">
  <ds:schemaRefs/>
</ds:datastoreItem>
</file>

<file path=customXml/itemProps32.xml><?xml version="1.0" encoding="utf-8"?>
<ds:datastoreItem xmlns:ds="http://schemas.openxmlformats.org/officeDocument/2006/customXml" ds:itemID="{296791C4-EB33-4068-A1DF-6CEB89264987}">
  <ds:schemaRefs/>
</ds:datastoreItem>
</file>

<file path=customXml/itemProps33.xml><?xml version="1.0" encoding="utf-8"?>
<ds:datastoreItem xmlns:ds="http://schemas.openxmlformats.org/officeDocument/2006/customXml" ds:itemID="{A934DEF7-27B7-4591-A10F-3A5594EB54B1}">
  <ds:schemaRefs/>
</ds:datastoreItem>
</file>

<file path=customXml/itemProps34.xml><?xml version="1.0" encoding="utf-8"?>
<ds:datastoreItem xmlns:ds="http://schemas.openxmlformats.org/officeDocument/2006/customXml" ds:itemID="{809A06C0-9192-4E31-9113-9474187BFD44}">
  <ds:schemaRefs/>
</ds:datastoreItem>
</file>

<file path=customXml/itemProps35.xml><?xml version="1.0" encoding="utf-8"?>
<ds:datastoreItem xmlns:ds="http://schemas.openxmlformats.org/officeDocument/2006/customXml" ds:itemID="{D13F6583-F060-44D5-84F5-E1D96E6AB3E7}">
  <ds:schemaRefs/>
</ds:datastoreItem>
</file>

<file path=customXml/itemProps36.xml><?xml version="1.0" encoding="utf-8"?>
<ds:datastoreItem xmlns:ds="http://schemas.openxmlformats.org/officeDocument/2006/customXml" ds:itemID="{9206D363-DD86-48C8-BA3D-6F31936F9BE7}">
  <ds:schemaRefs/>
</ds:datastoreItem>
</file>

<file path=customXml/itemProps37.xml><?xml version="1.0" encoding="utf-8"?>
<ds:datastoreItem xmlns:ds="http://schemas.openxmlformats.org/officeDocument/2006/customXml" ds:itemID="{9CDD1544-F445-4FBC-AA3B-D3D77ED7BF9E}">
  <ds:schemaRefs/>
</ds:datastoreItem>
</file>

<file path=customXml/itemProps38.xml><?xml version="1.0" encoding="utf-8"?>
<ds:datastoreItem xmlns:ds="http://schemas.openxmlformats.org/officeDocument/2006/customXml" ds:itemID="{36E69FBD-CDA3-4543-84E4-395FACF7F1FD}">
  <ds:schemaRefs/>
</ds:datastoreItem>
</file>

<file path=customXml/itemProps39.xml><?xml version="1.0" encoding="utf-8"?>
<ds:datastoreItem xmlns:ds="http://schemas.openxmlformats.org/officeDocument/2006/customXml" ds:itemID="{4F50A934-6939-406C-B1FF-EDFA98951CCE}">
  <ds:schemaRefs/>
</ds:datastoreItem>
</file>

<file path=customXml/itemProps4.xml><?xml version="1.0" encoding="utf-8"?>
<ds:datastoreItem xmlns:ds="http://schemas.openxmlformats.org/officeDocument/2006/customXml" ds:itemID="{9697BFFA-517E-4BEF-97AF-367EAA94CAFD}">
  <ds:schemaRefs/>
</ds:datastoreItem>
</file>

<file path=customXml/itemProps40.xml><?xml version="1.0" encoding="utf-8"?>
<ds:datastoreItem xmlns:ds="http://schemas.openxmlformats.org/officeDocument/2006/customXml" ds:itemID="{7FB8159C-77C5-47AA-8603-EF3529DED561}">
  <ds:schemaRefs/>
</ds:datastoreItem>
</file>

<file path=customXml/itemProps41.xml><?xml version="1.0" encoding="utf-8"?>
<ds:datastoreItem xmlns:ds="http://schemas.openxmlformats.org/officeDocument/2006/customXml" ds:itemID="{796A1F31-AB09-4F44-9CD0-49A4E73B4761}">
  <ds:schemaRefs/>
</ds:datastoreItem>
</file>

<file path=customXml/itemProps42.xml><?xml version="1.0" encoding="utf-8"?>
<ds:datastoreItem xmlns:ds="http://schemas.openxmlformats.org/officeDocument/2006/customXml" ds:itemID="{BA150A47-34AF-4F01-A4A6-4D4FE61F396D}">
  <ds:schemaRefs/>
</ds:datastoreItem>
</file>

<file path=customXml/itemProps43.xml><?xml version="1.0" encoding="utf-8"?>
<ds:datastoreItem xmlns:ds="http://schemas.openxmlformats.org/officeDocument/2006/customXml" ds:itemID="{9EAD5346-4EC3-48CC-855D-FADB5B7FB1FB}">
  <ds:schemaRefs/>
</ds:datastoreItem>
</file>

<file path=customXml/itemProps44.xml><?xml version="1.0" encoding="utf-8"?>
<ds:datastoreItem xmlns:ds="http://schemas.openxmlformats.org/officeDocument/2006/customXml" ds:itemID="{BD172FAD-62CE-4E1E-B207-054DE75AABCB}">
  <ds:schemaRefs/>
</ds:datastoreItem>
</file>

<file path=customXml/itemProps45.xml><?xml version="1.0" encoding="utf-8"?>
<ds:datastoreItem xmlns:ds="http://schemas.openxmlformats.org/officeDocument/2006/customXml" ds:itemID="{EBFEFB09-AE4E-42A2-B003-AC84F09A9E00}">
  <ds:schemaRefs/>
</ds:datastoreItem>
</file>

<file path=customXml/itemProps46.xml><?xml version="1.0" encoding="utf-8"?>
<ds:datastoreItem xmlns:ds="http://schemas.openxmlformats.org/officeDocument/2006/customXml" ds:itemID="{5709D23A-25D2-44F0-BB7F-188D317C38DF}">
  <ds:schemaRefs/>
</ds:datastoreItem>
</file>

<file path=customXml/itemProps47.xml><?xml version="1.0" encoding="utf-8"?>
<ds:datastoreItem xmlns:ds="http://schemas.openxmlformats.org/officeDocument/2006/customXml" ds:itemID="{D8CD6AB0-70AA-4704-B484-A7781827F6FE}">
  <ds:schemaRefs/>
</ds:datastoreItem>
</file>

<file path=customXml/itemProps48.xml><?xml version="1.0" encoding="utf-8"?>
<ds:datastoreItem xmlns:ds="http://schemas.openxmlformats.org/officeDocument/2006/customXml" ds:itemID="{D733BF13-FE52-4597-9D40-988D71CF0BB4}">
  <ds:schemaRefs/>
</ds:datastoreItem>
</file>

<file path=customXml/itemProps49.xml><?xml version="1.0" encoding="utf-8"?>
<ds:datastoreItem xmlns:ds="http://schemas.openxmlformats.org/officeDocument/2006/customXml" ds:itemID="{93963069-9BFE-4086-99A9-F2E0E5C586AC}">
  <ds:schemaRefs/>
</ds:datastoreItem>
</file>

<file path=customXml/itemProps5.xml><?xml version="1.0" encoding="utf-8"?>
<ds:datastoreItem xmlns:ds="http://schemas.openxmlformats.org/officeDocument/2006/customXml" ds:itemID="{08B3750C-0FB2-40E1-93B4-631446F1C07F}">
  <ds:schemaRefs/>
</ds:datastoreItem>
</file>

<file path=customXml/itemProps50.xml><?xml version="1.0" encoding="utf-8"?>
<ds:datastoreItem xmlns:ds="http://schemas.openxmlformats.org/officeDocument/2006/customXml" ds:itemID="{7FBD47B1-8F43-46E4-AF79-33AAE78819BF}">
  <ds:schemaRefs/>
</ds:datastoreItem>
</file>

<file path=customXml/itemProps51.xml><?xml version="1.0" encoding="utf-8"?>
<ds:datastoreItem xmlns:ds="http://schemas.openxmlformats.org/officeDocument/2006/customXml" ds:itemID="{42584A9F-B26B-4CFE-836E-7131D98DC95B}">
  <ds:schemaRefs/>
</ds:datastoreItem>
</file>

<file path=customXml/itemProps52.xml><?xml version="1.0" encoding="utf-8"?>
<ds:datastoreItem xmlns:ds="http://schemas.openxmlformats.org/officeDocument/2006/customXml" ds:itemID="{A79586F9-741D-4C33-BEF7-3FBEF041065D}">
  <ds:schemaRefs/>
</ds:datastoreItem>
</file>

<file path=customXml/itemProps53.xml><?xml version="1.0" encoding="utf-8"?>
<ds:datastoreItem xmlns:ds="http://schemas.openxmlformats.org/officeDocument/2006/customXml" ds:itemID="{79234978-6766-4A2C-8FEA-0C44608D030D}">
  <ds:schemaRefs/>
</ds:datastoreItem>
</file>

<file path=customXml/itemProps54.xml><?xml version="1.0" encoding="utf-8"?>
<ds:datastoreItem xmlns:ds="http://schemas.openxmlformats.org/officeDocument/2006/customXml" ds:itemID="{B02416EA-E6C6-4F9C-B3A2-BF94162ADAE8}">
  <ds:schemaRefs/>
</ds:datastoreItem>
</file>

<file path=customXml/itemProps55.xml><?xml version="1.0" encoding="utf-8"?>
<ds:datastoreItem xmlns:ds="http://schemas.openxmlformats.org/officeDocument/2006/customXml" ds:itemID="{7FCD475A-EF67-47AB-A573-0F161605C588}">
  <ds:schemaRefs/>
</ds:datastoreItem>
</file>

<file path=customXml/itemProps56.xml><?xml version="1.0" encoding="utf-8"?>
<ds:datastoreItem xmlns:ds="http://schemas.openxmlformats.org/officeDocument/2006/customXml" ds:itemID="{A5853448-CA8F-46CC-BD01-FBD8A633C4F4}">
  <ds:schemaRefs/>
</ds:datastoreItem>
</file>

<file path=customXml/itemProps57.xml><?xml version="1.0" encoding="utf-8"?>
<ds:datastoreItem xmlns:ds="http://schemas.openxmlformats.org/officeDocument/2006/customXml" ds:itemID="{3B4B5689-464F-4114-A908-FDFFD333DC44}">
  <ds:schemaRefs/>
</ds:datastoreItem>
</file>

<file path=customXml/itemProps58.xml><?xml version="1.0" encoding="utf-8"?>
<ds:datastoreItem xmlns:ds="http://schemas.openxmlformats.org/officeDocument/2006/customXml" ds:itemID="{4445C194-EA0F-4A5C-8DB1-F29FB26BE646}">
  <ds:schemaRefs/>
</ds:datastoreItem>
</file>

<file path=customXml/itemProps59.xml><?xml version="1.0" encoding="utf-8"?>
<ds:datastoreItem xmlns:ds="http://schemas.openxmlformats.org/officeDocument/2006/customXml" ds:itemID="{26907EEA-0C64-4D9B-B939-669F92D5454D}">
  <ds:schemaRefs/>
</ds:datastoreItem>
</file>

<file path=customXml/itemProps6.xml><?xml version="1.0" encoding="utf-8"?>
<ds:datastoreItem xmlns:ds="http://schemas.openxmlformats.org/officeDocument/2006/customXml" ds:itemID="{5DFB5648-B600-4CF0-AEF2-A5CAE214D4DD}">
  <ds:schemaRefs/>
</ds:datastoreItem>
</file>

<file path=customXml/itemProps60.xml><?xml version="1.0" encoding="utf-8"?>
<ds:datastoreItem xmlns:ds="http://schemas.openxmlformats.org/officeDocument/2006/customXml" ds:itemID="{3BB647BC-101D-4867-A760-2EBA385567E1}">
  <ds:schemaRefs/>
</ds:datastoreItem>
</file>

<file path=customXml/itemProps61.xml><?xml version="1.0" encoding="utf-8"?>
<ds:datastoreItem xmlns:ds="http://schemas.openxmlformats.org/officeDocument/2006/customXml" ds:itemID="{29579F1F-D88E-4FA3-ABE4-2CBE34242449}">
  <ds:schemaRefs/>
</ds:datastoreItem>
</file>

<file path=customXml/itemProps62.xml><?xml version="1.0" encoding="utf-8"?>
<ds:datastoreItem xmlns:ds="http://schemas.openxmlformats.org/officeDocument/2006/customXml" ds:itemID="{97C0CA19-8DAE-4C81-BE43-81B23C126892}">
  <ds:schemaRefs/>
</ds:datastoreItem>
</file>

<file path=customXml/itemProps63.xml><?xml version="1.0" encoding="utf-8"?>
<ds:datastoreItem xmlns:ds="http://schemas.openxmlformats.org/officeDocument/2006/customXml" ds:itemID="{9A57FAF7-C6B0-4E8B-9ACA-87888D8C8552}">
  <ds:schemaRefs/>
</ds:datastoreItem>
</file>

<file path=customXml/itemProps64.xml><?xml version="1.0" encoding="utf-8"?>
<ds:datastoreItem xmlns:ds="http://schemas.openxmlformats.org/officeDocument/2006/customXml" ds:itemID="{2D987726-382D-4C5F-8551-EFCBBCDA6466}">
  <ds:schemaRefs/>
</ds:datastoreItem>
</file>

<file path=customXml/itemProps65.xml><?xml version="1.0" encoding="utf-8"?>
<ds:datastoreItem xmlns:ds="http://schemas.openxmlformats.org/officeDocument/2006/customXml" ds:itemID="{931BF7D5-A22C-4FB6-B0EA-E2C61CBAEB7A}">
  <ds:schemaRefs/>
</ds:datastoreItem>
</file>

<file path=customXml/itemProps66.xml><?xml version="1.0" encoding="utf-8"?>
<ds:datastoreItem xmlns:ds="http://schemas.openxmlformats.org/officeDocument/2006/customXml" ds:itemID="{3288517F-211A-4D70-8673-FD6B6F82921A}">
  <ds:schemaRefs/>
</ds:datastoreItem>
</file>

<file path=customXml/itemProps67.xml><?xml version="1.0" encoding="utf-8"?>
<ds:datastoreItem xmlns:ds="http://schemas.openxmlformats.org/officeDocument/2006/customXml" ds:itemID="{8012191A-B9D9-4C90-9682-F5581A429220}">
  <ds:schemaRefs/>
</ds:datastoreItem>
</file>

<file path=customXml/itemProps68.xml><?xml version="1.0" encoding="utf-8"?>
<ds:datastoreItem xmlns:ds="http://schemas.openxmlformats.org/officeDocument/2006/customXml" ds:itemID="{EE4A37B0-9C82-48E9-A50B-5069B97AEFD0}">
  <ds:schemaRefs/>
</ds:datastoreItem>
</file>

<file path=customXml/itemProps69.xml><?xml version="1.0" encoding="utf-8"?>
<ds:datastoreItem xmlns:ds="http://schemas.openxmlformats.org/officeDocument/2006/customXml" ds:itemID="{83FD9395-CDB8-4D2E-9A33-7DEAAC6A3390}">
  <ds:schemaRefs/>
</ds:datastoreItem>
</file>

<file path=customXml/itemProps7.xml><?xml version="1.0" encoding="utf-8"?>
<ds:datastoreItem xmlns:ds="http://schemas.openxmlformats.org/officeDocument/2006/customXml" ds:itemID="{F29B5B22-9F82-498E-B77D-1BA4B8A3F0B3}">
  <ds:schemaRefs/>
</ds:datastoreItem>
</file>

<file path=customXml/itemProps70.xml><?xml version="1.0" encoding="utf-8"?>
<ds:datastoreItem xmlns:ds="http://schemas.openxmlformats.org/officeDocument/2006/customXml" ds:itemID="{2494761A-EB03-4F92-A899-3E3304E3FE3B}">
  <ds:schemaRefs/>
</ds:datastoreItem>
</file>

<file path=customXml/itemProps71.xml><?xml version="1.0" encoding="utf-8"?>
<ds:datastoreItem xmlns:ds="http://schemas.openxmlformats.org/officeDocument/2006/customXml" ds:itemID="{CBA35251-F6BE-49EE-B1DD-4FA507EA3006}">
  <ds:schemaRefs/>
</ds:datastoreItem>
</file>

<file path=customXml/itemProps72.xml><?xml version="1.0" encoding="utf-8"?>
<ds:datastoreItem xmlns:ds="http://schemas.openxmlformats.org/officeDocument/2006/customXml" ds:itemID="{335EDCF2-53EE-44B7-B3A7-E0FD2618FAB5}">
  <ds:schemaRefs/>
</ds:datastoreItem>
</file>

<file path=customXml/itemProps73.xml><?xml version="1.0" encoding="utf-8"?>
<ds:datastoreItem xmlns:ds="http://schemas.openxmlformats.org/officeDocument/2006/customXml" ds:itemID="{699D2416-C17E-464E-B72E-2F4A12BEDC54}">
  <ds:schemaRefs/>
</ds:datastoreItem>
</file>

<file path=customXml/itemProps74.xml><?xml version="1.0" encoding="utf-8"?>
<ds:datastoreItem xmlns:ds="http://schemas.openxmlformats.org/officeDocument/2006/customXml" ds:itemID="{A67E4085-0A5B-4222-8D0E-8948935CEC62}">
  <ds:schemaRefs/>
</ds:datastoreItem>
</file>

<file path=customXml/itemProps75.xml><?xml version="1.0" encoding="utf-8"?>
<ds:datastoreItem xmlns:ds="http://schemas.openxmlformats.org/officeDocument/2006/customXml" ds:itemID="{551B205F-EA4A-47FA-AD66-0B82321B3D03}">
  <ds:schemaRefs/>
</ds:datastoreItem>
</file>

<file path=customXml/itemProps76.xml><?xml version="1.0" encoding="utf-8"?>
<ds:datastoreItem xmlns:ds="http://schemas.openxmlformats.org/officeDocument/2006/customXml" ds:itemID="{EA61A96E-0E47-4E57-B967-6AD95007FF61}">
  <ds:schemaRefs/>
</ds:datastoreItem>
</file>

<file path=customXml/itemProps77.xml><?xml version="1.0" encoding="utf-8"?>
<ds:datastoreItem xmlns:ds="http://schemas.openxmlformats.org/officeDocument/2006/customXml" ds:itemID="{CC7FFFC5-49A7-48C9-ADC1-D763EF26474A}">
  <ds:schemaRefs/>
</ds:datastoreItem>
</file>

<file path=customXml/itemProps78.xml><?xml version="1.0" encoding="utf-8"?>
<ds:datastoreItem xmlns:ds="http://schemas.openxmlformats.org/officeDocument/2006/customXml" ds:itemID="{37746BD5-5DA6-43F1-8A24-4493387C1D15}">
  <ds:schemaRefs/>
</ds:datastoreItem>
</file>

<file path=customXml/itemProps79.xml><?xml version="1.0" encoding="utf-8"?>
<ds:datastoreItem xmlns:ds="http://schemas.openxmlformats.org/officeDocument/2006/customXml" ds:itemID="{6E90ABC1-5022-492F-8045-52E11A1B8E58}">
  <ds:schemaRefs/>
</ds:datastoreItem>
</file>

<file path=customXml/itemProps8.xml><?xml version="1.0" encoding="utf-8"?>
<ds:datastoreItem xmlns:ds="http://schemas.openxmlformats.org/officeDocument/2006/customXml" ds:itemID="{57208850-6AB7-4F4A-BB60-D2E7667F0136}">
  <ds:schemaRefs/>
</ds:datastoreItem>
</file>

<file path=customXml/itemProps80.xml><?xml version="1.0" encoding="utf-8"?>
<ds:datastoreItem xmlns:ds="http://schemas.openxmlformats.org/officeDocument/2006/customXml" ds:itemID="{0361F249-0A86-499C-BE55-635945726D64}">
  <ds:schemaRefs/>
</ds:datastoreItem>
</file>

<file path=customXml/itemProps81.xml><?xml version="1.0" encoding="utf-8"?>
<ds:datastoreItem xmlns:ds="http://schemas.openxmlformats.org/officeDocument/2006/customXml" ds:itemID="{204020D4-4EF3-4E26-AF68-766008FAD9F9}">
  <ds:schemaRefs/>
</ds:datastoreItem>
</file>

<file path=customXml/itemProps82.xml><?xml version="1.0" encoding="utf-8"?>
<ds:datastoreItem xmlns:ds="http://schemas.openxmlformats.org/officeDocument/2006/customXml" ds:itemID="{ABA35587-47F4-4489-9DBC-1A1052BDAB58}">
  <ds:schemaRefs/>
</ds:datastoreItem>
</file>

<file path=customXml/itemProps83.xml><?xml version="1.0" encoding="utf-8"?>
<ds:datastoreItem xmlns:ds="http://schemas.openxmlformats.org/officeDocument/2006/customXml" ds:itemID="{2CF73A19-7F45-486F-94CE-228B8B0BCD38}">
  <ds:schemaRefs/>
</ds:datastoreItem>
</file>

<file path=customXml/itemProps84.xml><?xml version="1.0" encoding="utf-8"?>
<ds:datastoreItem xmlns:ds="http://schemas.openxmlformats.org/officeDocument/2006/customXml" ds:itemID="{D8D92856-9F9A-4710-80DD-F9B70F2C7087}">
  <ds:schemaRefs/>
</ds:datastoreItem>
</file>

<file path=customXml/itemProps85.xml><?xml version="1.0" encoding="utf-8"?>
<ds:datastoreItem xmlns:ds="http://schemas.openxmlformats.org/officeDocument/2006/customXml" ds:itemID="{AD7FDCFF-EA4E-4791-ADC5-6E7F0AC3DC48}">
  <ds:schemaRefs/>
</ds:datastoreItem>
</file>

<file path=customXml/itemProps86.xml><?xml version="1.0" encoding="utf-8"?>
<ds:datastoreItem xmlns:ds="http://schemas.openxmlformats.org/officeDocument/2006/customXml" ds:itemID="{9C1625C0-9C84-4127-88D3-7F87A226CB11}">
  <ds:schemaRefs/>
</ds:datastoreItem>
</file>

<file path=customXml/itemProps87.xml><?xml version="1.0" encoding="utf-8"?>
<ds:datastoreItem xmlns:ds="http://schemas.openxmlformats.org/officeDocument/2006/customXml" ds:itemID="{E0CFDACE-4DA3-46D8-987D-0A249D0BE346}">
  <ds:schemaRefs/>
</ds:datastoreItem>
</file>

<file path=customXml/itemProps88.xml><?xml version="1.0" encoding="utf-8"?>
<ds:datastoreItem xmlns:ds="http://schemas.openxmlformats.org/officeDocument/2006/customXml" ds:itemID="{0FB4FFE5-C325-444B-B8AA-A10C40634508}">
  <ds:schemaRefs/>
</ds:datastoreItem>
</file>

<file path=customXml/itemProps89.xml><?xml version="1.0" encoding="utf-8"?>
<ds:datastoreItem xmlns:ds="http://schemas.openxmlformats.org/officeDocument/2006/customXml" ds:itemID="{E282FC7E-39AD-44C6-8DAB-8A994FCA2D14}">
  <ds:schemaRefs/>
</ds:datastoreItem>
</file>

<file path=customXml/itemProps9.xml><?xml version="1.0" encoding="utf-8"?>
<ds:datastoreItem xmlns:ds="http://schemas.openxmlformats.org/officeDocument/2006/customXml" ds:itemID="{3397D190-33AB-4B0B-BE8A-1BA9896B84E2}">
  <ds:schemaRefs/>
</ds:datastoreItem>
</file>

<file path=customXml/itemProps90.xml><?xml version="1.0" encoding="utf-8"?>
<ds:datastoreItem xmlns:ds="http://schemas.openxmlformats.org/officeDocument/2006/customXml" ds:itemID="{1CB3A1D4-BF94-42CE-84C9-690F672F364F}">
  <ds:schemaRefs/>
</ds:datastoreItem>
</file>

<file path=customXml/itemProps91.xml><?xml version="1.0" encoding="utf-8"?>
<ds:datastoreItem xmlns:ds="http://schemas.openxmlformats.org/officeDocument/2006/customXml" ds:itemID="{5A00B9FD-22F0-4D22-B88A-9BBDEE38C883}">
  <ds:schemaRefs/>
</ds:datastoreItem>
</file>

<file path=customXml/itemProps92.xml><?xml version="1.0" encoding="utf-8"?>
<ds:datastoreItem xmlns:ds="http://schemas.openxmlformats.org/officeDocument/2006/customXml" ds:itemID="{6B31B212-71EE-458A-8C06-27274AA46FB2}">
  <ds:schemaRefs/>
</ds:datastoreItem>
</file>

<file path=customXml/itemProps93.xml><?xml version="1.0" encoding="utf-8"?>
<ds:datastoreItem xmlns:ds="http://schemas.openxmlformats.org/officeDocument/2006/customXml" ds:itemID="{C345DEE4-7664-4BA4-AE49-7AFB6FAC2E5F}">
  <ds:schemaRefs/>
</ds:datastoreItem>
</file>

<file path=customXml/itemProps94.xml><?xml version="1.0" encoding="utf-8"?>
<ds:datastoreItem xmlns:ds="http://schemas.openxmlformats.org/officeDocument/2006/customXml" ds:itemID="{D50E96E4-46C6-4891-A88C-5D39D90BE715}">
  <ds:schemaRefs/>
</ds:datastoreItem>
</file>

<file path=customXml/itemProps95.xml><?xml version="1.0" encoding="utf-8"?>
<ds:datastoreItem xmlns:ds="http://schemas.openxmlformats.org/officeDocument/2006/customXml" ds:itemID="{A575C958-A972-47DE-94C3-A7C7C0B286E5}">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4607</Words>
  <Characters>26263</Characters>
  <Lines>218</Lines>
  <Paragraphs>61</Paragraphs>
  <TotalTime>11</TotalTime>
  <ScaleCrop>false</ScaleCrop>
  <LinksUpToDate>false</LinksUpToDate>
  <CharactersWithSpaces>30809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2022-03-17T15:36:00Z</dcterms:created>
  <dc:creator>Administrator</dc:creator>
  <cp:lastModifiedBy>领衔 80后</cp:lastModifiedBy>
  <dcterms:modified xsi:type="dcterms:W3CDTF">2024-05-21T07:38:38Z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C5A79E9D017A4674AE9AE2046900E337_13</vt:lpwstr>
  </property>
</Properties>
</file>