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馆陶县应急管理局单位</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w:t>
      </w:r>
      <w:bookmarkStart w:id="3" w:name="_GoBack"/>
      <w:bookmarkEnd w:id="3"/>
      <w:r>
        <w:rPr>
          <w:rFonts w:hint="eastAsia" w:ascii="仿宋" w:hAnsi="仿宋" w:eastAsia="仿宋" w:cs="仿宋"/>
          <w:sz w:val="32"/>
          <w:szCs w:val="32"/>
        </w:rPr>
        <w:t>预算法》、《地方预决算公开操作规程》和《河北省省级预算公开办法》规定，现将我单位</w:t>
      </w:r>
      <w:r>
        <w:rPr>
          <w:rFonts w:ascii="仿宋" w:hAnsi="仿宋" w:eastAsia="仿宋" w:cs="仿宋"/>
          <w:sz w:val="32"/>
          <w:szCs w:val="32"/>
        </w:rPr>
        <w:t>2020</w:t>
      </w:r>
      <w:r>
        <w:rPr>
          <w:rFonts w:hint="eastAsia" w:ascii="仿宋" w:hAnsi="仿宋" w:eastAsia="仿宋" w:cs="仿宋"/>
          <w:sz w:val="32"/>
          <w:szCs w:val="32"/>
        </w:rPr>
        <w:t>年部门预算公开如下：</w:t>
      </w:r>
    </w:p>
    <w:p>
      <w:pPr>
        <w:numPr>
          <w:ilvl w:val="0"/>
          <w:numId w:val="1"/>
        </w:numPr>
        <w:ind w:firstLine="640"/>
        <w:rPr>
          <w:rFonts w:ascii="黑体" w:hAnsi="黑体" w:eastAsia="黑体" w:cs="黑体"/>
          <w:sz w:val="32"/>
          <w:szCs w:val="32"/>
        </w:rPr>
      </w:pPr>
      <w:r>
        <w:rPr>
          <w:rFonts w:hint="eastAsia" w:ascii="黑体" w:hAnsi="黑体" w:eastAsia="黑体" w:cs="黑体"/>
          <w:sz w:val="32"/>
          <w:szCs w:val="32"/>
        </w:rPr>
        <w:t>部门职责及机构设置情况</w:t>
      </w:r>
    </w:p>
    <w:p>
      <w:pPr>
        <w:spacing w:line="580" w:lineRule="exact"/>
        <w:ind w:firstLine="640" w:firstLineChars="200"/>
        <w:rPr>
          <w:rFonts w:ascii="仿宋_GB2312" w:eastAsia="仿宋_GB2312"/>
          <w:sz w:val="32"/>
          <w:szCs w:val="32"/>
        </w:rPr>
      </w:pPr>
      <w:r>
        <w:rPr>
          <w:rFonts w:hint="eastAsia" w:ascii="黑体" w:hAnsi="黑体" w:eastAsia="黑体" w:cs="黑体"/>
          <w:sz w:val="32"/>
          <w:szCs w:val="32"/>
        </w:rPr>
        <w:t xml:space="preserve">第一条  </w:t>
      </w:r>
      <w:r>
        <w:rPr>
          <w:rFonts w:hint="eastAsia" w:ascii="仿宋_GB2312" w:eastAsia="仿宋_GB2312"/>
          <w:sz w:val="32"/>
          <w:szCs w:val="32"/>
        </w:rPr>
        <w:t>根据中共馆陶县委、馆陶县人民政府《关于印发〈馆陶县机构改革方案〉的通知》（馆字〔2019〕2号），制定本规定。</w:t>
      </w:r>
    </w:p>
    <w:p>
      <w:pPr>
        <w:adjustRightInd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馆陶县应急管理局（简称县应急管理局）作为县政府工作部门，加挂馆陶县地震局牌子，机构规格正科级。</w:t>
      </w:r>
    </w:p>
    <w:p>
      <w:pPr>
        <w:adjustRightInd w:val="0"/>
        <w:snapToGrid w:val="0"/>
        <w:spacing w:line="580" w:lineRule="exact"/>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贯彻落实党中央、省委、市委和县委关于应急管理工作的方针政策和决策部署，坚持和加强党对应急管理工作的集中统一领导。主要职责是：</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（一）负责应急管理工作，指导各级各部门应对安全生产类、自然灾害类等突发事件和综合防灾减灾救灾工作。负责安全生产综合监督管理和工矿商贸行业安全生产监督管理工作。</w:t>
      </w:r>
    </w:p>
    <w:p>
      <w:pPr>
        <w:numPr>
          <w:ilvl w:val="0"/>
          <w:numId w:val="2"/>
        </w:numPr>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拟订应急管理、安全生产等政策规定，组织编制县应急体系建设、安全生产和综合防灾减灾规划，起草</w:t>
      </w:r>
      <w:r>
        <w:rPr>
          <w:rFonts w:hint="eastAsia" w:ascii="仿宋_GB2312" w:hAnsi="仿宋_GB2312" w:eastAsia="仿宋_GB2312" w:cs="仿宋_GB2312"/>
          <w:sz w:val="32"/>
          <w:szCs w:val="32"/>
          <w:lang w:val="zh-CN"/>
        </w:rPr>
        <w:t>地方性法规和政府规章草案</w:t>
      </w:r>
      <w:r>
        <w:rPr>
          <w:rFonts w:hint="eastAsia" w:ascii="仿宋_GB2312" w:hAnsi="仿宋_GB2312" w:eastAsia="仿宋_GB2312" w:cs="仿宋_GB2312"/>
          <w:sz w:val="32"/>
          <w:szCs w:val="32"/>
        </w:rPr>
        <w:t>，组织制定相关规程和标准并监督实施。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（四）牵头建立统一的全县应急管理信息系统，负责信息传输渠道的规划和布局，建立监测预警和灾情报告制度，健全自然灾害信息资源获取和共享机制，依法统一发布灾情。</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（五）组织指导协调安全生产类、自然灾害类等突发事件应急救援，承担县应对</w:t>
      </w:r>
      <w:r>
        <w:rPr>
          <w:rFonts w:hint="eastAsia" w:ascii="仿宋_GB2312" w:hAnsi="仿宋_GB2312" w:eastAsia="仿宋_GB2312" w:cs="仿宋_GB2312"/>
          <w:bCs/>
          <w:sz w:val="32"/>
          <w:szCs w:val="32"/>
        </w:rPr>
        <w:t>较大</w:t>
      </w:r>
      <w:r>
        <w:rPr>
          <w:rFonts w:hint="eastAsia" w:ascii="仿宋_GB2312" w:hAnsi="仿宋_GB2312" w:eastAsia="仿宋_GB2312" w:cs="仿宋_GB2312"/>
          <w:sz w:val="32"/>
          <w:szCs w:val="32"/>
        </w:rPr>
        <w:t>灾害指挥部工作，综合研判突发事件发展态势并提出应对建议，协助县委、县政府指定的负责同志组织</w:t>
      </w:r>
      <w:r>
        <w:rPr>
          <w:rFonts w:hint="eastAsia" w:ascii="仿宋_GB2312" w:hAnsi="仿宋_GB2312" w:eastAsia="仿宋_GB2312" w:cs="仿宋_GB2312"/>
          <w:bCs/>
          <w:sz w:val="32"/>
          <w:szCs w:val="32"/>
        </w:rPr>
        <w:t>较大</w:t>
      </w:r>
      <w:r>
        <w:rPr>
          <w:rFonts w:hint="eastAsia" w:ascii="仿宋_GB2312" w:hAnsi="仿宋_GB2312" w:eastAsia="仿宋_GB2312" w:cs="仿宋_GB2312"/>
          <w:sz w:val="32"/>
          <w:szCs w:val="32"/>
        </w:rPr>
        <w:t>灾害应急处置工作。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（六）统一协调指挥各类应急专业队伍，建立应急协调联动机制，推进指挥平台对接，衔接解放军和武警部队参与应急救援工作。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（七）统筹应急救援力量建设，负责消防、森林和草原火灾扑救、抗洪抢险、地震和地质灾害救援、生产安全事故救援等专业应急救援力量建设，管理市综合性应急救援队伍，指导各级及社会应急救援力量建设。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（八）组织协调消防工作，指导各级消防监督、火灾预防、火灾扑救等工作。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（九）指导协调森林和草原火灾、水旱灾害、地质灾害等防治工作，负责自然灾害综合监测预警工作，指导开展自然灾害综合风险评估工作。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（十）组织协调灾害救助工作，组织指导灾情核查、损失评估、救灾捐赠工作，管理、分配相关救灾款物并监督使用。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（十一）依法行使县安全生产综合监督管理职权，指导协调、监督检查县有关部门和各乡镇政府安全生产工作，组织开展安全生产巡查、考核工作。</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（十四）制定应急物资储备和应急救援装备规划并组织实施，会同县粮食和物资储备局等部门建立健全应急物资信息平台和调拨制度，在救灾时统一调度。</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（十五）负责应急管理、安全生产宣传教育和培训工作，组织指导应急管理、安全生产的科学技术研究、推广应用和信息化建设工作。</w:t>
      </w:r>
    </w:p>
    <w:p>
      <w:pPr>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（十六）</w:t>
      </w:r>
      <w:r>
        <w:rPr>
          <w:rFonts w:hint="eastAsia" w:ascii="仿宋_GB2312" w:hAnsi="仿宋_GB2312" w:eastAsia="仿宋_GB2312" w:cs="仿宋_GB2312"/>
          <w:sz w:val="32"/>
          <w:szCs w:val="32"/>
          <w:lang w:val="zh-CN"/>
        </w:rPr>
        <w:t>负责组织指导协调和监督全县安全生产行政执法工作，组织开展对安全生产重点企业的执法检查。</w:t>
      </w:r>
    </w:p>
    <w:p>
      <w:pPr>
        <w:spacing w:line="600" w:lineRule="exact"/>
        <w:ind w:firstLine="640" w:firstLineChars="200"/>
        <w:rPr>
          <w:rFonts w:eastAsia="仿宋_GB2312"/>
          <w:bCs/>
          <w:sz w:val="32"/>
          <w:szCs w:val="32"/>
          <w:lang w:val="zh-CN"/>
        </w:rPr>
      </w:pPr>
      <w:r>
        <w:rPr>
          <w:rFonts w:hint="eastAsia" w:ascii="仿宋_GB2312" w:hAnsi="仿宋_GB2312" w:eastAsia="仿宋_GB2312" w:cs="仿宋_GB2312"/>
          <w:bCs/>
          <w:sz w:val="32"/>
          <w:szCs w:val="32"/>
        </w:rPr>
        <w:t>（十七）贯彻实施国家、省、市防震减灾的方针、政策、法规、规划；负责起草防震减灾地方法规、政府规章和政策措施，制定防震减灾工作规划和计划并组织实施。</w:t>
      </w:r>
      <w:r>
        <w:rPr>
          <w:rFonts w:hint="eastAsia" w:eastAsia="仿宋_GB2312"/>
          <w:bCs/>
          <w:sz w:val="32"/>
          <w:szCs w:val="32"/>
        </w:rPr>
        <w:t>负责建设工程抗震设防要求和地震安全性评价工作监督管理，组织开展地震灾害预防工作。</w:t>
      </w:r>
      <w:r>
        <w:rPr>
          <w:rFonts w:hint="eastAsia" w:ascii="仿宋_GB2312" w:hAnsi="仿宋_GB2312" w:eastAsia="仿宋_GB2312" w:cs="仿宋_GB2312"/>
          <w:bCs/>
          <w:sz w:val="32"/>
          <w:szCs w:val="32"/>
        </w:rPr>
        <w:t>负责组织开展全县地震监测预报工作，负责地震群测群防体系建设。</w:t>
      </w:r>
      <w:r>
        <w:rPr>
          <w:rFonts w:hint="eastAsia" w:eastAsia="仿宋_GB2312"/>
          <w:bCs/>
          <w:sz w:val="32"/>
          <w:szCs w:val="32"/>
        </w:rPr>
        <w:t>组织开展地震应急与救援工作。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（十八）</w:t>
      </w:r>
      <w:r>
        <w:rPr>
          <w:rFonts w:hint="eastAsia" w:ascii="仿宋_GB2312" w:hAnsi="仿宋_GB2312" w:eastAsia="仿宋_GB2312" w:cs="仿宋_GB2312"/>
          <w:sz w:val="32"/>
          <w:szCs w:val="32"/>
        </w:rPr>
        <w:t>组织开展应急管理方面的国际交流与合作。</w:t>
      </w:r>
    </w:p>
    <w:p>
      <w:pPr>
        <w:spacing w:line="580" w:lineRule="exact"/>
        <w:ind w:firstLine="640" w:firstLineChars="200"/>
        <w:rPr>
          <w:rFonts w:eastAsia="仿宋_GB2312"/>
          <w:sz w:val="32"/>
          <w:szCs w:val="32"/>
        </w:rPr>
      </w:pPr>
      <w:r>
        <w:rPr>
          <w:rFonts w:hint="eastAsia" w:ascii="仿宋_GB2312" w:hAnsi="仿宋_GB2312" w:eastAsia="仿宋_GB2312" w:cs="仿宋_GB2312"/>
          <w:sz w:val="32"/>
          <w:szCs w:val="32"/>
          <w:lang w:val="zh-CN"/>
        </w:rPr>
        <w:t>（十九）</w:t>
      </w:r>
      <w:r>
        <w:rPr>
          <w:rFonts w:eastAsia="仿宋_GB2312"/>
          <w:sz w:val="32"/>
          <w:szCs w:val="32"/>
        </w:rPr>
        <w:t>完成</w:t>
      </w:r>
      <w:r>
        <w:rPr>
          <w:rFonts w:hint="eastAsia" w:eastAsia="仿宋_GB2312"/>
          <w:sz w:val="32"/>
          <w:szCs w:val="32"/>
        </w:rPr>
        <w:t>县</w:t>
      </w:r>
      <w:r>
        <w:rPr>
          <w:rFonts w:hint="eastAsia" w:ascii="仿宋_GB2312" w:hAnsi="仿宋_GB2312" w:eastAsia="仿宋_GB2312" w:cs="仿宋_GB2312"/>
          <w:sz w:val="32"/>
          <w:szCs w:val="32"/>
        </w:rPr>
        <w:t>委、县政府交办</w:t>
      </w:r>
      <w:r>
        <w:rPr>
          <w:rFonts w:eastAsia="仿宋_GB2312"/>
          <w:sz w:val="32"/>
          <w:szCs w:val="32"/>
        </w:rPr>
        <w:t>的其他任务</w:t>
      </w:r>
      <w:r>
        <w:rPr>
          <w:rFonts w:hint="eastAsia" w:eastAsia="仿宋_GB2312"/>
          <w:sz w:val="32"/>
          <w:szCs w:val="32"/>
        </w:rPr>
        <w:t>。</w:t>
      </w:r>
    </w:p>
    <w:p>
      <w:pPr>
        <w:spacing w:line="580" w:lineRule="exact"/>
        <w:ind w:firstLine="640" w:firstLineChars="200"/>
        <w:rPr>
          <w:rFonts w:eastAsia="仿宋_GB2312"/>
          <w:sz w:val="32"/>
          <w:szCs w:val="32"/>
        </w:rPr>
      </w:pPr>
      <w:r>
        <w:rPr>
          <w:rFonts w:hint="eastAsia" w:ascii="黑体" w:hAnsi="黑体" w:eastAsia="黑体" w:cs="黑体"/>
          <w:sz w:val="32"/>
          <w:szCs w:val="32"/>
        </w:rPr>
        <w:t xml:space="preserve">第四条 </w:t>
      </w:r>
      <w:r>
        <w:rPr>
          <w:rFonts w:eastAsia="仿宋_GB2312"/>
          <w:sz w:val="32"/>
          <w:szCs w:val="32"/>
        </w:rPr>
        <w:t>转变职能。</w:t>
      </w:r>
      <w:r>
        <w:rPr>
          <w:rFonts w:hint="eastAsia" w:eastAsia="仿宋_GB2312"/>
          <w:sz w:val="32"/>
          <w:szCs w:val="32"/>
        </w:rPr>
        <w:t>县应急管理局</w:t>
      </w:r>
      <w:r>
        <w:rPr>
          <w:rFonts w:eastAsia="仿宋_GB2312"/>
          <w:sz w:val="32"/>
          <w:szCs w:val="32"/>
        </w:rPr>
        <w:t>加强、优化、统筹</w:t>
      </w:r>
      <w:r>
        <w:rPr>
          <w:rFonts w:hint="eastAsia" w:eastAsia="仿宋_GB2312"/>
          <w:b/>
          <w:bCs/>
          <w:sz w:val="32"/>
          <w:szCs w:val="32"/>
        </w:rPr>
        <w:t>全县</w:t>
      </w:r>
      <w:r>
        <w:rPr>
          <w:rFonts w:eastAsia="仿宋_GB2312"/>
          <w:sz w:val="32"/>
          <w:szCs w:val="32"/>
        </w:rPr>
        <w:t>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w:t>
      </w:r>
      <w:r>
        <w:rPr>
          <w:rFonts w:hint="eastAsia" w:eastAsia="仿宋_GB2312"/>
          <w:sz w:val="32"/>
          <w:szCs w:val="32"/>
        </w:rPr>
        <w:t>减</w:t>
      </w:r>
      <w:r>
        <w:rPr>
          <w:rFonts w:eastAsia="仿宋_GB2312"/>
          <w:sz w:val="32"/>
          <w:szCs w:val="32"/>
        </w:rPr>
        <w:t>灾转变，从减少灾害损失向减轻灾害风险转变，提高应急管理水平和防灾减灾救灾能力，防范化解重大安全风险。二是坚持以人为本，把确保人民群众生命安全放在首位，确保受灾群众基本生活，加强应急预案演练，增强全民防灾</w:t>
      </w:r>
      <w:r>
        <w:rPr>
          <w:rFonts w:hint="eastAsia" w:eastAsia="仿宋_GB2312"/>
          <w:sz w:val="32"/>
          <w:szCs w:val="32"/>
        </w:rPr>
        <w:t>减灾</w:t>
      </w:r>
      <w:r>
        <w:rPr>
          <w:rFonts w:eastAsia="仿宋_GB2312"/>
          <w:sz w:val="32"/>
          <w:szCs w:val="32"/>
        </w:rPr>
        <w:t>意识，提升公众知识普及和自救互救技能，切实减少人员伤亡和财产损失。三是树立安全发展理念，坚持生命至上、安全第一，完善安全生产责任</w:t>
      </w:r>
      <w:r>
        <w:rPr>
          <w:rFonts w:hint="eastAsia" w:eastAsia="仿宋_GB2312"/>
          <w:sz w:val="32"/>
          <w:szCs w:val="32"/>
        </w:rPr>
        <w:t>制</w:t>
      </w:r>
      <w:r>
        <w:rPr>
          <w:rFonts w:eastAsia="仿宋_GB2312"/>
          <w:sz w:val="32"/>
          <w:szCs w:val="32"/>
        </w:rPr>
        <w:t>，坚决遏制重特大安全事故。</w:t>
      </w:r>
    </w:p>
    <w:p>
      <w:pPr>
        <w:spacing w:line="580" w:lineRule="exact"/>
        <w:ind w:firstLine="640" w:firstLineChars="200"/>
        <w:rPr>
          <w:rFonts w:eastAsia="仿宋_GB2312"/>
          <w:sz w:val="32"/>
          <w:szCs w:val="32"/>
        </w:rPr>
      </w:pPr>
      <w:r>
        <w:rPr>
          <w:rFonts w:hint="eastAsia" w:ascii="黑体" w:hAnsi="黑体" w:eastAsia="黑体" w:cs="黑体"/>
          <w:sz w:val="32"/>
          <w:szCs w:val="32"/>
        </w:rPr>
        <w:t xml:space="preserve">第五条 </w:t>
      </w:r>
      <w:r>
        <w:rPr>
          <w:rFonts w:eastAsia="仿宋_GB2312"/>
          <w:sz w:val="32"/>
          <w:szCs w:val="32"/>
        </w:rPr>
        <w:t>有关职责分工</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与</w:t>
      </w:r>
      <w:r>
        <w:rPr>
          <w:rFonts w:hint="eastAsia" w:eastAsia="仿宋_GB2312"/>
          <w:sz w:val="32"/>
          <w:szCs w:val="32"/>
        </w:rPr>
        <w:t>县</w:t>
      </w:r>
      <w:r>
        <w:rPr>
          <w:rFonts w:eastAsia="仿宋_GB2312"/>
          <w:b/>
          <w:bCs/>
          <w:sz w:val="32"/>
          <w:szCs w:val="32"/>
        </w:rPr>
        <w:t>自然资源</w:t>
      </w:r>
      <w:r>
        <w:rPr>
          <w:rFonts w:hint="eastAsia" w:eastAsia="仿宋_GB2312"/>
          <w:b/>
          <w:bCs/>
          <w:sz w:val="32"/>
          <w:szCs w:val="32"/>
        </w:rPr>
        <w:t>和规划局</w:t>
      </w:r>
      <w:r>
        <w:rPr>
          <w:rFonts w:eastAsia="仿宋_GB2312"/>
          <w:sz w:val="32"/>
          <w:szCs w:val="32"/>
        </w:rPr>
        <w:t>、</w:t>
      </w:r>
      <w:r>
        <w:rPr>
          <w:rFonts w:hint="eastAsia" w:eastAsia="仿宋_GB2312"/>
          <w:sz w:val="32"/>
          <w:szCs w:val="32"/>
        </w:rPr>
        <w:t>县</w:t>
      </w:r>
      <w:r>
        <w:rPr>
          <w:rFonts w:eastAsia="仿宋_GB2312"/>
          <w:sz w:val="32"/>
          <w:szCs w:val="32"/>
        </w:rPr>
        <w:t>水利</w:t>
      </w:r>
      <w:r>
        <w:rPr>
          <w:rFonts w:hint="eastAsia" w:eastAsia="仿宋_GB2312"/>
          <w:sz w:val="32"/>
          <w:szCs w:val="32"/>
        </w:rPr>
        <w:t>局、县林业局</w:t>
      </w:r>
      <w:r>
        <w:rPr>
          <w:rFonts w:eastAsia="仿宋_GB2312"/>
          <w:sz w:val="32"/>
          <w:szCs w:val="32"/>
        </w:rPr>
        <w:t>等部门在自然灾害防救方面的职责分工。</w:t>
      </w:r>
    </w:p>
    <w:p>
      <w:pPr>
        <w:spacing w:line="580" w:lineRule="exact"/>
        <w:ind w:firstLine="640" w:firstLineChars="200"/>
        <w:rPr>
          <w:rFonts w:eastAsia="仿宋_GB2312"/>
          <w:sz w:val="32"/>
          <w:szCs w:val="32"/>
        </w:rPr>
      </w:pPr>
      <w:r>
        <w:rPr>
          <w:rFonts w:hint="eastAsia" w:eastAsia="仿宋_GB2312"/>
          <w:sz w:val="32"/>
          <w:szCs w:val="32"/>
        </w:rPr>
        <w:t>1.县应急管理局</w:t>
      </w:r>
      <w:r>
        <w:rPr>
          <w:rFonts w:eastAsia="仿宋_GB2312"/>
          <w:sz w:val="32"/>
          <w:szCs w:val="32"/>
        </w:rPr>
        <w:t>负责组织编制</w:t>
      </w:r>
      <w:r>
        <w:rPr>
          <w:rFonts w:hint="eastAsia" w:eastAsia="仿宋_GB2312"/>
          <w:b/>
          <w:bCs/>
          <w:sz w:val="32"/>
          <w:szCs w:val="32"/>
        </w:rPr>
        <w:t>全县</w:t>
      </w:r>
      <w:r>
        <w:rPr>
          <w:rFonts w:eastAsia="仿宋_GB2312"/>
          <w:sz w:val="32"/>
          <w:szCs w:val="32"/>
        </w:rPr>
        <w:t>总体应急预案和安全生产类、自然灾害类专项预案，综合协调应急预案衔接工作，组织开展预案演练</w:t>
      </w:r>
      <w:r>
        <w:rPr>
          <w:rFonts w:hint="eastAsia" w:eastAsia="仿宋_GB2312"/>
          <w:sz w:val="32"/>
          <w:szCs w:val="32"/>
        </w:rPr>
        <w:t>；</w:t>
      </w:r>
      <w:r>
        <w:rPr>
          <w:rFonts w:eastAsia="仿宋_GB2312"/>
          <w:sz w:val="32"/>
          <w:szCs w:val="32"/>
        </w:rPr>
        <w:t>按照分级负责的原则，指导自然灾害类应急救援；组织协调</w:t>
      </w:r>
      <w:r>
        <w:rPr>
          <w:rFonts w:eastAsia="仿宋_GB2312"/>
          <w:b/>
          <w:bCs/>
          <w:sz w:val="32"/>
          <w:szCs w:val="32"/>
        </w:rPr>
        <w:t>重大</w:t>
      </w:r>
      <w:r>
        <w:rPr>
          <w:rFonts w:eastAsia="仿宋_GB2312"/>
          <w:sz w:val="32"/>
          <w:szCs w:val="32"/>
        </w:rPr>
        <w:t>灾害应急救援工作，并按权限作出决定；承担</w:t>
      </w:r>
      <w:r>
        <w:rPr>
          <w:rFonts w:hint="eastAsia" w:eastAsia="仿宋_GB2312"/>
          <w:sz w:val="32"/>
          <w:szCs w:val="32"/>
        </w:rPr>
        <w:t>县</w:t>
      </w:r>
      <w:r>
        <w:rPr>
          <w:rFonts w:eastAsia="仿宋_GB2312"/>
          <w:sz w:val="32"/>
          <w:szCs w:val="32"/>
        </w:rPr>
        <w:t>应对</w:t>
      </w:r>
      <w:r>
        <w:rPr>
          <w:rFonts w:hint="eastAsia" w:eastAsia="仿宋_GB2312"/>
          <w:b/>
          <w:bCs/>
          <w:sz w:val="32"/>
          <w:szCs w:val="32"/>
        </w:rPr>
        <w:t>较大</w:t>
      </w:r>
      <w:r>
        <w:rPr>
          <w:rFonts w:eastAsia="仿宋_GB2312"/>
          <w:sz w:val="32"/>
          <w:szCs w:val="32"/>
        </w:rPr>
        <w:t>灾害指挥部工作</w:t>
      </w:r>
      <w:r>
        <w:rPr>
          <w:rFonts w:hint="eastAsia" w:eastAsia="仿宋_GB2312"/>
          <w:sz w:val="32"/>
          <w:szCs w:val="32"/>
        </w:rPr>
        <w:t>，</w:t>
      </w:r>
      <w:r>
        <w:rPr>
          <w:rFonts w:eastAsia="仿宋_GB2312"/>
          <w:sz w:val="32"/>
          <w:szCs w:val="32"/>
        </w:rPr>
        <w:t>协助</w:t>
      </w:r>
      <w:r>
        <w:rPr>
          <w:rFonts w:hint="eastAsia" w:eastAsia="仿宋_GB2312"/>
          <w:sz w:val="32"/>
          <w:szCs w:val="32"/>
        </w:rPr>
        <w:t>县委、县政府</w:t>
      </w:r>
      <w:r>
        <w:rPr>
          <w:rFonts w:eastAsia="仿宋_GB2312"/>
          <w:sz w:val="32"/>
          <w:szCs w:val="32"/>
        </w:rPr>
        <w:t>指定的负责同志组织</w:t>
      </w:r>
      <w:r>
        <w:rPr>
          <w:rFonts w:hint="eastAsia" w:eastAsia="仿宋_GB2312"/>
          <w:b/>
          <w:bCs/>
          <w:sz w:val="32"/>
          <w:szCs w:val="32"/>
        </w:rPr>
        <w:t>较大</w:t>
      </w:r>
      <w:r>
        <w:rPr>
          <w:rFonts w:eastAsia="仿宋_GB2312"/>
          <w:sz w:val="32"/>
          <w:szCs w:val="32"/>
        </w:rPr>
        <w:t>灾害应急处置工作</w:t>
      </w:r>
      <w:r>
        <w:rPr>
          <w:rFonts w:hint="eastAsia" w:eastAsia="仿宋_GB2312"/>
          <w:sz w:val="32"/>
          <w:szCs w:val="32"/>
        </w:rPr>
        <w:t>；</w:t>
      </w:r>
      <w:r>
        <w:rPr>
          <w:rFonts w:eastAsia="仿宋_GB2312"/>
          <w:sz w:val="32"/>
          <w:szCs w:val="32"/>
        </w:rPr>
        <w:t>组织编制综合防灾减灾规划，指导协调相关部门森林和草原火灾、水旱灾害、地质灾害等防治工作；会同</w:t>
      </w:r>
      <w:r>
        <w:rPr>
          <w:rFonts w:hint="eastAsia" w:eastAsia="仿宋_GB2312"/>
          <w:sz w:val="32"/>
          <w:szCs w:val="32"/>
        </w:rPr>
        <w:t>县</w:t>
      </w:r>
      <w:r>
        <w:rPr>
          <w:rFonts w:eastAsia="仿宋_GB2312"/>
          <w:b/>
          <w:bCs/>
          <w:sz w:val="32"/>
          <w:szCs w:val="32"/>
        </w:rPr>
        <w:t>自然资源</w:t>
      </w:r>
      <w:r>
        <w:rPr>
          <w:rFonts w:hint="eastAsia" w:eastAsia="仿宋_GB2312"/>
          <w:b/>
          <w:bCs/>
          <w:sz w:val="32"/>
          <w:szCs w:val="32"/>
        </w:rPr>
        <w:t>和规划局</w:t>
      </w:r>
      <w:r>
        <w:rPr>
          <w:rFonts w:eastAsia="仿宋_GB2312"/>
          <w:b/>
          <w:bCs/>
          <w:sz w:val="32"/>
          <w:szCs w:val="32"/>
        </w:rPr>
        <w:t>、</w:t>
      </w:r>
      <w:r>
        <w:rPr>
          <w:rFonts w:hint="eastAsia" w:eastAsia="仿宋_GB2312"/>
          <w:b/>
          <w:bCs/>
          <w:sz w:val="32"/>
          <w:szCs w:val="32"/>
        </w:rPr>
        <w:t>县</w:t>
      </w:r>
      <w:r>
        <w:rPr>
          <w:rFonts w:eastAsia="仿宋_GB2312"/>
          <w:b/>
          <w:bCs/>
          <w:sz w:val="32"/>
          <w:szCs w:val="32"/>
        </w:rPr>
        <w:t>水利</w:t>
      </w:r>
      <w:r>
        <w:rPr>
          <w:rFonts w:hint="eastAsia" w:eastAsia="仿宋_GB2312"/>
          <w:b/>
          <w:bCs/>
          <w:sz w:val="32"/>
          <w:szCs w:val="32"/>
        </w:rPr>
        <w:t>局</w:t>
      </w:r>
      <w:r>
        <w:rPr>
          <w:rFonts w:eastAsia="仿宋_GB2312"/>
          <w:b/>
          <w:bCs/>
          <w:sz w:val="32"/>
          <w:szCs w:val="32"/>
        </w:rPr>
        <w:t>、</w:t>
      </w:r>
      <w:r>
        <w:rPr>
          <w:rFonts w:hint="eastAsia" w:eastAsia="仿宋_GB2312"/>
          <w:b/>
          <w:bCs/>
          <w:sz w:val="32"/>
          <w:szCs w:val="32"/>
        </w:rPr>
        <w:t>县</w:t>
      </w:r>
      <w:r>
        <w:rPr>
          <w:rFonts w:eastAsia="仿宋_GB2312"/>
          <w:b/>
          <w:bCs/>
          <w:sz w:val="32"/>
          <w:szCs w:val="32"/>
        </w:rPr>
        <w:t>气象局、</w:t>
      </w:r>
      <w:r>
        <w:rPr>
          <w:rFonts w:hint="eastAsia" w:eastAsia="仿宋_GB2312"/>
          <w:b/>
          <w:bCs/>
          <w:sz w:val="32"/>
          <w:szCs w:val="32"/>
        </w:rPr>
        <w:t>县</w:t>
      </w:r>
      <w:r>
        <w:rPr>
          <w:rFonts w:eastAsia="仿宋_GB2312"/>
          <w:b/>
          <w:bCs/>
          <w:sz w:val="32"/>
          <w:szCs w:val="32"/>
        </w:rPr>
        <w:t>林业局</w:t>
      </w:r>
      <w:r>
        <w:rPr>
          <w:rFonts w:eastAsia="仿宋_GB2312"/>
          <w:sz w:val="32"/>
          <w:szCs w:val="32"/>
        </w:rPr>
        <w:t>等有关部门建立统一的应急管理信息平台，建立监测预警和灾情报告制度，健全自然灾害信息资源获取和共享机制，依法统</w:t>
      </w:r>
      <w:r>
        <w:rPr>
          <w:rFonts w:hint="eastAsia" w:eastAsia="仿宋_GB2312"/>
          <w:sz w:val="32"/>
          <w:szCs w:val="32"/>
        </w:rPr>
        <w:t>一</w:t>
      </w:r>
      <w:r>
        <w:rPr>
          <w:rFonts w:eastAsia="仿宋_GB2312"/>
          <w:sz w:val="32"/>
          <w:szCs w:val="32"/>
        </w:rPr>
        <w:t>发布灾情</w:t>
      </w:r>
      <w:r>
        <w:rPr>
          <w:rFonts w:hint="eastAsia" w:eastAsia="仿宋_GB2312"/>
          <w:sz w:val="32"/>
          <w:szCs w:val="32"/>
        </w:rPr>
        <w:t>；</w:t>
      </w:r>
      <w:r>
        <w:rPr>
          <w:rFonts w:eastAsia="仿宋_GB2312"/>
          <w:sz w:val="32"/>
          <w:szCs w:val="32"/>
        </w:rPr>
        <w:t>开展多灾种和灾害</w:t>
      </w:r>
      <w:r>
        <w:rPr>
          <w:rFonts w:hint="eastAsia" w:eastAsia="仿宋_GB2312"/>
          <w:b/>
          <w:bCs/>
          <w:sz w:val="32"/>
          <w:szCs w:val="32"/>
        </w:rPr>
        <w:t>链</w:t>
      </w:r>
      <w:r>
        <w:rPr>
          <w:rFonts w:eastAsia="仿宋_GB2312"/>
          <w:sz w:val="32"/>
          <w:szCs w:val="32"/>
        </w:rPr>
        <w:t>综合监测预警，指导开展自然灾害综合风险评估。负责森林和草原火情监测预警工作，发布森林和草原火险、火灾信息。</w:t>
      </w:r>
    </w:p>
    <w:p>
      <w:pPr>
        <w:spacing w:line="580" w:lineRule="exact"/>
        <w:ind w:firstLine="640" w:firstLineChars="200"/>
        <w:rPr>
          <w:rFonts w:eastAsia="仿宋_GB2312"/>
          <w:sz w:val="32"/>
          <w:szCs w:val="32"/>
        </w:rPr>
      </w:pPr>
      <w:r>
        <w:rPr>
          <w:rFonts w:hint="eastAsia" w:eastAsia="仿宋_GB2312"/>
          <w:sz w:val="32"/>
          <w:szCs w:val="32"/>
        </w:rPr>
        <w:t>2.县</w:t>
      </w:r>
      <w:r>
        <w:rPr>
          <w:rFonts w:eastAsia="仿宋_GB2312"/>
          <w:sz w:val="32"/>
          <w:szCs w:val="32"/>
        </w:rPr>
        <w:t>自然资源</w:t>
      </w:r>
      <w:r>
        <w:rPr>
          <w:rFonts w:hint="eastAsia" w:eastAsia="仿宋_GB2312"/>
          <w:sz w:val="32"/>
          <w:szCs w:val="32"/>
        </w:rPr>
        <w:t>和规划局</w:t>
      </w:r>
      <w:r>
        <w:rPr>
          <w:rFonts w:eastAsia="仿宋_GB2312"/>
          <w:sz w:val="32"/>
          <w:szCs w:val="32"/>
        </w:rPr>
        <w:t>负责落实综合防灾减灾规划相关要求，组织编制地质灾害防治规划和防护标准并指导实施；组织指导协调和监督地质灾害调查评价及隐患的普查、详查、排查；指导开展</w:t>
      </w:r>
      <w:r>
        <w:rPr>
          <w:rFonts w:hint="eastAsia" w:eastAsia="仿宋_GB2312"/>
          <w:sz w:val="32"/>
          <w:szCs w:val="32"/>
        </w:rPr>
        <w:t>群测</w:t>
      </w:r>
      <w:r>
        <w:rPr>
          <w:rFonts w:eastAsia="仿宋_GB2312"/>
          <w:sz w:val="32"/>
          <w:szCs w:val="32"/>
        </w:rPr>
        <w:t>群防、专业监测和预报预警等工作，指导开展地质灾害工程治理工作；承担地质灾害应急救援的技术支撑工作。</w:t>
      </w:r>
    </w:p>
    <w:p>
      <w:pPr>
        <w:spacing w:line="580" w:lineRule="exact"/>
        <w:ind w:firstLine="640" w:firstLineChars="200"/>
        <w:rPr>
          <w:rFonts w:eastAsia="仿宋_GB2312"/>
          <w:sz w:val="32"/>
          <w:szCs w:val="32"/>
        </w:rPr>
      </w:pPr>
      <w:r>
        <w:rPr>
          <w:rFonts w:hint="eastAsia" w:eastAsia="仿宋_GB2312"/>
          <w:sz w:val="32"/>
          <w:szCs w:val="32"/>
        </w:rPr>
        <w:t>3.县</w:t>
      </w:r>
      <w:r>
        <w:rPr>
          <w:rFonts w:eastAsia="仿宋_GB2312"/>
          <w:sz w:val="32"/>
          <w:szCs w:val="32"/>
        </w:rPr>
        <w:t>水利</w:t>
      </w:r>
      <w:r>
        <w:rPr>
          <w:rFonts w:hint="eastAsia" w:eastAsia="仿宋_GB2312"/>
          <w:sz w:val="32"/>
          <w:szCs w:val="32"/>
        </w:rPr>
        <w:t>局</w:t>
      </w:r>
      <w:r>
        <w:rPr>
          <w:rFonts w:eastAsia="仿宋_GB2312"/>
          <w:sz w:val="32"/>
          <w:szCs w:val="32"/>
        </w:rPr>
        <w:t>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w:t>
      </w:r>
      <w:r>
        <w:rPr>
          <w:rFonts w:hint="eastAsia" w:eastAsia="仿宋_GB2312"/>
          <w:sz w:val="32"/>
          <w:szCs w:val="32"/>
        </w:rPr>
        <w:t>间</w:t>
      </w:r>
      <w:r>
        <w:rPr>
          <w:rFonts w:eastAsia="仿宋_GB2312"/>
          <w:sz w:val="32"/>
          <w:szCs w:val="32"/>
        </w:rPr>
        <w:t>重要水工程调度工作。</w:t>
      </w:r>
    </w:p>
    <w:p>
      <w:pPr>
        <w:spacing w:line="580" w:lineRule="exact"/>
        <w:ind w:firstLine="640" w:firstLineChars="200"/>
        <w:rPr>
          <w:rFonts w:eastAsia="仿宋_GB2312"/>
          <w:sz w:val="32"/>
          <w:szCs w:val="32"/>
        </w:rPr>
      </w:pPr>
      <w:r>
        <w:rPr>
          <w:rFonts w:hint="eastAsia" w:eastAsia="仿宋_GB2312"/>
          <w:sz w:val="32"/>
          <w:szCs w:val="32"/>
        </w:rPr>
        <w:t>4.县林业局</w:t>
      </w:r>
      <w:r>
        <w:rPr>
          <w:rFonts w:eastAsia="仿宋_GB2312"/>
          <w:sz w:val="32"/>
          <w:szCs w:val="32"/>
        </w:rPr>
        <w:t>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spacing w:line="58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必要时，</w:t>
      </w:r>
      <w:r>
        <w:rPr>
          <w:rFonts w:hint="eastAsia" w:eastAsia="仿宋_GB2312"/>
          <w:sz w:val="32"/>
          <w:szCs w:val="32"/>
        </w:rPr>
        <w:t>县</w:t>
      </w:r>
      <w:r>
        <w:rPr>
          <w:rFonts w:eastAsia="仿宋_GB2312"/>
          <w:sz w:val="32"/>
          <w:szCs w:val="32"/>
        </w:rPr>
        <w:t>自然资源</w:t>
      </w:r>
      <w:r>
        <w:rPr>
          <w:rFonts w:hint="eastAsia" w:eastAsia="仿宋_GB2312"/>
          <w:sz w:val="32"/>
          <w:szCs w:val="32"/>
        </w:rPr>
        <w:t>和规划局</w:t>
      </w:r>
      <w:r>
        <w:rPr>
          <w:rFonts w:eastAsia="仿宋_GB2312"/>
          <w:sz w:val="32"/>
          <w:szCs w:val="32"/>
        </w:rPr>
        <w:t>、</w:t>
      </w:r>
      <w:r>
        <w:rPr>
          <w:rFonts w:hint="eastAsia" w:eastAsia="仿宋_GB2312"/>
          <w:sz w:val="32"/>
          <w:szCs w:val="32"/>
        </w:rPr>
        <w:t>县</w:t>
      </w:r>
      <w:r>
        <w:rPr>
          <w:rFonts w:eastAsia="仿宋_GB2312"/>
          <w:sz w:val="32"/>
          <w:szCs w:val="32"/>
        </w:rPr>
        <w:t>水利</w:t>
      </w:r>
      <w:r>
        <w:rPr>
          <w:rFonts w:hint="eastAsia" w:eastAsia="仿宋_GB2312"/>
          <w:sz w:val="32"/>
          <w:szCs w:val="32"/>
        </w:rPr>
        <w:t>局</w:t>
      </w:r>
      <w:r>
        <w:rPr>
          <w:rFonts w:eastAsia="仿宋_GB2312"/>
          <w:sz w:val="32"/>
          <w:szCs w:val="32"/>
        </w:rPr>
        <w:t>、</w:t>
      </w:r>
      <w:r>
        <w:rPr>
          <w:rFonts w:hint="eastAsia" w:eastAsia="仿宋_GB2312"/>
          <w:b/>
          <w:bCs/>
          <w:sz w:val="32"/>
          <w:szCs w:val="32"/>
        </w:rPr>
        <w:t>县</w:t>
      </w:r>
      <w:r>
        <w:rPr>
          <w:rFonts w:eastAsia="仿宋_GB2312"/>
          <w:sz w:val="32"/>
          <w:szCs w:val="32"/>
        </w:rPr>
        <w:t>林业局等部门可以提请</w:t>
      </w:r>
      <w:r>
        <w:rPr>
          <w:rFonts w:hint="eastAsia" w:eastAsia="仿宋_GB2312"/>
          <w:sz w:val="32"/>
          <w:szCs w:val="32"/>
        </w:rPr>
        <w:t>县应急管理局</w:t>
      </w:r>
      <w:r>
        <w:rPr>
          <w:rFonts w:eastAsia="仿宋_GB2312"/>
          <w:sz w:val="32"/>
          <w:szCs w:val="32"/>
        </w:rPr>
        <w:t>，以</w:t>
      </w:r>
      <w:r>
        <w:rPr>
          <w:rFonts w:hint="eastAsia" w:eastAsia="仿宋_GB2312"/>
          <w:sz w:val="32"/>
          <w:szCs w:val="32"/>
        </w:rPr>
        <w:t>县</w:t>
      </w:r>
      <w:r>
        <w:rPr>
          <w:rFonts w:eastAsia="仿宋_GB2312"/>
          <w:sz w:val="32"/>
          <w:szCs w:val="32"/>
        </w:rPr>
        <w:t>应急指挥机构名义部署相关防治工作。</w:t>
      </w:r>
    </w:p>
    <w:p>
      <w:pPr>
        <w:spacing w:line="58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与</w:t>
      </w:r>
      <w:r>
        <w:rPr>
          <w:rFonts w:hint="eastAsia" w:eastAsia="仿宋_GB2312"/>
          <w:sz w:val="32"/>
          <w:szCs w:val="32"/>
        </w:rPr>
        <w:t>县</w:t>
      </w:r>
      <w:r>
        <w:rPr>
          <w:rFonts w:eastAsia="仿宋_GB2312"/>
          <w:sz w:val="32"/>
          <w:szCs w:val="32"/>
        </w:rPr>
        <w:t>粮食和物资储备局在救灾物资储备方面的职责分工。</w:t>
      </w:r>
    </w:p>
    <w:p>
      <w:pPr>
        <w:spacing w:line="580" w:lineRule="exact"/>
        <w:ind w:firstLine="640" w:firstLineChars="200"/>
        <w:rPr>
          <w:rFonts w:eastAsia="仿宋_GB2312"/>
          <w:b/>
          <w:bCs/>
          <w:sz w:val="32"/>
          <w:szCs w:val="32"/>
        </w:rPr>
      </w:pPr>
      <w:r>
        <w:rPr>
          <w:rFonts w:hint="eastAsia" w:eastAsia="仿宋_GB2312"/>
          <w:sz w:val="32"/>
          <w:szCs w:val="32"/>
        </w:rPr>
        <w:t>县应急管理局</w:t>
      </w:r>
      <w:r>
        <w:rPr>
          <w:rFonts w:eastAsia="仿宋_GB2312"/>
          <w:sz w:val="32"/>
          <w:szCs w:val="32"/>
        </w:rPr>
        <w:t>负责提出救灾物资的储备需求和动用</w:t>
      </w:r>
      <w:r>
        <w:rPr>
          <w:rFonts w:hint="eastAsia" w:eastAsia="仿宋_GB2312"/>
          <w:b/>
          <w:bCs/>
          <w:sz w:val="32"/>
          <w:szCs w:val="32"/>
        </w:rPr>
        <w:t>预案</w:t>
      </w:r>
      <w:r>
        <w:rPr>
          <w:rFonts w:eastAsia="仿宋_GB2312"/>
          <w:sz w:val="32"/>
          <w:szCs w:val="32"/>
        </w:rPr>
        <w:t>，组织编制救灾物资储备规划、品种目录和标准，确定年度购置计划，根据需要下达动用指令</w:t>
      </w:r>
      <w:r>
        <w:rPr>
          <w:rFonts w:hint="eastAsia" w:eastAsia="仿宋_GB2312"/>
          <w:sz w:val="32"/>
          <w:szCs w:val="32"/>
        </w:rPr>
        <w:t>。县</w:t>
      </w:r>
      <w:r>
        <w:rPr>
          <w:rFonts w:hint="eastAsia" w:eastAsia="仿宋_GB2312"/>
          <w:bCs/>
          <w:sz w:val="32"/>
          <w:szCs w:val="32"/>
        </w:rPr>
        <w:t>粮食和物资储备局负责收储、轮换和管理有关应急救灾物资，按程序及时做好调出、运送等工作</w:t>
      </w:r>
      <w:r>
        <w:rPr>
          <w:rFonts w:eastAsia="仿宋_GB2312"/>
          <w:b/>
          <w:bCs/>
          <w:sz w:val="32"/>
          <w:szCs w:val="32"/>
        </w:rPr>
        <w:t>。</w:t>
      </w:r>
    </w:p>
    <w:p>
      <w:pPr>
        <w:adjustRightInd w:val="0"/>
        <w:snapToGrid w:val="0"/>
        <w:spacing w:line="580" w:lineRule="exact"/>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县应急管理局设下列内设机构：</w:t>
      </w:r>
    </w:p>
    <w:p>
      <w:pPr>
        <w:spacing w:line="600" w:lineRule="exact"/>
        <w:ind w:firstLine="640" w:firstLineChars="200"/>
        <w:rPr>
          <w:rFonts w:eastAsia="仿宋_GB2312"/>
          <w:sz w:val="32"/>
          <w:szCs w:val="32"/>
        </w:rPr>
      </w:pPr>
      <w:r>
        <w:rPr>
          <w:rFonts w:hint="eastAsia" w:eastAsia="仿宋_GB2312"/>
          <w:sz w:val="32"/>
          <w:szCs w:val="32"/>
        </w:rPr>
        <w:t>（一）办公室。负责机关日常运转，承担信息、安全、保密、信访、政务公开、重要文稿起草等工作。负责部门预决算、财务、装备和资产管理、内部审计工作。负责机关和所属事业单位离退休干部工作。承担应急管理和安全生产新闻宣传、舆情应对、文化建设等工作，开展公众知识普及工作。负责机关和所属单位干部人事、机构编制、劳动工资等工作，指导机关思想政治建设和干部队伍建设工作，负责机关干部教育培训工作，负责全县安全生产培训工作。拟订全县综合性应急救援队伍管理保障办法并组织实施，拟订综合性消防救援队伍干部教育培训规划、计划，指导应急救援队伍教育训练，负责培训机构管理工作。负责执法监督综合性工作，指导应急管理系统法治建设，组织开展普法活动，承担重大政策研究工作，承担规范性文件的合法性审查和行政复议、行政应诉等工作。开展党的建设、思想政治建设和干部队伍建设工作。负责机关和所属单位的党群工作。</w:t>
      </w:r>
    </w:p>
    <w:p>
      <w:pPr>
        <w:spacing w:line="600" w:lineRule="exact"/>
        <w:ind w:firstLine="640" w:firstLineChars="200"/>
        <w:rPr>
          <w:rFonts w:eastAsia="仿宋_GB2312"/>
          <w:sz w:val="32"/>
          <w:szCs w:val="32"/>
        </w:rPr>
      </w:pPr>
      <w:r>
        <w:rPr>
          <w:rFonts w:hint="eastAsia" w:eastAsia="仿宋_GB2312"/>
          <w:sz w:val="32"/>
          <w:szCs w:val="32"/>
        </w:rPr>
        <w:t>（二）应急救援科。承担应急值守、政务值班等工作，拟订事故灾难和自然灾害分级应对制度，发布预警和灾情信息，衔接解放军和武警部队参与应急救援工作。建立重大安全生产风险监测预警和评估论证机制，承担自然灾害综合监测预警工作，拟订自然灾害风险管理制度，组织开展自然灾害综合风险与减灾能力调查评估。统筹应急预案体系建设，组织编制全县总体应急预案和安全生产类、自然灾害类专项预案，综合协调各类应急预案衔接工作，承担预案演练的组织实施和指导监督工作，承担全县应对</w:t>
      </w:r>
      <w:r>
        <w:rPr>
          <w:rFonts w:hint="eastAsia" w:eastAsia="仿宋_GB2312"/>
          <w:bCs/>
          <w:sz w:val="32"/>
          <w:szCs w:val="32"/>
        </w:rPr>
        <w:t>较大</w:t>
      </w:r>
      <w:r>
        <w:rPr>
          <w:rFonts w:hint="eastAsia" w:eastAsia="仿宋_GB2312"/>
          <w:sz w:val="32"/>
          <w:szCs w:val="32"/>
        </w:rPr>
        <w:t>灾害指挥部的现场协调保障工作，</w:t>
      </w:r>
      <w:r>
        <w:rPr>
          <w:rFonts w:hint="eastAsia" w:eastAsia="仿宋_GB2312"/>
          <w:bCs/>
          <w:sz w:val="32"/>
          <w:szCs w:val="32"/>
        </w:rPr>
        <w:t>统筹应急救援力量建设，指导各级及社会应急救援力量建设，组织指导应急管理社会动员工作。</w:t>
      </w:r>
      <w:r>
        <w:rPr>
          <w:rFonts w:hint="eastAsia" w:eastAsia="仿宋_GB2312"/>
          <w:sz w:val="32"/>
          <w:szCs w:val="32"/>
        </w:rPr>
        <w:t>组织拟订</w:t>
      </w:r>
      <w:r>
        <w:rPr>
          <w:rFonts w:hint="eastAsia" w:eastAsia="仿宋_GB2312"/>
          <w:bCs/>
          <w:sz w:val="32"/>
          <w:szCs w:val="32"/>
        </w:rPr>
        <w:t>地方性</w:t>
      </w:r>
      <w:r>
        <w:rPr>
          <w:rFonts w:hint="eastAsia" w:eastAsia="仿宋_GB2312"/>
          <w:sz w:val="32"/>
          <w:szCs w:val="32"/>
        </w:rPr>
        <w:t>消防法规草案和技术标准并监督实施，指导城镇、农村、森林、草原消防工作规划编制并推进落实，指导消防监督、火灾预防、火灾扑救工作。组织协调水旱灾害应急救援工作，协调指导重要江河湖泊和重要水工程实施防御洪水抗御旱灾调度和应急水量调度工作，组织协调台风防御工作。承担灾情核查、损失评估、救灾捐赠等灾害救助工作，拟订应急物资储备规划和需求计划，组织建立应急物资共用共享和协调机制，组织协调重要应急物资的储备、调拨和紧急配送，承担相关救灾款物的管理、分配和监督使用工作，会同有关方面组织协调紧急转移安置受灾群众、因灾毁损房屋恢复重建补助和受灾群众生活救助。编制全县应急体系建设、安全生产和综合防灾减灾规划并组织实施，研究拟订相关经济政策，推动应急重点工程建设。</w:t>
      </w:r>
      <w:r>
        <w:rPr>
          <w:rFonts w:hint="eastAsia" w:eastAsia="仿宋_GB2312"/>
          <w:sz w:val="32"/>
          <w:szCs w:val="32"/>
          <w:lang w:val="zh-CN"/>
        </w:rPr>
        <w:t>管理地震台网（站）；负责开展地震活动和地震前兆信息的分析处理，提出预测意见，强化震情跟踪；开展地震异常核实；负责地震监测设施和地震观测环境保护工作；管理群测群防和</w:t>
      </w:r>
      <w:r>
        <w:rPr>
          <w:rFonts w:eastAsia="仿宋_GB2312"/>
          <w:sz w:val="32"/>
          <w:szCs w:val="32"/>
          <w:lang w:val="zh-CN"/>
        </w:rPr>
        <w:t>“</w:t>
      </w:r>
      <w:r>
        <w:rPr>
          <w:rFonts w:hint="eastAsia" w:eastAsia="仿宋_GB2312"/>
          <w:sz w:val="32"/>
          <w:szCs w:val="32"/>
          <w:lang w:val="zh-CN"/>
        </w:rPr>
        <w:t>三网一员</w:t>
      </w:r>
      <w:r>
        <w:rPr>
          <w:rFonts w:eastAsia="仿宋_GB2312"/>
          <w:sz w:val="32"/>
          <w:szCs w:val="32"/>
          <w:lang w:val="zh-CN"/>
        </w:rPr>
        <w:t>”</w:t>
      </w:r>
      <w:r>
        <w:rPr>
          <w:rFonts w:hint="eastAsia" w:eastAsia="仿宋_GB2312"/>
          <w:sz w:val="32"/>
          <w:szCs w:val="32"/>
          <w:lang w:val="zh-CN"/>
        </w:rPr>
        <w:t>建设工作；负责地震监测网络的管理、维护。负责组织指导全县地震灾害综合预防和应急救援工作，推动避难设施建设并参与管理。负责地震小区划工作；</w:t>
      </w:r>
      <w:r>
        <w:rPr>
          <w:rFonts w:hint="eastAsia" w:eastAsia="仿宋_GB2312"/>
          <w:bCs/>
          <w:sz w:val="32"/>
          <w:szCs w:val="32"/>
        </w:rPr>
        <w:t>负责建设工程抗震设防要求和地震安全性评价工作监督管理，</w:t>
      </w:r>
      <w:r>
        <w:rPr>
          <w:rFonts w:hint="eastAsia" w:eastAsia="仿宋_GB2312"/>
          <w:sz w:val="32"/>
          <w:szCs w:val="32"/>
          <w:lang w:val="zh-CN"/>
        </w:rPr>
        <w:t>指导县、乡民居抗震设防工作。</w:t>
      </w:r>
      <w:r>
        <w:rPr>
          <w:rFonts w:hint="eastAsia" w:eastAsia="仿宋_GB2312"/>
          <w:bCs/>
          <w:sz w:val="32"/>
          <w:szCs w:val="32"/>
        </w:rPr>
        <w:t>指导协调地质灾害防治相关工作，组织重大地质灾害应急救援。</w:t>
      </w:r>
    </w:p>
    <w:p>
      <w:pPr>
        <w:spacing w:line="600" w:lineRule="exact"/>
        <w:ind w:firstLine="640" w:firstLineChars="200"/>
        <w:rPr>
          <w:rFonts w:eastAsia="仿宋_GB2312"/>
          <w:sz w:val="32"/>
          <w:szCs w:val="32"/>
        </w:rPr>
      </w:pPr>
      <w:r>
        <w:rPr>
          <w:rFonts w:hint="eastAsia" w:eastAsia="仿宋_GB2312"/>
          <w:sz w:val="32"/>
          <w:szCs w:val="32"/>
        </w:rPr>
        <w:t>（三）综合监管科。负责化工（含石油化工）、医药、危险化学品和烟花爆竹安全生产监督管理工作，承担危险化学品安全监督管理综合工作，组织指导全县危险化学品登记，指导非药品类易制毒化学品生产经营监督管理工作。负责建材、机械、轻工、纺织、烟草、商贸等工商贸行业安全生产监管工作，拟订相关行业安全生产规程、标准，指导监督相关行业企业安全生产标准化、安全预防控制体系建设等工作。依法依规指导协调和监督有专门安全生产主管部门的行业和领域安全生产监督管理工作，组织协调全县性安全生产检查以及专项督查、专项整治等工作，承担安全生产巡查、考核的组织实施工作。负责全县无人看管铁路道口安全监督管理工作。承担应急管理和安全生产、防灾减灾救灾技术服务机构监督管理工作，负责安全生产检测检验、安全评价、安全标志中介机构资质管理并监督检查。承担应急管理、安全生产的科技和信息化建设工作，规划信息传输渠道，健全自然灾害信息资源获取和共享机制，拟订有关科技规划、计划并组织实施。依法承担生产安全事故调查处理工作，监督事故查处和责任追究情况，组织开展自然灾害类突发事件的调查评估工作，负责应急管理统计分析工作。</w:t>
      </w:r>
    </w:p>
    <w:p>
      <w:pPr>
        <w:spacing w:line="600" w:lineRule="exact"/>
        <w:ind w:firstLine="640" w:firstLineChars="200"/>
        <w:rPr>
          <w:rFonts w:eastAsia="仿宋_GB2312"/>
          <w:sz w:val="32"/>
          <w:szCs w:val="32"/>
        </w:rPr>
      </w:pPr>
      <w:r>
        <w:rPr>
          <w:rFonts w:hint="eastAsia" w:eastAsia="黑体"/>
          <w:sz w:val="32"/>
          <w:szCs w:val="32"/>
        </w:rPr>
        <w:t>第七条</w:t>
      </w:r>
      <w:r>
        <w:rPr>
          <w:rFonts w:hint="eastAsia" w:eastAsia="仿宋_GB2312"/>
          <w:sz w:val="32"/>
          <w:szCs w:val="32"/>
        </w:rPr>
        <w:t>县应急管理局机关编制10名（行政编制10名）股级领导职数3名。</w:t>
      </w:r>
    </w:p>
    <w:p>
      <w:pPr>
        <w:spacing w:line="600" w:lineRule="exact"/>
        <w:ind w:firstLine="640"/>
        <w:rPr>
          <w:rFonts w:eastAsia="仿宋_GB2312"/>
          <w:sz w:val="32"/>
          <w:szCs w:val="32"/>
        </w:rPr>
      </w:pPr>
      <w:r>
        <w:rPr>
          <w:rFonts w:hint="eastAsia" w:eastAsia="仿宋_GB2312"/>
          <w:sz w:val="32"/>
          <w:szCs w:val="32"/>
        </w:rPr>
        <w:t>科级领导职数设置另行明确。</w:t>
      </w:r>
    </w:p>
    <w:p>
      <w:pPr>
        <w:spacing w:line="600" w:lineRule="exact"/>
        <w:ind w:firstLine="640" w:firstLineChars="200"/>
        <w:rPr>
          <w:rFonts w:eastAsia="仿宋_GB2312"/>
          <w:sz w:val="32"/>
          <w:szCs w:val="32"/>
        </w:rPr>
      </w:pPr>
      <w:r>
        <w:rPr>
          <w:rFonts w:hint="eastAsia" w:eastAsia="黑体"/>
          <w:sz w:val="32"/>
          <w:szCs w:val="32"/>
        </w:rPr>
        <w:t>第八条</w:t>
      </w:r>
      <w:r>
        <w:rPr>
          <w:rFonts w:hint="eastAsia" w:eastAsia="仿宋_GB2312"/>
          <w:sz w:val="32"/>
          <w:szCs w:val="32"/>
        </w:rPr>
        <w:t>县应急管理局所属事业单位的设置、职责和编制事项另行规定。</w:t>
      </w:r>
    </w:p>
    <w:p>
      <w:pPr>
        <w:spacing w:line="600" w:lineRule="exact"/>
        <w:ind w:firstLine="640" w:firstLineChars="200"/>
        <w:rPr>
          <w:rFonts w:eastAsia="仿宋_GB2312"/>
          <w:sz w:val="32"/>
          <w:szCs w:val="32"/>
        </w:rPr>
      </w:pPr>
      <w:r>
        <w:rPr>
          <w:rFonts w:hint="eastAsia" w:eastAsia="黑体"/>
          <w:sz w:val="32"/>
          <w:szCs w:val="32"/>
        </w:rPr>
        <w:t>第九条</w:t>
      </w:r>
      <w:r>
        <w:rPr>
          <w:rFonts w:hint="eastAsia" w:eastAsia="仿宋_GB2312"/>
          <w:sz w:val="32"/>
          <w:szCs w:val="32"/>
        </w:rPr>
        <w:t>本规定具体解释工作由中共馆陶县委机构编制委员会办公室承担，其调整由中共馆陶县委机构编制委员会办公室按规定程序办理。</w:t>
      </w:r>
    </w:p>
    <w:p>
      <w:pPr>
        <w:spacing w:line="600" w:lineRule="exact"/>
        <w:ind w:firstLine="640" w:firstLineChars="200"/>
      </w:pPr>
      <w:r>
        <w:rPr>
          <w:rFonts w:hint="eastAsia" w:eastAsia="黑体"/>
          <w:sz w:val="32"/>
          <w:szCs w:val="32"/>
        </w:rPr>
        <w:t>第十条</w:t>
      </w:r>
      <w:r>
        <w:rPr>
          <w:rFonts w:hint="eastAsia" w:eastAsia="仿宋_GB2312"/>
          <w:sz w:val="32"/>
          <w:szCs w:val="32"/>
        </w:rPr>
        <w:t>本规定自</w:t>
      </w:r>
      <w:r>
        <w:rPr>
          <w:rFonts w:eastAsia="仿宋_GB2312"/>
          <w:sz w:val="32"/>
          <w:szCs w:val="32"/>
        </w:rPr>
        <w:t>2019</w:t>
      </w:r>
      <w:r>
        <w:rPr>
          <w:rFonts w:hint="eastAsia" w:eastAsia="仿宋_GB2312"/>
          <w:sz w:val="32"/>
          <w:szCs w:val="32"/>
        </w:rPr>
        <w:t>年起施行。</w:t>
      </w:r>
    </w:p>
    <w:p>
      <w:pPr>
        <w:jc w:val="center"/>
        <w:outlineLvl w:val="0"/>
        <w:rPr>
          <w:rFonts w:ascii="Times New Roman" w:hAnsi="Times New Roman" w:eastAsia="方正小标宋_GBK" w:cs="方正小标宋_GBK"/>
          <w:sz w:val="32"/>
          <w:szCs w:val="32"/>
        </w:rPr>
      </w:pP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馆陶县应急管理局</w:t>
            </w:r>
          </w:p>
        </w:tc>
        <w:tc>
          <w:tcPr>
            <w:tcW w:w="1134" w:type="dxa"/>
            <w:vAlign w:val="center"/>
          </w:tcPr>
          <w:p>
            <w:pPr>
              <w:spacing w:line="300" w:lineRule="exact"/>
              <w:rPr>
                <w:rFonts w:ascii="Times New Roman" w:hAnsi="Times New Roman" w:eastAsia="方正书宋_GBK"/>
              </w:rPr>
            </w:pPr>
            <w:r>
              <w:rPr>
                <w:rFonts w:hint="eastAsia" w:ascii="Times New Roman" w:hAnsi="Times New Roman" w:eastAsia="方正书宋_GBK"/>
              </w:rPr>
              <w:t>行政</w:t>
            </w: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bl>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按照预算管理有关规定，目前我单位部门预算的编制实行综合预算管理，即全部收入和支出都反映的预算中。馆陶县应急管理局的收支包含在部门预算中。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189.3</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81.6</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138</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cs="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应急管理局</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189.3</w:t>
      </w:r>
      <w:r>
        <w:rPr>
          <w:rFonts w:hint="eastAsia" w:ascii="Times New Roman" w:hAnsi="Times New Roman" w:eastAsia="仿宋" w:cs="仿宋"/>
          <w:sz w:val="32"/>
          <w:szCs w:val="32"/>
        </w:rPr>
        <w:t>万元，人员经费</w:t>
      </w:r>
      <w:r>
        <w:rPr>
          <w:rFonts w:ascii="Times New Roman" w:hAnsi="Times New Roman" w:eastAsia="仿宋" w:cs="Times New Roman"/>
          <w:sz w:val="32"/>
          <w:szCs w:val="32"/>
        </w:rPr>
        <w:t>138</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5</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仿宋"/>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rPr>
        <w:t>189.3</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较2019年增加91万元，主要是人员增加，相应增加人员经费和日常公用经费</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371.25</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rPr>
        <w:t>办公及印刷费、邮电费、差旅费、会议费、福利费、专用材料及一般设备购置费、办公用房水电费、办公用房取暖费、日常维修费、办公楼物业管理费、公务车运行维护费等支出。</w:t>
      </w:r>
    </w:p>
    <w:p>
      <w:pPr>
        <w:widowControl/>
        <w:spacing w:before="68" w:after="68" w:line="245" w:lineRule="atLeast"/>
        <w:ind w:firstLine="640"/>
        <w:jc w:val="left"/>
        <w:rPr>
          <w:rFonts w:ascii="Tahoma" w:hAnsi="Tahoma" w:cs="Tahoma"/>
          <w:color w:val="000000"/>
          <w:kern w:val="0"/>
          <w:sz w:val="16"/>
          <w:szCs w:val="16"/>
        </w:rPr>
      </w:pPr>
      <w:r>
        <w:rPr>
          <w:rFonts w:hint="eastAsia" w:ascii="黑体" w:hAnsi="Tahoma" w:eastAsia="黑体" w:cs="Tahoma"/>
          <w:color w:val="000000"/>
          <w:kern w:val="0"/>
          <w:sz w:val="32"/>
          <w:szCs w:val="32"/>
        </w:rPr>
        <w:t>四、财政拨款“三公”经费预算情况及增减变化原因</w:t>
      </w:r>
    </w:p>
    <w:p>
      <w:pPr>
        <w:widowControl/>
        <w:spacing w:before="68" w:after="68" w:line="245" w:lineRule="atLeast"/>
        <w:ind w:firstLine="640"/>
        <w:jc w:val="left"/>
        <w:rPr>
          <w:rFonts w:ascii="Tahoma" w:hAnsi="Tahoma" w:cs="Tahoma"/>
          <w:color w:val="000000"/>
          <w:kern w:val="0"/>
          <w:sz w:val="16"/>
          <w:szCs w:val="16"/>
        </w:rPr>
      </w:pPr>
      <w:r>
        <w:rPr>
          <w:rFonts w:hint="eastAsia" w:ascii="仿宋_GB2312" w:hAnsi="Tahoma" w:eastAsia="仿宋_GB2312" w:cs="Tahoma"/>
          <w:color w:val="000000"/>
          <w:kern w:val="0"/>
          <w:sz w:val="32"/>
          <w:szCs w:val="32"/>
        </w:rPr>
        <w:t>2020年“三公”经费预算合计0万元，其中一般公共预算政拨款0万元（因公出国（境）费0万元，公务用车购置及运维费0万元（公务用车购置0万元，公务用车运行维护费0万元，公务接待费0万元）。</w:t>
      </w:r>
    </w:p>
    <w:p>
      <w:pPr>
        <w:widowControl/>
        <w:spacing w:before="68" w:after="68" w:line="245" w:lineRule="atLeast"/>
        <w:ind w:firstLine="640"/>
        <w:jc w:val="left"/>
        <w:rPr>
          <w:rFonts w:ascii="Tahoma" w:hAnsi="Tahoma" w:cs="Tahoma"/>
          <w:color w:val="000000"/>
          <w:kern w:val="0"/>
          <w:sz w:val="16"/>
          <w:szCs w:val="16"/>
        </w:rPr>
      </w:pPr>
      <w:r>
        <w:rPr>
          <w:rFonts w:hint="eastAsia" w:ascii="仿宋_GB2312" w:hAnsi="Tahoma" w:eastAsia="仿宋_GB2312" w:cs="Tahoma"/>
          <w:color w:val="000000"/>
          <w:kern w:val="0"/>
          <w:sz w:val="32"/>
          <w:szCs w:val="32"/>
        </w:rPr>
        <w:t>与上年预算相比，本年“三公”经费预算减少0万元，其中一般公共预算政拨款减少0万元（因公出国（境）费0万元，与上年一致，公务用车购置及运维费增加0万元、公务用车购置0万元，公务用车运行维护费0万元，公务接待费减少0万元）。</w:t>
      </w:r>
    </w:p>
    <w:p>
      <w:pPr>
        <w:widowControl/>
        <w:spacing w:before="68" w:after="68" w:line="245" w:lineRule="atLeast"/>
        <w:ind w:firstLine="640"/>
        <w:jc w:val="left"/>
        <w:rPr>
          <w:rFonts w:ascii="Tahoma" w:hAnsi="Tahoma" w:cs="Tahoma"/>
          <w:color w:val="000000"/>
          <w:kern w:val="0"/>
          <w:sz w:val="16"/>
          <w:szCs w:val="16"/>
        </w:rPr>
      </w:pPr>
      <w:r>
        <w:rPr>
          <w:rFonts w:hint="eastAsia" w:ascii="仿宋_GB2312" w:hAnsi="Tahoma" w:eastAsia="仿宋_GB2312" w:cs="Tahoma"/>
          <w:color w:val="000000"/>
          <w:kern w:val="0"/>
          <w:sz w:val="32"/>
          <w:szCs w:val="32"/>
        </w:rPr>
        <w:t>主要原因是我局严格执行八项规定，和将公车进行了改革，严格控制，取消了公务用车运行维护费，,与上年持平。</w:t>
      </w:r>
    </w:p>
    <w:p>
      <w:pPr>
        <w:numPr>
          <w:ilvl w:val="0"/>
          <w:numId w:val="3"/>
        </w:num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我局严格按照《馆陶县人民政府关于深化绩效预算管理改革的实施意见》和《馆陶县财政局关于深化绩效预算管理改革实施方案》的要求，建立了“部门职责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预算项目”三个层级的绩效预算管理结构和三级绩效目标指标管理体系，提高了财政资金使用绩效。</w:t>
      </w:r>
    </w:p>
    <w:p>
      <w:pPr>
        <w:numPr>
          <w:ilvl w:val="0"/>
          <w:numId w:val="4"/>
        </w:num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仿宋" w:cs="仿宋"/>
          <w:b/>
          <w:bCs/>
          <w:sz w:val="32"/>
          <w:szCs w:val="32"/>
        </w:rPr>
        <w:t>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分项绩效目标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1、突发事件处理工作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绩效目标：完成安全生产类、自然灾害突发事件</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绩效指标：能够做到及时发现部署处理措施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2、监督工作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绩效目标：综合业务监督工作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绩效指标：监督工作任务完成率达到上级标准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3、满意度</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绩效目标：开展对安全生产工作、应急救援满意程度</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绩效指标：达到度群众任务完成率 </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第二部分专项资金绩效目标</w:t>
      </w:r>
    </w:p>
    <w:bookmarkEnd w:id="0"/>
    <w:p>
      <w:pPr>
        <w:outlineLvl w:val="1"/>
        <w:rPr>
          <w:rFonts w:ascii="Times New Roman" w:hAnsi="宋体"/>
          <w:b/>
          <w:bCs/>
          <w:sz w:val="28"/>
          <w:szCs w:val="28"/>
        </w:rPr>
      </w:pPr>
      <w:r>
        <w:rPr>
          <w:rFonts w:hint="eastAsia" w:ascii="方正仿宋_GBK" w:eastAsia="方正仿宋_GBK"/>
          <w:b/>
          <w:sz w:val="28"/>
        </w:rPr>
        <w:t>第三方评价工作经费绩效目标表</w:t>
      </w:r>
      <w:r>
        <w:rPr>
          <w:rFonts w:ascii="方正仿宋_GBK" w:eastAsia="方正仿宋_GBK"/>
          <w:b/>
          <w:sz w:val="28"/>
        </w:rPr>
        <w:fldChar w:fldCharType="begin"/>
      </w:r>
      <w:r>
        <w:rPr>
          <w:rFonts w:ascii="方正仿宋_GBK" w:eastAsia="方正仿宋_GBK"/>
          <w:b/>
          <w:bCs/>
          <w:sz w:val="28"/>
          <w:szCs w:val="28"/>
          <w:highlight w:val="yellow"/>
        </w:rPr>
        <w:instrText xml:space="preserve">tc "</w:instrText>
      </w:r>
      <w:bookmarkStart w:id="1"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1"/>
      <w:r>
        <w:rPr>
          <w:rFonts w:ascii="方正仿宋_GBK" w:eastAsia="方正仿宋_GBK"/>
          <w:b/>
          <w:bCs/>
          <w:sz w:val="28"/>
          <w:szCs w:val="28"/>
          <w:highlight w:val="yellow"/>
        </w:rPr>
        <w:instrText xml:space="preserve">" \f C \l 00</w:instrText>
      </w:r>
      <w:r>
        <w:rPr>
          <w:rFonts w:ascii="方正仿宋_GBK" w:eastAsia="方正仿宋_GBK" w:cs="方正仿宋_GBK"/>
          <w:b/>
          <w:bCs/>
          <w:sz w:val="28"/>
          <w:szCs w:val="28"/>
          <w:highlight w:val="yellow"/>
        </w:rPr>
        <w:instrText xml:space="preserve">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、完成对</w:t>
            </w:r>
            <w:r>
              <w:rPr>
                <w:rFonts w:ascii="方正书宋_GBK" w:eastAsia="方正书宋_GBK"/>
              </w:rPr>
              <w:t>2020</w:t>
            </w:r>
            <w:r>
              <w:rPr>
                <w:rFonts w:hint="eastAsia" w:ascii="方正书宋_GBK" w:eastAsia="方正书宋_GBK"/>
              </w:rPr>
              <w:t>年选定的两项财政专项资金的第三方绩效评估</w:t>
            </w:r>
          </w:p>
          <w:p>
            <w:pPr>
              <w:spacing w:line="300" w:lineRule="exact"/>
              <w:jc w:val="left"/>
              <w:rPr>
                <w:rFonts w:ascii="方正书宋_GBK" w:eastAsia="方正书宋_GBK" w:cs="方正书宋_GBK"/>
              </w:rPr>
            </w:pPr>
            <w:r>
              <w:rPr>
                <w:rFonts w:ascii="方正书宋_GBK" w:eastAsia="方正书宋_GBK"/>
              </w:rPr>
              <w:t>2</w:t>
            </w:r>
            <w:r>
              <w:rPr>
                <w:rFonts w:hint="eastAsia" w:ascii="方正书宋_GBK" w:eastAsia="方正书宋_GBK"/>
              </w:rPr>
              <w:t>、提升资金使用效益</w:t>
            </w:r>
          </w:p>
        </w:tc>
      </w:tr>
    </w:tbl>
    <w:p>
      <w:pPr>
        <w:spacing w:line="14" w:lineRule="exact"/>
        <w:ind w:firstLine="420" w:firstLineChars="200"/>
        <w:jc w:val="center"/>
        <w:rPr>
          <w:rFonts w:ascii="Times New Roman" w:hAnsi="宋体"/>
        </w:rPr>
      </w:pPr>
    </w:p>
    <w:tbl>
      <w:tblPr>
        <w:tblStyle w:val="7"/>
        <w:tblW w:w="101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
        <w:gridCol w:w="1134"/>
        <w:gridCol w:w="1134"/>
        <w:gridCol w:w="461"/>
        <w:gridCol w:w="815"/>
        <w:gridCol w:w="235"/>
        <w:gridCol w:w="2656"/>
        <w:gridCol w:w="1276"/>
        <w:gridCol w:w="1701"/>
        <w:gridCol w:w="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06" w:type="dxa"/>
          <w:wAfter w:w="650" w:type="dxa"/>
          <w:cantSplit/>
          <w:trHeight w:val="1061"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06" w:type="dxa"/>
          <w:wAfter w:w="650" w:type="dxa"/>
          <w:cantSplit/>
          <w:trHeight w:val="101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gridSpan w:val="2"/>
            <w:vAlign w:val="center"/>
          </w:tcPr>
          <w:p>
            <w:pPr>
              <w:spacing w:line="300" w:lineRule="exact"/>
              <w:jc w:val="left"/>
              <w:rPr>
                <w:rFonts w:ascii="方正书宋_GBK" w:eastAsia="方正书宋_GBK"/>
              </w:rPr>
            </w:pPr>
            <w:r>
              <w:rPr>
                <w:rFonts w:hint="eastAsia" w:ascii="方正书宋_GBK" w:eastAsia="方正书宋_GBK"/>
              </w:rPr>
              <w:t>财政专项资金数量</w:t>
            </w:r>
          </w:p>
        </w:tc>
        <w:tc>
          <w:tcPr>
            <w:tcW w:w="2891" w:type="dxa"/>
            <w:gridSpan w:val="2"/>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年开展第三方绩效评估的财政专项资金数量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06" w:type="dxa"/>
          <w:wAfter w:w="650" w:type="dxa"/>
          <w:cantSplit/>
          <w:trHeight w:val="123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gridSpan w:val="2"/>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gridSpan w:val="2"/>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2020</w:t>
            </w:r>
            <w:r>
              <w:rPr>
                <w:rFonts w:hint="eastAsia" w:ascii="方正书宋_GBK" w:eastAsia="方正书宋_GBK"/>
              </w:rPr>
              <w:t>年选定的两项财政专项资金第三方绩效评估工作的完成情况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06" w:type="dxa"/>
          <w:wAfter w:w="650" w:type="dxa"/>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gridSpan w:val="2"/>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gridSpan w:val="2"/>
            <w:vAlign w:val="center"/>
          </w:tcPr>
          <w:p>
            <w:pPr>
              <w:spacing w:line="300" w:lineRule="exact"/>
              <w:jc w:val="left"/>
              <w:rPr>
                <w:rFonts w:ascii="方正书宋_GBK" w:eastAsia="方正书宋_GBK"/>
              </w:rPr>
            </w:pPr>
            <w:r>
              <w:rPr>
                <w:rFonts w:hint="eastAsia" w:ascii="方正书宋_GBK" w:eastAsia="方正书宋_GBK"/>
              </w:rPr>
              <w:t>工作完成时间</w:t>
            </w:r>
          </w:p>
        </w:tc>
        <w:tc>
          <w:tcPr>
            <w:tcW w:w="1276"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06" w:type="dxa"/>
          <w:wAfter w:w="650" w:type="dxa"/>
          <w:cantSplit/>
          <w:trHeight w:val="117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gridSpan w:val="2"/>
            <w:vAlign w:val="center"/>
          </w:tcPr>
          <w:p>
            <w:pPr>
              <w:spacing w:line="300" w:lineRule="exact"/>
              <w:jc w:val="left"/>
              <w:rPr>
                <w:rFonts w:ascii="方正书宋_GBK" w:eastAsia="方正书宋_GBK"/>
              </w:rPr>
            </w:pPr>
            <w:r>
              <w:rPr>
                <w:rFonts w:hint="eastAsia" w:ascii="方正书宋_GBK" w:eastAsia="方正书宋_GBK"/>
              </w:rPr>
              <w:t>资金绩效</w:t>
            </w:r>
          </w:p>
        </w:tc>
        <w:tc>
          <w:tcPr>
            <w:tcW w:w="2891" w:type="dxa"/>
            <w:gridSpan w:val="2"/>
            <w:vAlign w:val="center"/>
          </w:tcPr>
          <w:p>
            <w:pPr>
              <w:spacing w:line="300" w:lineRule="exact"/>
              <w:jc w:val="left"/>
              <w:rPr>
                <w:rFonts w:ascii="方正书宋_GBK" w:eastAsia="方正书宋_GBK"/>
              </w:rPr>
            </w:pPr>
            <w:r>
              <w:rPr>
                <w:rFonts w:hint="eastAsia" w:ascii="方正书宋_GBK" w:eastAsia="方正书宋_GBK"/>
              </w:rPr>
              <w:t>通过第三方绩效评估，发现被评估的财政专项资金存在的问题，提高资金使用绩效</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资金使用绩效提高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106" w:type="dxa"/>
          <w:wAfter w:w="650" w:type="dxa"/>
          <w:cantSplit/>
          <w:trHeight w:val="1205"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gridSpan w:val="2"/>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gridSpan w:val="2"/>
            <w:vAlign w:val="center"/>
          </w:tcPr>
          <w:p>
            <w:pPr>
              <w:spacing w:line="300" w:lineRule="exact"/>
              <w:jc w:val="left"/>
              <w:rPr>
                <w:rFonts w:ascii="方正书宋_GBK" w:eastAsia="方正书宋_GBK"/>
              </w:rPr>
            </w:pPr>
            <w:r>
              <w:rPr>
                <w:rFonts w:hint="eastAsia" w:ascii="方正书宋_GBK" w:eastAsia="方正书宋_GBK"/>
              </w:rPr>
              <w:t>财政专项资金的第三方绩效评估工作的满意度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8" w:hRule="atLeast"/>
          <w:jc w:val="center"/>
        </w:trPr>
        <w:tc>
          <w:tcPr>
            <w:tcW w:w="10168" w:type="dxa"/>
            <w:gridSpan w:val="10"/>
            <w:tcBorders>
              <w:top w:val="nil"/>
              <w:left w:val="nil"/>
              <w:bottom w:val="nil"/>
              <w:right w:val="nil"/>
            </w:tcBorders>
            <w:vAlign w:val="center"/>
          </w:tcPr>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ind w:firstLine="640"/>
              <w:rPr>
                <w:rFonts w:ascii="仿宋_GB2312" w:eastAsia="仿宋_GB2312"/>
                <w:sz w:val="32"/>
              </w:rPr>
            </w:pPr>
            <w:r>
              <w:rPr>
                <w:rFonts w:hint="eastAsia" w:ascii="仿宋_GB2312" w:eastAsia="仿宋_GB2312"/>
                <w:sz w:val="32"/>
              </w:rPr>
              <w:t>2020年，我单位安排政府采购预算0万元。具体内容见下表。</w:t>
            </w:r>
          </w:p>
          <w:p>
            <w:pPr>
              <w:jc w:val="center"/>
              <w:outlineLvl w:val="0"/>
              <w:rPr>
                <w:rFonts w:ascii="方正小标宋_GBK" w:eastAsia="方正小标宋_GBK"/>
                <w:sz w:val="32"/>
              </w:rPr>
            </w:pPr>
            <w:bookmarkStart w:id="2" w:name="_Toc504489153"/>
            <w:r>
              <w:rPr>
                <w:rFonts w:hint="eastAsia" w:ascii="方正小标宋_GBK" w:eastAsia="方正小标宋_GBK"/>
                <w:sz w:val="32"/>
              </w:rPr>
              <w:t>部门政府采购预算</w:t>
            </w:r>
            <w:bookmarkEnd w:id="2"/>
          </w:p>
          <w:tbl>
            <w:tblPr>
              <w:tblStyle w:val="7"/>
              <w:tblW w:w="9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681"/>
              <w:gridCol w:w="705"/>
              <w:gridCol w:w="790"/>
              <w:gridCol w:w="461"/>
              <w:gridCol w:w="462"/>
              <w:gridCol w:w="575"/>
              <w:gridCol w:w="590"/>
              <w:gridCol w:w="590"/>
              <w:gridCol w:w="593"/>
              <w:gridCol w:w="590"/>
              <w:gridCol w:w="594"/>
              <w:gridCol w:w="597"/>
              <w:gridCol w:w="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5217"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p>
              </w:tc>
              <w:tc>
                <w:tcPr>
                  <w:tcW w:w="4122" w:type="dxa"/>
                  <w:gridSpan w:val="7"/>
                  <w:tcBorders>
                    <w:top w:val="single" w:color="FFFFFF" w:sz="6" w:space="0"/>
                    <w:left w:val="single" w:color="FFFFFF" w:sz="6" w:space="0"/>
                    <w:right w:val="single" w:color="FFFFFF" w:sz="6" w:space="0"/>
                  </w:tcBorders>
                  <w:noWrap/>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224"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705"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79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4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462"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575"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122" w:type="dxa"/>
                  <w:gridSpan w:val="7"/>
                  <w:noWrap/>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543"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8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705" w:type="dxa"/>
                  <w:vMerge w:val="continue"/>
                  <w:noWrap/>
                  <w:vAlign w:val="center"/>
                </w:tcPr>
                <w:p>
                  <w:pPr>
                    <w:spacing w:line="300" w:lineRule="exact"/>
                    <w:jc w:val="left"/>
                    <w:outlineLvl w:val="0"/>
                  </w:pPr>
                </w:p>
              </w:tc>
              <w:tc>
                <w:tcPr>
                  <w:tcW w:w="790" w:type="dxa"/>
                  <w:vMerge w:val="continue"/>
                  <w:noWrap/>
                  <w:vAlign w:val="center"/>
                </w:tcPr>
                <w:p>
                  <w:pPr>
                    <w:spacing w:line="300" w:lineRule="exact"/>
                    <w:jc w:val="left"/>
                    <w:outlineLvl w:val="0"/>
                  </w:pPr>
                </w:p>
              </w:tc>
              <w:tc>
                <w:tcPr>
                  <w:tcW w:w="461" w:type="dxa"/>
                  <w:vMerge w:val="continue"/>
                  <w:noWrap/>
                  <w:vAlign w:val="center"/>
                </w:tcPr>
                <w:p>
                  <w:pPr>
                    <w:spacing w:line="300" w:lineRule="exact"/>
                    <w:jc w:val="left"/>
                    <w:outlineLvl w:val="0"/>
                  </w:pPr>
                </w:p>
              </w:tc>
              <w:tc>
                <w:tcPr>
                  <w:tcW w:w="462" w:type="dxa"/>
                  <w:vMerge w:val="continue"/>
                  <w:noWrap/>
                  <w:vAlign w:val="center"/>
                </w:tcPr>
                <w:p>
                  <w:pPr>
                    <w:spacing w:line="300" w:lineRule="exact"/>
                    <w:jc w:val="left"/>
                    <w:outlineLvl w:val="0"/>
                  </w:pPr>
                </w:p>
              </w:tc>
              <w:tc>
                <w:tcPr>
                  <w:tcW w:w="575" w:type="dxa"/>
                  <w:vMerge w:val="continue"/>
                  <w:noWrap/>
                  <w:vAlign w:val="center"/>
                </w:tcPr>
                <w:p>
                  <w:pPr>
                    <w:spacing w:line="300" w:lineRule="exact"/>
                    <w:jc w:val="left"/>
                    <w:outlineLvl w:val="0"/>
                  </w:pPr>
                </w:p>
              </w:tc>
              <w:tc>
                <w:tcPr>
                  <w:tcW w:w="59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2964" w:type="dxa"/>
                  <w:gridSpan w:val="5"/>
                  <w:noWrap/>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568"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1" w:hRule="atLeast"/>
                <w:tblHeader/>
                <w:jc w:val="center"/>
              </w:trPr>
              <w:tc>
                <w:tcPr>
                  <w:tcW w:w="1543" w:type="dxa"/>
                  <w:vMerge w:val="continue"/>
                  <w:noWrap/>
                  <w:vAlign w:val="center"/>
                </w:tcPr>
                <w:p>
                  <w:pPr>
                    <w:spacing w:line="300" w:lineRule="exact"/>
                    <w:jc w:val="left"/>
                    <w:outlineLvl w:val="0"/>
                  </w:pPr>
                </w:p>
              </w:tc>
              <w:tc>
                <w:tcPr>
                  <w:tcW w:w="681" w:type="dxa"/>
                  <w:vMerge w:val="continue"/>
                  <w:noWrap/>
                  <w:vAlign w:val="center"/>
                </w:tcPr>
                <w:p>
                  <w:pPr>
                    <w:spacing w:line="300" w:lineRule="exact"/>
                    <w:jc w:val="left"/>
                    <w:outlineLvl w:val="0"/>
                  </w:pPr>
                </w:p>
              </w:tc>
              <w:tc>
                <w:tcPr>
                  <w:tcW w:w="705" w:type="dxa"/>
                  <w:vMerge w:val="continue"/>
                  <w:noWrap/>
                  <w:vAlign w:val="center"/>
                </w:tcPr>
                <w:p>
                  <w:pPr>
                    <w:spacing w:line="300" w:lineRule="exact"/>
                    <w:jc w:val="left"/>
                    <w:outlineLvl w:val="0"/>
                  </w:pPr>
                </w:p>
              </w:tc>
              <w:tc>
                <w:tcPr>
                  <w:tcW w:w="790" w:type="dxa"/>
                  <w:vMerge w:val="continue"/>
                  <w:noWrap/>
                  <w:vAlign w:val="center"/>
                </w:tcPr>
                <w:p>
                  <w:pPr>
                    <w:spacing w:line="300" w:lineRule="exact"/>
                    <w:jc w:val="left"/>
                    <w:outlineLvl w:val="0"/>
                  </w:pPr>
                </w:p>
              </w:tc>
              <w:tc>
                <w:tcPr>
                  <w:tcW w:w="461" w:type="dxa"/>
                  <w:vMerge w:val="continue"/>
                  <w:noWrap/>
                  <w:vAlign w:val="center"/>
                </w:tcPr>
                <w:p>
                  <w:pPr>
                    <w:spacing w:line="300" w:lineRule="exact"/>
                    <w:jc w:val="left"/>
                    <w:outlineLvl w:val="0"/>
                  </w:pPr>
                </w:p>
              </w:tc>
              <w:tc>
                <w:tcPr>
                  <w:tcW w:w="462" w:type="dxa"/>
                  <w:vMerge w:val="continue"/>
                  <w:noWrap/>
                  <w:vAlign w:val="center"/>
                </w:tcPr>
                <w:p>
                  <w:pPr>
                    <w:spacing w:line="300" w:lineRule="exact"/>
                    <w:jc w:val="left"/>
                    <w:outlineLvl w:val="0"/>
                  </w:pPr>
                </w:p>
              </w:tc>
              <w:tc>
                <w:tcPr>
                  <w:tcW w:w="575" w:type="dxa"/>
                  <w:vMerge w:val="continue"/>
                  <w:noWrap/>
                  <w:vAlign w:val="center"/>
                </w:tcPr>
                <w:p>
                  <w:pPr>
                    <w:spacing w:line="300" w:lineRule="exact"/>
                    <w:jc w:val="left"/>
                    <w:outlineLvl w:val="0"/>
                  </w:pPr>
                </w:p>
              </w:tc>
              <w:tc>
                <w:tcPr>
                  <w:tcW w:w="590" w:type="dxa"/>
                  <w:vMerge w:val="continue"/>
                  <w:noWrap/>
                  <w:vAlign w:val="center"/>
                </w:tcPr>
                <w:p>
                  <w:pPr>
                    <w:spacing w:line="300" w:lineRule="exact"/>
                    <w:jc w:val="left"/>
                    <w:outlineLvl w:val="0"/>
                  </w:pPr>
                </w:p>
              </w:tc>
              <w:tc>
                <w:tcPr>
                  <w:tcW w:w="590"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593"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590" w:type="dxa"/>
                  <w:noWrap/>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594" w:type="dxa"/>
                  <w:noWrap/>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597" w:type="dxa"/>
                  <w:noWrap/>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568" w:type="dxa"/>
                  <w:vMerge w:val="continue"/>
                  <w:noWrap/>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543" w:type="dxa"/>
                  <w:noWrap/>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681" w:type="dxa"/>
                  <w:noWrap/>
                  <w:vAlign w:val="center"/>
                </w:tcPr>
                <w:p>
                  <w:pPr>
                    <w:spacing w:line="300" w:lineRule="exact"/>
                    <w:jc w:val="center"/>
                    <w:rPr>
                      <w:rFonts w:ascii="方正书宋_GBK" w:eastAsia="方正书宋_GBK"/>
                      <w:b/>
                    </w:rPr>
                  </w:pPr>
                  <w:r>
                    <w:rPr>
                      <w:rFonts w:hint="eastAsia" w:ascii="方正书宋_GBK" w:eastAsia="方正书宋_GBK"/>
                      <w:b/>
                    </w:rPr>
                    <w:t>0</w:t>
                  </w:r>
                </w:p>
              </w:tc>
              <w:tc>
                <w:tcPr>
                  <w:tcW w:w="705" w:type="dxa"/>
                  <w:noWrap/>
                  <w:vAlign w:val="center"/>
                </w:tcPr>
                <w:p>
                  <w:pPr>
                    <w:spacing w:line="300" w:lineRule="exact"/>
                    <w:jc w:val="left"/>
                    <w:rPr>
                      <w:rFonts w:ascii="方正书宋_GBK" w:eastAsia="方正书宋_GBK"/>
                      <w:b/>
                    </w:rPr>
                  </w:pPr>
                </w:p>
              </w:tc>
              <w:tc>
                <w:tcPr>
                  <w:tcW w:w="790" w:type="dxa"/>
                  <w:noWrap/>
                  <w:vAlign w:val="center"/>
                </w:tcPr>
                <w:p>
                  <w:pPr>
                    <w:spacing w:line="300" w:lineRule="exact"/>
                    <w:jc w:val="left"/>
                    <w:rPr>
                      <w:rFonts w:ascii="方正书宋_GBK" w:eastAsia="方正书宋_GBK"/>
                      <w:b/>
                    </w:rPr>
                  </w:pPr>
                </w:p>
              </w:tc>
              <w:tc>
                <w:tcPr>
                  <w:tcW w:w="461" w:type="dxa"/>
                  <w:noWrap/>
                  <w:vAlign w:val="center"/>
                </w:tcPr>
                <w:p>
                  <w:pPr>
                    <w:spacing w:line="300" w:lineRule="exact"/>
                    <w:jc w:val="left"/>
                    <w:rPr>
                      <w:rFonts w:ascii="方正书宋_GBK" w:eastAsia="方正书宋_GBK"/>
                      <w:b/>
                    </w:rPr>
                  </w:pPr>
                </w:p>
              </w:tc>
              <w:tc>
                <w:tcPr>
                  <w:tcW w:w="462" w:type="dxa"/>
                  <w:noWrap/>
                  <w:vAlign w:val="center"/>
                </w:tcPr>
                <w:p>
                  <w:pPr>
                    <w:spacing w:line="300" w:lineRule="exact"/>
                    <w:jc w:val="right"/>
                    <w:rPr>
                      <w:rFonts w:ascii="方正书宋_GBK" w:eastAsia="方正书宋_GBK"/>
                      <w:b/>
                    </w:rPr>
                  </w:pPr>
                </w:p>
              </w:tc>
              <w:tc>
                <w:tcPr>
                  <w:tcW w:w="575" w:type="dxa"/>
                  <w:noWrap/>
                  <w:vAlign w:val="center"/>
                </w:tcPr>
                <w:p>
                  <w:pPr>
                    <w:spacing w:line="300" w:lineRule="exact"/>
                    <w:jc w:val="right"/>
                    <w:rPr>
                      <w:rFonts w:ascii="方正书宋_GBK" w:eastAsia="方正书宋_GBK"/>
                      <w:b/>
                    </w:rPr>
                  </w:pPr>
                </w:p>
              </w:tc>
              <w:tc>
                <w:tcPr>
                  <w:tcW w:w="590" w:type="dxa"/>
                  <w:noWrap/>
                  <w:vAlign w:val="center"/>
                </w:tcPr>
                <w:p>
                  <w:pPr>
                    <w:spacing w:line="300" w:lineRule="exact"/>
                    <w:rPr>
                      <w:rFonts w:ascii="方正书宋_GBK" w:eastAsia="方正书宋_GBK"/>
                      <w:b/>
                    </w:rPr>
                  </w:pPr>
                </w:p>
              </w:tc>
              <w:tc>
                <w:tcPr>
                  <w:tcW w:w="590" w:type="dxa"/>
                  <w:noWrap/>
                  <w:vAlign w:val="center"/>
                </w:tcPr>
                <w:p>
                  <w:pPr>
                    <w:spacing w:line="300" w:lineRule="exact"/>
                    <w:rPr>
                      <w:rFonts w:ascii="方正书宋_GBK" w:eastAsia="方正书宋_GBK"/>
                      <w:b/>
                    </w:rPr>
                  </w:pPr>
                </w:p>
              </w:tc>
              <w:tc>
                <w:tcPr>
                  <w:tcW w:w="593" w:type="dxa"/>
                  <w:noWrap/>
                  <w:vAlign w:val="center"/>
                </w:tcPr>
                <w:p>
                  <w:pPr>
                    <w:spacing w:line="300" w:lineRule="exact"/>
                    <w:rPr>
                      <w:rFonts w:ascii="方正书宋_GBK" w:eastAsia="方正书宋_GBK"/>
                      <w:b/>
                    </w:rPr>
                  </w:pPr>
                </w:p>
              </w:tc>
              <w:tc>
                <w:tcPr>
                  <w:tcW w:w="590" w:type="dxa"/>
                  <w:noWrap/>
                  <w:vAlign w:val="center"/>
                </w:tcPr>
                <w:p>
                  <w:pPr>
                    <w:spacing w:line="300" w:lineRule="exact"/>
                    <w:rPr>
                      <w:rFonts w:ascii="方正书宋_GBK" w:eastAsia="方正书宋_GBK"/>
                      <w:b/>
                    </w:rPr>
                  </w:pPr>
                </w:p>
              </w:tc>
              <w:tc>
                <w:tcPr>
                  <w:tcW w:w="594" w:type="dxa"/>
                  <w:noWrap/>
                  <w:vAlign w:val="center"/>
                </w:tcPr>
                <w:p>
                  <w:pPr>
                    <w:spacing w:line="300" w:lineRule="exact"/>
                    <w:rPr>
                      <w:rFonts w:ascii="方正书宋_GBK" w:eastAsia="方正书宋_GBK"/>
                      <w:b/>
                    </w:rPr>
                  </w:pPr>
                </w:p>
              </w:tc>
              <w:tc>
                <w:tcPr>
                  <w:tcW w:w="597" w:type="dxa"/>
                  <w:noWrap/>
                  <w:vAlign w:val="center"/>
                </w:tcPr>
                <w:p>
                  <w:pPr>
                    <w:spacing w:line="300" w:lineRule="exact"/>
                    <w:jc w:val="center"/>
                    <w:rPr>
                      <w:rFonts w:ascii="方正书宋_GBK" w:eastAsia="方正书宋_GBK"/>
                      <w:b/>
                    </w:rPr>
                  </w:pPr>
                </w:p>
              </w:tc>
              <w:tc>
                <w:tcPr>
                  <w:tcW w:w="568"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2" w:hRule="atLeast"/>
                <w:jc w:val="center"/>
              </w:trPr>
              <w:tc>
                <w:tcPr>
                  <w:tcW w:w="1543" w:type="dxa"/>
                  <w:noWrap/>
                  <w:vAlign w:val="center"/>
                </w:tcPr>
                <w:p>
                  <w:pPr>
                    <w:spacing w:line="300" w:lineRule="exact"/>
                    <w:jc w:val="center"/>
                    <w:rPr>
                      <w:rFonts w:ascii="方正书宋_GBK" w:eastAsia="方正书宋_GBK"/>
                    </w:rPr>
                  </w:pPr>
                </w:p>
              </w:tc>
              <w:tc>
                <w:tcPr>
                  <w:tcW w:w="681" w:type="dxa"/>
                  <w:noWrap/>
                  <w:vAlign w:val="center"/>
                </w:tcPr>
                <w:p>
                  <w:pPr>
                    <w:spacing w:line="300" w:lineRule="exact"/>
                    <w:jc w:val="center"/>
                    <w:rPr>
                      <w:rFonts w:ascii="方正书宋_GBK" w:eastAsia="方正书宋_GBK"/>
                      <w:b/>
                    </w:rPr>
                  </w:pPr>
                </w:p>
              </w:tc>
              <w:tc>
                <w:tcPr>
                  <w:tcW w:w="705" w:type="dxa"/>
                  <w:noWrap/>
                  <w:vAlign w:val="center"/>
                </w:tcPr>
                <w:p>
                  <w:pPr>
                    <w:spacing w:line="300" w:lineRule="exact"/>
                    <w:jc w:val="left"/>
                    <w:rPr>
                      <w:rFonts w:ascii="方正书宋_GBK" w:eastAsia="方正书宋_GBK"/>
                      <w:b/>
                    </w:rPr>
                  </w:pPr>
                </w:p>
              </w:tc>
              <w:tc>
                <w:tcPr>
                  <w:tcW w:w="790" w:type="dxa"/>
                  <w:noWrap/>
                  <w:vAlign w:val="center"/>
                </w:tcPr>
                <w:p>
                  <w:pPr>
                    <w:spacing w:line="300" w:lineRule="exact"/>
                    <w:jc w:val="center"/>
                    <w:rPr>
                      <w:rFonts w:ascii="方正书宋_GBK" w:eastAsia="方正书宋_GBK"/>
                      <w:b/>
                    </w:rPr>
                  </w:pPr>
                </w:p>
              </w:tc>
              <w:tc>
                <w:tcPr>
                  <w:tcW w:w="461" w:type="dxa"/>
                  <w:noWrap/>
                  <w:vAlign w:val="center"/>
                </w:tcPr>
                <w:p>
                  <w:pPr>
                    <w:spacing w:line="300" w:lineRule="exact"/>
                    <w:jc w:val="left"/>
                    <w:rPr>
                      <w:rFonts w:ascii="方正书宋_GBK" w:eastAsia="方正书宋_GBK"/>
                      <w:b/>
                    </w:rPr>
                  </w:pPr>
                </w:p>
              </w:tc>
              <w:tc>
                <w:tcPr>
                  <w:tcW w:w="462" w:type="dxa"/>
                  <w:noWrap/>
                  <w:vAlign w:val="center"/>
                </w:tcPr>
                <w:p>
                  <w:pPr>
                    <w:spacing w:line="300" w:lineRule="exact"/>
                    <w:jc w:val="left"/>
                    <w:rPr>
                      <w:rFonts w:ascii="方正书宋_GBK" w:eastAsia="方正书宋_GBK"/>
                      <w:b/>
                    </w:rPr>
                  </w:pPr>
                </w:p>
              </w:tc>
              <w:tc>
                <w:tcPr>
                  <w:tcW w:w="575" w:type="dxa"/>
                  <w:noWrap/>
                  <w:vAlign w:val="center"/>
                </w:tcPr>
                <w:p>
                  <w:pPr>
                    <w:spacing w:line="300" w:lineRule="exact"/>
                    <w:jc w:val="left"/>
                    <w:rPr>
                      <w:rFonts w:ascii="方正书宋_GBK" w:eastAsia="方正书宋_GBK"/>
                      <w:b/>
                    </w:rPr>
                  </w:pPr>
                </w:p>
              </w:tc>
              <w:tc>
                <w:tcPr>
                  <w:tcW w:w="590" w:type="dxa"/>
                  <w:noWrap/>
                  <w:vAlign w:val="center"/>
                </w:tcPr>
                <w:p>
                  <w:pPr>
                    <w:spacing w:line="300" w:lineRule="exact"/>
                    <w:jc w:val="center"/>
                    <w:rPr>
                      <w:rFonts w:ascii="方正书宋_GBK" w:eastAsia="方正书宋_GBK"/>
                      <w:b/>
                    </w:rPr>
                  </w:pPr>
                </w:p>
              </w:tc>
              <w:tc>
                <w:tcPr>
                  <w:tcW w:w="590" w:type="dxa"/>
                  <w:noWrap/>
                  <w:vAlign w:val="center"/>
                </w:tcPr>
                <w:p>
                  <w:pPr>
                    <w:spacing w:line="300" w:lineRule="exact"/>
                    <w:jc w:val="center"/>
                    <w:rPr>
                      <w:rFonts w:ascii="方正书宋_GBK" w:eastAsia="方正书宋_GBK"/>
                      <w:b/>
                    </w:rPr>
                  </w:pPr>
                </w:p>
              </w:tc>
              <w:tc>
                <w:tcPr>
                  <w:tcW w:w="593" w:type="dxa"/>
                  <w:noWrap/>
                  <w:vAlign w:val="center"/>
                </w:tcPr>
                <w:p>
                  <w:pPr>
                    <w:spacing w:line="300" w:lineRule="exact"/>
                    <w:jc w:val="center"/>
                    <w:rPr>
                      <w:rFonts w:ascii="方正书宋_GBK" w:eastAsia="方正书宋_GBK"/>
                      <w:b/>
                    </w:rPr>
                  </w:pPr>
                </w:p>
              </w:tc>
              <w:tc>
                <w:tcPr>
                  <w:tcW w:w="590" w:type="dxa"/>
                  <w:noWrap/>
                  <w:vAlign w:val="center"/>
                </w:tcPr>
                <w:p>
                  <w:pPr>
                    <w:spacing w:line="300" w:lineRule="exact"/>
                    <w:jc w:val="left"/>
                    <w:rPr>
                      <w:rFonts w:ascii="方正书宋_GBK" w:eastAsia="方正书宋_GBK"/>
                      <w:b/>
                    </w:rPr>
                  </w:pPr>
                </w:p>
              </w:tc>
              <w:tc>
                <w:tcPr>
                  <w:tcW w:w="594" w:type="dxa"/>
                  <w:noWrap/>
                  <w:vAlign w:val="center"/>
                </w:tcPr>
                <w:p>
                  <w:pPr>
                    <w:spacing w:line="300" w:lineRule="exact"/>
                    <w:jc w:val="right"/>
                    <w:rPr>
                      <w:rFonts w:ascii="方正书宋_GBK" w:eastAsia="方正书宋_GBK"/>
                    </w:rPr>
                  </w:pPr>
                </w:p>
              </w:tc>
              <w:tc>
                <w:tcPr>
                  <w:tcW w:w="597" w:type="dxa"/>
                  <w:noWrap/>
                  <w:vAlign w:val="center"/>
                </w:tcPr>
                <w:p>
                  <w:pPr>
                    <w:spacing w:line="300" w:lineRule="exact"/>
                    <w:jc w:val="right"/>
                    <w:rPr>
                      <w:rFonts w:ascii="方正书宋_GBK" w:eastAsia="方正书宋_GBK"/>
                    </w:rPr>
                  </w:pPr>
                </w:p>
              </w:tc>
              <w:tc>
                <w:tcPr>
                  <w:tcW w:w="568" w:type="dxa"/>
                  <w:noWrap/>
                  <w:vAlign w:val="center"/>
                </w:tcPr>
                <w:p>
                  <w:pPr>
                    <w:spacing w:line="300" w:lineRule="exact"/>
                    <w:jc w:val="right"/>
                    <w:rPr>
                      <w:rFonts w:ascii="方正书宋_GBK" w:eastAsia="方正书宋_GBK"/>
                    </w:rPr>
                  </w:pPr>
                </w:p>
              </w:tc>
            </w:tr>
          </w:tbl>
          <w:p>
            <w:pPr>
              <w:ind w:firstLine="630"/>
              <w:outlineLvl w:val="0"/>
              <w:rPr>
                <w:rFonts w:ascii="黑体" w:hAnsi="黑体" w:eastAsia="黑体"/>
                <w:b/>
                <w:sz w:val="32"/>
                <w:szCs w:val="32"/>
              </w:rPr>
            </w:pPr>
            <w:r>
              <w:rPr>
                <w:rFonts w:hint="eastAsia" w:ascii="黑体" w:hAnsi="黑体" w:eastAsia="黑体"/>
                <w:b/>
                <w:sz w:val="32"/>
                <w:szCs w:val="32"/>
              </w:rPr>
              <w:t>七、国有资产信息</w:t>
            </w:r>
          </w:p>
          <w:p>
            <w:pPr>
              <w:widowControl/>
              <w:ind w:firstLine="640"/>
              <w:jc w:val="left"/>
              <w:rPr>
                <w:rFonts w:ascii="Times New Roman" w:hAnsi="Times New Roman" w:eastAsia="仿宋" w:cs="Times New Roman"/>
                <w:sz w:val="32"/>
                <w:szCs w:val="24"/>
              </w:rPr>
            </w:pPr>
            <w:r>
              <w:rPr>
                <w:rFonts w:hint="eastAsia" w:ascii="仿宋_GB2312" w:hAnsi="仿宋_GB2312" w:eastAsia="仿宋_GB2312" w:cs="仿宋_GB2312"/>
                <w:color w:val="000000"/>
                <w:kern w:val="0"/>
                <w:sz w:val="32"/>
                <w:szCs w:val="32"/>
              </w:rPr>
              <w:t>截止</w:t>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9年底，我单位没有国有资产。</w:t>
            </w:r>
          </w:p>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7" w:hRule="atLeast"/>
          <w:jc w:val="center"/>
        </w:trPr>
        <w:tc>
          <w:tcPr>
            <w:tcW w:w="3885" w:type="dxa"/>
            <w:gridSpan w:val="6"/>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p>
        </w:tc>
        <w:tc>
          <w:tcPr>
            <w:tcW w:w="6283" w:type="dxa"/>
            <w:gridSpan w:val="4"/>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6283" w:type="dxa"/>
            <w:gridSpan w:val="4"/>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62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2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2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2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62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jc w:val="center"/>
        </w:trPr>
        <w:tc>
          <w:tcPr>
            <w:tcW w:w="2835" w:type="dxa"/>
            <w:gridSpan w:val="4"/>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62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、一般公共预算拨款收入：指省级财政当年拨付的资金。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pPr>
      <w:r>
        <w:rPr>
          <w:rFonts w:hint="eastAsia" w:ascii="Times New Roman" w:hAnsi="Times New Roman" w:eastAsia="仿宋" w:cs="Times New Roman"/>
          <w:sz w:val="32"/>
          <w:szCs w:val="32"/>
        </w:rPr>
        <w:t>我部门无其他需要说明的事项。</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8AE85"/>
    <w:multiLevelType w:val="singleLevel"/>
    <w:tmpl w:val="ECE8AE85"/>
    <w:lvl w:ilvl="0" w:tentative="0">
      <w:start w:val="5"/>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lvl>
  </w:abstractNum>
  <w:abstractNum w:abstractNumId="2">
    <w:nsid w:val="2458BB76"/>
    <w:multiLevelType w:val="singleLevel"/>
    <w:tmpl w:val="2458BB76"/>
    <w:lvl w:ilvl="0" w:tentative="0">
      <w:start w:val="1"/>
      <w:numFmt w:val="chineseCounting"/>
      <w:suff w:val="nothing"/>
      <w:lvlText w:val="%1、"/>
      <w:lvlJc w:val="left"/>
      <w:rPr>
        <w:rFonts w:hint="eastAsia"/>
      </w:rPr>
    </w:lvl>
  </w:abstractNum>
  <w:abstractNum w:abstractNumId="3">
    <w:nsid w:val="40C193D3"/>
    <w:multiLevelType w:val="singleLevel"/>
    <w:tmpl w:val="40C193D3"/>
    <w:lvl w:ilvl="0" w:tentative="0">
      <w:start w:val="2"/>
      <w:numFmt w:val="chineseCounting"/>
      <w:suff w:val="nothing"/>
      <w:lvlText w:val="（%1）"/>
      <w:lvlJc w:val="left"/>
      <w:rPr>
        <w:rFonts w:hint="eastAsia"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177D5"/>
    <w:rsid w:val="0003098B"/>
    <w:rsid w:val="00043DE9"/>
    <w:rsid w:val="0006618E"/>
    <w:rsid w:val="0009251C"/>
    <w:rsid w:val="000C333E"/>
    <w:rsid w:val="000E5AE1"/>
    <w:rsid w:val="001016C7"/>
    <w:rsid w:val="00115A18"/>
    <w:rsid w:val="00132F0D"/>
    <w:rsid w:val="0015306D"/>
    <w:rsid w:val="001E4CD0"/>
    <w:rsid w:val="00273E7D"/>
    <w:rsid w:val="00287583"/>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1C3A"/>
    <w:rsid w:val="007B3EC5"/>
    <w:rsid w:val="007B4E99"/>
    <w:rsid w:val="007D0F19"/>
    <w:rsid w:val="007E57D1"/>
    <w:rsid w:val="008020D3"/>
    <w:rsid w:val="008241FD"/>
    <w:rsid w:val="00836ABF"/>
    <w:rsid w:val="00872978"/>
    <w:rsid w:val="0088640D"/>
    <w:rsid w:val="00892D2A"/>
    <w:rsid w:val="00894C41"/>
    <w:rsid w:val="008B0AD8"/>
    <w:rsid w:val="008F4497"/>
    <w:rsid w:val="009016FA"/>
    <w:rsid w:val="0091172F"/>
    <w:rsid w:val="00924FD2"/>
    <w:rsid w:val="00962CFA"/>
    <w:rsid w:val="009A13BC"/>
    <w:rsid w:val="00A03C5A"/>
    <w:rsid w:val="00A11D46"/>
    <w:rsid w:val="00A5157D"/>
    <w:rsid w:val="00AD227F"/>
    <w:rsid w:val="00B24CF2"/>
    <w:rsid w:val="00B33B66"/>
    <w:rsid w:val="00B43EA6"/>
    <w:rsid w:val="00B52E75"/>
    <w:rsid w:val="00B7697B"/>
    <w:rsid w:val="00B94342"/>
    <w:rsid w:val="00BA1ABE"/>
    <w:rsid w:val="00BC77B2"/>
    <w:rsid w:val="00BD076A"/>
    <w:rsid w:val="00C30770"/>
    <w:rsid w:val="00C44047"/>
    <w:rsid w:val="00C62C69"/>
    <w:rsid w:val="00C67CC4"/>
    <w:rsid w:val="00C82A78"/>
    <w:rsid w:val="00C96FAB"/>
    <w:rsid w:val="00CC1D10"/>
    <w:rsid w:val="00CE6CF0"/>
    <w:rsid w:val="00D57139"/>
    <w:rsid w:val="00DA3BBD"/>
    <w:rsid w:val="00E0632F"/>
    <w:rsid w:val="00E348C2"/>
    <w:rsid w:val="00EC3709"/>
    <w:rsid w:val="00ED6FC7"/>
    <w:rsid w:val="00ED7608"/>
    <w:rsid w:val="00EE442D"/>
    <w:rsid w:val="00F7075C"/>
    <w:rsid w:val="00FA2238"/>
    <w:rsid w:val="00FA5AAA"/>
    <w:rsid w:val="074B52E9"/>
    <w:rsid w:val="0B6D09C4"/>
    <w:rsid w:val="18437F9A"/>
    <w:rsid w:val="40110039"/>
    <w:rsid w:val="4BDE1514"/>
    <w:rsid w:val="59911C56"/>
    <w:rsid w:val="60C860C5"/>
    <w:rsid w:val="63EC0F0F"/>
    <w:rsid w:val="67EE4E39"/>
    <w:rsid w:val="6BA53C17"/>
    <w:rsid w:val="6FE72381"/>
    <w:rsid w:val="7A9F3B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rFonts w:cs="Times New Roman"/>
      <w:vertAlign w:val="superscript"/>
    </w:rPr>
  </w:style>
  <w:style w:type="character" w:customStyle="1" w:styleId="10">
    <w:name w:val="页脚 Char"/>
    <w:basedOn w:val="8"/>
    <w:link w:val="2"/>
    <w:semiHidden/>
    <w:qFormat/>
    <w:locked/>
    <w:uiPriority w:val="99"/>
    <w:rPr>
      <w:rFonts w:ascii="Times New Roman" w:hAnsi="Times New Roman" w:eastAsia="宋体" w:cs="Times New Roman"/>
      <w:sz w:val="18"/>
      <w:szCs w:val="18"/>
    </w:rPr>
  </w:style>
  <w:style w:type="character" w:customStyle="1" w:styleId="11">
    <w:name w:val="页眉 Char"/>
    <w:basedOn w:val="8"/>
    <w:link w:val="3"/>
    <w:semiHidden/>
    <w:qFormat/>
    <w:locked/>
    <w:uiPriority w:val="99"/>
    <w:rPr>
      <w:rFonts w:ascii="Times New Roman" w:hAnsi="Times New Roman" w:eastAsia="宋体" w:cs="Times New Roman"/>
      <w:sz w:val="18"/>
      <w:szCs w:val="18"/>
    </w:rPr>
  </w:style>
  <w:style w:type="character" w:customStyle="1" w:styleId="12">
    <w:name w:val="脚注文本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7356</Words>
  <Characters>7458</Characters>
  <Lines>55</Lines>
  <Paragraphs>15</Paragraphs>
  <TotalTime>2</TotalTime>
  <ScaleCrop>false</ScaleCrop>
  <LinksUpToDate>false</LinksUpToDate>
  <CharactersWithSpaces>7472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2024-05-29T02:16:27Z</dcterms:modified>
  <dc:title>o</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6919D14AC16248D4BEA0A3D6B2871B05_12</vt:lpwstr>
  </property>
</Properties>
</file>