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65DDB">
      <w:pPr>
        <w:jc w:val="both"/>
        <w:rPr>
          <w:rFonts w:hint="eastAsia" w:ascii="宋体" w:hAnsi="宋体" w:cs="宋体"/>
          <w:kern w:val="0"/>
          <w:sz w:val="24"/>
          <w:szCs w:val="24"/>
        </w:rPr>
      </w:pPr>
      <w:bookmarkStart w:id="4" w:name="_GoBack"/>
      <w:bookmarkEnd w:id="4"/>
    </w:p>
    <w:p w14:paraId="70A2EF5B">
      <w:pPr>
        <w:jc w:val="both"/>
        <w:rPr>
          <w:rFonts w:hint="eastAsia" w:ascii="宋体" w:hAnsi="宋体" w:cs="宋体"/>
          <w:kern w:val="0"/>
          <w:sz w:val="24"/>
          <w:szCs w:val="24"/>
        </w:rPr>
      </w:pPr>
    </w:p>
    <w:p w14:paraId="7562D8FE">
      <w:pPr>
        <w:ind w:firstLine="883" w:firstLineChars="200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馆陶县医疗保障局</w:t>
      </w:r>
    </w:p>
    <w:p w14:paraId="3329156C">
      <w:pPr>
        <w:ind w:firstLine="883" w:firstLineChars="200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1</w:t>
      </w:r>
      <w:r>
        <w:rPr>
          <w:rFonts w:hint="eastAsia" w:ascii="宋体" w:hAnsi="宋体"/>
          <w:b/>
          <w:sz w:val="44"/>
          <w:szCs w:val="44"/>
        </w:rPr>
        <w:t>年部门预算公开情况说明</w:t>
      </w:r>
    </w:p>
    <w:p w14:paraId="64A0EDA1"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 w14:paraId="5CECB53A">
      <w:pPr>
        <w:ind w:firstLine="640" w:firstLineChars="200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2"/>
          <w:szCs w:val="32"/>
        </w:rPr>
        <w:t>根据《中华人民共和国预算法》、《河北省预决算公开操作规程实施细则》、《邯郸市预算公开实施办法》以及政府信息公开制度等有关规定，现将馆陶县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医疗保障局</w:t>
      </w:r>
      <w:r>
        <w:rPr>
          <w:rFonts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年部门预算公开情况说明如下：</w:t>
      </w:r>
    </w:p>
    <w:p w14:paraId="094858B8">
      <w:pPr>
        <w:ind w:firstLine="64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一、部门职责及机构设置情况</w:t>
      </w:r>
    </w:p>
    <w:p w14:paraId="5366CAB9">
      <w:pPr>
        <w:ind w:firstLine="643" w:firstLineChars="200"/>
        <w:rPr>
          <w:rFonts w:ascii="黑体" w:hAnsi="Times New Roman" w:eastAsia="黑体"/>
          <w:b/>
          <w:sz w:val="32"/>
          <w:szCs w:val="32"/>
        </w:rPr>
      </w:pPr>
      <w:r>
        <w:rPr>
          <w:rFonts w:hint="eastAsia" w:ascii="黑体" w:hAnsi="Times New Roman" w:eastAsia="黑体"/>
          <w:b/>
          <w:sz w:val="32"/>
          <w:szCs w:val="32"/>
        </w:rPr>
        <w:t>部门职责：</w:t>
      </w:r>
    </w:p>
    <w:p w14:paraId="1EABBD7A">
      <w:pPr>
        <w:adjustRightIn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（一）贯彻执行省、市城镇职工和城乡居民医疗保险、生育保险、医疗救助等医疗保障地方性法规、政府规章以及政策、制度、规划和标准。</w:t>
      </w:r>
    </w:p>
    <w:p w14:paraId="01A7B3B4">
      <w:pPr>
        <w:adjustRightIn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拟订全县</w:t>
      </w:r>
      <w:r>
        <w:rPr>
          <w:rFonts w:hint="eastAsia" w:ascii="仿宋_GB2312" w:hAnsi="仿宋_GB2312" w:eastAsia="仿宋_GB2312" w:cs="仿宋_GB2312"/>
          <w:sz w:val="32"/>
          <w:szCs w:val="32"/>
        </w:rPr>
        <w:t>疗保障基金监督管理办法，建立健全医疗保障基金安全防控机制，组织建设智能监控平台，推进医疗保障基金支付方式改革，并组织实施。</w:t>
      </w:r>
    </w:p>
    <w:p w14:paraId="7F11B562">
      <w:pPr>
        <w:adjustRightIn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（三）贯彻落实省、市城镇职工、城乡居民参保筹资和保障待遇政策，统筹城乡医疗保障政策标准，建立健全与筹资水平相适应的待遇调整机制。组织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落实长期护理保险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制度方案及政策标准。</w:t>
      </w:r>
    </w:p>
    <w:p w14:paraId="5B1905E6">
      <w:pPr>
        <w:adjustRightIn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（四）负责组织实施全省城乡统一的药品、医用耗材、医疗服务项目、医疗服务设施等医保目录和支付标准。</w:t>
      </w:r>
    </w:p>
    <w:p w14:paraId="233E18A9">
      <w:pPr>
        <w:adjustRightIn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组织落实省、市药品、医用耗材价格和医疗服务项目、医疗服务设施收费等政策。负责全县部分药品、医疗服务、医用耗材价格调控管理，按照价格管理权限研究拟定定价原则、办法并组织实施。建立医保支付医药服务价格合理确定和动态调整机制，依法管理药品、医用耗材、医疗服务价格政策执行情况。建立完善药品、医用耗材和医疗服务价格监测信息发布制度。</w:t>
      </w:r>
    </w:p>
    <w:p w14:paraId="679B4053">
      <w:pPr>
        <w:adjustRightIn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（六）贯彻执行省、市药品、医用耗材的招标采购政策并组织实施，指导县药品、医用耗材招标采购平台建设。</w:t>
      </w:r>
    </w:p>
    <w:p w14:paraId="252DAEA9">
      <w:pPr>
        <w:adjustRightIn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制定全县定点医药机构协议和支付管理办法并组织实施。建立健全医疗保障信用评价体系和信息披露制度，监督管理定点医药机构的医疗服务行为、医疗费用和医药价格，依法查处医疗保障领域违法违规行为。</w:t>
      </w:r>
    </w:p>
    <w:p w14:paraId="050323C0">
      <w:pPr>
        <w:adjustRightIn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（八）负责医疗保障经办管理、公共服务体系和信息化建设。组织实施异地就医管理和费用结算政策。建立健全医疗保障关系转移接续制度。</w:t>
      </w:r>
    </w:p>
    <w:p w14:paraId="0230AD79">
      <w:pPr>
        <w:adjustRightIn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（九）拟定公务员身心健康医疗保障办法并组织实施；拟定特殊人群的医疗保障待遇办法并组织实施。</w:t>
      </w:r>
    </w:p>
    <w:p w14:paraId="6463F63F">
      <w:pPr>
        <w:adjustRightIn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（十）承办县委、县政府交办的其他事项。</w:t>
      </w:r>
    </w:p>
    <w:p w14:paraId="4311FA87">
      <w:pPr>
        <w:spacing w:line="59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</w:t>
      </w:r>
      <w:r>
        <w:rPr>
          <w:rFonts w:hint="eastAsia" w:ascii="仿宋" w:hAnsi="仿宋" w:cs="仿宋_GB2312"/>
          <w:sz w:val="32"/>
          <w:szCs w:val="32"/>
        </w:rPr>
        <w:t xml:space="preserve"> </w:t>
      </w:r>
    </w:p>
    <w:p w14:paraId="4EC662F4">
      <w:pPr>
        <w:autoSpaceDE w:val="0"/>
        <w:autoSpaceDN w:val="0"/>
        <w:adjustRightInd w:val="0"/>
        <w:ind w:left="198" w:firstLine="643" w:firstLineChars="200"/>
        <w:jc w:val="left"/>
        <w:rPr>
          <w:rFonts w:hint="eastAsia" w:ascii="黑体" w:hAnsi="Times New Roman" w:eastAsia="黑体"/>
          <w:b/>
          <w:sz w:val="32"/>
          <w:szCs w:val="32"/>
        </w:rPr>
      </w:pPr>
    </w:p>
    <w:p w14:paraId="2F5C5F6D">
      <w:pPr>
        <w:autoSpaceDE w:val="0"/>
        <w:autoSpaceDN w:val="0"/>
        <w:adjustRightInd w:val="0"/>
        <w:ind w:left="198" w:firstLine="643" w:firstLineChars="200"/>
        <w:jc w:val="left"/>
        <w:rPr>
          <w:rFonts w:hint="eastAsia" w:ascii="黑体" w:hAnsi="Times New Roman" w:eastAsia="黑体"/>
          <w:b/>
          <w:sz w:val="32"/>
          <w:szCs w:val="32"/>
        </w:rPr>
      </w:pPr>
    </w:p>
    <w:p w14:paraId="34B1FDAE">
      <w:pPr>
        <w:autoSpaceDE w:val="0"/>
        <w:autoSpaceDN w:val="0"/>
        <w:adjustRightInd w:val="0"/>
        <w:ind w:left="198" w:firstLine="643" w:firstLineChars="200"/>
        <w:jc w:val="left"/>
        <w:rPr>
          <w:rFonts w:hint="eastAsia" w:ascii="黑体" w:hAnsi="Times New Roman" w:eastAsia="黑体"/>
          <w:b/>
          <w:sz w:val="32"/>
          <w:szCs w:val="32"/>
        </w:rPr>
      </w:pPr>
    </w:p>
    <w:p w14:paraId="517B72A9">
      <w:pPr>
        <w:autoSpaceDE w:val="0"/>
        <w:autoSpaceDN w:val="0"/>
        <w:adjustRightInd w:val="0"/>
        <w:ind w:left="198" w:firstLine="643" w:firstLineChars="200"/>
        <w:jc w:val="left"/>
        <w:rPr>
          <w:rFonts w:hint="eastAsia" w:ascii="黑体" w:hAnsi="Times New Roman" w:eastAsia="黑体"/>
          <w:b/>
          <w:sz w:val="32"/>
          <w:szCs w:val="32"/>
        </w:rPr>
      </w:pPr>
    </w:p>
    <w:p w14:paraId="77EE1681">
      <w:pPr>
        <w:autoSpaceDE w:val="0"/>
        <w:autoSpaceDN w:val="0"/>
        <w:adjustRightInd w:val="0"/>
        <w:ind w:left="198" w:firstLine="643" w:firstLineChars="200"/>
        <w:jc w:val="left"/>
        <w:rPr>
          <w:rFonts w:hint="eastAsia" w:ascii="黑体" w:hAnsi="Times New Roman" w:eastAsia="黑体"/>
          <w:b/>
          <w:sz w:val="32"/>
          <w:szCs w:val="32"/>
        </w:rPr>
      </w:pPr>
    </w:p>
    <w:p w14:paraId="1F786DCC">
      <w:pPr>
        <w:autoSpaceDE w:val="0"/>
        <w:autoSpaceDN w:val="0"/>
        <w:adjustRightInd w:val="0"/>
        <w:ind w:left="198" w:firstLine="643" w:firstLineChars="200"/>
        <w:jc w:val="left"/>
        <w:rPr>
          <w:rFonts w:ascii="黑体" w:hAnsi="Times New Roman" w:eastAsia="黑体"/>
          <w:b/>
          <w:sz w:val="32"/>
          <w:szCs w:val="32"/>
        </w:rPr>
      </w:pPr>
      <w:r>
        <w:rPr>
          <w:rFonts w:hint="eastAsia" w:ascii="黑体" w:hAnsi="Times New Roman" w:eastAsia="黑体"/>
          <w:b/>
          <w:sz w:val="32"/>
          <w:szCs w:val="32"/>
        </w:rPr>
        <w:t>机构设置：</w:t>
      </w:r>
    </w:p>
    <w:p w14:paraId="261A5C8B">
      <w:pPr>
        <w:jc w:val="center"/>
        <w:outlineLvl w:val="0"/>
        <w:rPr>
          <w:rFonts w:ascii="仿宋_GB2312" w:hAnsi="Times New Roman" w:eastAsia="仿宋_GB2312"/>
          <w:sz w:val="32"/>
          <w:szCs w:val="24"/>
        </w:rPr>
      </w:pPr>
      <w:r>
        <w:rPr>
          <w:rFonts w:hint="eastAsia" w:ascii="仿宋_GB2312" w:hAnsi="Times New Roman" w:eastAsia="仿宋_GB2312"/>
          <w:sz w:val="32"/>
          <w:szCs w:val="24"/>
        </w:rPr>
        <w:t>部门机构设置情况</w:t>
      </w:r>
    </w:p>
    <w:tbl>
      <w:tblPr>
        <w:tblStyle w:val="2"/>
        <w:tblW w:w="136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9"/>
        <w:gridCol w:w="1588"/>
        <w:gridCol w:w="1787"/>
        <w:gridCol w:w="4063"/>
      </w:tblGrid>
      <w:tr w14:paraId="695148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6219" w:type="dxa"/>
            <w:vMerge w:val="restart"/>
            <w:noWrap w:val="0"/>
            <w:vAlign w:val="center"/>
          </w:tcPr>
          <w:p w14:paraId="195FF2A6">
            <w:pPr>
              <w:spacing w:line="300" w:lineRule="exact"/>
              <w:jc w:val="center"/>
              <w:rPr>
                <w:rFonts w:ascii="Times New Roman" w:hAnsi="Times New Roman" w:eastAsia="方正书宋_GBK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方正书宋_GBK"/>
                <w:b/>
                <w:sz w:val="32"/>
                <w:szCs w:val="32"/>
              </w:rPr>
              <w:t>单位名称</w:t>
            </w:r>
          </w:p>
        </w:tc>
        <w:tc>
          <w:tcPr>
            <w:tcW w:w="1588" w:type="dxa"/>
            <w:vMerge w:val="restart"/>
            <w:noWrap w:val="0"/>
            <w:vAlign w:val="center"/>
          </w:tcPr>
          <w:p w14:paraId="7F720873">
            <w:pPr>
              <w:spacing w:line="300" w:lineRule="exact"/>
              <w:jc w:val="center"/>
              <w:rPr>
                <w:rFonts w:ascii="Times New Roman" w:hAnsi="Times New Roman" w:eastAsia="方正书宋_GBK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方正书宋_GBK"/>
                <w:b/>
                <w:sz w:val="32"/>
                <w:szCs w:val="32"/>
              </w:rPr>
              <w:t>单位性质</w:t>
            </w:r>
          </w:p>
        </w:tc>
        <w:tc>
          <w:tcPr>
            <w:tcW w:w="1787" w:type="dxa"/>
            <w:vMerge w:val="restart"/>
            <w:noWrap w:val="0"/>
            <w:vAlign w:val="center"/>
          </w:tcPr>
          <w:p w14:paraId="0C4C1795">
            <w:pPr>
              <w:spacing w:line="300" w:lineRule="exact"/>
              <w:jc w:val="center"/>
              <w:rPr>
                <w:rFonts w:ascii="Times New Roman" w:hAnsi="Times New Roman" w:eastAsia="方正书宋_GBK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方正书宋_GBK"/>
                <w:b/>
                <w:sz w:val="32"/>
                <w:szCs w:val="32"/>
              </w:rPr>
              <w:t>单位规格</w:t>
            </w:r>
          </w:p>
        </w:tc>
        <w:tc>
          <w:tcPr>
            <w:tcW w:w="4063" w:type="dxa"/>
            <w:vMerge w:val="restart"/>
            <w:noWrap w:val="0"/>
            <w:vAlign w:val="center"/>
          </w:tcPr>
          <w:p w14:paraId="3487BCDB">
            <w:pPr>
              <w:spacing w:line="300" w:lineRule="exact"/>
              <w:jc w:val="center"/>
              <w:rPr>
                <w:rFonts w:ascii="Times New Roman" w:hAnsi="Times New Roman" w:eastAsia="方正书宋_GBK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方正书宋_GBK"/>
                <w:b/>
                <w:sz w:val="32"/>
                <w:szCs w:val="32"/>
              </w:rPr>
              <w:t>经费保障形式</w:t>
            </w:r>
          </w:p>
        </w:tc>
      </w:tr>
      <w:tr w14:paraId="1EBC09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6219" w:type="dxa"/>
            <w:vMerge w:val="continue"/>
            <w:noWrap w:val="0"/>
            <w:vAlign w:val="center"/>
          </w:tcPr>
          <w:p w14:paraId="2CEF0B3B">
            <w:pPr>
              <w:spacing w:line="300" w:lineRule="exact"/>
              <w:jc w:val="left"/>
              <w:outlineLvl w:val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88" w:type="dxa"/>
            <w:vMerge w:val="continue"/>
            <w:noWrap w:val="0"/>
            <w:vAlign w:val="center"/>
          </w:tcPr>
          <w:p w14:paraId="29AE55CC">
            <w:pPr>
              <w:spacing w:line="300" w:lineRule="exact"/>
              <w:jc w:val="left"/>
              <w:outlineLvl w:val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87" w:type="dxa"/>
            <w:vMerge w:val="continue"/>
            <w:noWrap w:val="0"/>
            <w:vAlign w:val="center"/>
          </w:tcPr>
          <w:p w14:paraId="7A1924A0">
            <w:pPr>
              <w:spacing w:line="300" w:lineRule="exact"/>
              <w:jc w:val="left"/>
              <w:outlineLvl w:val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063" w:type="dxa"/>
            <w:vMerge w:val="continue"/>
            <w:noWrap w:val="0"/>
            <w:vAlign w:val="center"/>
          </w:tcPr>
          <w:p w14:paraId="35339EFA">
            <w:pPr>
              <w:spacing w:line="300" w:lineRule="exact"/>
              <w:jc w:val="left"/>
              <w:outlineLvl w:val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17CDF1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19" w:type="dxa"/>
            <w:noWrap w:val="0"/>
            <w:vAlign w:val="center"/>
          </w:tcPr>
          <w:p w14:paraId="758969AD">
            <w:pPr>
              <w:spacing w:line="300" w:lineRule="exact"/>
              <w:jc w:val="lef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馆陶县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医疗保障局</w:t>
            </w:r>
          </w:p>
        </w:tc>
        <w:tc>
          <w:tcPr>
            <w:tcW w:w="1588" w:type="dxa"/>
            <w:noWrap w:val="0"/>
            <w:vAlign w:val="center"/>
          </w:tcPr>
          <w:p w14:paraId="5811DB54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</w:t>
            </w:r>
          </w:p>
        </w:tc>
        <w:tc>
          <w:tcPr>
            <w:tcW w:w="1787" w:type="dxa"/>
            <w:noWrap w:val="0"/>
            <w:vAlign w:val="center"/>
          </w:tcPr>
          <w:p w14:paraId="3043E852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正科级</w:t>
            </w:r>
          </w:p>
        </w:tc>
        <w:tc>
          <w:tcPr>
            <w:tcW w:w="4063" w:type="dxa"/>
            <w:noWrap w:val="0"/>
            <w:vAlign w:val="center"/>
          </w:tcPr>
          <w:p w14:paraId="4ADE756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财政拨款</w:t>
            </w:r>
          </w:p>
        </w:tc>
      </w:tr>
    </w:tbl>
    <w:p w14:paraId="305971BD"/>
    <w:p w14:paraId="13E2C535">
      <w:pPr>
        <w:ind w:firstLine="64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二、部门预算安排的总体情况</w:t>
      </w:r>
    </w:p>
    <w:p w14:paraId="5C87C53B">
      <w:pPr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按照预算管理有关规定，目前我县部门预算的编制实行综合预算制度，即全部收入和支出都反映在预算中。</w:t>
      </w:r>
    </w:p>
    <w:p w14:paraId="71A2BF60">
      <w:pPr>
        <w:ind w:firstLine="640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1</w:t>
      </w:r>
      <w:r>
        <w:rPr>
          <w:rFonts w:hint="eastAsia" w:ascii="宋体" w:hAnsi="宋体"/>
          <w:b/>
          <w:sz w:val="32"/>
          <w:szCs w:val="32"/>
        </w:rPr>
        <w:t>、收入说明</w:t>
      </w:r>
    </w:p>
    <w:p w14:paraId="004A200A">
      <w:pPr>
        <w:ind w:firstLine="64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sz w:val="32"/>
          <w:szCs w:val="32"/>
        </w:rPr>
        <w:t>年预算收入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4936.89</w:t>
      </w:r>
      <w:r>
        <w:rPr>
          <w:rFonts w:hint="eastAsia" w:ascii="仿宋_GB2312" w:hAnsi="Times New Roman" w:eastAsia="仿宋_GB2312"/>
          <w:sz w:val="32"/>
          <w:szCs w:val="32"/>
        </w:rPr>
        <w:t>万元，其中：一般公共预算收入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4936.89</w:t>
      </w:r>
      <w:r>
        <w:rPr>
          <w:rFonts w:hint="eastAsia" w:ascii="仿宋_GB2312" w:hAnsi="Times New Roman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政府性</w:t>
      </w:r>
      <w:r>
        <w:rPr>
          <w:rFonts w:hint="eastAsia" w:ascii="仿宋_GB2312" w:hAnsi="Times New Roman" w:eastAsia="仿宋_GB2312"/>
          <w:sz w:val="32"/>
          <w:szCs w:val="32"/>
        </w:rPr>
        <w:t>基金预算收入</w:t>
      </w:r>
      <w:r>
        <w:rPr>
          <w:rFonts w:ascii="仿宋_GB2312" w:hAnsi="Times New Roman" w:eastAsia="仿宋_GB2312"/>
          <w:sz w:val="32"/>
          <w:szCs w:val="32"/>
        </w:rPr>
        <w:t>0</w:t>
      </w:r>
      <w:r>
        <w:rPr>
          <w:rFonts w:hint="eastAsia" w:ascii="仿宋_GB2312" w:hAnsi="Times New Roman" w:eastAsia="仿宋_GB2312"/>
          <w:sz w:val="32"/>
          <w:szCs w:val="32"/>
        </w:rPr>
        <w:t>万元，财政专户核拨收入</w:t>
      </w:r>
      <w:r>
        <w:rPr>
          <w:rFonts w:ascii="仿宋_GB2312" w:hAnsi="Times New Roman" w:eastAsia="仿宋_GB2312"/>
          <w:sz w:val="32"/>
          <w:szCs w:val="32"/>
        </w:rPr>
        <w:t>0</w:t>
      </w:r>
      <w:r>
        <w:rPr>
          <w:rFonts w:hint="eastAsia" w:ascii="仿宋_GB2312" w:hAnsi="Times New Roman" w:eastAsia="仿宋_GB2312"/>
          <w:sz w:val="32"/>
          <w:szCs w:val="32"/>
        </w:rPr>
        <w:t>万元，其他来源收入</w:t>
      </w:r>
      <w:r>
        <w:rPr>
          <w:rFonts w:ascii="仿宋_GB2312" w:hAnsi="Times New Roman" w:eastAsia="仿宋_GB2312"/>
          <w:sz w:val="32"/>
          <w:szCs w:val="32"/>
        </w:rPr>
        <w:t>0</w:t>
      </w:r>
      <w:r>
        <w:rPr>
          <w:rFonts w:hint="eastAsia" w:ascii="仿宋_GB2312" w:hAnsi="Times New Roman" w:eastAsia="仿宋_GB2312"/>
          <w:sz w:val="32"/>
          <w:szCs w:val="32"/>
        </w:rPr>
        <w:t>万元。</w:t>
      </w:r>
    </w:p>
    <w:p w14:paraId="4DD6E622">
      <w:pPr>
        <w:ind w:firstLine="640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</w:rPr>
        <w:t>、支出说明</w:t>
      </w:r>
    </w:p>
    <w:p w14:paraId="086806A1">
      <w:pPr>
        <w:ind w:firstLine="63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年支出预算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4936.89</w:t>
      </w:r>
      <w:r>
        <w:rPr>
          <w:rFonts w:hint="eastAsia" w:ascii="仿宋_GB2312" w:hAnsi="宋体" w:eastAsia="仿宋_GB2312"/>
          <w:sz w:val="32"/>
          <w:szCs w:val="32"/>
        </w:rPr>
        <w:t>万元，其中基本支出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188.07</w:t>
      </w:r>
      <w:r>
        <w:rPr>
          <w:rFonts w:hint="eastAsia" w:ascii="仿宋_GB2312" w:hAnsi="宋体" w:eastAsia="仿宋_GB2312"/>
          <w:sz w:val="32"/>
          <w:szCs w:val="32"/>
        </w:rPr>
        <w:t>万元，包括人员经费和日常公用经费；项目支出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4748.82</w:t>
      </w:r>
      <w:r>
        <w:rPr>
          <w:rFonts w:hint="eastAsia" w:ascii="仿宋_GB2312" w:hAnsi="宋体" w:eastAsia="仿宋_GB2312"/>
          <w:sz w:val="32"/>
          <w:szCs w:val="32"/>
        </w:rPr>
        <w:t>万元，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主要用于城乡居民基本养老保险基金、医疗救助、医疗保障管理事务等正常业务工作的开展和满足事业发展需要。</w:t>
      </w:r>
    </w:p>
    <w:p w14:paraId="41824666">
      <w:pPr>
        <w:numPr>
          <w:ilvl w:val="0"/>
          <w:numId w:val="1"/>
        </w:numPr>
        <w:ind w:firstLine="64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比上年增减情况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 </w:t>
      </w:r>
    </w:p>
    <w:p w14:paraId="3CDABC8A">
      <w:pPr>
        <w:numPr>
          <w:ilvl w:val="0"/>
          <w:numId w:val="0"/>
        </w:numPr>
        <w:ind w:firstLine="640" w:firstLineChars="20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ascii="仿宋_GB2312" w:hAnsi="Times New Roman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/>
          <w:sz w:val="32"/>
          <w:szCs w:val="32"/>
        </w:rPr>
        <w:t>年预算收入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1846.23</w:t>
      </w:r>
      <w:r>
        <w:rPr>
          <w:rFonts w:hint="eastAsia" w:ascii="仿宋_GB2312" w:hAnsi="Times New Roman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3090.66万元；</w:t>
      </w:r>
      <w:r>
        <w:rPr>
          <w:rFonts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2"/>
        </w:rPr>
        <w:t>年支出预算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1846.23</w:t>
      </w:r>
      <w:r>
        <w:rPr>
          <w:rFonts w:hint="eastAsia" w:ascii="仿宋_GB2312" w:hAnsi="宋体" w:eastAsia="仿宋_GB2312"/>
          <w:sz w:val="32"/>
          <w:szCs w:val="32"/>
        </w:rPr>
        <w:t>万元，其中基本支出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347</w:t>
      </w:r>
      <w:r>
        <w:rPr>
          <w:rFonts w:hint="eastAsia" w:ascii="仿宋_GB2312" w:hAnsi="宋体" w:eastAsia="仿宋_GB2312"/>
          <w:sz w:val="32"/>
          <w:szCs w:val="32"/>
        </w:rPr>
        <w:t>万元，包括人员经费和日常公用经费；项目支出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1499.23</w:t>
      </w:r>
      <w:r>
        <w:rPr>
          <w:rFonts w:hint="eastAsia" w:ascii="仿宋_GB2312" w:hAnsi="宋体" w:eastAsia="仿宋_GB2312"/>
          <w:sz w:val="32"/>
          <w:szCs w:val="32"/>
        </w:rPr>
        <w:t>万元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增加支出预算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3090.66万元，其中基本支出减少158.93万元，项目支出增加3249.59万元。</w:t>
      </w:r>
    </w:p>
    <w:p w14:paraId="6DAC97DD">
      <w:pPr>
        <w:autoSpaceDE w:val="0"/>
        <w:autoSpaceDN w:val="0"/>
        <w:adjustRightInd w:val="0"/>
        <w:ind w:left="198" w:firstLine="643" w:firstLineChars="20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三、机关运行经费安排情况</w:t>
      </w:r>
    </w:p>
    <w:p w14:paraId="2B3B47E6">
      <w:pPr>
        <w:autoSpaceDE w:val="0"/>
        <w:autoSpaceDN w:val="0"/>
        <w:adjustRightInd w:val="0"/>
        <w:ind w:left="198" w:firstLine="640" w:firstLineChars="200"/>
        <w:jc w:val="left"/>
        <w:rPr>
          <w:rFonts w:ascii="仿宋_GB2312" w:hAnsi="仿宋" w:eastAsia="仿宋_GB2312"/>
          <w:color w:val="FF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机关运行经费共计安排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45.02</w:t>
      </w:r>
      <w:r>
        <w:rPr>
          <w:rFonts w:hint="eastAsia" w:ascii="仿宋_GB2312" w:hAnsi="仿宋" w:eastAsia="仿宋_GB2312"/>
          <w:sz w:val="32"/>
          <w:szCs w:val="32"/>
        </w:rPr>
        <w:t>万元，为局机关的日常公用及专项公用经费总体安排情况，包括办公及印刷费、邮电费、差旅费、会议费、福利费、日常维修费、专用材料费及一般设备购置费、办公用房水电费、办公用房取暖费、办公用房物业管理费及其他费用等日常运行支出。</w:t>
      </w:r>
    </w:p>
    <w:p w14:paraId="4BF49059">
      <w:pPr>
        <w:autoSpaceDE w:val="0"/>
        <w:autoSpaceDN w:val="0"/>
        <w:adjustRightInd w:val="0"/>
        <w:ind w:left="198" w:firstLine="643" w:firstLineChars="20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四、财政拨款“三公”经费预算情况及增减变化原因</w:t>
      </w:r>
    </w:p>
    <w:p w14:paraId="09C473F5">
      <w:pPr>
        <w:autoSpaceDE w:val="0"/>
        <w:autoSpaceDN w:val="0"/>
        <w:adjustRightInd w:val="0"/>
        <w:ind w:left="198" w:firstLine="640" w:firstLineChars="200"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年，我局财政拨款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“三公”经费预算安排</w:t>
      </w:r>
      <w:r>
        <w:rPr>
          <w:rFonts w:ascii="仿宋_GB2312" w:hAnsi="仿宋" w:eastAsia="仿宋_GB2312"/>
          <w:sz w:val="32"/>
          <w:szCs w:val="32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万元，其中：因公出国（境）费</w:t>
      </w:r>
      <w:r>
        <w:rPr>
          <w:rFonts w:ascii="仿宋_GB2312" w:hAnsi="仿宋" w:eastAsia="仿宋_GB2312"/>
          <w:sz w:val="32"/>
          <w:szCs w:val="32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万元；公务用车购置及运维费</w:t>
      </w:r>
      <w:r>
        <w:rPr>
          <w:rFonts w:ascii="仿宋_GB2312" w:hAnsi="仿宋" w:eastAsia="仿宋_GB2312"/>
          <w:sz w:val="32"/>
          <w:szCs w:val="32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万元（其中：公务用车购置费为</w:t>
      </w:r>
      <w:r>
        <w:rPr>
          <w:rFonts w:ascii="仿宋_GB2312" w:hAnsi="仿宋" w:eastAsia="仿宋_GB2312"/>
          <w:sz w:val="32"/>
          <w:szCs w:val="32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万元，公务用车运行费</w:t>
      </w:r>
      <w:r>
        <w:rPr>
          <w:rFonts w:ascii="仿宋_GB2312" w:hAnsi="仿宋" w:eastAsia="仿宋_GB2312"/>
          <w:sz w:val="32"/>
          <w:szCs w:val="32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ascii="仿宋_GB2312" w:hAnsi="仿宋" w:eastAsia="仿宋_GB2312"/>
          <w:sz w:val="32"/>
          <w:szCs w:val="32"/>
        </w:rPr>
        <w:t>)</w:t>
      </w:r>
      <w:r>
        <w:rPr>
          <w:rFonts w:hint="eastAsia" w:ascii="仿宋_GB2312" w:hAnsi="仿宋" w:eastAsia="仿宋_GB2312"/>
          <w:sz w:val="32"/>
          <w:szCs w:val="32"/>
        </w:rPr>
        <w:t>；公务接待费</w:t>
      </w:r>
      <w:r>
        <w:rPr>
          <w:rFonts w:ascii="仿宋_GB2312" w:hAnsi="仿宋" w:eastAsia="仿宋_GB2312"/>
          <w:sz w:val="32"/>
          <w:szCs w:val="32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2021年“三公”经费预算均为0，没有增减变化。</w:t>
      </w:r>
    </w:p>
    <w:p w14:paraId="5414DEF3">
      <w:pPr>
        <w:numPr>
          <w:ilvl w:val="0"/>
          <w:numId w:val="2"/>
        </w:numPr>
        <w:ind w:firstLine="64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预算绩效信息</w:t>
      </w:r>
    </w:p>
    <w:p w14:paraId="43DC18C4">
      <w:pPr>
        <w:ind w:firstLine="643" w:firstLineChars="200"/>
        <w:jc w:val="left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                        </w:t>
      </w:r>
    </w:p>
    <w:p w14:paraId="0BC71693">
      <w:pPr>
        <w:ind w:firstLine="643" w:firstLineChars="200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第一部分  部门整体绩效目标</w:t>
      </w:r>
    </w:p>
    <w:p w14:paraId="678FD25C">
      <w:pPr>
        <w:autoSpaceDE w:val="0"/>
        <w:autoSpaceDN w:val="0"/>
        <w:adjustRightInd w:val="0"/>
        <w:ind w:left="198" w:firstLine="643" w:firstLineChars="200"/>
        <w:jc w:val="left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（一）总体绩效目标</w:t>
      </w:r>
      <w:r>
        <w:fldChar w:fldCharType="begin"/>
      </w: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instrText xml:space="preserve"> TC </w:instrText>
      </w:r>
      <w:bookmarkStart w:id="0" w:name="_Toc29484628"/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instrText xml:space="preserve">总体绩效目标</w:instrText>
      </w:r>
      <w:bookmarkEnd w:id="0"/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instrText xml:space="preserve"> \f A \l 1 </w:instrText>
      </w: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fldChar w:fldCharType="end"/>
      </w:r>
    </w:p>
    <w:p w14:paraId="798EE76B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bookmarkStart w:id="1" w:name="_Toc471398463"/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年，全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县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医疗保障工作的总体要求是：认真贯彻党的十九大精神，以习近平新时代中国特色社会主义思想为指导，全面贯彻落实 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县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委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县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政府的工作部署以及全省、全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县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医疗保障工作会议精神，围绕 维护医保基金安全，破解百姓“看病难”、“看病贵”难题，提供高水 平服务、建设高素质队伍，构筑全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县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医疗保障“四梁八柱”工作框架。开展打击欺诈骗保系列专项活动，全面落实习近平总书记“决不能让 医保基金成为新的‘唐僧肉’，任由骗取”的批示，守牢医保基金安全底线。创建医药品集中采购使用管控新机制。以改革创新为主题，实施创制性改革，办好为民实事，通过一系列改革，释放出更多的医保 改革红利惠及百姓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18E25B16"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rPr>
          <w:rFonts w:ascii="楷体" w:hAnsi="楷体" w:eastAsia="楷体" w:cs="楷体"/>
          <w:b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分项绩效目标</w:t>
      </w:r>
      <w:r>
        <w:rPr>
          <w:rFonts w:ascii="楷体" w:hAnsi="楷体" w:eastAsia="楷体" w:cs="楷体"/>
          <w:b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5827FFCF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楷体" w:hAnsi="楷体" w:eastAsia="楷体" w:cs="楷体"/>
          <w:b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 w:val="31"/>
          <w:szCs w:val="31"/>
          <w:lang w:val="en-US" w:eastAsia="zh-CN" w:bidi="ar"/>
        </w:rPr>
        <w:t xml:space="preserve">    1、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医疗保障事务</w:t>
      </w:r>
    </w:p>
    <w:p w14:paraId="47531496">
      <w:pPr>
        <w:keepNext w:val="0"/>
        <w:keepLines w:val="0"/>
        <w:widowControl/>
        <w:suppressLineNumbers w:val="0"/>
        <w:ind w:firstLine="62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绩效目标：组织制定全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县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城镇职工、城乡居民参保筹资和保障待遇政策，统筹城乡医疗保障政策标准，建立健全与筹资水平相适应的待遇调整机制，组织实施长期护理保险制度。</w:t>
      </w:r>
    </w:p>
    <w:p w14:paraId="19201E75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绩效指标：保障全县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城镇职工、城乡居民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的参保、待遇支付率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。 </w:t>
      </w:r>
    </w:p>
    <w:p w14:paraId="55917A6F">
      <w:pPr>
        <w:keepNext w:val="0"/>
        <w:keepLines w:val="0"/>
        <w:widowControl/>
        <w:numPr>
          <w:ilvl w:val="0"/>
          <w:numId w:val="4"/>
        </w:numPr>
        <w:suppressLineNumbers w:val="0"/>
        <w:ind w:firstLine="62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医保基金安全管理</w:t>
      </w:r>
    </w:p>
    <w:p w14:paraId="298DD0A5"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绩效目标：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完善全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县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医疗保障基金监督管理办法，建立健全医疗保障基金安全防控机制，组织建设智能监控平台，推进医疗保障基金支付方式改革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11757221"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绩效指标：全县医保基金安全运行。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30904A67">
      <w:pPr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62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医药服务管理</w:t>
      </w:r>
    </w:p>
    <w:p w14:paraId="3E28C21D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 w:firstLine="310" w:firstLineChars="1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绩效目标：组织实施全省城乡统一的药品、医用耗材、医疗服务项目、医疗服务设施等医保目录和支付标准，目录范围内报销比例达到 80%以上。组织落实省药品、医用耗材价格和医疗服务项目、医疗服务设施收费等政策。调控管理全市麻醉药品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第一类精神药品、医疗服务、医用耗材价格，按照价格管理权限研究拟订定价原则、办法并组织实施。建立医保支付医药服务价格合理确定和动态调整机制，依法管理药品、医用耗材、医疗服务价格政策执 行情况。建立完善药品、医用耗材和医疗服务价格监测信息发布制度。创建市药品、医用耗材招标采购平台，组织实施全市药品、医用耗材的招标采购，有效降低医药品的虚高价格。制定全市定点医药机构协议和支付管理办法并组织实施。建立健全医疗保障信用评价体系和信息披露制度，监督管理定点医药机构的医疗服务行为、医疗费用和医药价格，依法查处医疗保障领域违法违规行为。</w:t>
      </w:r>
    </w:p>
    <w:p w14:paraId="723DA250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 w:firstLine="310" w:firstLineChars="10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绩效指标：提高药品招采占比，确保医疗保障待遇落实到位。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0A936EAA">
      <w:pPr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62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服务群众</w:t>
      </w:r>
    </w:p>
    <w:p w14:paraId="026891C5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 w:firstLine="310" w:firstLineChars="1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绩效目标：通过医疗保障经办管理、公共服务体系和信息化建设，提高群众办事效率和满意度。制定完善异地就医管理和费用结算政策并组织实施。建立健全医疗保障关系转移接续制度。组织实施特殊人群的医疗保障待遇办法。</w:t>
      </w:r>
    </w:p>
    <w:p w14:paraId="37F43FB1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 w:firstLine="310" w:firstLineChars="10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绩效指标：完善医疗保险政策，提高医疗保险待遇水平</w:t>
      </w:r>
    </w:p>
    <w:p w14:paraId="146DC3D7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（三）工作保障措施</w:t>
      </w:r>
    </w:p>
    <w:p w14:paraId="2540DAC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（一）构建“四梁八柱”工作立体框架。 </w:t>
      </w:r>
    </w:p>
    <w:p w14:paraId="3CF5F66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1、价格控制体系，包含创建药品集中招标采购机制和医保支付方式改革机制。 </w:t>
      </w:r>
    </w:p>
    <w:p w14:paraId="37E37D1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2、基金管控体系，包含标化稽查执法管控机制和医疗行为管控机制。 </w:t>
      </w:r>
    </w:p>
    <w:p w14:paraId="0B87DB6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3、技术支撑体系，包含标化专家评审机制和信息化运行机制。 </w:t>
      </w:r>
    </w:p>
    <w:p w14:paraId="0A9329D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4、明责问责体系，包含创建权责一致的明责机制和公正严明的问责机制。 </w:t>
      </w:r>
    </w:p>
    <w:p w14:paraId="1FEE92B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（二）全面加强医保基金监管，维护基金安全。 </w:t>
      </w:r>
    </w:p>
    <w:p w14:paraId="07BD226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1、强化稽核稽查工作。</w:t>
      </w:r>
    </w:p>
    <w:p w14:paraId="37FEF83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2、加大欺诈骗保案件查办力度。 </w:t>
      </w:r>
    </w:p>
    <w:p w14:paraId="5AD0CDC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3、加强重点医药机构监管。 </w:t>
      </w:r>
    </w:p>
    <w:p w14:paraId="12B84EF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4、强化技术监管，运用好实时监控平台，常态化监管。 </w:t>
      </w:r>
    </w:p>
    <w:p w14:paraId="5D57BD1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（三）全面加强党的建设，打造高素质专业化干部队伍。 </w:t>
      </w:r>
    </w:p>
    <w:p w14:paraId="740CF98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1、全面落实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党的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十九大精神。 </w:t>
      </w:r>
    </w:p>
    <w:p w14:paraId="223F390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2、全面加强党的政治建设。 </w:t>
      </w:r>
    </w:p>
    <w:p w14:paraId="0A7AD54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3、全面加强党风廉政建设。 </w:t>
      </w:r>
    </w:p>
    <w:p w14:paraId="4B4934F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4、全面加强法治建设。 </w:t>
      </w:r>
    </w:p>
    <w:p w14:paraId="7CB5EEA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5、全面加强信息化建设。 </w:t>
      </w:r>
    </w:p>
    <w:p w14:paraId="4B1C3E1A">
      <w:pPr>
        <w:keepNext w:val="0"/>
        <w:keepLines w:val="0"/>
        <w:widowControl/>
        <w:suppressLineNumbers w:val="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6、全面加强队伍能力建设。</w:t>
      </w:r>
    </w:p>
    <w:p w14:paraId="4EEBB9E3">
      <w:pPr>
        <w:ind w:firstLine="630" w:firstLineChars="196"/>
        <w:outlineLvl w:val="0"/>
        <w:rPr>
          <w:rFonts w:hint="eastAsia" w:ascii="黑体" w:hAnsi="黑体" w:eastAsia="黑体"/>
          <w:b/>
          <w:sz w:val="32"/>
          <w:szCs w:val="32"/>
        </w:rPr>
      </w:pPr>
    </w:p>
    <w:p w14:paraId="2C7BA1E9">
      <w:pPr>
        <w:ind w:firstLine="630" w:firstLineChars="196"/>
        <w:outlineLvl w:val="0"/>
        <w:rPr>
          <w:rFonts w:hint="eastAsia" w:ascii="黑体" w:hAnsi="黑体" w:eastAsia="黑体"/>
          <w:b/>
          <w:sz w:val="32"/>
          <w:szCs w:val="32"/>
        </w:rPr>
      </w:pPr>
    </w:p>
    <w:p w14:paraId="25A3DFB5">
      <w:pPr>
        <w:numPr>
          <w:ilvl w:val="0"/>
          <w:numId w:val="0"/>
        </w:numPr>
        <w:autoSpaceDE w:val="0"/>
        <w:autoSpaceDN w:val="0"/>
        <w:adjustRightInd w:val="0"/>
        <w:ind w:leftChars="200"/>
        <w:jc w:val="both"/>
        <w:rPr>
          <w:rFonts w:hint="eastAsia" w:ascii="Times New Roman" w:hAnsi="Times New Roman" w:eastAsia="方正仿宋_GBK" w:cs="Times New Roman"/>
          <w:b/>
          <w:sz w:val="32"/>
          <w:szCs w:val="32"/>
        </w:rPr>
      </w:pPr>
    </w:p>
    <w:p w14:paraId="5CD2C385">
      <w:pPr>
        <w:numPr>
          <w:ilvl w:val="0"/>
          <w:numId w:val="0"/>
        </w:numPr>
        <w:autoSpaceDE w:val="0"/>
        <w:autoSpaceDN w:val="0"/>
        <w:adjustRightInd w:val="0"/>
        <w:ind w:leftChars="200"/>
        <w:jc w:val="both"/>
        <w:rPr>
          <w:rFonts w:hint="eastAsia" w:ascii="宋体" w:hAnsi="宋体" w:eastAsia="宋体" w:cs="宋体"/>
          <w:b w:val="0"/>
          <w:bCs/>
          <w:sz w:val="32"/>
          <w:szCs w:val="32"/>
        </w:rPr>
      </w:pPr>
    </w:p>
    <w:p w14:paraId="230C2F85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eastAsia" w:ascii="宋体" w:hAnsi="宋体" w:eastAsia="宋体" w:cs="宋体"/>
          <w:b w:val="0"/>
          <w:bCs/>
          <w:sz w:val="32"/>
          <w:szCs w:val="32"/>
        </w:rPr>
      </w:pPr>
    </w:p>
    <w:p w14:paraId="0EBEF19A">
      <w:pPr>
        <w:numPr>
          <w:ilvl w:val="0"/>
          <w:numId w:val="5"/>
        </w:numPr>
        <w:autoSpaceDE w:val="0"/>
        <w:autoSpaceDN w:val="0"/>
        <w:adjustRightInd w:val="0"/>
        <w:ind w:left="198" w:firstLine="883" w:firstLineChars="20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预算项目绩效目标</w:t>
      </w:r>
    </w:p>
    <w:p w14:paraId="5C659CA2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 w14:paraId="1308C1CC">
      <w:pPr>
        <w:numPr>
          <w:ilvl w:val="0"/>
          <w:numId w:val="0"/>
        </w:numPr>
        <w:autoSpaceDE w:val="0"/>
        <w:autoSpaceDN w:val="0"/>
        <w:adjustRightInd w:val="0"/>
        <w:ind w:leftChars="200"/>
        <w:jc w:val="center"/>
        <w:rPr>
          <w:rFonts w:hint="eastAsia" w:ascii="黑体" w:hAnsi="黑体" w:eastAsia="黑体" w:cs="黑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2021年离休人员医疗费县级负担资金绩效目标表</w:t>
      </w:r>
    </w:p>
    <w:p w14:paraId="01D62652">
      <w:pPr>
        <w:numPr>
          <w:ilvl w:val="0"/>
          <w:numId w:val="0"/>
        </w:numPr>
        <w:autoSpaceDE w:val="0"/>
        <w:autoSpaceDN w:val="0"/>
        <w:adjustRightInd w:val="0"/>
        <w:ind w:leftChars="200"/>
        <w:jc w:val="both"/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2"/>
        <w:tblW w:w="1503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920"/>
        <w:gridCol w:w="1678"/>
        <w:gridCol w:w="3450"/>
        <w:gridCol w:w="2464"/>
        <w:gridCol w:w="1586"/>
        <w:gridCol w:w="331"/>
        <w:gridCol w:w="90"/>
        <w:gridCol w:w="2011"/>
        <w:gridCol w:w="421"/>
      </w:tblGrid>
      <w:tr w14:paraId="20706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1" w:type="dxa"/>
          <w:trHeight w:val="1230" w:hRule="atLeast"/>
        </w:trPr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C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16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4C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目标1：夯实医疗保险和离休干部医疗保障基础管理，落实离休干部医疗保障政策。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目标2：稳步提高医疗保障水平，确保各项医疗待遇落实到位。</w:t>
            </w:r>
          </w:p>
        </w:tc>
      </w:tr>
      <w:tr w14:paraId="2AC19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1" w:type="dxa"/>
          <w:trHeight w:val="146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F5F00"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eastAsia="方正书宋_GBK"/>
                <w:b/>
              </w:rPr>
              <w:t>一级指标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5C702"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eastAsia="方正书宋_GBK"/>
                <w:b/>
              </w:rPr>
              <w:t>二级指标</w:t>
            </w:r>
          </w:p>
        </w:tc>
        <w:tc>
          <w:tcPr>
            <w:tcW w:w="16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F2662"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eastAsia="方正书宋_GBK"/>
                <w:b/>
              </w:rPr>
              <w:t>三级指标</w:t>
            </w:r>
          </w:p>
        </w:tc>
        <w:tc>
          <w:tcPr>
            <w:tcW w:w="3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DD030"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eastAsia="方正书宋_GBK"/>
                <w:b/>
              </w:rPr>
              <w:t>绩效指标描述</w:t>
            </w:r>
          </w:p>
        </w:tc>
        <w:tc>
          <w:tcPr>
            <w:tcW w:w="40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ABEB9"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eastAsia="方正书宋_GBK"/>
                <w:b/>
              </w:rPr>
              <w:t>指标值</w:t>
            </w:r>
          </w:p>
        </w:tc>
        <w:tc>
          <w:tcPr>
            <w:tcW w:w="243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66DBE"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eastAsia="方正书宋_GBK"/>
                <w:b/>
              </w:rPr>
              <w:t>指标值确定依据</w:t>
            </w:r>
          </w:p>
        </w:tc>
      </w:tr>
      <w:tr w14:paraId="0F65C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1" w:type="dxa"/>
          <w:trHeight w:val="87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ECB47">
            <w:pPr>
              <w:spacing w:line="300" w:lineRule="exact"/>
              <w:jc w:val="center"/>
              <w:rPr>
                <w:rFonts w:ascii="方正书宋_GBK" w:eastAsia="方正书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eastAsia="方正书宋_GBK" w:cs="方正书宋_GBK"/>
              </w:rPr>
              <w:t>产出指标</w:t>
            </w:r>
          </w:p>
          <w:p w14:paraId="65D1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780F8">
            <w:pPr>
              <w:spacing w:line="300" w:lineRule="exact"/>
              <w:jc w:val="left"/>
              <w:rPr>
                <w:rFonts w:hint="eastAsia" w:ascii="方正书宋_GBK" w:eastAsia="方正书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eastAsia="方正书宋_GBK" w:cs="方正书宋_GBK"/>
              </w:rPr>
              <w:t>数量指标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5D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医疗保障报销及时率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5C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医疗保障报销事项在规定时间内及时办结情况</w:t>
            </w: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722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2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8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政府规定及部门文件</w:t>
            </w:r>
          </w:p>
        </w:tc>
      </w:tr>
      <w:tr w14:paraId="57871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1" w:type="dxa"/>
          <w:trHeight w:val="97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D2EF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CECE5">
            <w:pPr>
              <w:spacing w:line="300" w:lineRule="exact"/>
              <w:jc w:val="left"/>
              <w:rPr>
                <w:rFonts w:hint="eastAsia" w:ascii="方正书宋_GBK" w:eastAsia="方正书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eastAsia="方正书宋_GBK" w:cs="方正书宋_GBK"/>
              </w:rPr>
              <w:t>数量指标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6F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已参保的医疗保障政策覆盖率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E3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医疗保障享受待遇人数与应享受待遇人数之间的比率</w:t>
            </w: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F08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2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5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政府规定及部门文件</w:t>
            </w:r>
          </w:p>
        </w:tc>
      </w:tr>
      <w:tr w14:paraId="14822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1" w:type="dxa"/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0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77652">
            <w:pPr>
              <w:spacing w:line="300" w:lineRule="exact"/>
              <w:jc w:val="left"/>
              <w:rPr>
                <w:rFonts w:hint="eastAsia" w:ascii="方正书宋_GBK" w:eastAsia="方正书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eastAsia="方正书宋_GBK" w:cs="方正书宋_GBK"/>
              </w:rPr>
              <w:t>时效指标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69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提高医疗保障经办管理水平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B2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提高医疗保障经办管理水平，确保医疗保障待遇落到实处</w:t>
            </w: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D35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2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B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政府规定及部门文件</w:t>
            </w:r>
          </w:p>
        </w:tc>
      </w:tr>
      <w:tr w14:paraId="2D6D5D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1" w:type="dxa"/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9696A">
            <w:pPr>
              <w:spacing w:line="300" w:lineRule="exact"/>
              <w:jc w:val="center"/>
              <w:rPr>
                <w:rFonts w:hint="eastAsia" w:ascii="方正书宋_GBK" w:eastAsia="方正书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eastAsia="方正书宋_GBK" w:cs="方正书宋_GBK"/>
              </w:rPr>
              <w:t>满意度指标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2275A">
            <w:pPr>
              <w:spacing w:line="300" w:lineRule="exact"/>
              <w:jc w:val="left"/>
              <w:rPr>
                <w:rFonts w:hint="eastAsia" w:ascii="方正书宋_GBK" w:eastAsia="方正书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eastAsia="方正书宋_GBK" w:cs="方正书宋_GBK"/>
              </w:rPr>
              <w:t>服务对象满意度指标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639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完善医疗保障政策，确保待遇落实到位。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61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完善医疗保障政策，确保待遇落实到位。</w:t>
            </w: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DE834">
            <w:pPr>
              <w:ind w:firstLine="1800" w:firstLineChars="1000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2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3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政府规定及部门文件</w:t>
            </w:r>
          </w:p>
        </w:tc>
      </w:tr>
      <w:tr w14:paraId="56364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noWrap w:val="0"/>
            <w:vAlign w:val="center"/>
          </w:tcPr>
          <w:p w14:paraId="214A8F08">
            <w:pPr>
              <w:spacing w:line="300" w:lineRule="exact"/>
              <w:jc w:val="center"/>
              <w:rPr>
                <w:rFonts w:hint="eastAsia" w:ascii="方正书宋_GBK" w:eastAsia="方正书宋_GBK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BB3EC70">
            <w:pPr>
              <w:spacing w:line="300" w:lineRule="exact"/>
              <w:jc w:val="left"/>
              <w:rPr>
                <w:rFonts w:hint="eastAsia" w:ascii="方正书宋_GBK" w:eastAsia="方正书宋_GBK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78" w:type="dxa"/>
            <w:noWrap w:val="0"/>
            <w:vAlign w:val="top"/>
          </w:tcPr>
          <w:p w14:paraId="072B0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noWrap w:val="0"/>
            <w:vAlign w:val="top"/>
          </w:tcPr>
          <w:p w14:paraId="2A280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4" w:type="dxa"/>
            <w:noWrap w:val="0"/>
            <w:vAlign w:val="top"/>
          </w:tcPr>
          <w:p w14:paraId="73D6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7" w:type="dxa"/>
            <w:gridSpan w:val="2"/>
            <w:noWrap w:val="0"/>
            <w:vAlign w:val="top"/>
          </w:tcPr>
          <w:p w14:paraId="3BC6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" w:type="dxa"/>
            <w:noWrap w:val="0"/>
            <w:vAlign w:val="top"/>
          </w:tcPr>
          <w:p w14:paraId="727B9D6B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2" w:type="dxa"/>
            <w:gridSpan w:val="2"/>
            <w:noWrap w:val="0"/>
            <w:vAlign w:val="top"/>
          </w:tcPr>
          <w:p w14:paraId="4603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01C0C2C">
      <w:pPr>
        <w:ind w:firstLine="630" w:firstLineChars="196"/>
        <w:outlineLvl w:val="0"/>
        <w:rPr>
          <w:rFonts w:hint="eastAsia" w:ascii="黑体" w:hAnsi="黑体" w:eastAsia="黑体"/>
          <w:b/>
          <w:sz w:val="32"/>
          <w:szCs w:val="32"/>
        </w:rPr>
      </w:pPr>
    </w:p>
    <w:p w14:paraId="0F4E184F">
      <w:pPr>
        <w:ind w:firstLine="630" w:firstLineChars="196"/>
        <w:jc w:val="center"/>
        <w:outlineLvl w:val="0"/>
        <w:rPr>
          <w:rFonts w:hint="eastAsia" w:ascii="黑体" w:hAnsi="黑体" w:eastAsia="黑体"/>
          <w:b/>
          <w:sz w:val="32"/>
          <w:szCs w:val="32"/>
        </w:rPr>
      </w:pPr>
    </w:p>
    <w:p w14:paraId="628C1611">
      <w:pPr>
        <w:ind w:firstLine="630" w:firstLineChars="196"/>
        <w:jc w:val="center"/>
        <w:outlineLvl w:val="0"/>
        <w:rPr>
          <w:rFonts w:hint="eastAsia" w:ascii="黑体" w:hAnsi="黑体" w:eastAsia="黑体"/>
          <w:b/>
          <w:sz w:val="32"/>
          <w:szCs w:val="32"/>
        </w:rPr>
      </w:pPr>
    </w:p>
    <w:p w14:paraId="530E774C">
      <w:pPr>
        <w:ind w:firstLine="630" w:firstLineChars="196"/>
        <w:jc w:val="center"/>
        <w:outlineLvl w:val="0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城乡居民基本医疗保险政府补助县级负担资金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绩效目标表</w:t>
      </w:r>
    </w:p>
    <w:p w14:paraId="2AC56A4C">
      <w:pPr>
        <w:ind w:firstLine="630" w:firstLineChars="196"/>
        <w:outlineLvl w:val="0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</w:p>
    <w:tbl>
      <w:tblPr>
        <w:tblStyle w:val="2"/>
        <w:tblW w:w="1470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2260"/>
        <w:gridCol w:w="2851"/>
        <w:gridCol w:w="3325"/>
        <w:gridCol w:w="36"/>
        <w:gridCol w:w="1489"/>
        <w:gridCol w:w="3369"/>
        <w:gridCol w:w="90"/>
      </w:tblGrid>
      <w:tr w14:paraId="75D5E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1230" w:hRule="atLeast"/>
        </w:trPr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0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1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259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目标1：完善城乡居民基本医疗保险基础管理，落实城乡居民医疗保障政策。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目标2：稳步提高医疗保障水平，确保各项医疗待遇落实到位。</w:t>
            </w:r>
          </w:p>
        </w:tc>
      </w:tr>
      <w:tr w14:paraId="3BCED0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1219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F431F"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eastAsia="方正书宋_GBK"/>
                <w:b/>
              </w:rPr>
              <w:t>一级指标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49C96"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eastAsia="方正书宋_GBK"/>
                <w:b/>
              </w:rPr>
              <w:t>二级指标</w:t>
            </w:r>
          </w:p>
        </w:tc>
        <w:tc>
          <w:tcPr>
            <w:tcW w:w="2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EF5A4"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eastAsia="方正书宋_GBK"/>
                <w:b/>
              </w:rPr>
              <w:t>三级指标</w:t>
            </w:r>
          </w:p>
        </w:tc>
        <w:tc>
          <w:tcPr>
            <w:tcW w:w="33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EF297"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eastAsia="方正书宋_GBK"/>
                <w:b/>
              </w:rPr>
              <w:t>绩效指标描述</w:t>
            </w:r>
          </w:p>
        </w:tc>
        <w:tc>
          <w:tcPr>
            <w:tcW w:w="152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1F129"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eastAsia="方正书宋_GBK"/>
                <w:b/>
              </w:rPr>
              <w:t>指标值</w:t>
            </w:r>
          </w:p>
        </w:tc>
        <w:tc>
          <w:tcPr>
            <w:tcW w:w="33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D99F5"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eastAsia="方正书宋_GBK"/>
                <w:b/>
              </w:rPr>
              <w:t>指标值确定依据</w:t>
            </w:r>
          </w:p>
        </w:tc>
      </w:tr>
      <w:tr w14:paraId="00898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F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A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4D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医疗保障报销及时率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63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医疗保障报销事项在规定时间内及时办结情况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6C0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A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3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DFC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政府规定及部门文件</w:t>
            </w:r>
          </w:p>
        </w:tc>
      </w:tr>
      <w:tr w14:paraId="47B99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28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583E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5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302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已参保的医疗保障政策覆盖率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46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医疗保障享受待遇人数与应享受待遇人数之间的比率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C8B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2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3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0B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政府规定及部门文件</w:t>
            </w:r>
          </w:p>
        </w:tc>
      </w:tr>
      <w:tr w14:paraId="50042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8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2CE1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6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45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61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1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E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45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0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2E8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8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D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D8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提高医疗保障经办管理水平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1C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提高医疗保障经办管理水平，确保医疗保障待遇落到实处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7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E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3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6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政府规定及部门文件</w:t>
            </w:r>
          </w:p>
        </w:tc>
      </w:tr>
      <w:tr w14:paraId="0DD9C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8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2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D3E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完善医疗保障政策，确保待遇落实到位。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F4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完善医疗保障政策，确保待遇落实到位。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1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F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3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2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政府规定及部门文件</w:t>
            </w:r>
          </w:p>
        </w:tc>
      </w:tr>
    </w:tbl>
    <w:p w14:paraId="77CCED01">
      <w:pPr>
        <w:ind w:firstLine="630" w:firstLineChars="196"/>
        <w:outlineLvl w:val="0"/>
        <w:rPr>
          <w:rFonts w:hint="default" w:ascii="黑体" w:hAnsi="黑体" w:eastAsia="黑体"/>
          <w:b/>
          <w:sz w:val="32"/>
          <w:szCs w:val="32"/>
          <w:lang w:val="en-US" w:eastAsia="zh-CN"/>
        </w:rPr>
      </w:pPr>
    </w:p>
    <w:p w14:paraId="37A3EA32">
      <w:pPr>
        <w:ind w:firstLine="630" w:firstLineChars="196"/>
        <w:jc w:val="center"/>
        <w:outlineLvl w:val="0"/>
        <w:rPr>
          <w:rFonts w:hint="eastAsia" w:ascii="黑体" w:hAnsi="黑体" w:eastAsia="黑体"/>
          <w:b/>
          <w:sz w:val="32"/>
          <w:szCs w:val="32"/>
        </w:rPr>
      </w:pPr>
    </w:p>
    <w:p w14:paraId="297E9B75">
      <w:pPr>
        <w:ind w:firstLine="630" w:firstLineChars="196"/>
        <w:jc w:val="center"/>
        <w:outlineLvl w:val="0"/>
        <w:rPr>
          <w:rFonts w:hint="eastAsia" w:ascii="黑体" w:hAnsi="黑体" w:eastAsia="黑体"/>
          <w:b/>
          <w:sz w:val="32"/>
          <w:szCs w:val="32"/>
        </w:rPr>
      </w:pPr>
    </w:p>
    <w:p w14:paraId="3CD475FB">
      <w:pPr>
        <w:ind w:firstLine="630" w:firstLineChars="196"/>
        <w:jc w:val="center"/>
        <w:outlineLvl w:val="0"/>
        <w:rPr>
          <w:rFonts w:hint="eastAsia" w:ascii="黑体" w:hAnsi="黑体" w:eastAsia="黑体"/>
          <w:b/>
          <w:sz w:val="32"/>
          <w:szCs w:val="32"/>
        </w:rPr>
      </w:pPr>
    </w:p>
    <w:p w14:paraId="5881874B">
      <w:pPr>
        <w:ind w:firstLine="630" w:firstLineChars="196"/>
        <w:jc w:val="center"/>
        <w:outlineLvl w:val="0"/>
        <w:rPr>
          <w:rFonts w:hint="eastAsia" w:ascii="黑体" w:hAnsi="黑体" w:eastAsia="黑体"/>
          <w:b/>
          <w:sz w:val="32"/>
          <w:szCs w:val="32"/>
        </w:rPr>
      </w:pPr>
    </w:p>
    <w:p w14:paraId="57AA9228">
      <w:pPr>
        <w:ind w:firstLine="630" w:firstLineChars="196"/>
        <w:jc w:val="center"/>
        <w:outlineLvl w:val="0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城乡居民医疗救助政府补助县级负担资金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绩效目标表</w:t>
      </w:r>
    </w:p>
    <w:p w14:paraId="22176333">
      <w:pPr>
        <w:ind w:firstLine="630" w:firstLineChars="196"/>
        <w:outlineLvl w:val="0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</w:p>
    <w:tbl>
      <w:tblPr>
        <w:tblStyle w:val="2"/>
        <w:tblW w:w="146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1"/>
        <w:gridCol w:w="1875"/>
        <w:gridCol w:w="2995"/>
        <w:gridCol w:w="3500"/>
        <w:gridCol w:w="1753"/>
        <w:gridCol w:w="3426"/>
      </w:tblGrid>
      <w:tr w14:paraId="199953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2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6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1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DF2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目标1：持续实施重特大疾病医疗救助。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目标2：强化医疗救助规范化管理。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目标3：稳步提高医疗救助水平，确保医疗救助待遇落实到位。</w:t>
            </w:r>
          </w:p>
        </w:tc>
      </w:tr>
      <w:tr w14:paraId="3E896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7E06F"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eastAsia="方正书宋_GBK"/>
                <w:b/>
              </w:rPr>
              <w:t>一级指标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7E29E"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eastAsia="方正书宋_GBK"/>
                <w:b/>
              </w:rPr>
              <w:t>二级指标</w:t>
            </w:r>
          </w:p>
        </w:tc>
        <w:tc>
          <w:tcPr>
            <w:tcW w:w="29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065F0"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eastAsia="方正书宋_GBK"/>
                <w:b/>
              </w:rPr>
              <w:t>三级指标</w:t>
            </w:r>
          </w:p>
        </w:tc>
        <w:tc>
          <w:tcPr>
            <w:tcW w:w="3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0E91A"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eastAsia="方正书宋_GBK"/>
                <w:b/>
              </w:rPr>
              <w:t>绩效指标描述</w:t>
            </w:r>
          </w:p>
        </w:tc>
        <w:tc>
          <w:tcPr>
            <w:tcW w:w="17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38E3B"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eastAsia="方正书宋_GBK"/>
                <w:b/>
              </w:rPr>
              <w:t>指标值</w:t>
            </w:r>
          </w:p>
        </w:tc>
        <w:tc>
          <w:tcPr>
            <w:tcW w:w="3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1E16E"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eastAsia="方正书宋_GBK"/>
                <w:b/>
              </w:rPr>
              <w:t>指标值确定依据</w:t>
            </w:r>
          </w:p>
        </w:tc>
      </w:tr>
      <w:tr w14:paraId="61F07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6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1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B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FF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医疗保障报销及时率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2B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医疗保障报销事项在规定时间内及时办结情况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A9C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C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政府规定及部门文件</w:t>
            </w:r>
          </w:p>
        </w:tc>
      </w:tr>
      <w:tr w14:paraId="1E381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06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101B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8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81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医疗救助待遇到位率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DB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医疗救助享受待遇人数与应享受待遇人数之间比率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F1B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D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政府规定及部门文件</w:t>
            </w:r>
          </w:p>
        </w:tc>
      </w:tr>
      <w:tr w14:paraId="0188C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F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5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AB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提高医疗保障经办管理水平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D0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提高医疗保障经办管理水平，确保医疗保障待遇落到实处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272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90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政府规定及部门文件</w:t>
            </w:r>
          </w:p>
        </w:tc>
      </w:tr>
      <w:tr w14:paraId="1F3C8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8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F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63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确保政策落地生效。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68A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巩固医疗救助覆盖范围，确保政策落地生效。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B2BB5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95%</w:t>
            </w:r>
          </w:p>
        </w:tc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1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政府规定及部门文件</w:t>
            </w:r>
          </w:p>
        </w:tc>
      </w:tr>
    </w:tbl>
    <w:p w14:paraId="3565D3CC">
      <w:pPr>
        <w:ind w:firstLine="630" w:firstLineChars="196"/>
        <w:outlineLvl w:val="0"/>
        <w:rPr>
          <w:rFonts w:hint="default" w:ascii="黑体" w:hAnsi="黑体" w:eastAsia="黑体"/>
          <w:b/>
          <w:sz w:val="32"/>
          <w:szCs w:val="32"/>
          <w:lang w:val="en-US" w:eastAsia="zh-CN"/>
        </w:rPr>
      </w:pPr>
    </w:p>
    <w:p w14:paraId="1735CC9A">
      <w:pPr>
        <w:ind w:firstLine="630" w:firstLineChars="196"/>
        <w:jc w:val="center"/>
        <w:outlineLvl w:val="0"/>
        <w:rPr>
          <w:rFonts w:hint="default" w:ascii="黑体" w:hAnsi="黑体" w:eastAsia="黑体"/>
          <w:b/>
          <w:sz w:val="32"/>
          <w:szCs w:val="32"/>
          <w:lang w:val="en-US" w:eastAsia="zh-CN"/>
        </w:rPr>
      </w:pPr>
    </w:p>
    <w:p w14:paraId="005CA723">
      <w:pPr>
        <w:ind w:firstLine="630" w:firstLineChars="196"/>
        <w:jc w:val="center"/>
        <w:outlineLvl w:val="0"/>
        <w:rPr>
          <w:rFonts w:hint="default" w:ascii="黑体" w:hAnsi="黑体" w:eastAsia="黑体"/>
          <w:b/>
          <w:sz w:val="32"/>
          <w:szCs w:val="32"/>
          <w:lang w:val="en-US" w:eastAsia="zh-CN"/>
        </w:rPr>
      </w:pPr>
    </w:p>
    <w:p w14:paraId="57EE06DC">
      <w:pPr>
        <w:ind w:firstLine="630" w:firstLineChars="196"/>
        <w:jc w:val="center"/>
        <w:outlineLvl w:val="0"/>
        <w:rPr>
          <w:rFonts w:hint="default" w:ascii="黑体" w:hAnsi="黑体" w:eastAsia="黑体"/>
          <w:b/>
          <w:sz w:val="32"/>
          <w:szCs w:val="32"/>
          <w:lang w:val="en-US" w:eastAsia="zh-CN"/>
        </w:rPr>
      </w:pPr>
    </w:p>
    <w:p w14:paraId="4FC95524">
      <w:pPr>
        <w:ind w:firstLine="630" w:firstLineChars="196"/>
        <w:jc w:val="center"/>
        <w:outlineLvl w:val="0"/>
        <w:rPr>
          <w:rFonts w:hint="default" w:ascii="黑体" w:hAnsi="黑体" w:eastAsia="黑体"/>
          <w:b/>
          <w:sz w:val="32"/>
          <w:szCs w:val="32"/>
          <w:lang w:val="en-US" w:eastAsia="zh-CN"/>
        </w:rPr>
      </w:pPr>
    </w:p>
    <w:p w14:paraId="43245C5B">
      <w:pPr>
        <w:ind w:firstLine="630" w:firstLineChars="196"/>
        <w:jc w:val="center"/>
        <w:outlineLvl w:val="0"/>
        <w:rPr>
          <w:rFonts w:hint="default" w:ascii="黑体" w:hAnsi="黑体" w:eastAsia="黑体"/>
          <w:b/>
          <w:sz w:val="32"/>
          <w:szCs w:val="32"/>
          <w:lang w:val="en-US" w:eastAsia="zh-CN"/>
        </w:rPr>
      </w:pPr>
    </w:p>
    <w:p w14:paraId="0824AF95">
      <w:pPr>
        <w:ind w:firstLine="630" w:firstLineChars="196"/>
        <w:jc w:val="center"/>
        <w:outlineLvl w:val="0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default" w:ascii="黑体" w:hAnsi="黑体" w:eastAsia="黑体"/>
          <w:b/>
          <w:sz w:val="32"/>
          <w:szCs w:val="32"/>
          <w:lang w:val="en-US" w:eastAsia="zh-CN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1</w:t>
      </w:r>
      <w:r>
        <w:rPr>
          <w:rFonts w:hint="default" w:ascii="黑体" w:hAnsi="黑体" w:eastAsia="黑体"/>
          <w:b/>
          <w:sz w:val="32"/>
          <w:szCs w:val="32"/>
          <w:lang w:val="en-US" w:eastAsia="zh-CN"/>
        </w:rPr>
        <w:t>年医保网络维护县级负担配套项目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绩效目标表</w:t>
      </w:r>
    </w:p>
    <w:p w14:paraId="754D6850">
      <w:pPr>
        <w:ind w:firstLine="630" w:firstLineChars="196"/>
        <w:outlineLvl w:val="0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</w:p>
    <w:tbl>
      <w:tblPr>
        <w:tblStyle w:val="2"/>
        <w:tblW w:w="138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1650"/>
        <w:gridCol w:w="2256"/>
        <w:gridCol w:w="2763"/>
        <w:gridCol w:w="4323"/>
        <w:gridCol w:w="1889"/>
      </w:tblGrid>
      <w:tr w14:paraId="1AC30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5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1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D8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目标1：提高医疗保障经办水平                                                                                            目标2：规范网络管理                                                                                                    目标3：提高基金监管覆盖率                                                                                              </w:t>
            </w:r>
          </w:p>
        </w:tc>
      </w:tr>
      <w:tr w14:paraId="0450A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1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A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2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D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4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9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指标值确定依据</w:t>
            </w:r>
          </w:p>
        </w:tc>
      </w:tr>
      <w:tr w14:paraId="66412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3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8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4F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参保人员满意度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46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医疗保障经办事项在规定时间内办结情况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F31B4">
            <w:pPr>
              <w:ind w:firstLine="1980" w:firstLineChars="1100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9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部门年度规划</w:t>
            </w:r>
          </w:p>
        </w:tc>
      </w:tr>
      <w:tr w14:paraId="63C70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3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4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64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提高医疗保障经办水平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7C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提高医疗保障经办管理水平，确保医疗保障待遇落到实处。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472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C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部门年度规划</w:t>
            </w:r>
          </w:p>
        </w:tc>
      </w:tr>
      <w:tr w14:paraId="35710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0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5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B0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提高医疗保险待遇水平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24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完善医疗保险政策，提高医疗保险待遇水平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79417">
            <w:pPr>
              <w:ind w:firstLine="1980" w:firstLineChars="1100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3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部门年度规划</w:t>
            </w:r>
          </w:p>
        </w:tc>
      </w:tr>
    </w:tbl>
    <w:p w14:paraId="3384CE44">
      <w:pPr>
        <w:outlineLvl w:val="0"/>
        <w:rPr>
          <w:rFonts w:hint="default" w:ascii="黑体" w:hAnsi="黑体" w:eastAsia="黑体"/>
          <w:b/>
          <w:sz w:val="32"/>
          <w:szCs w:val="32"/>
          <w:lang w:val="en-US" w:eastAsia="zh-CN"/>
        </w:rPr>
      </w:pPr>
    </w:p>
    <w:p w14:paraId="2ABA28E4">
      <w:pPr>
        <w:ind w:firstLine="630" w:firstLineChars="196"/>
        <w:jc w:val="center"/>
        <w:outlineLvl w:val="0"/>
        <w:rPr>
          <w:rFonts w:hint="default" w:ascii="黑体" w:hAnsi="黑体" w:eastAsia="黑体"/>
          <w:b/>
          <w:sz w:val="32"/>
          <w:szCs w:val="32"/>
          <w:lang w:val="en-US" w:eastAsia="zh-CN"/>
        </w:rPr>
      </w:pPr>
    </w:p>
    <w:p w14:paraId="21057B6C">
      <w:pPr>
        <w:ind w:firstLine="630" w:firstLineChars="196"/>
        <w:jc w:val="center"/>
        <w:outlineLvl w:val="0"/>
        <w:rPr>
          <w:rFonts w:hint="default" w:ascii="黑体" w:hAnsi="黑体" w:eastAsia="黑体"/>
          <w:b/>
          <w:sz w:val="32"/>
          <w:szCs w:val="32"/>
          <w:lang w:val="en-US" w:eastAsia="zh-CN"/>
        </w:rPr>
      </w:pPr>
    </w:p>
    <w:p w14:paraId="1BBD5C3F">
      <w:pPr>
        <w:ind w:firstLine="630" w:firstLineChars="196"/>
        <w:jc w:val="center"/>
        <w:outlineLvl w:val="0"/>
        <w:rPr>
          <w:rFonts w:hint="default" w:ascii="黑体" w:hAnsi="黑体" w:eastAsia="黑体"/>
          <w:b/>
          <w:sz w:val="32"/>
          <w:szCs w:val="32"/>
          <w:lang w:val="en-US" w:eastAsia="zh-CN"/>
        </w:rPr>
      </w:pPr>
    </w:p>
    <w:p w14:paraId="32214F6D">
      <w:pPr>
        <w:ind w:firstLine="630" w:firstLineChars="196"/>
        <w:jc w:val="center"/>
        <w:outlineLvl w:val="0"/>
        <w:rPr>
          <w:rFonts w:hint="default" w:ascii="黑体" w:hAnsi="黑体" w:eastAsia="黑体"/>
          <w:b/>
          <w:sz w:val="32"/>
          <w:szCs w:val="32"/>
          <w:lang w:val="en-US" w:eastAsia="zh-CN"/>
        </w:rPr>
      </w:pPr>
    </w:p>
    <w:p w14:paraId="6F2CD6A6">
      <w:pPr>
        <w:ind w:firstLine="630" w:firstLineChars="196"/>
        <w:jc w:val="center"/>
        <w:outlineLvl w:val="0"/>
        <w:rPr>
          <w:rFonts w:hint="default" w:ascii="黑体" w:hAnsi="黑体" w:eastAsia="黑体"/>
          <w:b/>
          <w:sz w:val="32"/>
          <w:szCs w:val="32"/>
          <w:lang w:val="en-US" w:eastAsia="zh-CN"/>
        </w:rPr>
      </w:pPr>
    </w:p>
    <w:p w14:paraId="52121AF6">
      <w:pPr>
        <w:ind w:firstLine="630" w:firstLineChars="196"/>
        <w:jc w:val="center"/>
        <w:outlineLvl w:val="0"/>
        <w:rPr>
          <w:rFonts w:hint="default" w:ascii="黑体" w:hAnsi="黑体" w:eastAsia="黑体"/>
          <w:b/>
          <w:sz w:val="32"/>
          <w:szCs w:val="32"/>
          <w:lang w:val="en-US" w:eastAsia="zh-CN"/>
        </w:rPr>
      </w:pPr>
    </w:p>
    <w:p w14:paraId="436749BB">
      <w:pPr>
        <w:ind w:firstLine="630" w:firstLineChars="196"/>
        <w:jc w:val="center"/>
        <w:outlineLvl w:val="0"/>
        <w:rPr>
          <w:rFonts w:hint="default" w:ascii="黑体" w:hAnsi="黑体" w:eastAsia="黑体"/>
          <w:b/>
          <w:sz w:val="32"/>
          <w:szCs w:val="32"/>
          <w:lang w:val="en-US" w:eastAsia="zh-CN"/>
        </w:rPr>
      </w:pPr>
    </w:p>
    <w:p w14:paraId="02560C09">
      <w:pPr>
        <w:ind w:firstLine="630" w:firstLineChars="196"/>
        <w:jc w:val="center"/>
        <w:outlineLvl w:val="0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default" w:ascii="黑体" w:hAnsi="黑体" w:eastAsia="黑体"/>
          <w:b/>
          <w:sz w:val="32"/>
          <w:szCs w:val="32"/>
          <w:lang w:val="en-US" w:eastAsia="zh-CN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1</w:t>
      </w:r>
      <w:r>
        <w:rPr>
          <w:rFonts w:hint="default" w:ascii="黑体" w:hAnsi="黑体" w:eastAsia="黑体"/>
          <w:b/>
          <w:sz w:val="32"/>
          <w:szCs w:val="32"/>
          <w:lang w:val="en-US" w:eastAsia="zh-CN"/>
        </w:rPr>
        <w:t>年城乡居民医疗工作经费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绩效目标表</w:t>
      </w:r>
    </w:p>
    <w:p w14:paraId="79E68DCC">
      <w:pPr>
        <w:outlineLvl w:val="0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</w:p>
    <w:tbl>
      <w:tblPr>
        <w:tblStyle w:val="2"/>
        <w:tblW w:w="130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1650"/>
        <w:gridCol w:w="2608"/>
        <w:gridCol w:w="3104"/>
        <w:gridCol w:w="3045"/>
        <w:gridCol w:w="1664"/>
      </w:tblGrid>
      <w:tr w14:paraId="1A50E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E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04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95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目标1：完善医疗保障政策，确保待遇落实到位。                                                                                          目标2：完善医保目录和支付标准政策，提高医疗保障水平。                                                                                                      目标3：提高医疗保障经办管理水平，确保医疗保障待遇落到实处。</w:t>
            </w:r>
          </w:p>
        </w:tc>
      </w:tr>
      <w:tr w14:paraId="22A6D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A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2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E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9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1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E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指标值确定依据</w:t>
            </w:r>
          </w:p>
        </w:tc>
      </w:tr>
      <w:tr w14:paraId="17A6E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5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E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C9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已参保的医疗保障待遇到位率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7B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提高医疗保障经办管理水平，确保医疗保障待遇的落实。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57C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90%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B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部门年度计划</w:t>
            </w:r>
          </w:p>
        </w:tc>
      </w:tr>
      <w:tr w14:paraId="13C62D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0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5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9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提高医疗保障经办综合水平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D9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完善医疗保障政策，提高医疗保障待遇水平。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AA4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90%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8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部门年度计划</w:t>
            </w:r>
          </w:p>
        </w:tc>
      </w:tr>
      <w:tr w14:paraId="2A73E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C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2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740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完善医疗保障政策，确保待遇落实到位。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D4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完善医疗保障政策，确保待遇落实到位。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AED90">
            <w:pPr>
              <w:ind w:firstLine="1440" w:firstLineChars="800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8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部门年度计划</w:t>
            </w:r>
          </w:p>
        </w:tc>
      </w:tr>
    </w:tbl>
    <w:p w14:paraId="753CB1B4">
      <w:pPr>
        <w:ind w:firstLine="630" w:firstLineChars="196"/>
        <w:outlineLvl w:val="0"/>
        <w:rPr>
          <w:rFonts w:hint="default" w:ascii="黑体" w:hAnsi="黑体" w:eastAsia="黑体"/>
          <w:b/>
          <w:sz w:val="32"/>
          <w:szCs w:val="32"/>
          <w:lang w:val="en-US" w:eastAsia="zh-CN"/>
        </w:rPr>
      </w:pPr>
    </w:p>
    <w:bookmarkEnd w:id="1"/>
    <w:p w14:paraId="240277C9">
      <w:pPr>
        <w:autoSpaceDE w:val="0"/>
        <w:autoSpaceDN w:val="0"/>
        <w:adjustRightInd w:val="0"/>
        <w:jc w:val="left"/>
        <w:rPr>
          <w:rFonts w:hint="eastAsia" w:ascii="黑体" w:hAnsi="黑体" w:eastAsia="黑体"/>
          <w:b/>
          <w:sz w:val="32"/>
          <w:szCs w:val="32"/>
        </w:rPr>
      </w:pPr>
    </w:p>
    <w:p w14:paraId="473D53C1">
      <w:pPr>
        <w:autoSpaceDE w:val="0"/>
        <w:autoSpaceDN w:val="0"/>
        <w:adjustRightInd w:val="0"/>
        <w:ind w:firstLine="643" w:firstLineChars="200"/>
        <w:jc w:val="left"/>
        <w:rPr>
          <w:rFonts w:hint="eastAsia" w:ascii="黑体" w:hAnsi="黑体" w:eastAsia="黑体"/>
          <w:b/>
          <w:sz w:val="32"/>
          <w:szCs w:val="32"/>
        </w:rPr>
      </w:pPr>
    </w:p>
    <w:p w14:paraId="68040B8A">
      <w:pPr>
        <w:autoSpaceDE w:val="0"/>
        <w:autoSpaceDN w:val="0"/>
        <w:adjustRightInd w:val="0"/>
        <w:ind w:firstLine="643" w:firstLineChars="200"/>
        <w:jc w:val="left"/>
        <w:rPr>
          <w:rFonts w:hint="eastAsia" w:ascii="黑体" w:hAnsi="黑体" w:eastAsia="黑体"/>
          <w:b/>
          <w:sz w:val="32"/>
          <w:szCs w:val="32"/>
        </w:rPr>
      </w:pPr>
    </w:p>
    <w:p w14:paraId="0E50B7B7">
      <w:pPr>
        <w:autoSpaceDE w:val="0"/>
        <w:autoSpaceDN w:val="0"/>
        <w:adjustRightInd w:val="0"/>
        <w:ind w:firstLine="643" w:firstLineChars="200"/>
        <w:jc w:val="left"/>
        <w:rPr>
          <w:rFonts w:hint="eastAsia" w:ascii="黑体" w:hAnsi="黑体" w:eastAsia="黑体"/>
          <w:b/>
          <w:sz w:val="32"/>
          <w:szCs w:val="32"/>
        </w:rPr>
      </w:pPr>
    </w:p>
    <w:p w14:paraId="4624E117">
      <w:pPr>
        <w:autoSpaceDE w:val="0"/>
        <w:autoSpaceDN w:val="0"/>
        <w:adjustRightInd w:val="0"/>
        <w:ind w:firstLine="643" w:firstLineChars="200"/>
        <w:jc w:val="left"/>
        <w:rPr>
          <w:rFonts w:hint="eastAsia" w:ascii="黑体" w:hAnsi="黑体" w:eastAsia="黑体"/>
          <w:b/>
          <w:sz w:val="32"/>
          <w:szCs w:val="32"/>
        </w:rPr>
      </w:pPr>
    </w:p>
    <w:p w14:paraId="1F744358">
      <w:pPr>
        <w:autoSpaceDE w:val="0"/>
        <w:autoSpaceDN w:val="0"/>
        <w:adjustRightInd w:val="0"/>
        <w:ind w:firstLine="643" w:firstLineChars="200"/>
        <w:jc w:val="left"/>
        <w:rPr>
          <w:rFonts w:hint="eastAsia" w:ascii="黑体" w:hAnsi="黑体" w:eastAsia="黑体"/>
          <w:b/>
          <w:sz w:val="32"/>
          <w:szCs w:val="32"/>
        </w:rPr>
      </w:pPr>
    </w:p>
    <w:p w14:paraId="3C45209B">
      <w:pPr>
        <w:autoSpaceDE w:val="0"/>
        <w:autoSpaceDN w:val="0"/>
        <w:adjustRightInd w:val="0"/>
        <w:ind w:firstLine="643" w:firstLineChars="200"/>
        <w:jc w:val="left"/>
        <w:rPr>
          <w:rFonts w:hint="eastAsia" w:ascii="黑体" w:hAnsi="黑体" w:eastAsia="黑体"/>
          <w:b/>
          <w:sz w:val="32"/>
          <w:szCs w:val="32"/>
        </w:rPr>
      </w:pPr>
    </w:p>
    <w:p w14:paraId="52A79025">
      <w:pPr>
        <w:autoSpaceDE w:val="0"/>
        <w:autoSpaceDN w:val="0"/>
        <w:adjustRightInd w:val="0"/>
        <w:ind w:firstLine="643" w:firstLineChars="20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六、政府采购预算情况</w:t>
      </w:r>
    </w:p>
    <w:p w14:paraId="7E19B90A">
      <w:pPr>
        <w:outlineLvl w:val="0"/>
        <w:rPr>
          <w:rFonts w:ascii="仿宋_GB2312" w:hAnsi="Times New Roman" w:eastAsia="仿宋_GB2312"/>
          <w:sz w:val="32"/>
          <w:szCs w:val="24"/>
        </w:rPr>
      </w:pPr>
      <w:bookmarkStart w:id="2" w:name="_Toc471398468"/>
      <w:r>
        <w:rPr>
          <w:rFonts w:ascii="方正小标宋_GBK" w:hAnsi="Times New Roman" w:eastAsia="方正小标宋_GBK"/>
          <w:sz w:val="32"/>
          <w:szCs w:val="24"/>
        </w:rPr>
        <w:t xml:space="preserve"> </w:t>
      </w:r>
      <w:r>
        <w:rPr>
          <w:rFonts w:ascii="Times New Roman" w:hAnsi="Times New Roman" w:eastAsia="方正仿宋_GBK"/>
          <w:sz w:val="32"/>
          <w:szCs w:val="24"/>
        </w:rPr>
        <w:t xml:space="preserve">   </w:t>
      </w:r>
      <w:r>
        <w:rPr>
          <w:rFonts w:ascii="仿宋_GB2312" w:hAnsi="Times New Roman" w:eastAsia="仿宋_GB2312"/>
          <w:sz w:val="32"/>
          <w:szCs w:val="24"/>
        </w:rPr>
        <w:t>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</w:t>
      </w:r>
      <w:r>
        <w:rPr>
          <w:rFonts w:hint="eastAsia" w:ascii="仿宋_GB2312" w:hAnsi="Times New Roman" w:eastAsia="仿宋_GB2312"/>
          <w:sz w:val="32"/>
          <w:szCs w:val="24"/>
        </w:rPr>
        <w:t>年，我单位安排政府采购预算</w:t>
      </w:r>
      <w:r>
        <w:rPr>
          <w:rFonts w:ascii="仿宋_GB2312" w:hAnsi="Times New Roman" w:eastAsia="仿宋_GB2312"/>
          <w:sz w:val="32"/>
          <w:szCs w:val="24"/>
        </w:rPr>
        <w:t>6</w:t>
      </w:r>
      <w:r>
        <w:rPr>
          <w:rFonts w:hint="eastAsia" w:ascii="仿宋_GB2312" w:hAnsi="Times New Roman" w:eastAsia="仿宋_GB2312"/>
          <w:sz w:val="32"/>
          <w:szCs w:val="24"/>
        </w:rPr>
        <w:t>万元。具体内容见下表。</w:t>
      </w:r>
    </w:p>
    <w:bookmarkEnd w:id="2"/>
    <w:p w14:paraId="63B3C18D">
      <w:pPr>
        <w:jc w:val="center"/>
        <w:outlineLvl w:val="0"/>
        <w:rPr>
          <w:rFonts w:ascii="方正小标宋_GBK" w:eastAsia="方正小标宋_GBK"/>
          <w:sz w:val="32"/>
        </w:rPr>
      </w:pPr>
      <w:bookmarkStart w:id="3" w:name="_Toc504489153"/>
      <w:r>
        <w:rPr>
          <w:rFonts w:hint="eastAsia" w:ascii="方正小标宋_GBK" w:eastAsia="方正小标宋_GBK"/>
          <w:sz w:val="32"/>
        </w:rPr>
        <w:t>部门政府采购预算</w:t>
      </w:r>
      <w:bookmarkEnd w:id="3"/>
    </w:p>
    <w:tbl>
      <w:tblPr>
        <w:tblStyle w:val="2"/>
        <w:tblW w:w="1456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1060"/>
        <w:gridCol w:w="1100"/>
        <w:gridCol w:w="1233"/>
        <w:gridCol w:w="722"/>
        <w:gridCol w:w="722"/>
        <w:gridCol w:w="893"/>
        <w:gridCol w:w="923"/>
        <w:gridCol w:w="923"/>
        <w:gridCol w:w="923"/>
        <w:gridCol w:w="923"/>
        <w:gridCol w:w="926"/>
        <w:gridCol w:w="927"/>
        <w:gridCol w:w="884"/>
      </w:tblGrid>
      <w:tr w14:paraId="63CDD7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3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5608231">
            <w:pPr>
              <w:spacing w:line="300" w:lineRule="exact"/>
              <w:jc w:val="left"/>
              <w:rPr>
                <w:rFonts w:hint="default" w:ascii="方正小标宋_GBK" w:eastAsia="方正小标宋_GBK"/>
                <w:sz w:val="24"/>
                <w:lang w:val="en-US" w:eastAsia="zh-CN"/>
              </w:rPr>
            </w:pPr>
            <w:r>
              <w:rPr>
                <w:rFonts w:hint="eastAsia" w:ascii="方正小标宋_GBK" w:eastAsia="方正小标宋_GBK"/>
                <w:sz w:val="24"/>
                <w:lang w:val="en-US" w:eastAsia="zh-CN"/>
              </w:rPr>
              <w:t>414 馆陶县医疗保障局</w:t>
            </w:r>
          </w:p>
        </w:tc>
        <w:tc>
          <w:tcPr>
            <w:tcW w:w="642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FFAC9D3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 w14:paraId="2B2235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469" w:type="dxa"/>
            <w:gridSpan w:val="2"/>
            <w:noWrap w:val="0"/>
            <w:vAlign w:val="center"/>
          </w:tcPr>
          <w:p w14:paraId="5CA9E004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政府采购项目来源</w:t>
            </w:r>
          </w:p>
        </w:tc>
        <w:tc>
          <w:tcPr>
            <w:tcW w:w="1100" w:type="dxa"/>
            <w:vMerge w:val="restart"/>
            <w:noWrap w:val="0"/>
            <w:vAlign w:val="center"/>
          </w:tcPr>
          <w:p w14:paraId="4CA8490F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采购物品名称</w:t>
            </w:r>
          </w:p>
        </w:tc>
        <w:tc>
          <w:tcPr>
            <w:tcW w:w="1233" w:type="dxa"/>
            <w:vMerge w:val="restart"/>
            <w:noWrap w:val="0"/>
            <w:vAlign w:val="center"/>
          </w:tcPr>
          <w:p w14:paraId="78755545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政府采购目录序号</w:t>
            </w:r>
          </w:p>
        </w:tc>
        <w:tc>
          <w:tcPr>
            <w:tcW w:w="722" w:type="dxa"/>
            <w:vMerge w:val="restart"/>
            <w:noWrap w:val="0"/>
            <w:vAlign w:val="center"/>
          </w:tcPr>
          <w:p w14:paraId="5A2C5931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数量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单位</w:t>
            </w:r>
          </w:p>
        </w:tc>
        <w:tc>
          <w:tcPr>
            <w:tcW w:w="722" w:type="dxa"/>
            <w:vMerge w:val="restart"/>
            <w:noWrap w:val="0"/>
            <w:vAlign w:val="center"/>
          </w:tcPr>
          <w:p w14:paraId="569F542F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数量</w:t>
            </w:r>
          </w:p>
        </w:tc>
        <w:tc>
          <w:tcPr>
            <w:tcW w:w="893" w:type="dxa"/>
            <w:vMerge w:val="restart"/>
            <w:noWrap w:val="0"/>
            <w:vAlign w:val="center"/>
          </w:tcPr>
          <w:p w14:paraId="4B5A45A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单价</w:t>
            </w:r>
          </w:p>
        </w:tc>
        <w:tc>
          <w:tcPr>
            <w:tcW w:w="6429" w:type="dxa"/>
            <w:gridSpan w:val="7"/>
            <w:noWrap w:val="0"/>
            <w:vAlign w:val="center"/>
          </w:tcPr>
          <w:p w14:paraId="296D6283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政府采购金额</w:t>
            </w:r>
          </w:p>
        </w:tc>
      </w:tr>
      <w:tr w14:paraId="6300B0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409" w:type="dxa"/>
            <w:vMerge w:val="restart"/>
            <w:noWrap w:val="0"/>
            <w:vAlign w:val="center"/>
          </w:tcPr>
          <w:p w14:paraId="197C91F2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项目名称</w:t>
            </w:r>
          </w:p>
        </w:tc>
        <w:tc>
          <w:tcPr>
            <w:tcW w:w="1060" w:type="dxa"/>
            <w:vMerge w:val="restart"/>
            <w:noWrap w:val="0"/>
            <w:vAlign w:val="center"/>
          </w:tcPr>
          <w:p w14:paraId="02D9E50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预算资金</w:t>
            </w:r>
          </w:p>
        </w:tc>
        <w:tc>
          <w:tcPr>
            <w:tcW w:w="1100" w:type="dxa"/>
            <w:vMerge w:val="continue"/>
            <w:noWrap w:val="0"/>
            <w:vAlign w:val="center"/>
          </w:tcPr>
          <w:p w14:paraId="081EEC19">
            <w:pPr>
              <w:spacing w:line="300" w:lineRule="exact"/>
              <w:jc w:val="left"/>
              <w:outlineLvl w:val="0"/>
            </w:pPr>
          </w:p>
        </w:tc>
        <w:tc>
          <w:tcPr>
            <w:tcW w:w="1233" w:type="dxa"/>
            <w:vMerge w:val="continue"/>
            <w:noWrap w:val="0"/>
            <w:vAlign w:val="center"/>
          </w:tcPr>
          <w:p w14:paraId="755B7628">
            <w:pPr>
              <w:spacing w:line="300" w:lineRule="exact"/>
              <w:jc w:val="left"/>
              <w:outlineLvl w:val="0"/>
            </w:pPr>
          </w:p>
        </w:tc>
        <w:tc>
          <w:tcPr>
            <w:tcW w:w="722" w:type="dxa"/>
            <w:vMerge w:val="continue"/>
            <w:noWrap w:val="0"/>
            <w:vAlign w:val="center"/>
          </w:tcPr>
          <w:p w14:paraId="3A0F7FD0">
            <w:pPr>
              <w:spacing w:line="300" w:lineRule="exact"/>
              <w:jc w:val="left"/>
              <w:outlineLvl w:val="0"/>
            </w:pPr>
          </w:p>
        </w:tc>
        <w:tc>
          <w:tcPr>
            <w:tcW w:w="722" w:type="dxa"/>
            <w:vMerge w:val="continue"/>
            <w:noWrap w:val="0"/>
            <w:vAlign w:val="center"/>
          </w:tcPr>
          <w:p w14:paraId="44E5FC78">
            <w:pPr>
              <w:spacing w:line="300" w:lineRule="exact"/>
              <w:jc w:val="left"/>
              <w:outlineLvl w:val="0"/>
            </w:pPr>
          </w:p>
        </w:tc>
        <w:tc>
          <w:tcPr>
            <w:tcW w:w="893" w:type="dxa"/>
            <w:vMerge w:val="continue"/>
            <w:noWrap w:val="0"/>
            <w:vAlign w:val="center"/>
          </w:tcPr>
          <w:p w14:paraId="5C6E4A40">
            <w:pPr>
              <w:spacing w:line="300" w:lineRule="exact"/>
              <w:jc w:val="left"/>
              <w:outlineLvl w:val="0"/>
            </w:pPr>
          </w:p>
        </w:tc>
        <w:tc>
          <w:tcPr>
            <w:tcW w:w="923" w:type="dxa"/>
            <w:vMerge w:val="restart"/>
            <w:noWrap w:val="0"/>
            <w:vAlign w:val="center"/>
          </w:tcPr>
          <w:p w14:paraId="0DEB439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总计</w:t>
            </w:r>
          </w:p>
        </w:tc>
        <w:tc>
          <w:tcPr>
            <w:tcW w:w="4622" w:type="dxa"/>
            <w:gridSpan w:val="5"/>
            <w:noWrap w:val="0"/>
            <w:vAlign w:val="center"/>
          </w:tcPr>
          <w:p w14:paraId="680AC482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当年部门预算安排资金</w:t>
            </w:r>
          </w:p>
        </w:tc>
        <w:tc>
          <w:tcPr>
            <w:tcW w:w="884" w:type="dxa"/>
            <w:vMerge w:val="restart"/>
            <w:noWrap w:val="0"/>
            <w:vAlign w:val="center"/>
          </w:tcPr>
          <w:p w14:paraId="36FD95DF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其他渠道资金</w:t>
            </w:r>
          </w:p>
        </w:tc>
      </w:tr>
      <w:tr w14:paraId="5A43EF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409" w:type="dxa"/>
            <w:vMerge w:val="continue"/>
            <w:noWrap w:val="0"/>
            <w:vAlign w:val="center"/>
          </w:tcPr>
          <w:p w14:paraId="6A064455">
            <w:pPr>
              <w:spacing w:line="300" w:lineRule="exact"/>
              <w:jc w:val="left"/>
              <w:outlineLvl w:val="0"/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 w14:paraId="380CE5E7">
            <w:pPr>
              <w:spacing w:line="300" w:lineRule="exact"/>
              <w:jc w:val="left"/>
              <w:outlineLvl w:val="0"/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 w14:paraId="0421EA01">
            <w:pPr>
              <w:spacing w:line="300" w:lineRule="exact"/>
              <w:jc w:val="left"/>
              <w:outlineLvl w:val="0"/>
            </w:pPr>
          </w:p>
        </w:tc>
        <w:tc>
          <w:tcPr>
            <w:tcW w:w="1233" w:type="dxa"/>
            <w:vMerge w:val="continue"/>
            <w:noWrap w:val="0"/>
            <w:vAlign w:val="center"/>
          </w:tcPr>
          <w:p w14:paraId="611D6C10">
            <w:pPr>
              <w:spacing w:line="300" w:lineRule="exact"/>
              <w:jc w:val="left"/>
              <w:outlineLvl w:val="0"/>
            </w:pPr>
          </w:p>
        </w:tc>
        <w:tc>
          <w:tcPr>
            <w:tcW w:w="722" w:type="dxa"/>
            <w:vMerge w:val="continue"/>
            <w:noWrap w:val="0"/>
            <w:vAlign w:val="center"/>
          </w:tcPr>
          <w:p w14:paraId="5BEE299A">
            <w:pPr>
              <w:spacing w:line="300" w:lineRule="exact"/>
              <w:jc w:val="left"/>
              <w:outlineLvl w:val="0"/>
            </w:pPr>
          </w:p>
        </w:tc>
        <w:tc>
          <w:tcPr>
            <w:tcW w:w="722" w:type="dxa"/>
            <w:vMerge w:val="continue"/>
            <w:noWrap w:val="0"/>
            <w:vAlign w:val="center"/>
          </w:tcPr>
          <w:p w14:paraId="11AACD60">
            <w:pPr>
              <w:spacing w:line="300" w:lineRule="exact"/>
              <w:jc w:val="left"/>
              <w:outlineLvl w:val="0"/>
            </w:pPr>
          </w:p>
        </w:tc>
        <w:tc>
          <w:tcPr>
            <w:tcW w:w="893" w:type="dxa"/>
            <w:vMerge w:val="continue"/>
            <w:noWrap w:val="0"/>
            <w:vAlign w:val="center"/>
          </w:tcPr>
          <w:p w14:paraId="68296208">
            <w:pPr>
              <w:spacing w:line="300" w:lineRule="exact"/>
              <w:jc w:val="left"/>
              <w:outlineLvl w:val="0"/>
            </w:pPr>
          </w:p>
        </w:tc>
        <w:tc>
          <w:tcPr>
            <w:tcW w:w="923" w:type="dxa"/>
            <w:vMerge w:val="continue"/>
            <w:noWrap w:val="0"/>
            <w:vAlign w:val="center"/>
          </w:tcPr>
          <w:p w14:paraId="2BCEA868">
            <w:pPr>
              <w:spacing w:line="300" w:lineRule="exact"/>
              <w:jc w:val="left"/>
              <w:outlineLvl w:val="0"/>
            </w:pPr>
          </w:p>
        </w:tc>
        <w:tc>
          <w:tcPr>
            <w:tcW w:w="923" w:type="dxa"/>
            <w:noWrap w:val="0"/>
            <w:vAlign w:val="center"/>
          </w:tcPr>
          <w:p w14:paraId="6F16FB63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923" w:type="dxa"/>
            <w:noWrap w:val="0"/>
            <w:vAlign w:val="center"/>
          </w:tcPr>
          <w:p w14:paraId="364E4078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一般公共预算拨款</w:t>
            </w:r>
          </w:p>
        </w:tc>
        <w:tc>
          <w:tcPr>
            <w:tcW w:w="923" w:type="dxa"/>
            <w:noWrap w:val="0"/>
            <w:vAlign w:val="center"/>
          </w:tcPr>
          <w:p w14:paraId="7311C77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基金预算拨款</w:t>
            </w:r>
          </w:p>
        </w:tc>
        <w:tc>
          <w:tcPr>
            <w:tcW w:w="926" w:type="dxa"/>
            <w:noWrap w:val="0"/>
            <w:vAlign w:val="center"/>
          </w:tcPr>
          <w:p w14:paraId="73C9CC2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财政专户核拨</w:t>
            </w:r>
          </w:p>
        </w:tc>
        <w:tc>
          <w:tcPr>
            <w:tcW w:w="927" w:type="dxa"/>
            <w:noWrap w:val="0"/>
            <w:vAlign w:val="center"/>
          </w:tcPr>
          <w:p w14:paraId="465396B3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其他来源收入</w:t>
            </w:r>
          </w:p>
        </w:tc>
        <w:tc>
          <w:tcPr>
            <w:tcW w:w="884" w:type="dxa"/>
            <w:vMerge w:val="continue"/>
            <w:noWrap w:val="0"/>
            <w:vAlign w:val="center"/>
          </w:tcPr>
          <w:p w14:paraId="7D52E658">
            <w:pPr>
              <w:spacing w:line="300" w:lineRule="exact"/>
              <w:jc w:val="left"/>
              <w:outlineLvl w:val="0"/>
            </w:pPr>
          </w:p>
        </w:tc>
      </w:tr>
      <w:tr w14:paraId="1575DC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tcBorders>
              <w:bottom w:val="single" w:color="auto" w:sz="4" w:space="0"/>
            </w:tcBorders>
            <w:noWrap w:val="0"/>
            <w:vAlign w:val="center"/>
          </w:tcPr>
          <w:p w14:paraId="5C148B71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　计</w:t>
            </w:r>
          </w:p>
        </w:tc>
        <w:tc>
          <w:tcPr>
            <w:tcW w:w="1060" w:type="dxa"/>
            <w:noWrap w:val="0"/>
            <w:vAlign w:val="center"/>
          </w:tcPr>
          <w:p w14:paraId="05AC88BC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</w:p>
        </w:tc>
        <w:tc>
          <w:tcPr>
            <w:tcW w:w="1100" w:type="dxa"/>
            <w:noWrap w:val="0"/>
            <w:vAlign w:val="center"/>
          </w:tcPr>
          <w:p w14:paraId="5FC92647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6CE6795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2" w:type="dxa"/>
            <w:noWrap w:val="0"/>
            <w:vAlign w:val="center"/>
          </w:tcPr>
          <w:p w14:paraId="65A5416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2" w:type="dxa"/>
            <w:noWrap w:val="0"/>
            <w:vAlign w:val="center"/>
          </w:tcPr>
          <w:p w14:paraId="08DCC2F9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93" w:type="dxa"/>
            <w:noWrap w:val="0"/>
            <w:vAlign w:val="center"/>
          </w:tcPr>
          <w:p w14:paraId="11E9BD6E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23" w:type="dxa"/>
            <w:noWrap w:val="0"/>
            <w:vAlign w:val="center"/>
          </w:tcPr>
          <w:p w14:paraId="0097349E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</w:p>
        </w:tc>
        <w:tc>
          <w:tcPr>
            <w:tcW w:w="923" w:type="dxa"/>
            <w:noWrap w:val="0"/>
            <w:vAlign w:val="center"/>
          </w:tcPr>
          <w:p w14:paraId="27EDA8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</w:p>
        </w:tc>
        <w:tc>
          <w:tcPr>
            <w:tcW w:w="923" w:type="dxa"/>
            <w:noWrap w:val="0"/>
            <w:vAlign w:val="center"/>
          </w:tcPr>
          <w:p w14:paraId="180B4F5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</w:p>
        </w:tc>
        <w:tc>
          <w:tcPr>
            <w:tcW w:w="923" w:type="dxa"/>
            <w:noWrap w:val="0"/>
            <w:vAlign w:val="center"/>
          </w:tcPr>
          <w:p w14:paraId="2E9C8B9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26" w:type="dxa"/>
            <w:noWrap w:val="0"/>
            <w:vAlign w:val="center"/>
          </w:tcPr>
          <w:p w14:paraId="1896CFE7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27" w:type="dxa"/>
            <w:noWrap w:val="0"/>
            <w:vAlign w:val="center"/>
          </w:tcPr>
          <w:p w14:paraId="048AA6D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4" w:type="dxa"/>
            <w:noWrap w:val="0"/>
            <w:vAlign w:val="center"/>
          </w:tcPr>
          <w:p w14:paraId="4F853BC6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14:paraId="0E0EED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4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BD74B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专项公用</w:t>
            </w:r>
          </w:p>
        </w:tc>
        <w:tc>
          <w:tcPr>
            <w:tcW w:w="1060" w:type="dxa"/>
            <w:tcBorders>
              <w:bottom w:val="single" w:color="auto" w:sz="4" w:space="0"/>
            </w:tcBorders>
            <w:noWrap w:val="0"/>
            <w:vAlign w:val="center"/>
          </w:tcPr>
          <w:p w14:paraId="2EA17BA1">
            <w:pPr>
              <w:spacing w:line="30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bottom w:val="single" w:color="auto" w:sz="4" w:space="0"/>
            </w:tcBorders>
            <w:noWrap w:val="0"/>
            <w:vAlign w:val="center"/>
          </w:tcPr>
          <w:p w14:paraId="4F189BD0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计算机设备及软件</w:t>
            </w:r>
          </w:p>
        </w:tc>
        <w:tc>
          <w:tcPr>
            <w:tcW w:w="1233" w:type="dxa"/>
            <w:tcBorders>
              <w:bottom w:val="single" w:color="auto" w:sz="4" w:space="0"/>
            </w:tcBorders>
            <w:noWrap w:val="0"/>
            <w:vAlign w:val="center"/>
          </w:tcPr>
          <w:p w14:paraId="29F9E09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A0201</w:t>
            </w:r>
          </w:p>
        </w:tc>
        <w:tc>
          <w:tcPr>
            <w:tcW w:w="722" w:type="dxa"/>
            <w:tcBorders>
              <w:bottom w:val="single" w:color="auto" w:sz="4" w:space="0"/>
            </w:tcBorders>
            <w:noWrap w:val="0"/>
            <w:vAlign w:val="center"/>
          </w:tcPr>
          <w:p w14:paraId="3ED153D1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台</w:t>
            </w:r>
          </w:p>
        </w:tc>
        <w:tc>
          <w:tcPr>
            <w:tcW w:w="722" w:type="dxa"/>
            <w:tcBorders>
              <w:bottom w:val="single" w:color="auto" w:sz="4" w:space="0"/>
            </w:tcBorders>
            <w:noWrap w:val="0"/>
            <w:vAlign w:val="center"/>
          </w:tcPr>
          <w:p w14:paraId="685CC97B">
            <w:pPr>
              <w:spacing w:line="30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</w:t>
            </w:r>
          </w:p>
        </w:tc>
        <w:tc>
          <w:tcPr>
            <w:tcW w:w="893" w:type="dxa"/>
            <w:tcBorders>
              <w:bottom w:val="single" w:color="auto" w:sz="4" w:space="0"/>
            </w:tcBorders>
            <w:noWrap w:val="0"/>
            <w:vAlign w:val="center"/>
          </w:tcPr>
          <w:p w14:paraId="150EF49C">
            <w:pPr>
              <w:spacing w:line="30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ascii="仿宋_GB2312" w:eastAsia="仿宋_GB2312"/>
              </w:rPr>
              <w:t>0.</w:t>
            </w:r>
            <w:r>
              <w:rPr>
                <w:rFonts w:hint="eastAsia" w:ascii="仿宋_GB2312" w:eastAsia="仿宋_GB2312"/>
                <w:lang w:val="en-US" w:eastAsia="zh-CN"/>
              </w:rPr>
              <w:t>5</w:t>
            </w:r>
          </w:p>
        </w:tc>
        <w:tc>
          <w:tcPr>
            <w:tcW w:w="923" w:type="dxa"/>
            <w:tcBorders>
              <w:bottom w:val="single" w:color="auto" w:sz="4" w:space="0"/>
            </w:tcBorders>
            <w:noWrap w:val="0"/>
            <w:vAlign w:val="center"/>
          </w:tcPr>
          <w:p w14:paraId="2FD91DAF">
            <w:pPr>
              <w:spacing w:line="30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</w:t>
            </w:r>
          </w:p>
        </w:tc>
        <w:tc>
          <w:tcPr>
            <w:tcW w:w="923" w:type="dxa"/>
            <w:tcBorders>
              <w:bottom w:val="single" w:color="auto" w:sz="4" w:space="0"/>
            </w:tcBorders>
            <w:noWrap w:val="0"/>
            <w:vAlign w:val="center"/>
          </w:tcPr>
          <w:p w14:paraId="751C1AD2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</w:t>
            </w:r>
          </w:p>
        </w:tc>
        <w:tc>
          <w:tcPr>
            <w:tcW w:w="923" w:type="dxa"/>
            <w:tcBorders>
              <w:bottom w:val="single" w:color="auto" w:sz="4" w:space="0"/>
            </w:tcBorders>
            <w:noWrap w:val="0"/>
            <w:vAlign w:val="center"/>
          </w:tcPr>
          <w:p w14:paraId="130007CC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</w:t>
            </w:r>
          </w:p>
        </w:tc>
        <w:tc>
          <w:tcPr>
            <w:tcW w:w="923" w:type="dxa"/>
            <w:tcBorders>
              <w:bottom w:val="single" w:color="auto" w:sz="4" w:space="0"/>
            </w:tcBorders>
            <w:noWrap w:val="0"/>
            <w:vAlign w:val="center"/>
          </w:tcPr>
          <w:p w14:paraId="79CBDC2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26" w:type="dxa"/>
            <w:tcBorders>
              <w:bottom w:val="single" w:color="auto" w:sz="4" w:space="0"/>
            </w:tcBorders>
            <w:noWrap w:val="0"/>
            <w:vAlign w:val="center"/>
          </w:tcPr>
          <w:p w14:paraId="6277634F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27" w:type="dxa"/>
            <w:tcBorders>
              <w:bottom w:val="single" w:color="auto" w:sz="4" w:space="0"/>
            </w:tcBorders>
            <w:noWrap w:val="0"/>
            <w:vAlign w:val="center"/>
          </w:tcPr>
          <w:p w14:paraId="4CE3A6D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4" w:type="dxa"/>
            <w:tcBorders>
              <w:bottom w:val="single" w:color="auto" w:sz="4" w:space="0"/>
            </w:tcBorders>
            <w:noWrap w:val="0"/>
            <w:vAlign w:val="center"/>
          </w:tcPr>
          <w:p w14:paraId="1CD212D0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14:paraId="3B8659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4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92DB3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专项公用</w:t>
            </w:r>
          </w:p>
        </w:tc>
        <w:tc>
          <w:tcPr>
            <w:tcW w:w="10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F2241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AD7B76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打印</w:t>
            </w:r>
            <w:r>
              <w:rPr>
                <w:rFonts w:hint="eastAsia" w:ascii="仿宋_GB2312" w:eastAsia="仿宋_GB2312"/>
              </w:rPr>
              <w:t>机</w:t>
            </w:r>
          </w:p>
        </w:tc>
        <w:tc>
          <w:tcPr>
            <w:tcW w:w="12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BDA3C1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A020201</w:t>
            </w:r>
          </w:p>
        </w:tc>
        <w:tc>
          <w:tcPr>
            <w:tcW w:w="7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9D6480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台</w:t>
            </w:r>
          </w:p>
        </w:tc>
        <w:tc>
          <w:tcPr>
            <w:tcW w:w="7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7EAB04">
            <w:pPr>
              <w:spacing w:line="30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</w:t>
            </w:r>
          </w:p>
        </w:tc>
        <w:tc>
          <w:tcPr>
            <w:tcW w:w="8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4FD5FD">
            <w:pPr>
              <w:spacing w:line="30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0.2</w:t>
            </w:r>
          </w:p>
        </w:tc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692821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</w:p>
        </w:tc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E4D46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</w:p>
        </w:tc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95B320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</w:p>
        </w:tc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E91A0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A08592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E12C7D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B9F611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14:paraId="07CF50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4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B996A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专项公用</w:t>
            </w:r>
          </w:p>
        </w:tc>
        <w:tc>
          <w:tcPr>
            <w:tcW w:w="10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4B8848">
            <w:pPr>
              <w:spacing w:line="30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E76008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打印设备</w:t>
            </w:r>
          </w:p>
        </w:tc>
        <w:tc>
          <w:tcPr>
            <w:tcW w:w="12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B72846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A02010601</w:t>
            </w:r>
          </w:p>
        </w:tc>
        <w:tc>
          <w:tcPr>
            <w:tcW w:w="7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808257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台</w:t>
            </w:r>
          </w:p>
        </w:tc>
        <w:tc>
          <w:tcPr>
            <w:tcW w:w="7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A39E1F">
            <w:pPr>
              <w:spacing w:line="30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</w:t>
            </w:r>
          </w:p>
        </w:tc>
        <w:tc>
          <w:tcPr>
            <w:tcW w:w="8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A58DC0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0.25</w:t>
            </w:r>
          </w:p>
        </w:tc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3C5839">
            <w:pPr>
              <w:spacing w:line="30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</w:t>
            </w:r>
          </w:p>
        </w:tc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D6474A">
            <w:pPr>
              <w:spacing w:line="30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</w:t>
            </w:r>
          </w:p>
        </w:tc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C566AE">
            <w:pPr>
              <w:spacing w:line="30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</w:t>
            </w:r>
          </w:p>
        </w:tc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B6B1B8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E334A6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4A9E51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6C8F7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14:paraId="1F196A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4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86D97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专项公用</w:t>
            </w:r>
          </w:p>
        </w:tc>
        <w:tc>
          <w:tcPr>
            <w:tcW w:w="10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4B18CB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DA734B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空调</w:t>
            </w:r>
          </w:p>
        </w:tc>
        <w:tc>
          <w:tcPr>
            <w:tcW w:w="12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510B9E">
            <w:pPr>
              <w:spacing w:line="30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A1305</w:t>
            </w:r>
          </w:p>
        </w:tc>
        <w:tc>
          <w:tcPr>
            <w:tcW w:w="7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ABE7B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台</w:t>
            </w:r>
          </w:p>
        </w:tc>
        <w:tc>
          <w:tcPr>
            <w:tcW w:w="7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1499C1">
            <w:pPr>
              <w:spacing w:line="30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</w:t>
            </w:r>
          </w:p>
        </w:tc>
        <w:tc>
          <w:tcPr>
            <w:tcW w:w="8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912B89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0.2</w:t>
            </w:r>
          </w:p>
        </w:tc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40C91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</w:p>
        </w:tc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9234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</w:p>
        </w:tc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D7303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</w:p>
        </w:tc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B109D0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6240DE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5285F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A755E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14:paraId="5819FF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409" w:type="dxa"/>
            <w:tcBorders>
              <w:top w:val="single" w:color="auto" w:sz="4" w:space="0"/>
            </w:tcBorders>
            <w:noWrap w:val="0"/>
            <w:vAlign w:val="center"/>
          </w:tcPr>
          <w:p w14:paraId="2557E674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060" w:type="dxa"/>
            <w:tcBorders>
              <w:top w:val="single" w:color="auto" w:sz="4" w:space="0"/>
            </w:tcBorders>
            <w:noWrap w:val="0"/>
            <w:vAlign w:val="center"/>
          </w:tcPr>
          <w:p w14:paraId="4DACC9F9">
            <w:pPr>
              <w:spacing w:line="30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4" w:space="0"/>
            </w:tcBorders>
            <w:noWrap w:val="0"/>
            <w:vAlign w:val="center"/>
          </w:tcPr>
          <w:p w14:paraId="58E8B1CB">
            <w:pPr>
              <w:spacing w:line="30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执法记录仪、录音笔</w:t>
            </w:r>
          </w:p>
        </w:tc>
        <w:tc>
          <w:tcPr>
            <w:tcW w:w="1233" w:type="dxa"/>
            <w:tcBorders>
              <w:top w:val="single" w:color="auto" w:sz="4" w:space="0"/>
            </w:tcBorders>
            <w:noWrap w:val="0"/>
            <w:vAlign w:val="center"/>
          </w:tcPr>
          <w:p w14:paraId="0E2F972C">
            <w:pPr>
              <w:spacing w:line="30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A39</w:t>
            </w:r>
          </w:p>
        </w:tc>
        <w:tc>
          <w:tcPr>
            <w:tcW w:w="722" w:type="dxa"/>
            <w:tcBorders>
              <w:top w:val="single" w:color="auto" w:sz="4" w:space="0"/>
            </w:tcBorders>
            <w:noWrap w:val="0"/>
            <w:vAlign w:val="center"/>
          </w:tcPr>
          <w:p w14:paraId="61F8EE51">
            <w:pPr>
              <w:spacing w:line="30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台</w:t>
            </w:r>
          </w:p>
        </w:tc>
        <w:tc>
          <w:tcPr>
            <w:tcW w:w="722" w:type="dxa"/>
            <w:tcBorders>
              <w:top w:val="single" w:color="auto" w:sz="4" w:space="0"/>
            </w:tcBorders>
            <w:noWrap w:val="0"/>
            <w:vAlign w:val="center"/>
          </w:tcPr>
          <w:p w14:paraId="1D090AF3">
            <w:pPr>
              <w:spacing w:line="30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</w:t>
            </w:r>
          </w:p>
        </w:tc>
        <w:tc>
          <w:tcPr>
            <w:tcW w:w="893" w:type="dxa"/>
            <w:tcBorders>
              <w:top w:val="single" w:color="auto" w:sz="4" w:space="0"/>
            </w:tcBorders>
            <w:noWrap w:val="0"/>
            <w:vAlign w:val="center"/>
          </w:tcPr>
          <w:p w14:paraId="7F6C9BDF">
            <w:pPr>
              <w:spacing w:line="30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0.5</w:t>
            </w:r>
          </w:p>
        </w:tc>
        <w:tc>
          <w:tcPr>
            <w:tcW w:w="923" w:type="dxa"/>
            <w:tcBorders>
              <w:top w:val="single" w:color="auto" w:sz="4" w:space="0"/>
            </w:tcBorders>
            <w:noWrap w:val="0"/>
            <w:vAlign w:val="center"/>
          </w:tcPr>
          <w:p w14:paraId="7C3D59A9">
            <w:pPr>
              <w:spacing w:line="30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</w:t>
            </w:r>
          </w:p>
        </w:tc>
        <w:tc>
          <w:tcPr>
            <w:tcW w:w="923" w:type="dxa"/>
            <w:tcBorders>
              <w:top w:val="single" w:color="auto" w:sz="4" w:space="0"/>
            </w:tcBorders>
            <w:noWrap w:val="0"/>
            <w:vAlign w:val="center"/>
          </w:tcPr>
          <w:p w14:paraId="66002FB4">
            <w:pPr>
              <w:spacing w:line="30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</w:t>
            </w:r>
          </w:p>
        </w:tc>
        <w:tc>
          <w:tcPr>
            <w:tcW w:w="923" w:type="dxa"/>
            <w:tcBorders>
              <w:top w:val="single" w:color="auto" w:sz="4" w:space="0"/>
            </w:tcBorders>
            <w:noWrap w:val="0"/>
            <w:vAlign w:val="center"/>
          </w:tcPr>
          <w:p w14:paraId="09C20816">
            <w:pPr>
              <w:spacing w:line="30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</w:t>
            </w:r>
          </w:p>
        </w:tc>
        <w:tc>
          <w:tcPr>
            <w:tcW w:w="923" w:type="dxa"/>
            <w:tcBorders>
              <w:top w:val="single" w:color="auto" w:sz="4" w:space="0"/>
            </w:tcBorders>
            <w:noWrap w:val="0"/>
            <w:vAlign w:val="center"/>
          </w:tcPr>
          <w:p w14:paraId="78A1AC75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26" w:type="dxa"/>
            <w:tcBorders>
              <w:top w:val="single" w:color="auto" w:sz="4" w:space="0"/>
            </w:tcBorders>
            <w:noWrap w:val="0"/>
            <w:vAlign w:val="center"/>
          </w:tcPr>
          <w:p w14:paraId="55A5CC45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27" w:type="dxa"/>
            <w:tcBorders>
              <w:top w:val="single" w:color="auto" w:sz="4" w:space="0"/>
            </w:tcBorders>
            <w:noWrap w:val="0"/>
            <w:vAlign w:val="center"/>
          </w:tcPr>
          <w:p w14:paraId="5DD8199C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4" w:type="dxa"/>
            <w:tcBorders>
              <w:top w:val="single" w:color="auto" w:sz="4" w:space="0"/>
            </w:tcBorders>
            <w:noWrap w:val="0"/>
            <w:vAlign w:val="center"/>
          </w:tcPr>
          <w:p w14:paraId="0D5D4699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</w:tbl>
    <w:p w14:paraId="744F8865">
      <w:pPr>
        <w:autoSpaceDE w:val="0"/>
        <w:autoSpaceDN w:val="0"/>
        <w:adjustRightInd w:val="0"/>
        <w:ind w:firstLine="643" w:firstLineChars="200"/>
        <w:jc w:val="left"/>
        <w:rPr>
          <w:rFonts w:ascii="黑体" w:hAnsi="黑体" w:eastAsia="黑体"/>
          <w:b/>
          <w:sz w:val="32"/>
          <w:szCs w:val="32"/>
        </w:rPr>
      </w:pPr>
    </w:p>
    <w:p w14:paraId="06FCA82D">
      <w:pPr>
        <w:autoSpaceDE w:val="0"/>
        <w:autoSpaceDN w:val="0"/>
        <w:adjustRightInd w:val="0"/>
        <w:ind w:firstLine="643" w:firstLineChars="20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七、国有资产信息</w:t>
      </w:r>
    </w:p>
    <w:p w14:paraId="3E692C03">
      <w:pPr>
        <w:autoSpaceDE w:val="0"/>
        <w:autoSpaceDN w:val="0"/>
        <w:adjustRightInd w:val="0"/>
        <w:ind w:left="198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2020年未购置固定资产。2021本年度拟购置固定资产0万元。</w:t>
      </w:r>
    </w:p>
    <w:p w14:paraId="768B3919">
      <w:pPr>
        <w:autoSpaceDE w:val="0"/>
        <w:autoSpaceDN w:val="0"/>
        <w:adjustRightInd w:val="0"/>
        <w:ind w:left="198"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112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91"/>
        <w:gridCol w:w="1103"/>
        <w:gridCol w:w="1344"/>
        <w:gridCol w:w="1635"/>
        <w:gridCol w:w="3022"/>
      </w:tblGrid>
      <w:tr w14:paraId="30EE23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295" w:type="dxa"/>
            <w:gridSpan w:val="5"/>
            <w:noWrap w:val="0"/>
            <w:vAlign w:val="bottom"/>
          </w:tcPr>
          <w:p w14:paraId="07A3C79E"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</w:p>
          <w:p w14:paraId="023622E5"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</w:p>
          <w:p w14:paraId="783CED5E">
            <w:pPr>
              <w:widowControl/>
              <w:jc w:val="center"/>
              <w:textAlignment w:val="bottom"/>
              <w:rPr>
                <w:rFonts w:asci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馆陶县县直部门固定资产占用情况表</w:t>
            </w:r>
          </w:p>
        </w:tc>
      </w:tr>
      <w:tr w14:paraId="355D2B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4191" w:type="dxa"/>
            <w:noWrap w:val="0"/>
            <w:vAlign w:val="bottom"/>
          </w:tcPr>
          <w:p w14:paraId="70C6FA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noWrap w:val="0"/>
            <w:vAlign w:val="bottom"/>
          </w:tcPr>
          <w:p w14:paraId="4F9CD0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noWrap w:val="0"/>
            <w:vAlign w:val="bottom"/>
          </w:tcPr>
          <w:p w14:paraId="079D5D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noWrap w:val="0"/>
            <w:vAlign w:val="bottom"/>
          </w:tcPr>
          <w:p w14:paraId="2412A4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  <w:noWrap w:val="0"/>
            <w:vAlign w:val="bottom"/>
          </w:tcPr>
          <w:p w14:paraId="118556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4D6FC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015BC6">
            <w:pPr>
              <w:widowControl/>
              <w:jc w:val="left"/>
              <w:textAlignment w:val="bottom"/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编制单位：馆陶县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医疗保障局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0DFE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0F82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7637BC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年度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4F7399">
            <w:pPr>
              <w:widowControl/>
              <w:jc w:val="right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金额单位：元</w:t>
            </w:r>
          </w:p>
        </w:tc>
      </w:tr>
      <w:tr w14:paraId="3C335A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C6CC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　　目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BE2B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4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3FB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价值</w:t>
            </w:r>
          </w:p>
        </w:tc>
      </w:tr>
      <w:tr w14:paraId="4594CC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4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9C2B9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7500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年初数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5D7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年末数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BC2D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年初数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4C7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年末数</w:t>
            </w:r>
          </w:p>
        </w:tc>
      </w:tr>
      <w:tr w14:paraId="37DD12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45D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资产总额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9181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4F35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2F5E9">
            <w:pPr>
              <w:jc w:val="both"/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99BD5">
            <w:pPr>
              <w:jc w:val="both"/>
            </w:pPr>
          </w:p>
        </w:tc>
      </w:tr>
      <w:tr w14:paraId="61C5AD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CEEE4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、房屋（平方米）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8DA42">
            <w:pPr>
              <w:widowControl/>
              <w:jc w:val="both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49BBF">
            <w:pPr>
              <w:jc w:val="both"/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F09F8">
            <w:pPr>
              <w:widowControl/>
              <w:jc w:val="both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90B79">
            <w:pPr>
              <w:widowControl/>
              <w:jc w:val="both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14:paraId="7496EA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5EFAD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办公用房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0500A">
            <w:pPr>
              <w:widowControl/>
              <w:jc w:val="both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36AA8">
            <w:pPr>
              <w:jc w:val="both"/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FC9B5">
            <w:pPr>
              <w:jc w:val="both"/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75192">
            <w:pPr>
              <w:jc w:val="both"/>
            </w:pPr>
          </w:p>
        </w:tc>
      </w:tr>
      <w:tr w14:paraId="4564A5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8D846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　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业务用房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02DC9">
            <w:pPr>
              <w:jc w:val="right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62125">
            <w:pPr>
              <w:jc w:val="right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0DD83">
            <w:pPr>
              <w:jc w:val="right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0E339">
            <w:pPr>
              <w:jc w:val="right"/>
              <w:rPr>
                <w:rFonts w:ascii="宋体" w:cs="宋体"/>
                <w:color w:val="000000"/>
                <w:sz w:val="22"/>
              </w:rPr>
            </w:pPr>
          </w:p>
        </w:tc>
      </w:tr>
      <w:tr w14:paraId="1D7EFF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8802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3.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其他（不含构筑物）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7BD00">
            <w:pPr>
              <w:jc w:val="right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63FBE">
            <w:pPr>
              <w:jc w:val="right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BE8BA">
            <w:pPr>
              <w:jc w:val="right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536A3">
            <w:pPr>
              <w:jc w:val="right"/>
              <w:rPr>
                <w:rFonts w:ascii="宋体" w:cs="宋体"/>
                <w:color w:val="000000"/>
                <w:sz w:val="22"/>
              </w:rPr>
            </w:pPr>
          </w:p>
        </w:tc>
      </w:tr>
      <w:tr w14:paraId="5E128E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E1BAD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、车辆（台、辆）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F4F1B">
            <w:pPr>
              <w:jc w:val="both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C6B6F">
            <w:pPr>
              <w:jc w:val="right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E49F7">
            <w:pPr>
              <w:jc w:val="both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0F2DE">
            <w:pPr>
              <w:jc w:val="both"/>
              <w:rPr>
                <w:rFonts w:ascii="宋体" w:cs="宋体"/>
                <w:color w:val="000000"/>
                <w:sz w:val="22"/>
              </w:rPr>
            </w:pPr>
          </w:p>
        </w:tc>
      </w:tr>
      <w:tr w14:paraId="22937A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5E5FD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、单价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万元（含）以上的通用设备（台、套…）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40E8E">
            <w:pPr>
              <w:jc w:val="right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2C108">
            <w:pPr>
              <w:jc w:val="right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222C5">
            <w:pPr>
              <w:jc w:val="right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637B1">
            <w:pPr>
              <w:jc w:val="right"/>
              <w:rPr>
                <w:rFonts w:ascii="宋体" w:cs="宋体"/>
                <w:color w:val="000000"/>
                <w:sz w:val="22"/>
              </w:rPr>
            </w:pPr>
          </w:p>
        </w:tc>
      </w:tr>
      <w:tr w14:paraId="73068C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605D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、单价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万元（含）以上的专用设备（台、套…）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5F185">
            <w:pPr>
              <w:jc w:val="right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73BEF">
            <w:pPr>
              <w:jc w:val="right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80496">
            <w:pPr>
              <w:jc w:val="right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A328D">
            <w:pPr>
              <w:jc w:val="right"/>
              <w:rPr>
                <w:rFonts w:ascii="宋体" w:cs="宋体"/>
                <w:color w:val="000000"/>
                <w:sz w:val="22"/>
              </w:rPr>
            </w:pPr>
          </w:p>
        </w:tc>
      </w:tr>
      <w:tr w14:paraId="283411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CF10B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、其他固定资产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3B9B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4E0B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9062C">
            <w:pPr>
              <w:widowControl/>
              <w:jc w:val="both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64536">
            <w:pPr>
              <w:widowControl/>
              <w:jc w:val="both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</w:tbl>
    <w:p w14:paraId="49E3F847">
      <w:pPr>
        <w:autoSpaceDE w:val="0"/>
        <w:autoSpaceDN w:val="0"/>
        <w:adjustRightInd w:val="0"/>
        <w:ind w:left="198" w:firstLine="640" w:firstLineChars="200"/>
        <w:jc w:val="left"/>
        <w:rPr>
          <w:rFonts w:hint="eastAsia" w:ascii="黑体" w:hAnsi="黑体" w:eastAsia="黑体"/>
          <w:sz w:val="32"/>
          <w:szCs w:val="32"/>
        </w:rPr>
      </w:pPr>
    </w:p>
    <w:p w14:paraId="65A2017F">
      <w:pPr>
        <w:autoSpaceDE w:val="0"/>
        <w:autoSpaceDN w:val="0"/>
        <w:adjustRightInd w:val="0"/>
        <w:ind w:left="198"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八、名词解释</w:t>
      </w:r>
    </w:p>
    <w:p w14:paraId="61A36C4A">
      <w:pPr>
        <w:tabs>
          <w:tab w:val="left" w:pos="11490"/>
        </w:tabs>
        <w:ind w:firstLine="640" w:firstLineChars="200"/>
        <w:rPr>
          <w:rFonts w:ascii="仿宋_GB2312" w:hAnsi="仿宋" w:eastAsia="仿宋_GB2312"/>
          <w:sz w:val="32"/>
        </w:rPr>
      </w:pPr>
      <w:r>
        <w:rPr>
          <w:rFonts w:ascii="仿宋_GB2312" w:hAnsi="仿宋" w:eastAsia="仿宋_GB2312"/>
          <w:sz w:val="32"/>
        </w:rPr>
        <w:t>1</w:t>
      </w:r>
      <w:r>
        <w:rPr>
          <w:rFonts w:hint="eastAsia" w:ascii="仿宋_GB2312" w:hAnsi="仿宋" w:eastAsia="仿宋_GB2312"/>
          <w:sz w:val="32"/>
        </w:rPr>
        <w:t>、机关运行经费，是指各部门的公用经费，包括办公及印刷费、邮电费、差旅费、会议费、福利费、日常维修费、专用材料及一般设备购置费、办公用房水电费、办公用房取暖费、办公用房物业管理费、公务用车运行维护费及其他费用。</w:t>
      </w:r>
    </w:p>
    <w:p w14:paraId="3859B420">
      <w:pPr>
        <w:tabs>
          <w:tab w:val="left" w:pos="11490"/>
        </w:tabs>
        <w:ind w:firstLine="640" w:firstLineChars="200"/>
        <w:rPr>
          <w:rFonts w:ascii="仿宋_GB2312" w:hAnsi="仿宋" w:eastAsia="仿宋_GB2312"/>
          <w:sz w:val="32"/>
        </w:rPr>
      </w:pPr>
      <w:r>
        <w:rPr>
          <w:rFonts w:ascii="仿宋_GB2312" w:hAnsi="仿宋" w:eastAsia="仿宋_GB2312"/>
          <w:sz w:val="32"/>
        </w:rPr>
        <w:t>2</w:t>
      </w:r>
      <w:r>
        <w:rPr>
          <w:rFonts w:hint="eastAsia" w:ascii="仿宋_GB2312" w:hAnsi="仿宋" w:eastAsia="仿宋_GB2312"/>
          <w:sz w:val="32"/>
        </w:rPr>
        <w:t>、“三公”经费：纳入市级财政预算管理的“三公”经费，是指市级部门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14:paraId="189B2C32">
      <w:pPr>
        <w:autoSpaceDE w:val="0"/>
        <w:autoSpaceDN w:val="0"/>
        <w:adjustRightInd w:val="0"/>
        <w:ind w:left="198"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九、其他需要说明的事项</w:t>
      </w:r>
    </w:p>
    <w:p w14:paraId="678A6410">
      <w:pPr>
        <w:ind w:firstLine="640" w:firstLineChars="2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（</w:t>
      </w:r>
      <w:r>
        <w:rPr>
          <w:rFonts w:ascii="仿宋_GB2312" w:hAnsi="仿宋" w:eastAsia="仿宋_GB2312"/>
          <w:sz w:val="32"/>
        </w:rPr>
        <w:t>1</w:t>
      </w:r>
      <w:r>
        <w:rPr>
          <w:rFonts w:hint="eastAsia" w:ascii="仿宋_GB2312" w:hAnsi="仿宋" w:eastAsia="仿宋_GB2312"/>
          <w:sz w:val="32"/>
        </w:rPr>
        <w:t>）本部门无国有资本经营预算收入和支出。</w:t>
      </w:r>
    </w:p>
    <w:p w14:paraId="054BDB60">
      <w:pPr>
        <w:ind w:firstLine="640" w:firstLineChars="200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sz w:val="32"/>
        </w:rPr>
        <w:t>（</w:t>
      </w:r>
      <w:r>
        <w:rPr>
          <w:rFonts w:ascii="仿宋_GB2312" w:hAnsi="仿宋" w:eastAsia="仿宋_GB2312"/>
          <w:sz w:val="32"/>
        </w:rPr>
        <w:t>2</w:t>
      </w:r>
      <w:r>
        <w:rPr>
          <w:rFonts w:hint="eastAsia" w:ascii="仿宋_GB2312" w:hAnsi="仿宋" w:eastAsia="仿宋_GB2312"/>
          <w:sz w:val="32"/>
        </w:rPr>
        <w:t>）本部门无政府性基金预算收入和支出。</w:t>
      </w:r>
    </w:p>
    <w:p w14:paraId="3C84E8D6"/>
    <w:sectPr>
      <w:pgSz w:w="16838" w:h="11906" w:orient="landscape"/>
      <w:pgMar w:top="499" w:right="1440" w:bottom="38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BCA5D257-AFF4-417D-90AF-447F22779AF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9B1FE1B-9CA8-42FD-A5D4-8F9860F6097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3804894-D344-408B-AD6C-5EA210B83E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56D73AC-DA47-4CA8-90BA-785A09A6B8E0}"/>
  </w:font>
  <w:font w:name="方正书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2CD7C27D-29B5-4229-A263-E7218C98107D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97FDE12E-40BD-4893-8E8B-3D4E062DBD0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A3587242-6A38-4972-8DBF-4FC638D1E1D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8" w:fontKey="{8F42255E-AE1A-471E-8936-E81F9235738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30CFA"/>
    <w:multiLevelType w:val="singleLevel"/>
    <w:tmpl w:val="EF930CFA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2568FC56"/>
    <w:multiLevelType w:val="singleLevel"/>
    <w:tmpl w:val="2568FC56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33806DD4"/>
    <w:multiLevelType w:val="singleLevel"/>
    <w:tmpl w:val="33806DD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5D57BB2"/>
    <w:multiLevelType w:val="singleLevel"/>
    <w:tmpl w:val="35D57BB2"/>
    <w:lvl w:ilvl="0" w:tentative="0">
      <w:start w:val="3"/>
      <w:numFmt w:val="decimal"/>
      <w:suff w:val="nothing"/>
      <w:lvlText w:val="%1、"/>
      <w:lvlJc w:val="left"/>
    </w:lvl>
  </w:abstractNum>
  <w:abstractNum w:abstractNumId="4">
    <w:nsid w:val="56FCD0A8"/>
    <w:multiLevelType w:val="singleLevel"/>
    <w:tmpl w:val="56FCD0A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lMDQzZjY2MjFlMGE0ZDYwZDc4NjBjNTBkNGEwNTEifQ=="/>
  </w:docVars>
  <w:rsids>
    <w:rsidRoot w:val="63C501E3"/>
    <w:rsid w:val="042D1975"/>
    <w:rsid w:val="04975289"/>
    <w:rsid w:val="04B7777F"/>
    <w:rsid w:val="1C0E795E"/>
    <w:rsid w:val="2CC46FB5"/>
    <w:rsid w:val="2DCA146F"/>
    <w:rsid w:val="355E4E8B"/>
    <w:rsid w:val="407271E7"/>
    <w:rsid w:val="434C51A7"/>
    <w:rsid w:val="4635037A"/>
    <w:rsid w:val="56C06B96"/>
    <w:rsid w:val="57623D56"/>
    <w:rsid w:val="63096E6A"/>
    <w:rsid w:val="63C501E3"/>
    <w:rsid w:val="6C354A6D"/>
    <w:rsid w:val="6E0E4F6B"/>
    <w:rsid w:val="75C356A3"/>
    <w:rsid w:val="7637431D"/>
    <w:rsid w:val="76B71D9D"/>
    <w:rsid w:val="7B6531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3965</Words>
  <Characters>4105</Characters>
  <Lines>0</Lines>
  <Paragraphs>0</Paragraphs>
  <TotalTime>46</TotalTime>
  <ScaleCrop>false</ScaleCrop>
  <LinksUpToDate>false</LinksUpToDate>
  <CharactersWithSpaces>4472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2021-05-07T01:00:00Z</dcterms:created>
  <dc:creator>平凡</dc:creator>
  <cp:lastModifiedBy>高玉庆</cp:lastModifiedBy>
  <dcterms:modified xsi:type="dcterms:W3CDTF">2026-06-22T03:41:35Z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8F3CCEE470CC499E8CDC17AB9571323B_12</vt:lpwstr>
  </property>
  <property fmtid="{D5CDD505-2E9C-101B-9397-08002B2CF9AE}" pid="4" name="KSOTemplateDocerSaveRecord">
    <vt:lpwstr>eyJoZGlkIjoiNGZlMDQzZjY2MjFlMGE0ZDYwZDc4NjBjNTBkNGEwNTEiLCJ1c2VySWQiOiIyOTI4NTE0NjkifQ==</vt:lpwstr>
  </property>
</Properties>
</file>