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287.05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229.70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11.35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287.05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287.05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287.05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287.05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287.05</w:t>
            </w:r>
          </w:p>
        </w:tc>
        <w:tc>
          <w:tcPr>
            <w:tcW w:w="1134" w:type="dxa"/>
            <w:vAlign w:val="center"/>
          </w:tcPr>
          <w:p>
            <w:pPr>
              <w:pStyle w:val="单元格样式7"/>
            </w:pPr>
            <w:r>
              <w:t xml:space="preserve">287.05</w:t>
            </w:r>
          </w:p>
        </w:tc>
        <w:tc>
          <w:tcPr>
            <w:tcW w:w="1134" w:type="dxa"/>
            <w:vAlign w:val="center"/>
          </w:tcPr>
          <w:p>
            <w:pPr>
              <w:pStyle w:val="单元格样式7"/>
            </w:pPr>
            <w:r>
              <w:t xml:space="preserve">287.05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229.70</w:t>
            </w:r>
          </w:p>
        </w:tc>
        <w:tc>
          <w:tcPr>
            <w:tcW w:w="1134" w:type="dxa"/>
            <w:vAlign w:val="center"/>
          </w:tcPr>
          <w:p>
            <w:pPr>
              <w:pStyle w:val="单元格样式4"/>
            </w:pPr>
            <w:r>
              <w:t xml:space="preserve">229.70</w:t>
            </w:r>
          </w:p>
        </w:tc>
        <w:tc>
          <w:tcPr>
            <w:tcW w:w="1134" w:type="dxa"/>
            <w:vAlign w:val="center"/>
          </w:tcPr>
          <w:p>
            <w:pPr>
              <w:pStyle w:val="单元格样式4"/>
            </w:pPr>
            <w:r>
              <w:t xml:space="preserve">229.70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20102</w:t>
            </w:r>
          </w:p>
        </w:tc>
        <w:tc>
          <w:tcPr>
            <w:tcW w:w="1559" w:type="dxa"/>
            <w:vAlign w:val="center"/>
          </w:tcPr>
          <w:p>
            <w:pPr>
              <w:pStyle w:val="单元格样式2"/>
            </w:pPr>
            <w:r>
              <w:t xml:space="preserve">政协事务</w:t>
            </w:r>
          </w:p>
        </w:tc>
        <w:tc>
          <w:tcPr>
            <w:tcW w:w="1134" w:type="dxa"/>
            <w:vAlign w:val="center"/>
          </w:tcPr>
          <w:p>
            <w:pPr>
              <w:pStyle w:val="单元格样式4"/>
            </w:pPr>
            <w:r>
              <w:t xml:space="preserve">229.70</w:t>
            </w:r>
          </w:p>
        </w:tc>
        <w:tc>
          <w:tcPr>
            <w:tcW w:w="1134" w:type="dxa"/>
            <w:vAlign w:val="center"/>
          </w:tcPr>
          <w:p>
            <w:pPr>
              <w:pStyle w:val="单元格样式4"/>
            </w:pPr>
            <w:r>
              <w:t xml:space="preserve">229.70</w:t>
            </w:r>
          </w:p>
        </w:tc>
        <w:tc>
          <w:tcPr>
            <w:tcW w:w="1134" w:type="dxa"/>
            <w:vAlign w:val="center"/>
          </w:tcPr>
          <w:p>
            <w:pPr>
              <w:pStyle w:val="单元格样式4"/>
            </w:pPr>
            <w:r>
              <w:t xml:space="preserve">229.70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209.86</w:t>
            </w:r>
          </w:p>
        </w:tc>
        <w:tc>
          <w:tcPr>
            <w:tcW w:w="1134" w:type="dxa"/>
            <w:vAlign w:val="center"/>
          </w:tcPr>
          <w:p>
            <w:pPr>
              <w:pStyle w:val="单元格样式4"/>
            </w:pPr>
            <w:r>
              <w:t xml:space="preserve">209.86</w:t>
            </w:r>
          </w:p>
        </w:tc>
        <w:tc>
          <w:tcPr>
            <w:tcW w:w="1134" w:type="dxa"/>
            <w:vAlign w:val="center"/>
          </w:tcPr>
          <w:p>
            <w:pPr>
              <w:pStyle w:val="单元格样式4"/>
            </w:pPr>
            <w:r>
              <w:t xml:space="preserve">209.86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2010204</w:t>
            </w:r>
          </w:p>
        </w:tc>
        <w:tc>
          <w:tcPr>
            <w:tcW w:w="1559" w:type="dxa"/>
            <w:vAlign w:val="center"/>
          </w:tcPr>
          <w:p>
            <w:pPr>
              <w:pStyle w:val="单元格样式2"/>
            </w:pPr>
            <w:r>
              <w:t xml:space="preserve">政协会议</w:t>
            </w:r>
          </w:p>
        </w:tc>
        <w:tc>
          <w:tcPr>
            <w:tcW w:w="1134" w:type="dxa"/>
            <w:vAlign w:val="center"/>
          </w:tcPr>
          <w:p>
            <w:pPr>
              <w:pStyle w:val="单元格样式4"/>
            </w:pPr>
            <w:r>
              <w:t xml:space="preserve">16.64</w:t>
            </w:r>
          </w:p>
        </w:tc>
        <w:tc>
          <w:tcPr>
            <w:tcW w:w="1134" w:type="dxa"/>
            <w:vAlign w:val="center"/>
          </w:tcPr>
          <w:p>
            <w:pPr>
              <w:pStyle w:val="单元格样式4"/>
            </w:pPr>
            <w:r>
              <w:t xml:space="preserve">16.64</w:t>
            </w:r>
          </w:p>
        </w:tc>
        <w:tc>
          <w:tcPr>
            <w:tcW w:w="1134" w:type="dxa"/>
            <w:vAlign w:val="center"/>
          </w:tcPr>
          <w:p>
            <w:pPr>
              <w:pStyle w:val="单元格样式4"/>
            </w:pPr>
            <w:r>
              <w:t xml:space="preserve">16.64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2010205</w:t>
            </w:r>
          </w:p>
        </w:tc>
        <w:tc>
          <w:tcPr>
            <w:tcW w:w="1559" w:type="dxa"/>
            <w:vAlign w:val="center"/>
          </w:tcPr>
          <w:p>
            <w:pPr>
              <w:pStyle w:val="单元格样式2"/>
            </w:pPr>
            <w:r>
              <w:t xml:space="preserve">委员视察</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287.05</w:t>
            </w:r>
          </w:p>
        </w:tc>
        <w:tc>
          <w:tcPr>
            <w:tcW w:w="1361" w:type="dxa"/>
            <w:vAlign w:val="center"/>
          </w:tcPr>
          <w:p>
            <w:pPr>
              <w:pStyle w:val="单元格样式7"/>
            </w:pPr>
            <w:r>
              <w:t xml:space="preserve">267.21</w:t>
            </w:r>
          </w:p>
        </w:tc>
        <w:tc>
          <w:tcPr>
            <w:tcW w:w="1361" w:type="dxa"/>
            <w:vAlign w:val="center"/>
          </w:tcPr>
          <w:p>
            <w:pPr>
              <w:pStyle w:val="单元格样式7"/>
            </w:pPr>
            <w:r>
              <w:t xml:space="preserve">19.84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229.70</w:t>
            </w:r>
          </w:p>
        </w:tc>
        <w:tc>
          <w:tcPr>
            <w:tcW w:w="1361" w:type="dxa"/>
            <w:vAlign w:val="center"/>
          </w:tcPr>
          <w:p>
            <w:pPr>
              <w:pStyle w:val="单元格样式4"/>
            </w:pPr>
            <w:r>
              <w:t xml:space="preserve">209.86</w:t>
            </w:r>
          </w:p>
        </w:tc>
        <w:tc>
          <w:tcPr>
            <w:tcW w:w="1361" w:type="dxa"/>
            <w:vAlign w:val="center"/>
          </w:tcPr>
          <w:p>
            <w:pPr>
              <w:pStyle w:val="单元格样式4"/>
            </w:pPr>
            <w:r>
              <w:t xml:space="preserve">19.84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20102</w:t>
            </w:r>
          </w:p>
        </w:tc>
        <w:tc>
          <w:tcPr>
            <w:tcW w:w="4535" w:type="dxa"/>
            <w:vAlign w:val="center"/>
          </w:tcPr>
          <w:p>
            <w:pPr>
              <w:pStyle w:val="单元格样式2"/>
            </w:pPr>
            <w:r>
              <w:t xml:space="preserve">政协事务</w:t>
            </w:r>
          </w:p>
        </w:tc>
        <w:tc>
          <w:tcPr>
            <w:tcW w:w="1361" w:type="dxa"/>
            <w:vAlign w:val="center"/>
          </w:tcPr>
          <w:p>
            <w:pPr>
              <w:pStyle w:val="单元格样式4"/>
            </w:pPr>
            <w:r>
              <w:t xml:space="preserve">229.70</w:t>
            </w:r>
          </w:p>
        </w:tc>
        <w:tc>
          <w:tcPr>
            <w:tcW w:w="1361" w:type="dxa"/>
            <w:vAlign w:val="center"/>
          </w:tcPr>
          <w:p>
            <w:pPr>
              <w:pStyle w:val="单元格样式4"/>
            </w:pPr>
            <w:r>
              <w:t xml:space="preserve">209.86</w:t>
            </w:r>
          </w:p>
        </w:tc>
        <w:tc>
          <w:tcPr>
            <w:tcW w:w="1361" w:type="dxa"/>
            <w:vAlign w:val="center"/>
          </w:tcPr>
          <w:p>
            <w:pPr>
              <w:pStyle w:val="单元格样式4"/>
            </w:pPr>
            <w:r>
              <w:t xml:space="preserve">19.84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209.86</w:t>
            </w:r>
          </w:p>
        </w:tc>
        <w:tc>
          <w:tcPr>
            <w:tcW w:w="1361" w:type="dxa"/>
            <w:vAlign w:val="center"/>
          </w:tcPr>
          <w:p>
            <w:pPr>
              <w:pStyle w:val="单元格样式4"/>
            </w:pPr>
            <w:r>
              <w:t xml:space="preserve">209.86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1361" w:type="dxa"/>
            <w:vAlign w:val="center"/>
          </w:tcPr>
          <w:p>
            <w:pPr>
              <w:pStyle w:val="单元格样式4"/>
            </w:pPr>
            <w:r>
              <w:t xml:space="preserve">16.64</w:t>
            </w:r>
          </w:p>
        </w:tc>
        <w:tc>
          <w:tcPr>
            <w:tcW w:w="1361" w:type="dxa"/>
            <w:vAlign w:val="center"/>
          </w:tcPr>
          <w:p>
            <w:pPr>
              <w:pStyle w:val="单元格样式4"/>
            </w:pPr>
          </w:p>
        </w:tc>
        <w:tc>
          <w:tcPr>
            <w:tcW w:w="1361" w:type="dxa"/>
            <w:vAlign w:val="center"/>
          </w:tcPr>
          <w:p>
            <w:pPr>
              <w:pStyle w:val="单元格样式4"/>
            </w:pPr>
            <w:r>
              <w:t xml:space="preserve">16.64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2010205</w:t>
            </w:r>
          </w:p>
        </w:tc>
        <w:tc>
          <w:tcPr>
            <w:tcW w:w="4535" w:type="dxa"/>
            <w:vAlign w:val="center"/>
          </w:tcPr>
          <w:p>
            <w:pPr>
              <w:pStyle w:val="单元格样式2"/>
            </w:pPr>
            <w:r>
              <w:t xml:space="preserve">委员视察</w:t>
            </w:r>
          </w:p>
        </w:tc>
        <w:tc>
          <w:tcPr>
            <w:tcW w:w="1361" w:type="dxa"/>
            <w:vAlign w:val="center"/>
          </w:tcPr>
          <w:p>
            <w:pPr>
              <w:pStyle w:val="单元格样式4"/>
            </w:pPr>
            <w:r>
              <w:t xml:space="preserve">3.20</w:t>
            </w:r>
          </w:p>
        </w:tc>
        <w:tc>
          <w:tcPr>
            <w:tcW w:w="1361" w:type="dxa"/>
            <w:vAlign w:val="center"/>
          </w:tcPr>
          <w:p>
            <w:pPr>
              <w:pStyle w:val="单元格样式4"/>
            </w:pPr>
          </w:p>
        </w:tc>
        <w:tc>
          <w:tcPr>
            <w:tcW w:w="1361" w:type="dxa"/>
            <w:vAlign w:val="center"/>
          </w:tcPr>
          <w:p>
            <w:pPr>
              <w:pStyle w:val="单元格样式4"/>
            </w:pPr>
            <w:r>
              <w:t xml:space="preserve">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29.00</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29.00</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22.00</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7.00</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11.35</w:t>
            </w:r>
          </w:p>
        </w:tc>
        <w:tc>
          <w:tcPr>
            <w:tcW w:w="1361" w:type="dxa"/>
            <w:vAlign w:val="center"/>
          </w:tcPr>
          <w:p>
            <w:pPr>
              <w:pStyle w:val="单元格样式4"/>
            </w:pPr>
            <w:r>
              <w:t xml:space="preserve">11.35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11.35</w:t>
            </w:r>
          </w:p>
        </w:tc>
        <w:tc>
          <w:tcPr>
            <w:tcW w:w="1361" w:type="dxa"/>
            <w:vAlign w:val="center"/>
          </w:tcPr>
          <w:p>
            <w:pPr>
              <w:pStyle w:val="单元格样式4"/>
            </w:pPr>
            <w:r>
              <w:t xml:space="preserve">11.35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11.35</w:t>
            </w:r>
          </w:p>
        </w:tc>
        <w:tc>
          <w:tcPr>
            <w:tcW w:w="1361" w:type="dxa"/>
            <w:vAlign w:val="center"/>
          </w:tcPr>
          <w:p>
            <w:pPr>
              <w:pStyle w:val="单元格样式4"/>
            </w:pPr>
            <w:r>
              <w:t xml:space="preserve">11.35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17.00</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17.00</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17.00</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287.05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229.70</w:t>
            </w:r>
          </w:p>
        </w:tc>
        <w:tc>
          <w:tcPr>
            <w:tcW w:w="1474" w:type="dxa"/>
            <w:vAlign w:val="center"/>
          </w:tcPr>
          <w:p>
            <w:pPr>
              <w:pStyle w:val="单元格样式4"/>
            </w:pPr>
            <w:r>
              <w:t xml:space="preserve">229.70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29.00</w:t>
            </w:r>
          </w:p>
        </w:tc>
        <w:tc>
          <w:tcPr>
            <w:tcW w:w="1474" w:type="dxa"/>
            <w:vAlign w:val="center"/>
          </w:tcPr>
          <w:p>
            <w:pPr>
              <w:pStyle w:val="单元格样式4"/>
            </w:pPr>
            <w:r>
              <w:t xml:space="preserve">29.00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11.35</w:t>
            </w:r>
          </w:p>
        </w:tc>
        <w:tc>
          <w:tcPr>
            <w:tcW w:w="1474" w:type="dxa"/>
            <w:vAlign w:val="center"/>
          </w:tcPr>
          <w:p>
            <w:pPr>
              <w:pStyle w:val="单元格样式4"/>
            </w:pPr>
            <w:r>
              <w:t xml:space="preserve">11.35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17.00</w:t>
            </w:r>
          </w:p>
        </w:tc>
        <w:tc>
          <w:tcPr>
            <w:tcW w:w="1474" w:type="dxa"/>
            <w:vAlign w:val="center"/>
          </w:tcPr>
          <w:p>
            <w:pPr>
              <w:pStyle w:val="单元格样式4"/>
            </w:pPr>
            <w:r>
              <w:t xml:space="preserve">17.00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287.05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287.05</w:t>
            </w:r>
          </w:p>
        </w:tc>
        <w:tc>
          <w:tcPr>
            <w:tcW w:w="1474" w:type="dxa"/>
            <w:vAlign w:val="center"/>
          </w:tcPr>
          <w:p>
            <w:pPr>
              <w:pStyle w:val="单元格样式7"/>
            </w:pPr>
            <w:r>
              <w:t xml:space="preserve">287.05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287.05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287.05</w:t>
            </w:r>
          </w:p>
        </w:tc>
        <w:tc>
          <w:tcPr>
            <w:tcW w:w="1474" w:type="dxa"/>
            <w:vAlign w:val="center"/>
          </w:tcPr>
          <w:p>
            <w:pPr>
              <w:pStyle w:val="单元格样式7"/>
            </w:pPr>
            <w:r>
              <w:t xml:space="preserve">287.05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287.05</w:t>
            </w:r>
          </w:p>
        </w:tc>
        <w:tc>
          <w:tcPr>
            <w:tcW w:w="2551" w:type="dxa"/>
            <w:vAlign w:val="center"/>
          </w:tcPr>
          <w:p>
            <w:pPr>
              <w:pStyle w:val="单元格样式7"/>
            </w:pPr>
            <w:r>
              <w:t xml:space="preserve">267.21</w:t>
            </w:r>
          </w:p>
        </w:tc>
        <w:tc>
          <w:tcPr>
            <w:tcW w:w="2551" w:type="dxa"/>
            <w:vAlign w:val="center"/>
          </w:tcPr>
          <w:p>
            <w:pPr>
              <w:pStyle w:val="单元格样式7"/>
            </w:pPr>
            <w:r>
              <w:t xml:space="preserve">19.84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229.70</w:t>
            </w:r>
          </w:p>
        </w:tc>
        <w:tc>
          <w:tcPr>
            <w:tcW w:w="2551" w:type="dxa"/>
            <w:vAlign w:val="center"/>
          </w:tcPr>
          <w:p>
            <w:pPr>
              <w:pStyle w:val="单元格样式4"/>
            </w:pPr>
            <w:r>
              <w:t xml:space="preserve">209.86</w:t>
            </w:r>
          </w:p>
        </w:tc>
        <w:tc>
          <w:tcPr>
            <w:tcW w:w="2551" w:type="dxa"/>
            <w:vAlign w:val="center"/>
          </w:tcPr>
          <w:p>
            <w:pPr>
              <w:pStyle w:val="单元格样式4"/>
            </w:pPr>
            <w:r>
              <w:t xml:space="preserve">19.84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20102</w:t>
            </w:r>
          </w:p>
        </w:tc>
        <w:tc>
          <w:tcPr>
            <w:tcW w:w="4535" w:type="dxa"/>
            <w:vAlign w:val="center"/>
          </w:tcPr>
          <w:p>
            <w:pPr>
              <w:pStyle w:val="单元格样式2"/>
            </w:pPr>
            <w:r>
              <w:t xml:space="preserve">政协事务</w:t>
            </w:r>
          </w:p>
        </w:tc>
        <w:tc>
          <w:tcPr>
            <w:tcW w:w="2551" w:type="dxa"/>
            <w:vAlign w:val="center"/>
          </w:tcPr>
          <w:p>
            <w:pPr>
              <w:pStyle w:val="单元格样式4"/>
            </w:pPr>
            <w:r>
              <w:t xml:space="preserve">229.70</w:t>
            </w:r>
          </w:p>
        </w:tc>
        <w:tc>
          <w:tcPr>
            <w:tcW w:w="2551" w:type="dxa"/>
            <w:vAlign w:val="center"/>
          </w:tcPr>
          <w:p>
            <w:pPr>
              <w:pStyle w:val="单元格样式4"/>
            </w:pPr>
            <w:r>
              <w:t xml:space="preserve">209.86</w:t>
            </w:r>
          </w:p>
        </w:tc>
        <w:tc>
          <w:tcPr>
            <w:tcW w:w="2551" w:type="dxa"/>
            <w:vAlign w:val="center"/>
          </w:tcPr>
          <w:p>
            <w:pPr>
              <w:pStyle w:val="单元格样式4"/>
            </w:pPr>
            <w:r>
              <w:t xml:space="preserve">19.84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209.86</w:t>
            </w:r>
          </w:p>
        </w:tc>
        <w:tc>
          <w:tcPr>
            <w:tcW w:w="2551" w:type="dxa"/>
            <w:vAlign w:val="center"/>
          </w:tcPr>
          <w:p>
            <w:pPr>
              <w:pStyle w:val="单元格样式4"/>
            </w:pPr>
            <w:r>
              <w:t xml:space="preserve">209.86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2551" w:type="dxa"/>
            <w:vAlign w:val="center"/>
          </w:tcPr>
          <w:p>
            <w:pPr>
              <w:pStyle w:val="单元格样式4"/>
            </w:pPr>
            <w:r>
              <w:t xml:space="preserve">16.64</w:t>
            </w:r>
          </w:p>
        </w:tc>
        <w:tc>
          <w:tcPr>
            <w:tcW w:w="2551" w:type="dxa"/>
            <w:vAlign w:val="center"/>
          </w:tcPr>
          <w:p>
            <w:pPr>
              <w:pStyle w:val="单元格样式4"/>
            </w:pPr>
          </w:p>
        </w:tc>
        <w:tc>
          <w:tcPr>
            <w:tcW w:w="2551" w:type="dxa"/>
            <w:vAlign w:val="center"/>
          </w:tcPr>
          <w:p>
            <w:pPr>
              <w:pStyle w:val="单元格样式4"/>
            </w:pPr>
            <w:r>
              <w:t xml:space="preserve">16.64</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2010205</w:t>
            </w:r>
          </w:p>
        </w:tc>
        <w:tc>
          <w:tcPr>
            <w:tcW w:w="4535" w:type="dxa"/>
            <w:vAlign w:val="center"/>
          </w:tcPr>
          <w:p>
            <w:pPr>
              <w:pStyle w:val="单元格样式2"/>
            </w:pPr>
            <w:r>
              <w:t xml:space="preserve">委员视察</w:t>
            </w:r>
          </w:p>
        </w:tc>
        <w:tc>
          <w:tcPr>
            <w:tcW w:w="2551" w:type="dxa"/>
            <w:vAlign w:val="center"/>
          </w:tcPr>
          <w:p>
            <w:pPr>
              <w:pStyle w:val="单元格样式4"/>
            </w:pPr>
            <w:r>
              <w:t xml:space="preserve">3.20</w:t>
            </w:r>
          </w:p>
        </w:tc>
        <w:tc>
          <w:tcPr>
            <w:tcW w:w="2551" w:type="dxa"/>
            <w:vAlign w:val="center"/>
          </w:tcPr>
          <w:p>
            <w:pPr>
              <w:pStyle w:val="单元格样式4"/>
            </w:pPr>
          </w:p>
        </w:tc>
        <w:tc>
          <w:tcPr>
            <w:tcW w:w="2551" w:type="dxa"/>
            <w:vAlign w:val="center"/>
          </w:tcPr>
          <w:p>
            <w:pPr>
              <w:pStyle w:val="单元格样式4"/>
            </w:pPr>
            <w:r>
              <w:t xml:space="preserve">3.20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29.00</w:t>
            </w:r>
          </w:p>
        </w:tc>
        <w:tc>
          <w:tcPr>
            <w:tcW w:w="2551" w:type="dxa"/>
            <w:vAlign w:val="center"/>
          </w:tcPr>
          <w:p>
            <w:pPr>
              <w:pStyle w:val="单元格样式4"/>
            </w:pPr>
            <w:r>
              <w:t xml:space="preserve">29.00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29.00</w:t>
            </w:r>
          </w:p>
        </w:tc>
        <w:tc>
          <w:tcPr>
            <w:tcW w:w="2551" w:type="dxa"/>
            <w:vAlign w:val="center"/>
          </w:tcPr>
          <w:p>
            <w:pPr>
              <w:pStyle w:val="单元格样式4"/>
            </w:pPr>
            <w:r>
              <w:t xml:space="preserve">29.00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22.00</w:t>
            </w:r>
          </w:p>
        </w:tc>
        <w:tc>
          <w:tcPr>
            <w:tcW w:w="2551" w:type="dxa"/>
            <w:vAlign w:val="center"/>
          </w:tcPr>
          <w:p>
            <w:pPr>
              <w:pStyle w:val="单元格样式4"/>
            </w:pPr>
            <w:r>
              <w:t xml:space="preserve">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11.35</w:t>
            </w:r>
          </w:p>
        </w:tc>
        <w:tc>
          <w:tcPr>
            <w:tcW w:w="2551" w:type="dxa"/>
            <w:vAlign w:val="center"/>
          </w:tcPr>
          <w:p>
            <w:pPr>
              <w:pStyle w:val="单元格样式4"/>
            </w:pPr>
            <w:r>
              <w:t xml:space="preserve">11.35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11.35</w:t>
            </w:r>
          </w:p>
        </w:tc>
        <w:tc>
          <w:tcPr>
            <w:tcW w:w="2551" w:type="dxa"/>
            <w:vAlign w:val="center"/>
          </w:tcPr>
          <w:p>
            <w:pPr>
              <w:pStyle w:val="单元格样式4"/>
            </w:pPr>
            <w:r>
              <w:t xml:space="preserve">11.35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11.35</w:t>
            </w:r>
          </w:p>
        </w:tc>
        <w:tc>
          <w:tcPr>
            <w:tcW w:w="2551" w:type="dxa"/>
            <w:vAlign w:val="center"/>
          </w:tcPr>
          <w:p>
            <w:pPr>
              <w:pStyle w:val="单元格样式4"/>
            </w:pPr>
            <w:r>
              <w:t xml:space="preserve">11.35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267.21</w:t>
            </w:r>
          </w:p>
        </w:tc>
        <w:tc>
          <w:tcPr>
            <w:tcW w:w="2551" w:type="dxa"/>
            <w:vAlign w:val="center"/>
          </w:tcPr>
          <w:p>
            <w:pPr>
              <w:pStyle w:val="单元格样式7"/>
            </w:pPr>
            <w:r>
              <w:t xml:space="preserve">212.73</w:t>
            </w:r>
          </w:p>
        </w:tc>
        <w:tc>
          <w:tcPr>
            <w:tcW w:w="2551" w:type="dxa"/>
            <w:vAlign w:val="center"/>
          </w:tcPr>
          <w:p>
            <w:pPr>
              <w:pStyle w:val="单元格样式7"/>
            </w:pPr>
            <w:r>
              <w:t xml:space="preserve">54.48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210.97</w:t>
            </w:r>
          </w:p>
        </w:tc>
        <w:tc>
          <w:tcPr>
            <w:tcW w:w="2551" w:type="dxa"/>
            <w:vAlign w:val="center"/>
          </w:tcPr>
          <w:p>
            <w:pPr>
              <w:pStyle w:val="单元格样式4"/>
            </w:pPr>
            <w:r>
              <w:t xml:space="preserve">210.97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91.00</w:t>
            </w:r>
          </w:p>
        </w:tc>
        <w:tc>
          <w:tcPr>
            <w:tcW w:w="2551" w:type="dxa"/>
            <w:vAlign w:val="center"/>
          </w:tcPr>
          <w:p>
            <w:pPr>
              <w:pStyle w:val="单元格样式4"/>
            </w:pPr>
            <w:r>
              <w:t xml:space="preserve">91.00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25.72</w:t>
            </w:r>
          </w:p>
        </w:tc>
        <w:tc>
          <w:tcPr>
            <w:tcW w:w="2551" w:type="dxa"/>
            <w:vAlign w:val="center"/>
          </w:tcPr>
          <w:p>
            <w:pPr>
              <w:pStyle w:val="单元格样式4"/>
            </w:pPr>
            <w:r>
              <w:t xml:space="preserve">25.72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22.30</w:t>
            </w:r>
          </w:p>
        </w:tc>
        <w:tc>
          <w:tcPr>
            <w:tcW w:w="2551" w:type="dxa"/>
            <w:vAlign w:val="center"/>
          </w:tcPr>
          <w:p>
            <w:pPr>
              <w:pStyle w:val="单元格样式4"/>
            </w:pPr>
            <w:r>
              <w:t xml:space="preserve">22.30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22.00</w:t>
            </w:r>
          </w:p>
        </w:tc>
        <w:tc>
          <w:tcPr>
            <w:tcW w:w="2551" w:type="dxa"/>
            <w:vAlign w:val="center"/>
          </w:tcPr>
          <w:p>
            <w:pPr>
              <w:pStyle w:val="单元格样式4"/>
            </w:pPr>
            <w:r>
              <w:t xml:space="preserve">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11.35</w:t>
            </w:r>
          </w:p>
        </w:tc>
        <w:tc>
          <w:tcPr>
            <w:tcW w:w="2551" w:type="dxa"/>
            <w:vAlign w:val="center"/>
          </w:tcPr>
          <w:p>
            <w:pPr>
              <w:pStyle w:val="单元格样式4"/>
            </w:pPr>
            <w:r>
              <w:t xml:space="preserve">11.35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0.60</w:t>
            </w:r>
          </w:p>
        </w:tc>
        <w:tc>
          <w:tcPr>
            <w:tcW w:w="2551" w:type="dxa"/>
            <w:vAlign w:val="center"/>
          </w:tcPr>
          <w:p>
            <w:pPr>
              <w:pStyle w:val="单元格样式4"/>
            </w:pPr>
            <w:r>
              <w:t xml:space="preserve">0.60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54.48</w:t>
            </w:r>
          </w:p>
        </w:tc>
        <w:tc>
          <w:tcPr>
            <w:tcW w:w="2551" w:type="dxa"/>
            <w:vAlign w:val="center"/>
          </w:tcPr>
          <w:p>
            <w:pPr>
              <w:pStyle w:val="单元格样式4"/>
            </w:pPr>
          </w:p>
        </w:tc>
        <w:tc>
          <w:tcPr>
            <w:tcW w:w="2551" w:type="dxa"/>
            <w:vAlign w:val="center"/>
          </w:tcPr>
          <w:p>
            <w:pPr>
              <w:pStyle w:val="单元格样式4"/>
            </w:pPr>
            <w:r>
              <w:t xml:space="preserve">54.48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8.98</w:t>
            </w:r>
          </w:p>
        </w:tc>
        <w:tc>
          <w:tcPr>
            <w:tcW w:w="2551" w:type="dxa"/>
            <w:vAlign w:val="center"/>
          </w:tcPr>
          <w:p>
            <w:pPr>
              <w:pStyle w:val="单元格样式4"/>
            </w:pPr>
          </w:p>
        </w:tc>
        <w:tc>
          <w:tcPr>
            <w:tcW w:w="2551" w:type="dxa"/>
            <w:vAlign w:val="center"/>
          </w:tcPr>
          <w:p>
            <w:pPr>
              <w:pStyle w:val="单元格样式4"/>
            </w:pPr>
            <w:r>
              <w:t xml:space="preserve">8.98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9.50</w:t>
            </w:r>
          </w:p>
        </w:tc>
        <w:tc>
          <w:tcPr>
            <w:tcW w:w="2551" w:type="dxa"/>
            <w:vAlign w:val="center"/>
          </w:tcPr>
          <w:p>
            <w:pPr>
              <w:pStyle w:val="单元格样式4"/>
            </w:pPr>
          </w:p>
        </w:tc>
        <w:tc>
          <w:tcPr>
            <w:tcW w:w="2551" w:type="dxa"/>
            <w:vAlign w:val="center"/>
          </w:tcPr>
          <w:p>
            <w:pPr>
              <w:pStyle w:val="单元格样式4"/>
            </w:pPr>
            <w:r>
              <w:t xml:space="preserve">9.50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17.00</w:t>
            </w:r>
          </w:p>
        </w:tc>
        <w:tc>
          <w:tcPr>
            <w:tcW w:w="2551" w:type="dxa"/>
            <w:vAlign w:val="center"/>
          </w:tcPr>
          <w:p>
            <w:pPr>
              <w:pStyle w:val="单元格样式4"/>
            </w:pPr>
          </w:p>
        </w:tc>
        <w:tc>
          <w:tcPr>
            <w:tcW w:w="2551"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1.76</w:t>
            </w:r>
          </w:p>
        </w:tc>
        <w:tc>
          <w:tcPr>
            <w:tcW w:w="2551" w:type="dxa"/>
            <w:vAlign w:val="center"/>
          </w:tcPr>
          <w:p>
            <w:pPr>
              <w:pStyle w:val="单元格样式4"/>
            </w:pPr>
            <w:r>
              <w:t xml:space="preserve">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1.76</w:t>
            </w:r>
          </w:p>
        </w:tc>
        <w:tc>
          <w:tcPr>
            <w:tcW w:w="2551" w:type="dxa"/>
            <w:vAlign w:val="center"/>
          </w:tcPr>
          <w:p>
            <w:pPr>
              <w:pStyle w:val="单元格样式4"/>
            </w:pPr>
            <w:r>
              <w:t xml:space="preserve">1.76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馆陶县政协委员会办公室2025年部门预算信息公开情况说明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馆陶县政协委员会办公室2025年部门预算信息公开情况说明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按照《中华人民共和国预算法》、《地方预决算公开操作规程》和《关于进一步推进预算公开工作的实施意见》规定，现将馆陶县政协委员会办公室2025年部门预算公开如下：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负责县政协全体会议、常务委员会议、主席会议、主席办公会议、常务委员专题座谈会以及其他重要会议、活动的组织和服务工作，负责上述会议所需的各项会议务准备、文稿起草，并根据会议要求形成决议、决定、建议案。</w:t>
      </w:r>
    </w:p>
    <w:p>
      <w:pPr>
        <w:pStyle w:val="插入文本样式-插入预算公开部门职责文件"/>
      </w:pPr>
      <w:r>
        <w:t xml:space="preserve">（二）负责全体委员会议、常委会议、主席会议决议和决定的组织实施工作。</w:t>
      </w:r>
    </w:p>
    <w:p>
      <w:pPr>
        <w:pStyle w:val="插入文本样式-插入预算公开部门职责文件"/>
      </w:pPr>
      <w:r>
        <w:t xml:space="preserve">（三）充分发挥县政协委员的作用，履行好政治协商、民主监督、参政议政的主要职能。</w:t>
      </w:r>
    </w:p>
    <w:p>
      <w:pPr>
        <w:pStyle w:val="插入文本样式-插入预算公开部门职责文件"/>
      </w:pPr>
      <w:r>
        <w:t xml:space="preserve">（四）负责县政协委员进行的视察、参观、调查、座谈、学习、研讨等日常活动的秘书、服务和具体组织工作。</w:t>
      </w:r>
    </w:p>
    <w:p>
      <w:pPr>
        <w:pStyle w:val="插入文本样式-插入预算公开部门职责文件"/>
      </w:pPr>
      <w:r>
        <w:t xml:space="preserve">（五）研究统一战线和人民政协的理论政策，提出人民政协履行职能的工作建议；调查研究地方政协的共性问题及其解决办法，提出意见供领导参考。</w:t>
      </w:r>
    </w:p>
    <w:p>
      <w:pPr>
        <w:pStyle w:val="插入文本样式-插入预算公开部门职责文件"/>
      </w:pPr>
      <w:r>
        <w:t xml:space="preserve">（六）协调和组织人民政协的对内对外宣传工作，宣传人民政协的方针政策政协委员的先进事迹、工作业绩和经验。</w:t>
      </w:r>
    </w:p>
    <w:p>
      <w:pPr>
        <w:pStyle w:val="插入文本样式-插入预算公开部门职责文件"/>
      </w:pPr>
      <w:r>
        <w:t xml:space="preserve">（七）联系和指导全县各乡(镇)政协工作，联系县各民主党派、工商联、各人民团体和无党派人士，联系县直党政职能部门，互通信息，协调工作，加强合作。</w:t>
      </w:r>
    </w:p>
    <w:p>
      <w:pPr>
        <w:pStyle w:val="插入文本样式-插入预算公开部门职责文件"/>
      </w:pPr>
      <w:r>
        <w:t xml:space="preserve">（八）整理、报送政协组织和政协委员履行职能形成的调研报告、视察报告、大会发言、建议案；收集和反映政协委员和各界人士的意见和建议，反映社情民意。</w:t>
      </w:r>
    </w:p>
    <w:p>
      <w:pPr>
        <w:pStyle w:val="插入文本样式-插入预算公开部门职责文件"/>
      </w:pPr>
      <w:r>
        <w:t xml:space="preserve">（九）负责权限范围内的人事任免、机构调整；参与县政协委员、常委的考察、推荐、增补、任免及管理工作。</w:t>
      </w:r>
    </w:p>
    <w:p>
      <w:pPr>
        <w:pStyle w:val="插入文本样式-插入预算公开部门职责文件"/>
      </w:pPr>
      <w:r>
        <w:t xml:space="preserve">（十）组织委员和各有关方面提出提案、并协助有关部门做好提案的交办、办理和答复工作。</w:t>
      </w:r>
    </w:p>
    <w:p>
      <w:pPr>
        <w:pStyle w:val="插入文本样式-插入预算公开部门职责文件"/>
      </w:pPr>
      <w:r>
        <w:t xml:space="preserve">（十一）负责全县文史资料的征集、研究整理的出版工作。</w:t>
      </w:r>
    </w:p>
    <w:p>
      <w:pPr>
        <w:pStyle w:val="插入文本样式-插入预算公开部门职责文件"/>
      </w:pPr>
      <w:r>
        <w:t xml:space="preserve">（十二）负责与华侨、港澳台同胞的联络以及对外友好交往工作；负责接待来馆访问、参观的有关海内外友好人士和外地政协领导，加强对外联谊和政协的横向联系。</w:t>
      </w:r>
    </w:p>
    <w:p>
      <w:pPr>
        <w:pStyle w:val="插入文本样式-插入预算公开部门职责文件"/>
      </w:pPr>
      <w:r>
        <w:t xml:space="preserve">（十三）负责县政协重大活动后勤保障工作以及管理机关内部经费。</w:t>
      </w:r>
    </w:p>
    <w:p>
      <w:pPr>
        <w:pStyle w:val="插入文本样式-插入预算公开部门职责文件"/>
      </w:pPr>
      <w:r>
        <w:t xml:space="preserve">（十四）受市政协委托，组织驻我县的市政协委员开展活动，做好市政协委员驻馆活动组工作。</w:t>
      </w:r>
    </w:p>
    <w:p>
      <w:pPr>
        <w:pStyle w:val="插入文本样式-插入预算公开部门职责文件"/>
      </w:pPr>
      <w:r>
        <w:t xml:space="preserve">（十五）承办市政协和县政协主席、副主席交办的其它事项。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馆陶县政协委员会办公室本级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按照预算管理有关规定，目前部门预算的编制实行综合预算管理，即全部收入和支出都反映在预算中。馆陶县政协委员会办公室机关及所属事业单位的收支包含在部门预算中。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287.05万元，其中：一般公共预算收入287.05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馆陶县政协委员会办公室年度部门预算中支出预算的总体情况。2025年支出预算287.05万元，其中基本支出267.21万元，包括人员经费212.73万元和日常公用经费54.48万元；项目支出19.84万元，主要为政协会议经费、2025年政协委员视察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2025年预算收支安排287.05万元，较2024年预算减少8.00万元，其中：基本支出减少3.04万元，主要为政协会议经费减少项目支出减少4.96万元，主要为政协会议经费项目支出减少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2025年，我部门机关运行经费共计安排54.48万元，主要用于日常维修、办公用房水电费、办公用房取暖费、办公用房物业管理费等日常运行支出。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无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以落实科学发展观为指导，按照中央、省、市、县关于推行政府绩效管理制度的要求，围绕推进服务政府、责任政府、法治政府、廉洁政府为主线，促进各部门牢固树立绩效意识，改进管理方式，提升工作实效，不断提高履职力、执行力和公信力，为我县科学发展、跨越发展发挥积极作用。依据我单位职责、党委、政府重要工作部署、部门战略发展规划、年度工作计划与工作要点，我单位总体绩效目标：</w:t>
      </w:r>
    </w:p>
    <w:p>
      <w:pPr>
        <w:pStyle w:val="插入文本样式-插入总体目标文件"/>
      </w:pPr>
      <w:r>
        <w:t xml:space="preserve">1、负责县政协全体会议、常务委员会议、主席会议、主席办公会、常务委员专题座谈会和专门委员会的会务工作，负责上述会议所形成的决议、决定、建议案的组织实施。</w:t>
      </w:r>
    </w:p>
    <w:p>
      <w:pPr>
        <w:pStyle w:val="插入文本样式-插入总体目标文件"/>
      </w:pPr>
      <w:r>
        <w:t xml:space="preserve">2、协调县政协各专门委员会的工作，充分发挥县政协委员的作用，履行政治协商、民主监督、参政议政的基本职能。</w:t>
      </w:r>
    </w:p>
    <w:p>
      <w:pPr>
        <w:pStyle w:val="插入文本样式-插入总体目标文件"/>
      </w:pPr>
      <w:r>
        <w:t xml:space="preserve">3、负责县政协委员进行视察、参观、调查、座谈、学习、研讨等活动的服务和具体组织工作。</w:t>
      </w:r>
    </w:p>
    <w:p>
      <w:pPr>
        <w:pStyle w:val="插入文本样式-插入总体目标文件"/>
      </w:pPr>
      <w:r>
        <w:t xml:space="preserve">4、研究统一战线和人民政协的理论、政策，调查研究地方政协的共同性问题及其解决方法。</w:t>
      </w:r>
    </w:p>
    <w:p>
      <w:pPr>
        <w:pStyle w:val="插入文本样式-插入总体目标文件"/>
      </w:pPr>
      <w:r>
        <w:t xml:space="preserve">5、宣传人民政协的方针政策，工作业绩和经验以及政协委员的先进事迹，收集和反映县政协委员和各界人士的意见与建议，综合反映社情民意。</w:t>
      </w:r>
    </w:p>
    <w:p>
      <w:pPr>
        <w:pStyle w:val="插入文本样式-插入总体目标文件"/>
      </w:pPr>
      <w:r>
        <w:t xml:space="preserve">6、指导全县政协各联络组、界别组的工作，联系各民主党派、工商联、各人民团体和无党派人士，联系县直有关部门，互通信息、协调工作、加强合作。</w:t>
      </w:r>
    </w:p>
    <w:p>
      <w:pPr>
        <w:pStyle w:val="插入文本样式-插入总体目标文件"/>
      </w:pPr>
      <w:r>
        <w:t xml:space="preserve">7、负责县政协开展各项活动的有关后勤服务管理工作和县政协机关行政事务管理工作。</w:t>
      </w:r>
    </w:p>
    <w:p>
      <w:pPr>
        <w:pStyle w:val="插入文本样式-插入总体目标文件"/>
      </w:pPr>
      <w:r>
        <w:t xml:space="preserve">8、负责接待来馆陶访问的海内外有关友好人士和对外联谊工作。</w:t>
      </w:r>
    </w:p>
    <w:p>
      <w:pPr>
        <w:pStyle w:val="插入文本样式-插入总体目标文件"/>
      </w:pP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1、会议召开情况</w:t>
      </w:r>
    </w:p>
    <w:p>
      <w:pPr>
        <w:pStyle w:val="插入文本样式-插入职责分类绩效目标文件"/>
      </w:pPr>
      <w:r>
        <w:t xml:space="preserve">绩效目标：保证圆满完成县十届委员会第六次会议各项工作。</w:t>
      </w:r>
    </w:p>
    <w:p>
      <w:pPr>
        <w:pStyle w:val="插入文本样式-插入职责分类绩效目标文件"/>
      </w:pPr>
      <w:r>
        <w:t xml:space="preserve">绩效指标：确保会议于2025年2月底前完，确保政协委员参会议政率达99%，委员参加会议人数大于等于200人，参会委员人数语言讨论发言比率大于等于95%，会议各项任务完成率大于等于95%，确保委员大会期间委员意见、建议及议案立案率大于等于95%，委员在会议上围绕县委中心工作积极建言献策，进一步凝聚改革发展动力，促进社会主义协商民主积极向好发展，委员对本次会议组织实施情况满意率等于100%。</w:t>
      </w:r>
    </w:p>
    <w:p>
      <w:pPr>
        <w:pStyle w:val="插入文本样式-插入职责分类绩效目标文件"/>
      </w:pPr>
    </w:p>
    <w:p>
      <w:pPr>
        <w:pStyle w:val="插入文本样式-插入职责分类绩效目标文件"/>
      </w:pPr>
      <w:r>
        <w:t xml:space="preserve">2、政协委员视察及法律监督情况</w:t>
      </w:r>
    </w:p>
    <w:p>
      <w:pPr>
        <w:pStyle w:val="插入文本样式-插入职责分类绩效目标文件"/>
      </w:pPr>
      <w:r>
        <w:t xml:space="preserve">绩效目标：加强对全县重点工作、民生工作及重点议案调研、视察、督办，促进全县经济积极向好发展；组织政协委员开展社情民意收集反映，促进民生工程改善，增强人民群众幸福获得感。</w:t>
      </w:r>
    </w:p>
    <w:p>
      <w:pPr>
        <w:pStyle w:val="插入文本样式-插入职责分类绩效目标文件"/>
      </w:pPr>
      <w:r>
        <w:t xml:space="preserve">绩效指标:视察调研次数大于等于12次，政协委员参与重点课题、重点议案督办视察调研人数大于等于20人，视察调研活动时间完成目标占年初计划完成目标比例大于等于95，视察调研工作2025年12月底前完成，每次视察调研活动形成成果向县委县政府及相关部门进行反映，促进县域经济积极向好发展，委员积极参与视察调研活动，提升政协委员履职能力，政协委员对视察调研活动实施情况满意率大于等于99%。</w:t>
      </w:r>
    </w:p>
    <w:p>
      <w:pPr>
        <w:pStyle w:val="插入文本样式-插入职责分类绩效目标文件"/>
      </w:pPr>
    </w:p>
    <w:p>
      <w:pPr>
        <w:pStyle w:val="插入文本样式-插入职责分类绩效目标文件"/>
      </w:pP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加强政治协商工作。县政协要把协商摆在更加重要的位置，聚焦“四项聚焦”和“双周协商”工作重点、群众关心的热点、社会治理的难点开展协商，助力党委和政府“科学决策、有效施策。根据工作实际，每月举行2次专题协商座谈会、每月安排1次视察。采取有效协商形式，扩大政协委员参与协商的覆盖面。支持鼓励政协委员有序参与基层协商(有事来协商)，促进政协协商有效服务基层治理。健全党政部门重要情况通报制度。</w:t>
      </w:r>
    </w:p>
    <w:p>
      <w:pPr>
        <w:pStyle w:val="插入文本样式-插入实现年度发展规划目标的保障措施文件"/>
      </w:pPr>
      <w:r>
        <w:t xml:space="preserve">2、发挥民主监督作用。坚持协商式监督的定位，在县委领导下，围绕党和国家重要决策部署在基层的贯彻落实、全县经济社会发展规划的落实、群众关注问题的解决落实等，,有组织有重点地开展民主监督。完善民主监督知情明政、协商交流、办理反馈、权益保障等机制;因地制宜探索和完善民主监督形式。</w:t>
      </w:r>
    </w:p>
    <w:p>
      <w:pPr>
        <w:pStyle w:val="插入文本样式-插入实现年度发展规划目标的保障措施文件"/>
      </w:pPr>
      <w:r>
        <w:t xml:space="preserve">3、提高参政议政能力。配合参与重要视察调研、重点协商和重大活动市县两级政协联动。建立县政协主席会议成员联系指导民主党派政协工作、专门委员会工作，专门委员会对口联系县级部门和乡镇政协相关工作，定期开展走访联系。建立协商、调研、视察、社情民意等政协履职成果采纳、落实、反馈机制，探索建立县级部门办理委员意见建议情况的通报机制，让委员知晓履职成果的签批情况和办理情况，提升委员履职的责任感、自豪感和成就感。</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4、深化凝聚共识工作。建立完善县政协党组成员联系党员委员、专门委员会联系界别委员、党员委员联系党外委员制度。建立健全县政协党组成员同党外委员谈心交流、主席会议成员走访看望委员、党外委员专题视察等制度。支持各民主党派和无党派人十在政协参与重大政策讨论协商。</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1、2025年政协委员视察经费绩效目标表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13043325P000024100108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2025年政协委员视察经费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用于2025年政协委员视察经费，保证视察调研活动顺利进行，促进经济社会可持续向好发展。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1.目标内容1保证视察调研活动顺利进行，促进经济社会可持续向好发展。</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视察及检查次数</w:t>
            </w:r>
          </w:p>
          <w:p>
            <w:pPr>
              <w:pStyle w:val="单元格样式2"/>
            </w:pPr>
          </w:p>
        </w:tc>
        <w:tc>
          <w:tcPr>
            <w:tcW w:w="5386" w:type="dxa"/>
            <w:vAlign w:val="center"/>
          </w:tcPr>
          <w:p>
            <w:pPr>
              <w:pStyle w:val="单元格样式2"/>
            </w:pPr>
            <w:r>
              <w:t xml:space="preserve">委员视察及检查的次数</w:t>
            </w:r>
          </w:p>
          <w:p>
            <w:pPr>
              <w:pStyle w:val="单元格样式2"/>
            </w:pPr>
          </w:p>
        </w:tc>
        <w:tc>
          <w:tcPr>
            <w:tcW w:w="2268" w:type="dxa"/>
            <w:vAlign w:val="center"/>
          </w:tcPr>
          <w:p>
            <w:pPr>
              <w:pStyle w:val="单元格样式2"/>
            </w:pPr>
            <w:r>
              <w:t xml:space="preserve">12次</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意见建议采纳率</w:t>
            </w:r>
          </w:p>
          <w:p>
            <w:pPr>
              <w:pStyle w:val="单元格样式2"/>
            </w:pPr>
          </w:p>
        </w:tc>
        <w:tc>
          <w:tcPr>
            <w:tcW w:w="5386" w:type="dxa"/>
            <w:vAlign w:val="center"/>
          </w:tcPr>
          <w:p>
            <w:pPr>
              <w:pStyle w:val="单元格样式2"/>
            </w:pPr>
            <w:r>
              <w:t xml:space="preserve">采纳意见数量占总意见数量比例</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w:t>
            </w:r>
          </w:p>
          <w:p>
            <w:pPr>
              <w:pStyle w:val="单元格样式2"/>
            </w:pPr>
          </w:p>
        </w:tc>
        <w:tc>
          <w:tcPr>
            <w:tcW w:w="5386" w:type="dxa"/>
            <w:vAlign w:val="center"/>
          </w:tcPr>
          <w:p>
            <w:pPr>
              <w:pStyle w:val="单元格样式2"/>
            </w:pPr>
            <w:r>
              <w:t xml:space="preserve">按照实施方案规定时间及时完成年度代表视察工作任务</w:t>
            </w:r>
          </w:p>
          <w:p>
            <w:pPr>
              <w:pStyle w:val="单元格样式2"/>
            </w:pPr>
          </w:p>
        </w:tc>
        <w:tc>
          <w:tcPr>
            <w:tcW w:w="2268" w:type="dxa"/>
            <w:vAlign w:val="center"/>
          </w:tcPr>
          <w:p>
            <w:pPr>
              <w:pStyle w:val="单元格样式2"/>
            </w:pPr>
            <w:r>
              <w:t xml:space="preserve">12月</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视察成本</w:t>
            </w:r>
          </w:p>
          <w:p>
            <w:pPr>
              <w:pStyle w:val="单元格样式2"/>
            </w:pPr>
          </w:p>
        </w:tc>
        <w:tc>
          <w:tcPr>
            <w:tcW w:w="5386" w:type="dxa"/>
            <w:vAlign w:val="center"/>
          </w:tcPr>
          <w:p>
            <w:pPr>
              <w:pStyle w:val="单元格样式2"/>
            </w:pPr>
            <w:r>
              <w:t xml:space="preserve">委员视察活动成本开支</w:t>
            </w:r>
          </w:p>
          <w:p>
            <w:pPr>
              <w:pStyle w:val="单元格样式2"/>
            </w:pPr>
          </w:p>
        </w:tc>
        <w:tc>
          <w:tcPr>
            <w:tcW w:w="2268" w:type="dxa"/>
            <w:vAlign w:val="center"/>
          </w:tcPr>
          <w:p>
            <w:pPr>
              <w:pStyle w:val="单元格样式2"/>
            </w:pPr>
            <w:r>
              <w:t xml:space="preserve">5万元</w:t>
            </w:r>
          </w:p>
        </w:tc>
        <w:tc>
          <w:tcPr>
            <w:tcW w:w="1276" w:type="dxa"/>
            <w:vAlign w:val="center"/>
          </w:tcPr>
          <w:p>
            <w:pPr>
              <w:pStyle w:val="单元格样式2"/>
            </w:pPr>
            <w:r>
              <w:t xml:space="preserve">资金测评表</w:t>
            </w:r>
            <w:r>
              <w:rPr/>
              <w:tab/>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促进县域经济增长</w:t>
            </w:r>
          </w:p>
          <w:p>
            <w:pPr>
              <w:pStyle w:val="单元格样式2"/>
            </w:pPr>
          </w:p>
        </w:tc>
        <w:tc>
          <w:tcPr>
            <w:tcW w:w="5386" w:type="dxa"/>
            <w:vAlign w:val="center"/>
          </w:tcPr>
          <w:p>
            <w:pPr>
              <w:pStyle w:val="单元格样式2"/>
            </w:pPr>
            <w:r>
              <w:t xml:space="preserve">强化政协监督作用，促进县域经济增长比例</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p>
            <w:pPr>
              <w:pStyle w:val="单元格样式2"/>
            </w:pPr>
          </w:p>
        </w:tc>
        <w:tc>
          <w:tcPr>
            <w:tcW w:w="5386" w:type="dxa"/>
            <w:vAlign w:val="center"/>
          </w:tcPr>
          <w:p>
            <w:pPr>
              <w:pStyle w:val="单元格样式2"/>
            </w:pPr>
            <w:r>
              <w:t xml:space="preserve">提升代表履职能力，促进社会和谐稳定程度</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政协委员满意度</w:t>
            </w:r>
          </w:p>
          <w:p>
            <w:pPr>
              <w:pStyle w:val="单元格样式2"/>
            </w:pPr>
          </w:p>
        </w:tc>
        <w:tc>
          <w:tcPr>
            <w:tcW w:w="5386" w:type="dxa"/>
            <w:vAlign w:val="center"/>
          </w:tcPr>
          <w:p>
            <w:pPr>
              <w:pStyle w:val="单元格样式2"/>
            </w:pPr>
            <w:r>
              <w:t xml:space="preserve">政协委员对年度视察的满意度</w:t>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调查问卷</w:t>
            </w:r>
            <w:r>
              <w:rPr/>
              <w:tab/>
            </w:r>
          </w:p>
          <w:p>
            <w:pPr>
              <w:pStyle w:val="单元格样式2"/>
            </w:pP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2、2025年政协馆陶县第十届委员会第六次会议经费</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13043325P00000210031R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2025年政协馆陶县第十届委员会第六次会议经费</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16.64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16.64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用于2025年馆陶县第十届委员会第六次会议。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1.目标内容1保证会议2025年2月底前召开，充分发挥县政协委员的作用，履行政治协商、民主监督、参政议政。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参会人员</w:t>
            </w:r>
          </w:p>
        </w:tc>
        <w:tc>
          <w:tcPr>
            <w:tcW w:w="5386" w:type="dxa"/>
            <w:vAlign w:val="center"/>
          </w:tcPr>
          <w:p>
            <w:pPr>
              <w:pStyle w:val="单元格样式2"/>
            </w:pPr>
            <w:r>
              <w:t xml:space="preserve">委员参加会议人数</w:t>
            </w:r>
          </w:p>
        </w:tc>
        <w:tc>
          <w:tcPr>
            <w:tcW w:w="2268" w:type="dxa"/>
            <w:vAlign w:val="center"/>
          </w:tcPr>
          <w:p>
            <w:pPr>
              <w:pStyle w:val="单元格样式2"/>
            </w:pPr>
            <w:r>
              <w:t xml:space="preserve">200人</w:t>
            </w:r>
          </w:p>
        </w:tc>
        <w:tc>
          <w:tcPr>
            <w:tcW w:w="1276" w:type="dxa"/>
            <w:vAlign w:val="center"/>
          </w:tcPr>
          <w:p>
            <w:pPr>
              <w:pStyle w:val="单元格样式2"/>
            </w:pPr>
            <w:r>
              <w:t xml:space="preserve">会议实施方案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议案通过率</w:t>
            </w:r>
          </w:p>
        </w:tc>
        <w:tc>
          <w:tcPr>
            <w:tcW w:w="5386" w:type="dxa"/>
            <w:vAlign w:val="center"/>
          </w:tcPr>
          <w:p>
            <w:pPr>
              <w:pStyle w:val="单元格样式2"/>
            </w:pPr>
            <w:r>
              <w:t xml:space="preserve">本次会议议案通过数量占会议议案的比例</w:t>
            </w:r>
          </w:p>
        </w:tc>
        <w:tc>
          <w:tcPr>
            <w:tcW w:w="2268" w:type="dxa"/>
            <w:vAlign w:val="center"/>
          </w:tcPr>
          <w:p>
            <w:pPr>
              <w:pStyle w:val="单元格样式2"/>
            </w:pPr>
            <w:r>
              <w:t xml:space="preserve">≥99%</w:t>
            </w:r>
          </w:p>
        </w:tc>
        <w:tc>
          <w:tcPr>
            <w:tcW w:w="1276" w:type="dxa"/>
            <w:vAlign w:val="center"/>
          </w:tcPr>
          <w:p>
            <w:pPr>
              <w:pStyle w:val="单元格样式2"/>
            </w:pPr>
            <w:r>
              <w:t xml:space="preserve">会议实施方案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会议完成时间</w:t>
            </w:r>
          </w:p>
        </w:tc>
        <w:tc>
          <w:tcPr>
            <w:tcW w:w="5386" w:type="dxa"/>
            <w:vAlign w:val="center"/>
          </w:tcPr>
          <w:p>
            <w:pPr>
              <w:pStyle w:val="单元格样式2"/>
            </w:pPr>
            <w:r>
              <w:t xml:space="preserve">本次会议召开时间</w:t>
            </w:r>
          </w:p>
        </w:tc>
        <w:tc>
          <w:tcPr>
            <w:tcW w:w="2268" w:type="dxa"/>
            <w:vAlign w:val="center"/>
          </w:tcPr>
          <w:p>
            <w:pPr>
              <w:pStyle w:val="单元格样式2"/>
            </w:pPr>
            <w:r>
              <w:t xml:space="preserve">3天</w:t>
            </w:r>
          </w:p>
        </w:tc>
        <w:tc>
          <w:tcPr>
            <w:tcW w:w="1276" w:type="dxa"/>
            <w:vAlign w:val="center"/>
          </w:tcPr>
          <w:p>
            <w:pPr>
              <w:pStyle w:val="单元格样式2"/>
            </w:pPr>
            <w:r>
              <w:t xml:space="preserve">会议实施方案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会议总经费</w:t>
            </w:r>
          </w:p>
        </w:tc>
        <w:tc>
          <w:tcPr>
            <w:tcW w:w="5386" w:type="dxa"/>
            <w:vAlign w:val="center"/>
          </w:tcPr>
          <w:p>
            <w:pPr>
              <w:pStyle w:val="单元格样式2"/>
            </w:pPr>
            <w:r>
              <w:t xml:space="preserve">本次会议召开的总经费支出</w:t>
            </w:r>
          </w:p>
        </w:tc>
        <w:tc>
          <w:tcPr>
            <w:tcW w:w="2268" w:type="dxa"/>
            <w:vAlign w:val="center"/>
          </w:tcPr>
          <w:p>
            <w:pPr>
              <w:pStyle w:val="单元格样式2"/>
            </w:pPr>
            <w:r>
              <w:t xml:space="preserve">26万元</w:t>
            </w:r>
          </w:p>
        </w:tc>
        <w:tc>
          <w:tcPr>
            <w:tcW w:w="1276" w:type="dxa"/>
            <w:vAlign w:val="center"/>
          </w:tcPr>
          <w:p>
            <w:pPr>
              <w:pStyle w:val="单元格样式2"/>
            </w:pPr>
            <w:r>
              <w:t xml:space="preserve">项目测算表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vAlign w:val="center"/>
          </w:tcPr>
          <w:p>
            <w:pPr>
              <w:pStyle w:val="单元格样式2"/>
            </w:pPr>
            <w:r>
              <w:t xml:space="preserve">强化政协监督作用，促进县域经济增长比例</w:t>
            </w:r>
          </w:p>
        </w:tc>
        <w:tc>
          <w:tcPr>
            <w:tcW w:w="2268" w:type="dxa"/>
            <w:vAlign w:val="center"/>
          </w:tcPr>
          <w:p>
            <w:pPr>
              <w:pStyle w:val="单元格样式2"/>
            </w:pPr>
            <w:r>
              <w:t xml:space="preserve">≥10%</w:t>
            </w:r>
          </w:p>
        </w:tc>
        <w:tc>
          <w:tcPr>
            <w:tcW w:w="1276" w:type="dxa"/>
            <w:vAlign w:val="center"/>
          </w:tcPr>
          <w:p>
            <w:pPr>
              <w:pStyle w:val="单元格样式2"/>
            </w:pPr>
            <w:r>
              <w:t xml:space="preserve">会议实施方案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w:t>
            </w:r>
          </w:p>
        </w:tc>
        <w:tc>
          <w:tcPr>
            <w:tcW w:w="5386" w:type="dxa"/>
            <w:vAlign w:val="center"/>
          </w:tcPr>
          <w:p>
            <w:pPr>
              <w:pStyle w:val="单元格样式2"/>
            </w:pPr>
            <w:r>
              <w:t xml:space="preserve">提升代表履职能力，促进社会和谐稳定程度</w:t>
            </w:r>
          </w:p>
        </w:tc>
        <w:tc>
          <w:tcPr>
            <w:tcW w:w="2268" w:type="dxa"/>
            <w:vAlign w:val="center"/>
          </w:tcPr>
          <w:p>
            <w:pPr>
              <w:pStyle w:val="单元格样式2"/>
            </w:pPr>
            <w:r>
              <w:t xml:space="preserve">≥98%</w:t>
            </w:r>
          </w:p>
        </w:tc>
        <w:tc>
          <w:tcPr>
            <w:tcW w:w="1276" w:type="dxa"/>
            <w:vAlign w:val="center"/>
          </w:tcPr>
          <w:p>
            <w:pPr>
              <w:pStyle w:val="单元格样式2"/>
            </w:pPr>
            <w:r>
              <w:t xml:space="preserve">会议实施方案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参会代表满意度</w:t>
            </w:r>
          </w:p>
        </w:tc>
        <w:tc>
          <w:tcPr>
            <w:tcW w:w="5386" w:type="dxa"/>
            <w:vAlign w:val="center"/>
          </w:tcPr>
          <w:p>
            <w:pPr>
              <w:pStyle w:val="单元格样式2"/>
            </w:pPr>
            <w:r>
              <w:t xml:space="preserve">参会代表对本次会议的满意度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馆陶县政协委员会办公室（含所属单位）上年末固定资产金额为42.80万元（详见下表）。本年度拟购置固定资产总额为0.00万元，已按要求列入政府采购预算，详见政府采购预算表。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131馆陶县政协委员会办公室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42.80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42.80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2025-03-05T11:04:43Z</dcterms:created>
  <dcterms:modified xsi:type="dcterms:W3CDTF">2025-03-05T11:04:43Z</dcterms:modified>
</cp:coreProperties>
</file>