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DBDFE">
      <w:pPr>
        <w:ind w:firstLine="883" w:firstLineChars="200"/>
        <w:jc w:val="center"/>
        <w:rPr>
          <w:rFonts w:ascii="宋体"/>
          <w:b/>
          <w:sz w:val="44"/>
          <w:szCs w:val="44"/>
        </w:rPr>
      </w:pPr>
    </w:p>
    <w:p w14:paraId="036C7150">
      <w:pPr>
        <w:ind w:firstLine="883" w:firstLineChars="200"/>
        <w:jc w:val="center"/>
        <w:rPr>
          <w:rFonts w:ascii="宋体"/>
          <w:b/>
          <w:sz w:val="44"/>
          <w:szCs w:val="44"/>
        </w:rPr>
      </w:pPr>
      <w:r>
        <w:rPr>
          <w:rFonts w:hint="eastAsia" w:ascii="宋体" w:hAnsi="宋体"/>
          <w:b/>
          <w:sz w:val="44"/>
          <w:szCs w:val="44"/>
        </w:rPr>
        <w:t>馆陶县</w:t>
      </w:r>
      <w:r>
        <w:rPr>
          <w:rFonts w:hint="eastAsia" w:ascii="宋体" w:hAnsi="宋体"/>
          <w:b/>
          <w:sz w:val="44"/>
          <w:szCs w:val="44"/>
          <w:lang w:eastAsia="zh-CN"/>
        </w:rPr>
        <w:t>政协</w:t>
      </w:r>
      <w:r>
        <w:rPr>
          <w:rFonts w:ascii="宋体" w:hAnsi="宋体"/>
          <w:b/>
          <w:sz w:val="44"/>
          <w:szCs w:val="44"/>
        </w:rPr>
        <w:t>2018</w:t>
      </w:r>
      <w:r>
        <w:rPr>
          <w:rFonts w:hint="eastAsia" w:ascii="宋体" w:hAnsi="宋体"/>
          <w:b/>
          <w:sz w:val="44"/>
          <w:szCs w:val="44"/>
        </w:rPr>
        <w:t>年部门预算信息公开</w:t>
      </w:r>
    </w:p>
    <w:p w14:paraId="56BC87DE">
      <w:pPr>
        <w:ind w:firstLine="640" w:firstLineChars="200"/>
        <w:rPr>
          <w:rFonts w:ascii="仿宋_GB2312" w:hAnsi="Times New Roman" w:eastAsia="仿宋_GB2312"/>
          <w:sz w:val="32"/>
          <w:szCs w:val="32"/>
        </w:rPr>
      </w:pPr>
    </w:p>
    <w:p w14:paraId="1CFAF63A">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按照《中华人民共和国预算法》、《地方预决算公开操作规程》和《河北省省级预算公开办法》规定，现将我</w:t>
      </w:r>
      <w:r>
        <w:rPr>
          <w:rFonts w:hint="eastAsia" w:ascii="仿宋_GB2312" w:hAnsi="Times New Roman" w:eastAsia="仿宋_GB2312"/>
          <w:sz w:val="32"/>
          <w:szCs w:val="32"/>
          <w:lang w:eastAsia="zh-CN"/>
        </w:rPr>
        <w:t>单位</w:t>
      </w:r>
      <w:r>
        <w:rPr>
          <w:rFonts w:ascii="仿宋_GB2312" w:hAnsi="Times New Roman" w:eastAsia="仿宋_GB2312"/>
          <w:sz w:val="32"/>
          <w:szCs w:val="32"/>
        </w:rPr>
        <w:t>2018</w:t>
      </w:r>
      <w:r>
        <w:rPr>
          <w:rFonts w:hint="eastAsia" w:ascii="仿宋_GB2312" w:hAnsi="Times New Roman" w:eastAsia="仿宋_GB2312"/>
          <w:sz w:val="32"/>
          <w:szCs w:val="32"/>
        </w:rPr>
        <w:t>年部门预算公开如下：</w:t>
      </w:r>
    </w:p>
    <w:p w14:paraId="461B08A8">
      <w:pPr>
        <w:ind w:firstLine="640"/>
        <w:rPr>
          <w:rFonts w:ascii="黑体" w:hAnsi="黑体" w:eastAsia="黑体"/>
          <w:b/>
          <w:sz w:val="32"/>
          <w:szCs w:val="32"/>
        </w:rPr>
      </w:pPr>
      <w:r>
        <w:rPr>
          <w:rFonts w:hint="eastAsia" w:ascii="黑体" w:hAnsi="黑体" w:eastAsia="黑体"/>
          <w:b/>
          <w:sz w:val="32"/>
          <w:szCs w:val="32"/>
        </w:rPr>
        <w:t>一、部门职责及机构设置情况</w:t>
      </w:r>
    </w:p>
    <w:p w14:paraId="2A95936E">
      <w:pPr>
        <w:ind w:firstLine="643" w:firstLineChars="200"/>
        <w:rPr>
          <w:rFonts w:ascii="黑体" w:hAnsi="Times New Roman" w:eastAsia="黑体"/>
          <w:b/>
          <w:sz w:val="32"/>
          <w:szCs w:val="32"/>
        </w:rPr>
      </w:pPr>
      <w:r>
        <w:rPr>
          <w:rFonts w:hint="eastAsia" w:ascii="黑体" w:hAnsi="Times New Roman" w:eastAsia="黑体"/>
          <w:b/>
          <w:sz w:val="32"/>
          <w:szCs w:val="32"/>
        </w:rPr>
        <w:t>部门职责：</w:t>
      </w:r>
    </w:p>
    <w:p w14:paraId="23C328D5">
      <w:pPr>
        <w:ind w:firstLine="640" w:firstLineChars="200"/>
        <w:jc w:val="both"/>
        <w:outlineLvl w:val="1"/>
        <w:rPr>
          <w:rFonts w:hint="eastAsia" w:ascii="宋体" w:cs="宋体"/>
          <w:kern w:val="0"/>
          <w:sz w:val="32"/>
          <w:szCs w:val="32"/>
          <w:lang w:val="zh-CN"/>
        </w:rPr>
      </w:pPr>
      <w:r>
        <w:rPr>
          <w:rFonts w:hint="eastAsia" w:ascii="宋体" w:cs="宋体"/>
          <w:kern w:val="0"/>
          <w:sz w:val="32"/>
          <w:szCs w:val="32"/>
          <w:lang w:val="zh-CN"/>
        </w:rPr>
        <w:t>县政协机关是政协馆陶县委员会的工作机构，承担为政协履行政治协商、民主监督、参政议政职能服务的各项工作。主要职责是：</w:t>
      </w:r>
    </w:p>
    <w:p w14:paraId="7F0B0CDB">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1．负责县政协全体会议、常务委员会议、主席会议、主席办公会议、常务委员专题座谈会以及其他重要会议、活动的组织和服务工作，负责上述会议所需的各项会议务准备、文稿起草，并根据会议要求形成决议、决定、建议案。  </w:t>
      </w:r>
    </w:p>
    <w:p w14:paraId="4D3551FF">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2．负责全体委员会议、常委会议、主席会议决议和决定的组织实施工作。</w:t>
      </w:r>
    </w:p>
    <w:p w14:paraId="059F37FD">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3．充分发挥县政协委员的作用，履行好政治协商、民主监督、参政议政的主要职能。</w:t>
      </w:r>
    </w:p>
    <w:p w14:paraId="05D89C3C">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4．负责县政协委员进行的视察、参观、调查、座谈、学习、研讨等日常活动的秘书、服务和具体组织工作。</w:t>
      </w:r>
    </w:p>
    <w:p w14:paraId="36A44A5A">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5．研究统一战线和人民政协的理论政策，提出人民政协履行职能的工作建议；调查研究地方政协的共性问题及其解决办法，提出意见供领导参考。</w:t>
      </w:r>
    </w:p>
    <w:p w14:paraId="79B6E607">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6．协调和组织人民政协的对内对外宣传工作，宣传人民政协的方针政策政协委员的先进事迹、工作业绩和经验。</w:t>
      </w:r>
    </w:p>
    <w:p w14:paraId="2E089E7D">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7．联系和指导全县各乡(镇)政协工作，联系县各民主党派、工商联、各人民团体和无党派人士，联系县直党政职能部门，互通信息，协调工作，加强合作。</w:t>
      </w:r>
    </w:p>
    <w:p w14:paraId="52A1B9AF">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8．整理、报送政协组织和政协委员履行职能形成的调研报告、视察报告、大会发言、建议案；收集和反映政协委员和各界人士的意见和建议，反映社情民意。</w:t>
      </w:r>
    </w:p>
    <w:p w14:paraId="5B7701DC">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9、负责权限范围内的人事任免、机构调整；参与县政协委员、常委的考察、推荐、增补、任免及管理工作。</w:t>
      </w:r>
    </w:p>
    <w:p w14:paraId="435380C6">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10、组织委员和各有关方面提出提案、并协助有关部门做好提案的交办、办理和答复工作。</w:t>
      </w:r>
    </w:p>
    <w:p w14:paraId="700B668D">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11、负责全县文史资料的征集、研究整理的出版工作。</w:t>
      </w:r>
    </w:p>
    <w:p w14:paraId="0BF71AC3">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12、负责与华侨、港澳台同胞的联络以及对外友好交往工作；负责接待来馆访问、参观的有关海内外友好人士和外地政协领导，加强对外联谊和政协的横向联系。</w:t>
      </w:r>
    </w:p>
    <w:p w14:paraId="101DD820">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l3、负责县政协重大活动后勤保障工作以及管理机关内部经费。</w:t>
      </w:r>
    </w:p>
    <w:p w14:paraId="13A715B8">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14、受市政协委托，组织驻我县的市政协委员开展活动，做好市政协委员驻馆活动组工作。</w:t>
      </w:r>
    </w:p>
    <w:p w14:paraId="708B8698">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l5、承办市政协和县政协主席、副主席交办的其它事项。</w:t>
      </w:r>
    </w:p>
    <w:p w14:paraId="271A8D46">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二、内设局级机构</w:t>
      </w:r>
    </w:p>
    <w:p w14:paraId="22F7FCCA">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根据上述职责、政协馆陶县委员会机关设4个局级机构和机关党支部。</w:t>
      </w:r>
    </w:p>
    <w:p w14:paraId="36800A08">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1．办公室</w:t>
      </w:r>
    </w:p>
    <w:p w14:paraId="152DF308">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县政协办公室是县政协综合办事机构。承办县政协日常事务，组织筹备主席会议、常务委员会议、政协全体委员会议、专题座谈会；负责机关人事、文秘、档案、行政管理、财务管理、安全保卫、接待服务、离退休人员管理。组织开展有关人民政协和统一战线约理论政策研究，提出人民政协履行职职能的工作建议：调查研究地方政协带共同性的问题及其解决办</w:t>
      </w:r>
    </w:p>
    <w:p w14:paraId="4C6B2776">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法，提出意见供领导参考；组织协调县政协理论研究课题的专项调研；组织起草县政协主席会议、常务委员会议、全体委员会议等主要领导讲话和政协工作的重要文稿，起草以县政协名义制发的综合性文件；完成领导交办的其它任务。</w:t>
      </w:r>
    </w:p>
    <w:p w14:paraId="0DC7C4EC">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2、提案委员会</w:t>
      </w:r>
    </w:p>
    <w:p w14:paraId="658F45A8">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制定全会期问提案工作方案和年度工作计划：组织、征集、指导提案者提出提案；对提案进行审查立案，协助县委、县政府有关部门确定承办单位，并交有关单位办理；对提案的办理工作进行督促和检查，推动承办单位认真办理提案并落实；组织优秀提案、先进提案者的评选和表彰；参与承办单位承办工作的考评；适时对提案进行综合分析，及时反映重要信息；组织提案工作的理论研讨，总结、推广提案工作经验，加强与新闻宣传部门的联系，做好提案报道工作；向常务委员会和主席会议报告工作，负责起草常务委员会在全会上的提案工作报告。团结、联系委员和有关人士学习、宣传我国有关人口资源环境的方针政策，提供有关学习资料；组织委员围绕县委、县政府中心工作，就我县人口资源环境与可持续发展中的重要问题，从建言立论的高度、认真调研，提出意见、建议和提案，反映社会情民意；积极推进人口资源环境方面工作的开展。</w:t>
      </w:r>
    </w:p>
    <w:p w14:paraId="1FEE01CD">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3、财政经济委员会</w:t>
      </w:r>
    </w:p>
    <w:p w14:paraId="45E0C789">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负责组织委员会和各界人士就我县工业、农业、城建、交通、财政、贸易、．金融等方面的重要问题开展协商讨论；通过专题调查、视察、考察、报告会、咨询服务等活动，推动委员参政议政，负责组织委员就我县两个文明建设、科技、教育、文化艺术、体育、医药卫生、旅游等方面的重要问题进行专题调查、视察、考察或专题座谈、咨询等活动，向县政府及有关部门提出意见和建议。宣传、贯彻党和国家有关民族、宗教、工、青、妇、少年儿童及社会工作的方针政策和国家宪法、各项法律、法规，促进民主法制建设，维护社会政治稳定；围绕改革、民族宗教、社会热点难点等重要问题进行座谈讨论、调查、视察、考察、咨询等活动，向有关部门和组织提出意见和建议；对人大、政府等委托讲座法规、条例提出修改意见和建议；加强民族、宗教工作，推动各界人士为少数民族地区的经济、文化事业发展贡献力量，促进宗教与社会主义社会相适应；加强与司法、行政执法、社会公益部门和有关社会团体的联系与合作，密切联系工、青、妇、少数民族、宗教界代表人士，广交朋友；促进团结、发展和社会进步。</w:t>
      </w:r>
    </w:p>
    <w:p w14:paraId="5A6EDED7">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4、文史资料委员会</w:t>
      </w:r>
    </w:p>
    <w:p w14:paraId="4B431F5C">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负责组织和推动近代、现代有一定的影响的历史事件和历史人物回忆资料的撰写、征集、研究、编辑、出版及交流工作；在继续挖掘建国前政治军事史料的同时，加强对经注意、科技、教育、文化史料的征集，开拓建国后史料征集的新领域。负责组织三胞眷属及有关人士学习、宣传党和国家关于祖国统一的</w:t>
      </w:r>
    </w:p>
    <w:p w14:paraId="1EFFC6D2">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方针政策；宣传和政府贯彻执行国家侨务政策；积极开展同原籍属我县的港澳台同胞、海外侨胞的联系；开展同他们及住我县眷属的联谊活动，为搞好招商引资服务；反映有关祖国统一的情况、意见和建议；积极宣传外交政策，协助开展外交活动。</w:t>
      </w:r>
    </w:p>
    <w:p w14:paraId="5A67901C">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按规定设置机关党支部，负责机关的党群工作。</w:t>
      </w:r>
    </w:p>
    <w:p w14:paraId="6761E79B">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三、内设股级机构</w:t>
      </w:r>
    </w:p>
    <w:p w14:paraId="7B36D5F6">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l、办公室内设2个科</w:t>
      </w:r>
    </w:p>
    <w:p w14:paraId="0ECE5A89">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(1)秘书科</w:t>
      </w:r>
    </w:p>
    <w:p w14:paraId="1D7B8152">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负责县政协例会以及县政协召开的各种会议的组织、协调等会务工作；负责主席会议、主席办，公会议记录；负责文件的收发、传阅、管理及文书档案管理；负责政协机关及委员的报刊和内外收发；负责政协机关的印鉴管理和机要保密，文件的打印、复印、上呈下达及微机管理；负责领导批示件和交办事项项的督办、反馈；负责机关办公文具的购置、保管和发放；负责同委员、各民主党派、工商联、人民团体的日常联系工作；做好与县委、人大、政府及市政协的联系工作。负责县政协委员的联络工作，组织好有关活动，处理好委员反映的有关问题；组织起草县政协主席会议、常务委员会议、全体委员会议主要领导讲话，总结会议情况，汇集、整理、反映会议意见和建议；起草政协工作的重要文稿，起草以县政协名义制发的综合性文件；编印《政协工作动态》。负责有关人民政协和统一战线的理论政策研究，提出人民政协履行职能的工作建议；调查研究地方政协带共同性的问题及解决办法，提出参考意见。</w:t>
      </w:r>
    </w:p>
    <w:p w14:paraId="37B72F74">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(2)行政科</w:t>
      </w:r>
    </w:p>
    <w:p w14:paraId="59C13DB8">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负责机关财产管理，办公家具的购置、保管和发放；负机关各种会议的住宿和后勤保障工作；做好上级政协和外地政协来馆的接待住宿工作；负责机关的安全保卫工作；负责机关干部职工的生活福利；负责机关的计划生育工作。负责县政协机关的人事、工资、档案管理；负责调动、任免、晋职、晋级、奖惩；负责机关干部的考察、呈报、调转、教育培训：负责政协党组会议记录。</w:t>
      </w:r>
    </w:p>
    <w:p w14:paraId="644E8BF0">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四、人员编制和领导职数</w:t>
      </w:r>
    </w:p>
    <w:p w14:paraId="78AE6420">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县政协机关行政编制13名。其中主席1名、副主席3名(驻会，含党委统战部部长兼任副主席)；秘书长(兼办公室主任)1名；办公室副主任2名；提案委员会、经济委员会、文史委员会主任各1名；股级领导职数2名。</w:t>
      </w:r>
    </w:p>
    <w:p w14:paraId="71933AA9">
      <w:pPr>
        <w:tabs>
          <w:tab w:val="left" w:pos="5680"/>
        </w:tabs>
        <w:autoSpaceDE w:val="0"/>
        <w:autoSpaceDN w:val="0"/>
        <w:adjustRightInd w:val="0"/>
        <w:jc w:val="left"/>
        <w:rPr>
          <w:rFonts w:hint="eastAsia" w:ascii="宋体" w:cs="宋体"/>
          <w:kern w:val="0"/>
          <w:sz w:val="32"/>
          <w:szCs w:val="32"/>
          <w:lang w:val="zh-CN"/>
        </w:rPr>
      </w:pPr>
      <w:r>
        <w:rPr>
          <w:rFonts w:hint="eastAsia" w:ascii="宋体" w:cs="宋体"/>
          <w:kern w:val="0"/>
          <w:sz w:val="32"/>
          <w:szCs w:val="32"/>
          <w:lang w:val="zh-CN"/>
        </w:rPr>
        <w:t xml:space="preserve">    机关老干部服务人员编制1名。</w:t>
      </w:r>
    </w:p>
    <w:p w14:paraId="68977D49">
      <w:pPr>
        <w:tabs>
          <w:tab w:val="left" w:pos="5680"/>
        </w:tabs>
        <w:autoSpaceDE w:val="0"/>
        <w:autoSpaceDN w:val="0"/>
        <w:adjustRightInd w:val="0"/>
        <w:jc w:val="left"/>
        <w:rPr>
          <w:rFonts w:hint="eastAsia" w:ascii="仿宋_GB2312" w:eastAsia="仿宋_GB2312"/>
          <w:sz w:val="30"/>
          <w:szCs w:val="30"/>
        </w:rPr>
      </w:pPr>
      <w:r>
        <w:rPr>
          <w:rFonts w:hint="eastAsia" w:ascii="宋体" w:cs="宋体"/>
          <w:kern w:val="0"/>
          <w:sz w:val="32"/>
          <w:szCs w:val="32"/>
          <w:lang w:val="zh-CN"/>
        </w:rPr>
        <w:t xml:space="preserve">    机关工勤人员编制1名。</w:t>
      </w:r>
    </w:p>
    <w:tbl>
      <w:tblPr>
        <w:tblStyle w:val="9"/>
        <w:tblW w:w="857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001"/>
        <w:gridCol w:w="2183"/>
        <w:gridCol w:w="1866"/>
        <w:gridCol w:w="2521"/>
      </w:tblGrid>
      <w:tr w14:paraId="4A17A5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7" w:hRule="atLeast"/>
          <w:tblHeader/>
          <w:jc w:val="center"/>
        </w:trPr>
        <w:tc>
          <w:tcPr>
            <w:tcW w:w="2001" w:type="dxa"/>
            <w:vAlign w:val="center"/>
          </w:tcPr>
          <w:p w14:paraId="1D7894DE">
            <w:pPr>
              <w:jc w:val="center"/>
              <w:rPr>
                <w:rFonts w:ascii="黑体" w:eastAsia="黑体"/>
                <w:b/>
                <w:sz w:val="24"/>
              </w:rPr>
            </w:pPr>
            <w:r>
              <w:rPr>
                <w:rFonts w:hint="eastAsia" w:ascii="黑体" w:eastAsia="黑体"/>
                <w:b/>
                <w:sz w:val="24"/>
              </w:rPr>
              <w:t>单位编码</w:t>
            </w:r>
          </w:p>
        </w:tc>
        <w:tc>
          <w:tcPr>
            <w:tcW w:w="2183" w:type="dxa"/>
            <w:vAlign w:val="center"/>
          </w:tcPr>
          <w:p w14:paraId="6AE17266">
            <w:pPr>
              <w:jc w:val="center"/>
              <w:rPr>
                <w:rFonts w:ascii="黑体" w:eastAsia="黑体"/>
                <w:b/>
                <w:sz w:val="24"/>
              </w:rPr>
            </w:pPr>
            <w:r>
              <w:rPr>
                <w:rFonts w:hint="eastAsia" w:ascii="黑体" w:eastAsia="黑体"/>
                <w:b/>
                <w:sz w:val="24"/>
              </w:rPr>
              <w:t>单位名称</w:t>
            </w:r>
          </w:p>
        </w:tc>
        <w:tc>
          <w:tcPr>
            <w:tcW w:w="1866" w:type="dxa"/>
            <w:vAlign w:val="center"/>
          </w:tcPr>
          <w:p w14:paraId="667DD926">
            <w:pPr>
              <w:jc w:val="center"/>
              <w:rPr>
                <w:rFonts w:ascii="黑体" w:eastAsia="黑体"/>
                <w:b/>
                <w:sz w:val="24"/>
              </w:rPr>
            </w:pPr>
            <w:r>
              <w:rPr>
                <w:rFonts w:hint="eastAsia" w:ascii="黑体" w:eastAsia="黑体"/>
                <w:b/>
                <w:sz w:val="24"/>
              </w:rPr>
              <w:t>单位性质</w:t>
            </w:r>
          </w:p>
        </w:tc>
        <w:tc>
          <w:tcPr>
            <w:tcW w:w="2521" w:type="dxa"/>
            <w:vAlign w:val="center"/>
          </w:tcPr>
          <w:p w14:paraId="77D27ABF">
            <w:pPr>
              <w:jc w:val="center"/>
              <w:rPr>
                <w:rFonts w:ascii="黑体" w:eastAsia="黑体"/>
                <w:b/>
                <w:sz w:val="24"/>
              </w:rPr>
            </w:pPr>
            <w:r>
              <w:rPr>
                <w:rFonts w:hint="eastAsia" w:ascii="黑体" w:eastAsia="黑体"/>
                <w:b/>
                <w:sz w:val="24"/>
              </w:rPr>
              <w:t>财政供给政策</w:t>
            </w:r>
          </w:p>
        </w:tc>
      </w:tr>
      <w:tr w14:paraId="173745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7" w:hRule="atLeast"/>
          <w:jc w:val="center"/>
        </w:trPr>
        <w:tc>
          <w:tcPr>
            <w:tcW w:w="2001" w:type="dxa"/>
            <w:vAlign w:val="top"/>
          </w:tcPr>
          <w:p w14:paraId="5D71D502">
            <w:pPr>
              <w:jc w:val="left"/>
              <w:rPr>
                <w:rFonts w:hint="eastAsia" w:ascii="宋体" w:hAnsi="宋体"/>
                <w:sz w:val="24"/>
              </w:rPr>
            </w:pPr>
            <w:r>
              <w:rPr>
                <w:rFonts w:hint="eastAsia" w:ascii="宋体" w:hAnsi="宋体"/>
                <w:sz w:val="24"/>
              </w:rPr>
              <w:t>131002</w:t>
            </w:r>
          </w:p>
        </w:tc>
        <w:tc>
          <w:tcPr>
            <w:tcW w:w="2183" w:type="dxa"/>
            <w:vAlign w:val="top"/>
          </w:tcPr>
          <w:p w14:paraId="0902B9A6">
            <w:pPr>
              <w:jc w:val="left"/>
              <w:rPr>
                <w:rFonts w:hint="eastAsia" w:ascii="宋体" w:hAnsi="宋体"/>
                <w:sz w:val="24"/>
              </w:rPr>
            </w:pPr>
            <w:r>
              <w:rPr>
                <w:rFonts w:hint="eastAsia" w:ascii="宋体" w:hAnsi="宋体"/>
                <w:sz w:val="24"/>
              </w:rPr>
              <w:t>馆陶县政协</w:t>
            </w:r>
          </w:p>
        </w:tc>
        <w:tc>
          <w:tcPr>
            <w:tcW w:w="1866" w:type="dxa"/>
            <w:vAlign w:val="top"/>
          </w:tcPr>
          <w:p w14:paraId="31E852EE">
            <w:pPr>
              <w:jc w:val="center"/>
              <w:rPr>
                <w:rFonts w:hint="eastAsia" w:ascii="宋体" w:hAnsi="宋体"/>
                <w:sz w:val="24"/>
              </w:rPr>
            </w:pPr>
            <w:r>
              <w:rPr>
                <w:rFonts w:hint="eastAsia" w:ascii="宋体" w:hAnsi="宋体"/>
                <w:sz w:val="24"/>
              </w:rPr>
              <w:t>行政</w:t>
            </w:r>
          </w:p>
        </w:tc>
        <w:tc>
          <w:tcPr>
            <w:tcW w:w="2521" w:type="dxa"/>
            <w:vAlign w:val="top"/>
          </w:tcPr>
          <w:p w14:paraId="6BE103EB">
            <w:pPr>
              <w:jc w:val="left"/>
              <w:rPr>
                <w:rFonts w:hint="eastAsia" w:ascii="宋体" w:hAnsi="宋体"/>
                <w:sz w:val="24"/>
              </w:rPr>
            </w:pPr>
            <w:r>
              <w:rPr>
                <w:rFonts w:hint="eastAsia" w:ascii="宋体" w:hAnsi="宋体"/>
                <w:sz w:val="24"/>
              </w:rPr>
              <w:t>财政拨款</w:t>
            </w:r>
          </w:p>
        </w:tc>
      </w:tr>
      <w:tr w14:paraId="3319A2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7" w:hRule="atLeast"/>
          <w:jc w:val="center"/>
        </w:trPr>
        <w:tc>
          <w:tcPr>
            <w:tcW w:w="2001" w:type="dxa"/>
            <w:vAlign w:val="top"/>
          </w:tcPr>
          <w:p w14:paraId="2EFAB747">
            <w:pPr>
              <w:jc w:val="left"/>
              <w:rPr>
                <w:rFonts w:hint="eastAsia" w:ascii="宋体" w:hAnsi="宋体"/>
                <w:sz w:val="24"/>
              </w:rPr>
            </w:pPr>
            <w:r>
              <w:rPr>
                <w:rFonts w:hint="eastAsia" w:ascii="宋体" w:hAnsi="宋体"/>
                <w:sz w:val="24"/>
              </w:rPr>
              <w:t>131002</w:t>
            </w:r>
          </w:p>
        </w:tc>
        <w:tc>
          <w:tcPr>
            <w:tcW w:w="2183" w:type="dxa"/>
            <w:vAlign w:val="top"/>
          </w:tcPr>
          <w:p w14:paraId="089FF4F7">
            <w:pPr>
              <w:jc w:val="center"/>
              <w:rPr>
                <w:rFonts w:hint="eastAsia" w:ascii="宋体" w:hAnsi="宋体"/>
                <w:sz w:val="24"/>
              </w:rPr>
            </w:pPr>
            <w:r>
              <w:rPr>
                <w:rFonts w:hint="eastAsia" w:ascii="宋体" w:hAnsi="宋体"/>
                <w:sz w:val="24"/>
              </w:rPr>
              <w:t>馆陶县政协机关</w:t>
            </w:r>
          </w:p>
        </w:tc>
        <w:tc>
          <w:tcPr>
            <w:tcW w:w="1866" w:type="dxa"/>
            <w:vAlign w:val="top"/>
          </w:tcPr>
          <w:p w14:paraId="3BCE424B">
            <w:pPr>
              <w:jc w:val="center"/>
              <w:rPr>
                <w:rFonts w:hint="eastAsia" w:ascii="宋体" w:hAnsi="宋体"/>
                <w:sz w:val="24"/>
              </w:rPr>
            </w:pPr>
            <w:r>
              <w:rPr>
                <w:rFonts w:hint="eastAsia" w:ascii="宋体" w:hAnsi="宋体"/>
                <w:sz w:val="24"/>
              </w:rPr>
              <w:t>行政</w:t>
            </w:r>
          </w:p>
        </w:tc>
        <w:tc>
          <w:tcPr>
            <w:tcW w:w="2521" w:type="dxa"/>
            <w:vAlign w:val="top"/>
          </w:tcPr>
          <w:p w14:paraId="4FE4B7B5">
            <w:pPr>
              <w:jc w:val="left"/>
              <w:rPr>
                <w:rFonts w:hint="eastAsia" w:ascii="宋体" w:hAnsi="宋体"/>
                <w:sz w:val="24"/>
              </w:rPr>
            </w:pPr>
            <w:r>
              <w:rPr>
                <w:rFonts w:hint="eastAsia" w:ascii="宋体" w:hAnsi="宋体"/>
                <w:sz w:val="24"/>
              </w:rPr>
              <w:t>财政拨款</w:t>
            </w:r>
          </w:p>
        </w:tc>
      </w:tr>
    </w:tbl>
    <w:p w14:paraId="1B03A4ED">
      <w:pPr>
        <w:jc w:val="center"/>
        <w:outlineLvl w:val="1"/>
        <w:rPr>
          <w:rFonts w:hint="eastAsia" w:ascii="宋体" w:hAnsi="宋体" w:eastAsia="宋体" w:cs="宋体"/>
          <w:b/>
          <w:bCs w:val="0"/>
          <w:sz w:val="44"/>
          <w:szCs w:val="44"/>
          <w:lang w:val="en-US" w:eastAsia="zh-CN"/>
        </w:rPr>
      </w:pPr>
    </w:p>
    <w:p w14:paraId="435DD130">
      <w:pPr>
        <w:ind w:firstLine="640" w:firstLineChars="200"/>
        <w:rPr>
          <w:rFonts w:hint="eastAsia" w:ascii="仿宋_GB2312" w:hAnsi="仿宋_GB2312" w:eastAsia="仿宋_GB2312" w:cs="仿宋_GB2312"/>
          <w:sz w:val="32"/>
          <w:szCs w:val="32"/>
        </w:rPr>
      </w:pPr>
    </w:p>
    <w:p w14:paraId="2A2C360F">
      <w:pPr>
        <w:ind w:firstLine="640"/>
        <w:rPr>
          <w:rFonts w:ascii="黑体" w:hAnsi="黑体" w:eastAsia="黑体"/>
          <w:b/>
          <w:sz w:val="32"/>
          <w:szCs w:val="32"/>
        </w:rPr>
      </w:pPr>
      <w:r>
        <w:rPr>
          <w:rFonts w:hint="eastAsia" w:ascii="黑体" w:hAnsi="黑体" w:eastAsia="黑体"/>
          <w:b/>
          <w:sz w:val="32"/>
          <w:szCs w:val="32"/>
        </w:rPr>
        <w:t>二、部门预算安排的总体情况</w:t>
      </w:r>
    </w:p>
    <w:p w14:paraId="380AD8E2">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按照预算管理有关规定，目前我县部门预算的编制实行综合预算制度，即全部收入和支出都反映在预算中。</w:t>
      </w:r>
    </w:p>
    <w:p w14:paraId="188860BB">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14:paraId="4C16875E">
      <w:pPr>
        <w:ind w:firstLine="640"/>
        <w:rPr>
          <w:rFonts w:ascii="仿宋_GB2312" w:hAnsi="Times New Roman" w:eastAsia="仿宋_GB2312"/>
          <w:sz w:val="32"/>
          <w:szCs w:val="32"/>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2018</w:t>
      </w:r>
      <w:r>
        <w:rPr>
          <w:rFonts w:hint="eastAsia" w:ascii="仿宋_GB2312" w:hAnsi="Times New Roman" w:eastAsia="仿宋_GB2312"/>
          <w:sz w:val="32"/>
          <w:szCs w:val="32"/>
        </w:rPr>
        <w:t>年预算收入</w:t>
      </w:r>
      <w:r>
        <w:rPr>
          <w:rFonts w:hint="eastAsia" w:ascii="仿宋_GB2312" w:hAnsi="Times New Roman" w:eastAsia="仿宋_GB2312"/>
          <w:sz w:val="32"/>
          <w:szCs w:val="32"/>
          <w:lang w:val="en-US" w:eastAsia="zh-CN"/>
        </w:rPr>
        <w:t>214.753</w:t>
      </w:r>
      <w:r>
        <w:rPr>
          <w:rFonts w:hint="eastAsia" w:ascii="仿宋_GB2312" w:hAnsi="Times New Roman" w:eastAsia="仿宋_GB2312"/>
          <w:sz w:val="32"/>
          <w:szCs w:val="32"/>
        </w:rPr>
        <w:t>万元，其中：</w:t>
      </w:r>
      <w:r>
        <w:rPr>
          <w:rFonts w:hint="eastAsia" w:ascii="仿宋_GB2312" w:hAnsi="Times New Roman" w:eastAsia="仿宋_GB2312"/>
          <w:sz w:val="32"/>
          <w:szCs w:val="32"/>
          <w:lang w:eastAsia="zh-CN"/>
        </w:rPr>
        <w:t>人员经费</w:t>
      </w:r>
      <w:r>
        <w:rPr>
          <w:rFonts w:hint="eastAsia" w:ascii="仿宋_GB2312" w:hAnsi="Times New Roman" w:eastAsia="仿宋_GB2312"/>
          <w:sz w:val="32"/>
          <w:szCs w:val="32"/>
          <w:lang w:val="en-US" w:eastAsia="zh-CN"/>
        </w:rPr>
        <w:t>139.585万元，公用经费49.168万元，专项经费26万元</w:t>
      </w:r>
      <w:r>
        <w:rPr>
          <w:rFonts w:hint="eastAsia" w:ascii="仿宋_GB2312" w:hAnsi="Times New Roman" w:eastAsia="仿宋_GB2312"/>
          <w:sz w:val="32"/>
          <w:szCs w:val="32"/>
        </w:rPr>
        <w:t>。</w:t>
      </w:r>
    </w:p>
    <w:p w14:paraId="007F5FF9">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14:paraId="63F40076">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收支预算总表支出栏、基本支出表、项目支出表按经济分类和支出功能分类科目编制，反映馆陶县</w:t>
      </w:r>
      <w:r>
        <w:rPr>
          <w:rFonts w:hint="eastAsia" w:ascii="仿宋_GB2312" w:hAnsi="Times New Roman" w:eastAsia="仿宋_GB2312"/>
          <w:sz w:val="32"/>
          <w:szCs w:val="32"/>
          <w:lang w:eastAsia="zh-CN"/>
        </w:rPr>
        <w:t>政协</w:t>
      </w:r>
      <w:r>
        <w:rPr>
          <w:rFonts w:hint="eastAsia" w:ascii="仿宋_GB2312" w:hAnsi="Times New Roman" w:eastAsia="仿宋_GB2312"/>
          <w:sz w:val="32"/>
          <w:szCs w:val="32"/>
        </w:rPr>
        <w:t>部门预算中支出预算的总体情况。</w:t>
      </w:r>
      <w:r>
        <w:rPr>
          <w:rFonts w:ascii="仿宋_GB2312" w:hAnsi="Times New Roman" w:eastAsia="仿宋_GB2312"/>
          <w:sz w:val="32"/>
          <w:szCs w:val="32"/>
        </w:rPr>
        <w:t>2018</w:t>
      </w:r>
      <w:r>
        <w:rPr>
          <w:rFonts w:hint="eastAsia" w:ascii="仿宋_GB2312" w:hAnsi="Times New Roman" w:eastAsia="仿宋_GB2312"/>
          <w:sz w:val="32"/>
          <w:szCs w:val="32"/>
        </w:rPr>
        <w:t>年支出预算</w:t>
      </w:r>
      <w:r>
        <w:rPr>
          <w:rFonts w:hint="eastAsia" w:ascii="仿宋_GB2312" w:hAnsi="Times New Roman" w:eastAsia="仿宋_GB2312"/>
          <w:sz w:val="32"/>
          <w:szCs w:val="32"/>
          <w:lang w:val="en-US" w:eastAsia="zh-CN"/>
        </w:rPr>
        <w:t>214.753</w:t>
      </w:r>
      <w:r>
        <w:rPr>
          <w:rFonts w:hint="eastAsia" w:ascii="仿宋_GB2312" w:hAnsi="Times New Roman" w:eastAsia="仿宋_GB2312"/>
          <w:sz w:val="32"/>
          <w:szCs w:val="32"/>
        </w:rPr>
        <w:t>万元，其中：</w:t>
      </w:r>
      <w:r>
        <w:rPr>
          <w:rFonts w:hint="eastAsia" w:ascii="仿宋_GB2312" w:hAnsi="Times New Roman" w:eastAsia="仿宋_GB2312"/>
          <w:sz w:val="32"/>
          <w:szCs w:val="32"/>
          <w:lang w:eastAsia="zh-CN"/>
        </w:rPr>
        <w:t>人员经费</w:t>
      </w:r>
      <w:r>
        <w:rPr>
          <w:rFonts w:hint="eastAsia" w:ascii="仿宋_GB2312" w:hAnsi="Times New Roman" w:eastAsia="仿宋_GB2312"/>
          <w:sz w:val="32"/>
          <w:szCs w:val="32"/>
          <w:lang w:val="en-US" w:eastAsia="zh-CN"/>
        </w:rPr>
        <w:t>139.585万元，公用经费49.168万元，专项经费26万元</w:t>
      </w:r>
      <w:r>
        <w:rPr>
          <w:rFonts w:hint="eastAsia" w:ascii="仿宋_GB2312" w:hAnsi="Times New Roman" w:eastAsia="仿宋_GB2312"/>
          <w:sz w:val="32"/>
          <w:szCs w:val="32"/>
        </w:rPr>
        <w:t>。</w:t>
      </w:r>
    </w:p>
    <w:p w14:paraId="4F3F13D3">
      <w:pPr>
        <w:ind w:firstLine="64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、比上年增减情况</w:t>
      </w:r>
    </w:p>
    <w:p w14:paraId="62463925">
      <w:pPr>
        <w:ind w:firstLine="640"/>
        <w:rPr>
          <w:rFonts w:ascii="仿宋_GB2312" w:hAnsi="黑体"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年预算收支安排</w:t>
      </w:r>
      <w:r>
        <w:rPr>
          <w:rFonts w:hint="eastAsia" w:ascii="仿宋_GB2312" w:hAnsi="Times New Roman" w:eastAsia="仿宋_GB2312"/>
          <w:sz w:val="32"/>
          <w:szCs w:val="32"/>
          <w:lang w:val="en-US" w:eastAsia="zh-CN"/>
        </w:rPr>
        <w:t>214.753</w:t>
      </w:r>
      <w:r>
        <w:rPr>
          <w:rFonts w:hint="eastAsia" w:ascii="仿宋_GB2312" w:hAnsi="Times New Roman" w:eastAsia="仿宋_GB2312"/>
          <w:sz w:val="32"/>
          <w:szCs w:val="32"/>
        </w:rPr>
        <w:t>万元，较</w:t>
      </w:r>
      <w:r>
        <w:rPr>
          <w:rFonts w:ascii="仿宋_GB2312" w:hAnsi="Times New Roman" w:eastAsia="仿宋_GB2312"/>
          <w:sz w:val="32"/>
          <w:szCs w:val="32"/>
        </w:rPr>
        <w:t>2017</w:t>
      </w:r>
      <w:r>
        <w:rPr>
          <w:rFonts w:hint="eastAsia" w:ascii="仿宋_GB2312" w:hAnsi="Times New Roman" w:eastAsia="仿宋_GB2312"/>
          <w:sz w:val="32"/>
          <w:szCs w:val="32"/>
        </w:rPr>
        <w:t>年预算</w:t>
      </w:r>
      <w:r>
        <w:rPr>
          <w:rFonts w:hint="eastAsia" w:ascii="仿宋_GB2312" w:hAnsi="Times New Roman" w:eastAsia="仿宋_GB2312"/>
          <w:sz w:val="32"/>
          <w:szCs w:val="32"/>
          <w:lang w:eastAsia="zh-CN"/>
        </w:rPr>
        <w:t>减少</w:t>
      </w:r>
      <w:r>
        <w:rPr>
          <w:rFonts w:hint="eastAsia" w:ascii="仿宋_GB2312" w:hAnsi="Times New Roman" w:eastAsia="仿宋_GB2312"/>
          <w:sz w:val="32"/>
          <w:szCs w:val="32"/>
          <w:lang w:val="en-US" w:eastAsia="zh-CN"/>
        </w:rPr>
        <w:t>93.147</w:t>
      </w:r>
      <w:r>
        <w:rPr>
          <w:rFonts w:hint="eastAsia" w:ascii="仿宋_GB2312" w:hAnsi="Times New Roman" w:eastAsia="仿宋_GB2312"/>
          <w:sz w:val="32"/>
          <w:szCs w:val="32"/>
        </w:rPr>
        <w:t>万元，其中：基本支出减少</w:t>
      </w:r>
      <w:r>
        <w:rPr>
          <w:rFonts w:hint="eastAsia" w:ascii="仿宋_GB2312" w:hAnsi="Times New Roman" w:eastAsia="仿宋_GB2312"/>
          <w:sz w:val="32"/>
          <w:szCs w:val="32"/>
          <w:lang w:val="en-US" w:eastAsia="zh-CN"/>
        </w:rPr>
        <w:t>93.147</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人员减少</w:t>
      </w:r>
      <w:r>
        <w:rPr>
          <w:rFonts w:hint="eastAsia" w:ascii="仿宋_GB2312" w:hAnsi="Times New Roman" w:eastAsia="仿宋_GB2312"/>
          <w:sz w:val="32"/>
          <w:szCs w:val="32"/>
          <w:lang w:val="en-US" w:eastAsia="zh-CN"/>
        </w:rPr>
        <w:t>109.815万元，</w:t>
      </w:r>
      <w:r>
        <w:rPr>
          <w:rFonts w:hint="eastAsia" w:ascii="仿宋_GB2312" w:hAnsi="Times New Roman" w:eastAsia="仿宋_GB2312"/>
          <w:sz w:val="32"/>
          <w:szCs w:val="32"/>
        </w:rPr>
        <w:t>主要为减少人员经费支出，原因是我单位退休人员移交社保，</w:t>
      </w:r>
      <w:r>
        <w:rPr>
          <w:rFonts w:hint="eastAsia" w:ascii="仿宋_GB2312" w:hAnsi="Times New Roman" w:eastAsia="仿宋_GB2312"/>
          <w:sz w:val="32"/>
          <w:szCs w:val="32"/>
          <w:lang w:eastAsia="zh-CN"/>
        </w:rPr>
        <w:t>因</w:t>
      </w:r>
      <w:r>
        <w:rPr>
          <w:rFonts w:hint="eastAsia" w:ascii="仿宋_GB2312" w:hAnsi="Times New Roman" w:eastAsia="仿宋_GB2312"/>
          <w:sz w:val="32"/>
          <w:szCs w:val="32"/>
        </w:rPr>
        <w:t>我单位未编制退休人员退休费</w:t>
      </w:r>
      <w:r>
        <w:rPr>
          <w:rFonts w:hint="eastAsia" w:ascii="仿宋_GB2312" w:hAnsi="Times New Roman" w:eastAsia="仿宋_GB2312"/>
          <w:sz w:val="32"/>
          <w:szCs w:val="32"/>
          <w:lang w:eastAsia="zh-CN"/>
        </w:rPr>
        <w:t>，公用经费增加</w:t>
      </w:r>
      <w:r>
        <w:rPr>
          <w:rFonts w:hint="eastAsia" w:ascii="仿宋_GB2312" w:hAnsi="Times New Roman" w:eastAsia="仿宋_GB2312"/>
          <w:sz w:val="32"/>
          <w:szCs w:val="32"/>
          <w:lang w:val="en-US" w:eastAsia="zh-CN"/>
        </w:rPr>
        <w:t>16.668万元，原因是2018年公用经费安排了公务人员交通补贴。项目较去年无变化，主要项目为政协会议费用和政协委员视察专项经费。</w:t>
      </w:r>
    </w:p>
    <w:p w14:paraId="6083D46A">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14:paraId="1C73255F">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年，馆陶县</w:t>
      </w:r>
      <w:r>
        <w:rPr>
          <w:rFonts w:hint="eastAsia" w:ascii="仿宋_GB2312" w:hAnsi="Times New Roman" w:eastAsia="仿宋_GB2312"/>
          <w:sz w:val="32"/>
          <w:szCs w:val="32"/>
          <w:lang w:eastAsia="zh-CN"/>
        </w:rPr>
        <w:t>政协</w:t>
      </w:r>
      <w:r>
        <w:rPr>
          <w:rFonts w:hint="eastAsia" w:ascii="仿宋_GB2312" w:hAnsi="Times New Roman" w:eastAsia="仿宋_GB2312"/>
          <w:sz w:val="32"/>
          <w:szCs w:val="32"/>
        </w:rPr>
        <w:t>机关运行经费共计安排</w:t>
      </w:r>
      <w:r>
        <w:rPr>
          <w:rFonts w:hint="eastAsia" w:ascii="仿宋_GB2312" w:hAnsi="Times New Roman" w:eastAsia="仿宋_GB2312"/>
          <w:sz w:val="32"/>
          <w:szCs w:val="32"/>
          <w:lang w:val="en-US" w:eastAsia="zh-CN"/>
        </w:rPr>
        <w:t>49.168</w:t>
      </w:r>
      <w:r>
        <w:rPr>
          <w:rFonts w:hint="eastAsia" w:ascii="仿宋_GB2312" w:hAnsi="Times New Roman" w:eastAsia="仿宋_GB2312"/>
          <w:sz w:val="32"/>
          <w:szCs w:val="32"/>
        </w:rPr>
        <w:t>万元，主要用于办公费、印刷费、邮电费、公务交通补贴等日常运行支出。</w:t>
      </w:r>
    </w:p>
    <w:p w14:paraId="088991B8">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14:paraId="15FC4F24">
      <w:pPr>
        <w:widowControl/>
        <w:spacing w:line="580" w:lineRule="exact"/>
        <w:ind w:firstLine="640" w:firstLineChars="200"/>
        <w:jc w:val="left"/>
        <w:rPr>
          <w:rFonts w:hint="eastAsia" w:ascii="仿宋_GB2312" w:hAnsi="Times New Roman" w:eastAsia="仿宋_GB2312"/>
          <w:sz w:val="32"/>
          <w:szCs w:val="32"/>
        </w:rPr>
      </w:pPr>
      <w:r>
        <w:rPr>
          <w:rFonts w:hint="eastAsia" w:ascii="仿宋_GB2312" w:hAnsi="仿宋_GB2312" w:eastAsia="仿宋_GB2312" w:cs="仿宋_GB2312"/>
          <w:color w:val="000000"/>
          <w:kern w:val="0"/>
          <w:sz w:val="32"/>
          <w:szCs w:val="32"/>
          <w:lang w:bidi="ar"/>
        </w:rPr>
        <w:t>201</w:t>
      </w:r>
      <w:r>
        <w:rPr>
          <w:rFonts w:hint="eastAsia" w:ascii="仿宋_GB2312" w:hAnsi="仿宋_GB2312" w:eastAsia="仿宋_GB2312" w:cs="仿宋_GB2312"/>
          <w:color w:val="000000"/>
          <w:kern w:val="0"/>
          <w:sz w:val="32"/>
          <w:szCs w:val="32"/>
          <w:lang w:val="en-US" w:eastAsia="zh-CN" w:bidi="ar"/>
        </w:rPr>
        <w:t>8</w:t>
      </w:r>
      <w:r>
        <w:rPr>
          <w:rFonts w:hint="eastAsia" w:ascii="仿宋_GB2312" w:hAnsi="仿宋_GB2312" w:eastAsia="仿宋_GB2312" w:cs="仿宋_GB2312"/>
          <w:color w:val="000000"/>
          <w:kern w:val="0"/>
          <w:sz w:val="32"/>
          <w:szCs w:val="32"/>
          <w:lang w:bidi="ar"/>
        </w:rPr>
        <w:t>年</w:t>
      </w:r>
      <w:r>
        <w:rPr>
          <w:rFonts w:hint="eastAsia" w:ascii="仿宋_GB2312" w:hAnsi="仿宋_GB2312" w:eastAsia="仿宋_GB2312" w:cs="仿宋_GB2312"/>
          <w:color w:val="000000"/>
          <w:kern w:val="0"/>
          <w:sz w:val="32"/>
          <w:szCs w:val="32"/>
          <w:lang w:eastAsia="zh-CN" w:bidi="ar"/>
        </w:rPr>
        <w:t>，馆陶县政协</w:t>
      </w:r>
      <w:r>
        <w:rPr>
          <w:rFonts w:hint="eastAsia" w:ascii="仿宋_GB2312" w:hAnsi="Times New Roman" w:eastAsia="仿宋_GB2312"/>
          <w:sz w:val="32"/>
          <w:szCs w:val="32"/>
        </w:rPr>
        <w:t>财政拨款“三公”经费预算安排</w:t>
      </w:r>
      <w:r>
        <w:rPr>
          <w:rFonts w:hint="eastAsia" w:ascii="仿宋_GB2312" w:hAnsi="仿宋_GB2312" w:eastAsia="仿宋_GB2312" w:cs="仿宋_GB2312"/>
          <w:color w:val="000000"/>
          <w:kern w:val="0"/>
          <w:sz w:val="32"/>
          <w:szCs w:val="32"/>
          <w:lang w:val="en-US" w:eastAsia="zh-CN" w:bidi="ar"/>
        </w:rPr>
        <w:t>2.45</w:t>
      </w:r>
      <w:r>
        <w:rPr>
          <w:rFonts w:hint="eastAsia" w:ascii="仿宋_GB2312" w:hAnsi="仿宋_GB2312" w:eastAsia="仿宋_GB2312" w:cs="仿宋_GB2312"/>
          <w:color w:val="000000"/>
          <w:kern w:val="0"/>
          <w:sz w:val="32"/>
          <w:szCs w:val="32"/>
          <w:lang w:bidi="ar"/>
        </w:rPr>
        <w:t>万元，其中一般公共预算政拨款</w:t>
      </w:r>
      <w:r>
        <w:rPr>
          <w:rFonts w:hint="eastAsia" w:ascii="仿宋_GB2312" w:hAnsi="仿宋_GB2312" w:eastAsia="仿宋_GB2312" w:cs="仿宋_GB2312"/>
          <w:color w:val="000000"/>
          <w:kern w:val="0"/>
          <w:sz w:val="32"/>
          <w:szCs w:val="32"/>
          <w:lang w:val="en-US" w:eastAsia="zh-CN" w:bidi="ar"/>
        </w:rPr>
        <w:t>2.45</w:t>
      </w:r>
      <w:r>
        <w:rPr>
          <w:rFonts w:hint="eastAsia" w:ascii="仿宋_GB2312" w:hAnsi="仿宋_GB2312" w:eastAsia="仿宋_GB2312" w:cs="仿宋_GB2312"/>
          <w:color w:val="000000"/>
          <w:kern w:val="0"/>
          <w:sz w:val="32"/>
          <w:szCs w:val="32"/>
          <w:lang w:bidi="ar"/>
        </w:rPr>
        <w:t>万元（因公出国（境）费0万元，公务用车购置及运维费</w:t>
      </w:r>
      <w:r>
        <w:rPr>
          <w:rFonts w:hint="eastAsia" w:ascii="仿宋_GB2312" w:hAnsi="仿宋_GB2312" w:eastAsia="仿宋_GB2312" w:cs="仿宋_GB2312"/>
          <w:color w:val="000000"/>
          <w:kern w:val="0"/>
          <w:sz w:val="32"/>
          <w:szCs w:val="32"/>
          <w:lang w:val="en-US" w:eastAsia="zh-CN" w:bidi="ar"/>
        </w:rPr>
        <w:t>1.8</w:t>
      </w:r>
      <w:r>
        <w:rPr>
          <w:rFonts w:hint="eastAsia" w:ascii="仿宋_GB2312" w:hAnsi="仿宋_GB2312" w:eastAsia="仿宋_GB2312" w:cs="仿宋_GB2312"/>
          <w:color w:val="000000"/>
          <w:kern w:val="0"/>
          <w:sz w:val="32"/>
          <w:szCs w:val="32"/>
          <w:lang w:bidi="ar"/>
        </w:rPr>
        <w:t>万元）</w:t>
      </w:r>
      <w:r>
        <w:rPr>
          <w:rFonts w:hint="eastAsia" w:ascii="仿宋_GB2312" w:hAnsi="仿宋_GB2312" w:eastAsia="仿宋_GB2312" w:cs="仿宋_GB2312"/>
          <w:color w:val="000000"/>
          <w:kern w:val="0"/>
          <w:sz w:val="32"/>
          <w:szCs w:val="32"/>
          <w:lang w:eastAsia="zh-CN" w:bidi="ar"/>
        </w:rPr>
        <w:t>较上年减少</w:t>
      </w:r>
      <w:r>
        <w:rPr>
          <w:rFonts w:hint="eastAsia" w:ascii="仿宋_GB2312" w:hAnsi="仿宋_GB2312" w:eastAsia="仿宋_GB2312" w:cs="仿宋_GB2312"/>
          <w:color w:val="000000"/>
          <w:kern w:val="0"/>
          <w:sz w:val="32"/>
          <w:szCs w:val="32"/>
          <w:lang w:val="en-US" w:eastAsia="zh-CN" w:bidi="ar"/>
        </w:rPr>
        <w:t>5.8万元</w:t>
      </w:r>
      <w:r>
        <w:rPr>
          <w:rFonts w:hint="eastAsia" w:ascii="仿宋_GB2312" w:hAnsi="仿宋_GB2312" w:eastAsia="仿宋_GB2312" w:cs="仿宋_GB2312"/>
          <w:color w:val="000000"/>
          <w:kern w:val="0"/>
          <w:sz w:val="32"/>
          <w:szCs w:val="32"/>
          <w:lang w:bidi="ar"/>
        </w:rPr>
        <w:t>，公务接待费0.</w:t>
      </w:r>
      <w:r>
        <w:rPr>
          <w:rFonts w:hint="eastAsia" w:ascii="仿宋_GB2312" w:hAnsi="仿宋_GB2312" w:eastAsia="仿宋_GB2312" w:cs="仿宋_GB2312"/>
          <w:color w:val="000000"/>
          <w:kern w:val="0"/>
          <w:sz w:val="32"/>
          <w:szCs w:val="32"/>
          <w:lang w:val="en-US" w:eastAsia="zh-CN" w:bidi="ar"/>
        </w:rPr>
        <w:t>65</w:t>
      </w:r>
      <w:r>
        <w:rPr>
          <w:rFonts w:hint="eastAsia" w:ascii="仿宋_GB2312" w:hAnsi="仿宋_GB2312" w:eastAsia="仿宋_GB2312" w:cs="仿宋_GB2312"/>
          <w:color w:val="000000"/>
          <w:kern w:val="0"/>
          <w:sz w:val="32"/>
          <w:szCs w:val="32"/>
          <w:lang w:bidi="ar"/>
        </w:rPr>
        <w:t>万元</w:t>
      </w:r>
      <w:r>
        <w:rPr>
          <w:rFonts w:hint="eastAsia" w:ascii="仿宋_GB2312" w:hAnsi="仿宋_GB2312" w:eastAsia="仿宋_GB2312" w:cs="仿宋_GB2312"/>
          <w:color w:val="000000"/>
          <w:kern w:val="0"/>
          <w:sz w:val="32"/>
          <w:szCs w:val="32"/>
          <w:lang w:eastAsia="zh-CN" w:bidi="ar"/>
        </w:rPr>
        <w:t>，较上年减少</w:t>
      </w:r>
      <w:r>
        <w:rPr>
          <w:rFonts w:hint="eastAsia" w:ascii="仿宋_GB2312" w:hAnsi="仿宋_GB2312" w:eastAsia="仿宋_GB2312" w:cs="仿宋_GB2312"/>
          <w:color w:val="000000"/>
          <w:kern w:val="0"/>
          <w:sz w:val="32"/>
          <w:szCs w:val="32"/>
          <w:lang w:val="en-US" w:eastAsia="zh-CN" w:bidi="ar"/>
        </w:rPr>
        <w:t>0.05万元</w:t>
      </w:r>
      <w:r>
        <w:rPr>
          <w:rFonts w:hint="eastAsia" w:ascii="仿宋_GB2312" w:hAnsi="仿宋_GB2312" w:eastAsia="仿宋_GB2312" w:cs="仿宋_GB2312"/>
          <w:color w:val="000000"/>
          <w:kern w:val="0"/>
          <w:sz w:val="32"/>
          <w:szCs w:val="32"/>
          <w:lang w:bidi="ar"/>
        </w:rPr>
        <w:t>。</w:t>
      </w:r>
      <w:r>
        <w:rPr>
          <w:rFonts w:hint="eastAsia" w:ascii="仿宋_GB2312" w:hAnsi="Times New Roman" w:eastAsia="仿宋_GB2312"/>
          <w:sz w:val="32"/>
          <w:szCs w:val="32"/>
        </w:rPr>
        <w:t>较</w:t>
      </w:r>
      <w:r>
        <w:rPr>
          <w:rFonts w:ascii="仿宋_GB2312" w:hAnsi="Times New Roman" w:eastAsia="仿宋_GB2312"/>
          <w:sz w:val="32"/>
          <w:szCs w:val="32"/>
        </w:rPr>
        <w:t>2017</w:t>
      </w:r>
      <w:r>
        <w:rPr>
          <w:rFonts w:hint="eastAsia" w:ascii="仿宋_GB2312" w:hAnsi="Times New Roman" w:eastAsia="仿宋_GB2312"/>
          <w:sz w:val="32"/>
          <w:szCs w:val="32"/>
        </w:rPr>
        <w:t>年“三公”经费支出预算减少，主要原因是严格“三公”经费各项开支要求，压缩了“三公”经费各项开支。</w:t>
      </w:r>
    </w:p>
    <w:p w14:paraId="4D9B706B">
      <w:pPr>
        <w:ind w:firstLine="640"/>
        <w:rPr>
          <w:rFonts w:ascii="黑体" w:hAnsi="黑体" w:eastAsia="黑体"/>
          <w:b/>
          <w:sz w:val="32"/>
          <w:szCs w:val="32"/>
        </w:rPr>
      </w:pPr>
      <w:r>
        <w:rPr>
          <w:rFonts w:hint="eastAsia" w:ascii="黑体" w:hAnsi="黑体" w:eastAsia="黑体"/>
          <w:b/>
          <w:sz w:val="32"/>
          <w:szCs w:val="32"/>
        </w:rPr>
        <w:t>五、绩效预算信息</w:t>
      </w:r>
    </w:p>
    <w:p w14:paraId="41A1E4FA">
      <w:pPr>
        <w:pStyle w:val="8"/>
        <w:spacing w:before="0" w:beforeAutospacing="0" w:after="0" w:afterAutospacing="0" w:line="450" w:lineRule="atLeast"/>
        <w:ind w:firstLine="643" w:firstLineChars="200"/>
        <w:rPr>
          <w:rFonts w:hint="eastAsia" w:ascii="Times New Roman" w:hAnsi="Times New Roman" w:eastAsia="方正仿宋_GBK" w:cs="Times New Roman"/>
          <w:b/>
          <w:sz w:val="32"/>
          <w:szCs w:val="32"/>
        </w:rPr>
      </w:pPr>
      <w:bookmarkStart w:id="0" w:name="_Toc471398463"/>
      <w:r>
        <w:rPr>
          <w:rFonts w:hint="eastAsia" w:ascii="黑体" w:hAnsi="Times New Roman" w:eastAsia="黑体" w:cs="Times New Roman"/>
          <w:b/>
          <w:sz w:val="32"/>
          <w:szCs w:val="32"/>
        </w:rPr>
        <w:t>总体绩效目标</w:t>
      </w:r>
      <w:r>
        <w:rPr>
          <w:rFonts w:hint="eastAsia" w:ascii="Times New Roman" w:hAnsi="Times New Roman" w:eastAsia="方正仿宋_GBK" w:cs="Times New Roman"/>
          <w:b/>
          <w:sz w:val="32"/>
          <w:szCs w:val="32"/>
        </w:rPr>
        <w:t>：</w:t>
      </w:r>
    </w:p>
    <w:p w14:paraId="1554D1B7">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 xml:space="preserve">2018年，县政协工作的指导思想和总体要求是：全面贯彻落实党的十九大精神，在县委的正确领导下，紧紧围绕县委十二届三次全体会议提出的坚持“三大战略”、打好“七大攻坚战”和实施“四大工程”战略重点，突出团结和民主两大主题，同心协力搞好政治协商，积极稳妥推进民主监督，扎实有效开展参政议政，在新时代全面建设宜居宜业宜游的生态旅游健康强县新征程中做出新的贡献。 </w:t>
      </w:r>
    </w:p>
    <w:p w14:paraId="1A38BE70">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一、增进政治共识，全力服务大局</w:t>
      </w:r>
    </w:p>
    <w:p w14:paraId="1632880D">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2018年是深入贯彻落实党的十九大精神的开局之年。要通过参加学习培训、委员议事组活动等多种形式，组织好政协常委、全体委员和机关等不同层面的学习，把思想和行动统一到</w:t>
      </w:r>
      <w:r>
        <w:rPr>
          <w:rFonts w:hint="eastAsia" w:ascii="仿宋_GB2312" w:hAnsi="仿宋_GB2312" w:eastAsia="仿宋_GB2312" w:cs="仿宋_GB2312"/>
          <w:color w:val="000000"/>
          <w:kern w:val="0"/>
          <w:sz w:val="32"/>
          <w:szCs w:val="32"/>
          <w:lang w:eastAsia="zh-CN" w:bidi="ar"/>
        </w:rPr>
        <w:t>党的</w:t>
      </w:r>
      <w:r>
        <w:rPr>
          <w:rFonts w:hint="eastAsia" w:ascii="仿宋_GB2312" w:hAnsi="仿宋_GB2312" w:eastAsia="仿宋_GB2312" w:cs="仿宋_GB2312"/>
          <w:color w:val="000000"/>
          <w:kern w:val="0"/>
          <w:sz w:val="32"/>
          <w:szCs w:val="32"/>
          <w:lang w:bidi="ar"/>
        </w:rPr>
        <w:t>十九大精神上来，自觉用习近平新时代中国特色社会主义思想武装头脑、指导实践、推动工作。积极探索创新政协工作的新思路和新举措，坚持重大事项和工作安排向县委请示汇报制度，着力落实县委对政协工作的新要求。要把“围绕中心，服务大局”作为工作的基本准则和重要遵循，吃透、落实好县委的战略思想，把服务招商引资和项目建设放在突出位置，摆上重要日程。县政协制定《2018年招商引资工作安排》，明确政协领导招商的重点和方向。要在全县政协委员中唱响“招大资引大商，铺天盖地上项目”主旋律，经济界、工商联界的委员更要发挥好联系面广、人才荟萃的优势，树立问题意识、坐不住的意识，以更大的魄力、更强劲的发展势头，确保2018年招商引资工作有大突破、大发展。</w:t>
      </w:r>
    </w:p>
    <w:p w14:paraId="6F3C2193">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二、认真履行职能，助推科学发展</w:t>
      </w:r>
    </w:p>
    <w:p w14:paraId="5190FBE2">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县委十二届三次全会提出了当前和今后一个时期的战略重心。政协工作要紧紧围绕县委、县政府提出的奋斗目标，进一步解放思想，不断增强为发展服务的责任意识。一是扎实做好提案工作。继续坚持县领导领衔督办重点提案等方式，以重点提案为突破口，抓住难点，紧扣民意，注重实效，分层次、多形式地督办提案，不断推动提案的办理落实。二是深入开展调研视察。重点围绕“七大攻坚战”和“十个方面的民生实事”开展5—8次多层次、多形式、多内容的视察调研。要继续发挥好政协常委会的作用，把常委会开到工地、厂区和田间地头，增强调研视察的效果。三是切实加强民主监督。认真贯彻落实县委《加强政协民主监督切实优化环境的意见》，发挥好8个民主监督小组、56名民主监督员的作用，以扎实的民主监督促进营商环境不断改善。四是积极反映社情民意。多角度畅通社情民意诉求渠道，敢于讲真话，善于吐真言，勇于说实话，及时收集、整理和上报委员们的真知灼见，为县委、</w:t>
      </w:r>
      <w:r>
        <w:rPr>
          <w:rFonts w:hint="eastAsia" w:ascii="仿宋_GB2312" w:hAnsi="仿宋_GB2312" w:eastAsia="仿宋_GB2312" w:cs="仿宋_GB2312"/>
          <w:color w:val="000000"/>
          <w:kern w:val="0"/>
          <w:sz w:val="32"/>
          <w:szCs w:val="32"/>
          <w:lang w:eastAsia="zh-CN" w:bidi="ar"/>
        </w:rPr>
        <w:t>县</w:t>
      </w:r>
      <w:bookmarkStart w:id="5" w:name="_GoBack"/>
      <w:bookmarkEnd w:id="5"/>
      <w:r>
        <w:rPr>
          <w:rFonts w:hint="eastAsia" w:ascii="仿宋_GB2312" w:hAnsi="仿宋_GB2312" w:eastAsia="仿宋_GB2312" w:cs="仿宋_GB2312"/>
          <w:color w:val="000000"/>
          <w:kern w:val="0"/>
          <w:sz w:val="32"/>
          <w:szCs w:val="32"/>
          <w:lang w:bidi="ar"/>
        </w:rPr>
        <w:t>政府科学决策提供有价值的意见建议。</w:t>
      </w:r>
    </w:p>
    <w:p w14:paraId="502C5D9B">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三、强化民生导向，树立为民情怀</w:t>
      </w:r>
    </w:p>
    <w:p w14:paraId="69B109C2">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今年，县委、县政府以民生改善为中心，把人民群众的小事当成自己的大事，从能够看得见、摸得着的民生实事做起，确立了解决群众办事、入厕、就医、食品安全、养老等10件民生实事，这些工程既是全县工作的重点，也是社会各界关注的焦点。县政协将积极围绕这些民生实事，组织委员及时深入到民生工程现场，通过调研、视察、监督、评议等形式，通过政协的渠道，把基层群众的呼声和愿望真实的收集上来，反映上去，落实好、解决好、跟踪办理好，在推进民生实事的落实上贡献智慧和力量。</w:t>
      </w:r>
    </w:p>
    <w:p w14:paraId="7BB265D3">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四、发挥自身优势，促进社会和谐</w:t>
      </w:r>
    </w:p>
    <w:p w14:paraId="69E0BC1E">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要充分发挥界别优势，把履职焦点投向与群众切身利益联系密切的民生实事上，重点针对城市建设与管理、社会养老、大气污染防治等专题开展调研视察，撰写提案和反映社情民意，为改善民生代言尽力。要多组织委员深入农村和社区开展扶贫济困、捐资助学、送医送教等活动，努力为群众办实事办好事。要积极发挥政协委员人才荟萃、智力密集、联系广泛的优势，积极协助县委、县政府做好信息采集、矛盾排查工作，做好化解矛盾、稳定人心工作，时时处处展示委员风采，为全县的发展稳定做贡献。</w:t>
      </w:r>
    </w:p>
    <w:p w14:paraId="53883216">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五、坚持从严要求，加强自身建设</w:t>
      </w:r>
    </w:p>
    <w:p w14:paraId="611CEB80">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按照县委的要求，县政协机关要以提高服务水平为重点，以加强作风建设为着眼点，大力实施全员素质提升工程。要加强对政协委员的培训、教育和管理，解决本领不足、本领恐慌、本领落后问题，不断提高适应新时代、实现新目标、落实新部署的能力。围绕建设社会主义核心价值体系，引导全县政协委员大力弘扬“热爱美丽馆陶、共建美丽馆陶”的主人翁精神，倡导“大我”理念，摒弃“小农”意识。要树立政协委员既是荣誉、更是责任的观念，教育引导委员以满腔的热情、饱满的激情、深厚的感情履职尽责。要继续深化委员“五个一”活动（即：每年内至少提交一件提案，反映十条有价值的社情民意，参加一次调研视察，撰写一篇调研报告或提一条意见建议，为群众办一件好事实事），建立完善委员动态退出机制，实行委员参加会议、履行职能、落实任务等情况登记、考评、通报制度，对履职能力不强、落实任务不力、不发挥作用的委员，将采取责令辞退、撤销委员资格等措施，清除委员队伍。要在全县继续开展优秀提案、优秀委员活动组和优秀政协委员评选活动，努力调动广大委员参政建言的主动性和积极性，引导全县政协委员在服务大局中争先进当标兵。</w:t>
      </w:r>
    </w:p>
    <w:p w14:paraId="2C2804EF">
      <w:pPr>
        <w:pStyle w:val="8"/>
        <w:spacing w:before="0" w:beforeAutospacing="0" w:after="0" w:afterAutospacing="0" w:line="450" w:lineRule="atLeast"/>
        <w:ind w:firstLine="643" w:firstLineChars="200"/>
        <w:rPr>
          <w:rFonts w:hint="eastAsia" w:ascii="黑体" w:hAnsi="Times New Roman" w:eastAsia="黑体" w:cs="Times New Roman"/>
          <w:b/>
          <w:sz w:val="32"/>
          <w:szCs w:val="32"/>
        </w:rPr>
      </w:pPr>
      <w:r>
        <w:rPr>
          <w:rFonts w:hint="eastAsia" w:ascii="黑体" w:hAnsi="Times New Roman" w:eastAsia="黑体" w:cs="Times New Roman"/>
          <w:b/>
          <w:sz w:val="32"/>
          <w:szCs w:val="32"/>
        </w:rPr>
        <w:t>职责分类绩效目标：</w:t>
      </w:r>
    </w:p>
    <w:p w14:paraId="1FDF1669">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部门职责分类绩效目标情况说明</w:t>
      </w:r>
    </w:p>
    <w:p w14:paraId="4CB44D09">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1、政治协商</w:t>
      </w:r>
    </w:p>
    <w:p w14:paraId="11ACF9E3">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就大政方针以及政治、经济、文化、社会和生态文明中的重要问题在决策之前进行协商和就决策执行过程中的重要问题进行协商。</w:t>
      </w:r>
    </w:p>
    <w:p w14:paraId="3EB0988B">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完善各项会议制度，规范会议程序，提高会议质量，提高政治协商水平</w:t>
      </w:r>
    </w:p>
    <w:p w14:paraId="5796E727">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2、民主监督</w:t>
      </w:r>
    </w:p>
    <w:p w14:paraId="69EB14E7">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有效履行民主监督职责，发挥好协调关系、汇聚力量、建言献策、服务大局的作用。通过意见、建议、批评的方式对国家法律法规的实施、重大方针政策的贯彻执行、党和政府的工作进行政治监督。</w:t>
      </w:r>
    </w:p>
    <w:p w14:paraId="4EDEB2B6">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完善民主监督机制，畅通民主监督渠道，建立健全知情、沟通制度，将民主监督寓于委员提案、进行视察、参与工作检查等活动中，提高民主监督质量和成效。</w:t>
      </w:r>
    </w:p>
    <w:p w14:paraId="5E134B76">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3、参政议政</w:t>
      </w:r>
    </w:p>
    <w:p w14:paraId="2D823E4D">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通过对重大问题以及人民群众普遍关心的问题，开展调查研究，反映社情民意，进行协商讨论，以调研报告、建议案或其他形式，向县委、县政府提出意见和建议。</w:t>
      </w:r>
    </w:p>
    <w:p w14:paraId="6F49BDC9">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发挥政协作为扩大社会各界有序参与的重要渠道作用，探索开展活动的新方法新途径，充分调动委员参政议政积极，向县委、县政府提出高质量的建议案。</w:t>
      </w:r>
    </w:p>
    <w:p w14:paraId="39EABB30">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4、政协事务管理</w:t>
      </w:r>
    </w:p>
    <w:p w14:paraId="067B44B6">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县政协自身建设、理论研究以及宣传工作，与县内外有关单位的联系协调；负责机关外事工作，机构编制、人事任免、人员培训、考核奖惩、工资福利，后勤保障、经费资产管理、基建和审计，接待、离退休人员服务，承办县政协主席、副主席、秘书长交办的其他事项。</w:t>
      </w:r>
    </w:p>
    <w:p w14:paraId="35CA9059">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机关自身建设、服务保障能力进一步提升。</w:t>
      </w:r>
    </w:p>
    <w:p w14:paraId="1E08A198">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pPr>
    </w:p>
    <w:p w14:paraId="7198E144">
      <w:pPr>
        <w:widowControl/>
        <w:spacing w:line="580" w:lineRule="exact"/>
        <w:ind w:firstLine="640" w:firstLineChars="200"/>
        <w:jc w:val="left"/>
        <w:rPr>
          <w:rFonts w:hint="eastAsia" w:ascii="仿宋_GB2312" w:hAnsi="仿宋_GB2312" w:eastAsia="仿宋_GB2312" w:cs="仿宋_GB2312"/>
          <w:color w:val="000000"/>
          <w:kern w:val="0"/>
          <w:sz w:val="32"/>
          <w:szCs w:val="32"/>
          <w:lang w:bidi="ar"/>
        </w:rPr>
        <w:sectPr>
          <w:pgSz w:w="16839" w:h="11907" w:orient="landscape"/>
          <w:pgMar w:top="1644" w:right="1701" w:bottom="1644" w:left="1701" w:header="851" w:footer="992" w:gutter="0"/>
          <w:cols w:space="720" w:num="1"/>
          <w:docGrid w:type="lines" w:linePitch="318" w:charSpace="0"/>
        </w:sectPr>
      </w:pPr>
    </w:p>
    <w:p w14:paraId="55146491">
      <w:pPr>
        <w:pStyle w:val="8"/>
        <w:spacing w:before="0" w:beforeAutospacing="0" w:after="0" w:afterAutospacing="0" w:line="450" w:lineRule="atLeast"/>
        <w:ind w:firstLine="643" w:firstLineChars="200"/>
        <w:rPr>
          <w:rFonts w:ascii="黑体" w:hAnsi="黑体" w:eastAsia="黑体"/>
          <w:b/>
          <w:sz w:val="32"/>
          <w:szCs w:val="32"/>
        </w:rPr>
      </w:pPr>
      <w:r>
        <w:rPr>
          <w:rFonts w:hint="eastAsia" w:ascii="黑体" w:hAnsi="黑体" w:eastAsia="黑体"/>
          <w:b/>
          <w:sz w:val="32"/>
          <w:szCs w:val="32"/>
        </w:rPr>
        <w:t>部门职责及工作活动绩效目标指标：</w:t>
      </w:r>
      <w:bookmarkStart w:id="1" w:name="_Toc510096851"/>
    </w:p>
    <w:bookmarkEnd w:id="0"/>
    <w:bookmarkEnd w:id="1"/>
    <w:p w14:paraId="61A56DFA">
      <w:pPr>
        <w:jc w:val="center"/>
        <w:outlineLvl w:val="0"/>
        <w:rPr>
          <w:rFonts w:hint="eastAsia" w:ascii="方正小标宋_GBK" w:eastAsia="方正小标宋_GBK"/>
          <w:sz w:val="32"/>
        </w:rPr>
      </w:pPr>
      <w:bookmarkStart w:id="2" w:name="_Toc510445374"/>
      <w:r>
        <w:rPr>
          <w:rFonts w:hint="eastAsia" w:ascii="方正小标宋_GBK" w:eastAsia="方正小标宋_GBK"/>
          <w:sz w:val="32"/>
        </w:rPr>
        <w:t>部门职责-工作活动绩效目标</w:t>
      </w:r>
      <w:bookmarkEnd w:id="2"/>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11514F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52942A7D">
            <w:pPr>
              <w:spacing w:line="300" w:lineRule="exact"/>
              <w:jc w:val="left"/>
              <w:rPr>
                <w:rFonts w:ascii="方正小标宋_GBK" w:eastAsia="方正小标宋_GBK"/>
                <w:sz w:val="24"/>
              </w:rPr>
            </w:pPr>
            <w:r>
              <w:rPr>
                <w:rFonts w:ascii="方正小标宋_GBK" w:eastAsia="方正小标宋_GBK"/>
                <w:sz w:val="24"/>
              </w:rPr>
              <w:t>131</w:t>
            </w:r>
            <w:r>
              <w:rPr>
                <w:rFonts w:hint="eastAsia" w:ascii="方正小标宋_GBK" w:eastAsia="方正小标宋_GBK"/>
                <w:sz w:val="24"/>
              </w:rPr>
              <w:t>馆陶县政协委员会办公室</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2971D9B7">
            <w:pPr>
              <w:spacing w:line="300" w:lineRule="exact"/>
              <w:jc w:val="right"/>
              <w:rPr>
                <w:rFonts w:ascii="方正书宋_GBK" w:eastAsia="方正书宋_GBK"/>
                <w:sz w:val="24"/>
              </w:rPr>
            </w:pPr>
            <w:r>
              <w:rPr>
                <w:rFonts w:hint="eastAsia" w:ascii="方正书宋_GBK" w:eastAsia="方正书宋_GBK"/>
                <w:sz w:val="24"/>
              </w:rPr>
              <w:t>单位：元</w:t>
            </w:r>
          </w:p>
        </w:tc>
      </w:tr>
      <w:tr w14:paraId="340898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42CEB49D">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0B0C8501">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259FDA62">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6C7585EA">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57B890B2">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60600B63">
            <w:pPr>
              <w:spacing w:line="300" w:lineRule="exact"/>
              <w:jc w:val="center"/>
              <w:rPr>
                <w:rFonts w:ascii="方正书宋_GBK" w:eastAsia="方正书宋_GBK"/>
                <w:b/>
              </w:rPr>
            </w:pPr>
            <w:r>
              <w:rPr>
                <w:rFonts w:hint="eastAsia" w:ascii="方正书宋_GBK" w:eastAsia="方正书宋_GBK"/>
                <w:b/>
              </w:rPr>
              <w:t>评价标准</w:t>
            </w:r>
          </w:p>
        </w:tc>
      </w:tr>
      <w:tr w14:paraId="1A3F15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78BA4EE0">
            <w:pPr>
              <w:spacing w:line="300" w:lineRule="exact"/>
              <w:jc w:val="left"/>
              <w:outlineLvl w:val="0"/>
            </w:pPr>
          </w:p>
        </w:tc>
        <w:tc>
          <w:tcPr>
            <w:tcW w:w="1276" w:type="dxa"/>
            <w:vMerge w:val="continue"/>
            <w:shd w:val="clear" w:color="auto" w:fill="auto"/>
            <w:vAlign w:val="center"/>
          </w:tcPr>
          <w:p w14:paraId="098AA338">
            <w:pPr>
              <w:spacing w:line="300" w:lineRule="exact"/>
              <w:jc w:val="left"/>
              <w:outlineLvl w:val="0"/>
            </w:pPr>
          </w:p>
        </w:tc>
        <w:tc>
          <w:tcPr>
            <w:tcW w:w="2976" w:type="dxa"/>
            <w:vMerge w:val="continue"/>
            <w:shd w:val="clear" w:color="auto" w:fill="auto"/>
            <w:vAlign w:val="center"/>
          </w:tcPr>
          <w:p w14:paraId="590BA632">
            <w:pPr>
              <w:spacing w:line="300" w:lineRule="exact"/>
              <w:jc w:val="left"/>
              <w:outlineLvl w:val="0"/>
            </w:pPr>
          </w:p>
        </w:tc>
        <w:tc>
          <w:tcPr>
            <w:tcW w:w="2976" w:type="dxa"/>
            <w:vMerge w:val="continue"/>
            <w:shd w:val="clear" w:color="auto" w:fill="auto"/>
            <w:vAlign w:val="center"/>
          </w:tcPr>
          <w:p w14:paraId="0181A441">
            <w:pPr>
              <w:spacing w:line="300" w:lineRule="exact"/>
              <w:jc w:val="left"/>
              <w:outlineLvl w:val="0"/>
            </w:pPr>
          </w:p>
        </w:tc>
        <w:tc>
          <w:tcPr>
            <w:tcW w:w="1417" w:type="dxa"/>
            <w:vMerge w:val="continue"/>
            <w:shd w:val="clear" w:color="auto" w:fill="auto"/>
            <w:vAlign w:val="center"/>
          </w:tcPr>
          <w:p w14:paraId="70E79754">
            <w:pPr>
              <w:spacing w:line="300" w:lineRule="exact"/>
              <w:jc w:val="left"/>
              <w:outlineLvl w:val="0"/>
            </w:pPr>
          </w:p>
        </w:tc>
        <w:tc>
          <w:tcPr>
            <w:tcW w:w="737" w:type="dxa"/>
            <w:shd w:val="clear" w:color="auto" w:fill="auto"/>
            <w:vAlign w:val="center"/>
          </w:tcPr>
          <w:p w14:paraId="4FED4331">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10CD5C35">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1432BBAA">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6C5F37FF">
            <w:pPr>
              <w:spacing w:line="300" w:lineRule="exact"/>
              <w:jc w:val="center"/>
              <w:rPr>
                <w:rFonts w:ascii="方正书宋_GBK" w:eastAsia="方正书宋_GBK"/>
                <w:b/>
              </w:rPr>
            </w:pPr>
            <w:r>
              <w:rPr>
                <w:rFonts w:hint="eastAsia" w:ascii="方正书宋_GBK" w:eastAsia="方正书宋_GBK"/>
                <w:b/>
              </w:rPr>
              <w:t>差</w:t>
            </w:r>
          </w:p>
        </w:tc>
      </w:tr>
      <w:tr w14:paraId="2CB59C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2F2839F">
            <w:pPr>
              <w:spacing w:line="300" w:lineRule="exact"/>
              <w:jc w:val="left"/>
              <w:rPr>
                <w:rFonts w:ascii="方正书宋_GBK" w:eastAsia="方正书宋_GBK"/>
                <w:b/>
              </w:rPr>
            </w:pPr>
            <w:r>
              <w:rPr>
                <w:rFonts w:hint="eastAsia" w:ascii="方正书宋_GBK" w:eastAsia="方正书宋_GBK"/>
                <w:b/>
              </w:rPr>
              <w:t>一、政治协商</w:t>
            </w:r>
          </w:p>
        </w:tc>
        <w:tc>
          <w:tcPr>
            <w:tcW w:w="1276" w:type="dxa"/>
            <w:shd w:val="clear" w:color="auto" w:fill="auto"/>
            <w:vAlign w:val="center"/>
          </w:tcPr>
          <w:p w14:paraId="064B393B">
            <w:pPr>
              <w:spacing w:line="300" w:lineRule="exact"/>
              <w:jc w:val="left"/>
              <w:rPr>
                <w:rFonts w:ascii="方正书宋_GBK" w:eastAsia="方正书宋_GBK"/>
              </w:rPr>
            </w:pPr>
            <w:r>
              <w:rPr>
                <w:rFonts w:ascii="方正书宋_GBK" w:eastAsia="方正书宋_GBK"/>
              </w:rPr>
              <w:t>210000.00</w:t>
            </w:r>
          </w:p>
        </w:tc>
        <w:tc>
          <w:tcPr>
            <w:tcW w:w="2976" w:type="dxa"/>
            <w:shd w:val="clear" w:color="auto" w:fill="auto"/>
            <w:vAlign w:val="center"/>
          </w:tcPr>
          <w:p w14:paraId="49F8336D">
            <w:pPr>
              <w:spacing w:line="300" w:lineRule="exact"/>
              <w:jc w:val="left"/>
              <w:rPr>
                <w:rFonts w:ascii="方正书宋_GBK" w:eastAsia="方正书宋_GBK"/>
              </w:rPr>
            </w:pPr>
            <w:r>
              <w:rPr>
                <w:rFonts w:hint="eastAsia" w:ascii="方正书宋_GBK" w:eastAsia="方正书宋_GBK"/>
              </w:rPr>
              <w:t>就大政方针以及政治、经济、文化、社会和生态文明中的重要问题在决策之前进行协商和就决策执行过程中的重要问题进行协商。</w:t>
            </w:r>
          </w:p>
        </w:tc>
        <w:tc>
          <w:tcPr>
            <w:tcW w:w="2976" w:type="dxa"/>
            <w:shd w:val="clear" w:color="auto" w:fill="auto"/>
            <w:vAlign w:val="center"/>
          </w:tcPr>
          <w:p w14:paraId="355CD166">
            <w:pPr>
              <w:spacing w:line="300" w:lineRule="exact"/>
              <w:jc w:val="left"/>
              <w:rPr>
                <w:rFonts w:ascii="方正书宋_GBK" w:eastAsia="方正书宋_GBK"/>
              </w:rPr>
            </w:pPr>
            <w:r>
              <w:rPr>
                <w:rFonts w:hint="eastAsia" w:ascii="方正书宋_GBK" w:eastAsia="方正书宋_GBK"/>
              </w:rPr>
              <w:t>完善各项会议制度，规范会议程序，提高会议质量，提高政治协商水平。</w:t>
            </w:r>
          </w:p>
        </w:tc>
        <w:tc>
          <w:tcPr>
            <w:tcW w:w="1417" w:type="dxa"/>
            <w:shd w:val="clear" w:color="auto" w:fill="auto"/>
            <w:vAlign w:val="center"/>
          </w:tcPr>
          <w:p w14:paraId="5DFC8B54">
            <w:pPr>
              <w:spacing w:line="300" w:lineRule="exact"/>
              <w:jc w:val="left"/>
              <w:rPr>
                <w:rFonts w:ascii="方正书宋_GBK" w:eastAsia="方正书宋_GBK"/>
              </w:rPr>
            </w:pPr>
          </w:p>
        </w:tc>
        <w:tc>
          <w:tcPr>
            <w:tcW w:w="737" w:type="dxa"/>
            <w:shd w:val="clear" w:color="auto" w:fill="auto"/>
            <w:vAlign w:val="center"/>
          </w:tcPr>
          <w:p w14:paraId="785C59AA">
            <w:pPr>
              <w:spacing w:line="300" w:lineRule="exact"/>
              <w:jc w:val="center"/>
              <w:rPr>
                <w:rFonts w:ascii="方正书宋_GBK" w:eastAsia="方正书宋_GBK"/>
              </w:rPr>
            </w:pPr>
          </w:p>
        </w:tc>
        <w:tc>
          <w:tcPr>
            <w:tcW w:w="737" w:type="dxa"/>
            <w:shd w:val="clear" w:color="auto" w:fill="auto"/>
            <w:vAlign w:val="center"/>
          </w:tcPr>
          <w:p w14:paraId="2CB1367D">
            <w:pPr>
              <w:spacing w:line="300" w:lineRule="exact"/>
              <w:jc w:val="center"/>
              <w:rPr>
                <w:rFonts w:ascii="方正书宋_GBK" w:eastAsia="方正书宋_GBK"/>
              </w:rPr>
            </w:pPr>
          </w:p>
        </w:tc>
        <w:tc>
          <w:tcPr>
            <w:tcW w:w="737" w:type="dxa"/>
            <w:shd w:val="clear" w:color="auto" w:fill="auto"/>
            <w:vAlign w:val="center"/>
          </w:tcPr>
          <w:p w14:paraId="141DF3D4">
            <w:pPr>
              <w:spacing w:line="300" w:lineRule="exact"/>
              <w:jc w:val="center"/>
              <w:rPr>
                <w:rFonts w:ascii="方正书宋_GBK" w:eastAsia="方正书宋_GBK"/>
              </w:rPr>
            </w:pPr>
          </w:p>
        </w:tc>
        <w:tc>
          <w:tcPr>
            <w:tcW w:w="737" w:type="dxa"/>
            <w:shd w:val="clear" w:color="auto" w:fill="auto"/>
            <w:vAlign w:val="center"/>
          </w:tcPr>
          <w:p w14:paraId="5162CBF0">
            <w:pPr>
              <w:spacing w:line="300" w:lineRule="exact"/>
              <w:jc w:val="center"/>
              <w:rPr>
                <w:rFonts w:ascii="方正书宋_GBK" w:eastAsia="方正书宋_GBK"/>
              </w:rPr>
            </w:pPr>
          </w:p>
        </w:tc>
      </w:tr>
      <w:tr w14:paraId="27A322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415667DB">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、政协会议</w:t>
            </w:r>
          </w:p>
        </w:tc>
        <w:tc>
          <w:tcPr>
            <w:tcW w:w="1276" w:type="dxa"/>
            <w:vMerge w:val="restart"/>
            <w:shd w:val="clear" w:color="auto" w:fill="auto"/>
            <w:vAlign w:val="center"/>
          </w:tcPr>
          <w:p w14:paraId="291A415D">
            <w:pPr>
              <w:spacing w:line="300" w:lineRule="exact"/>
              <w:jc w:val="left"/>
              <w:rPr>
                <w:rFonts w:ascii="方正书宋_GBK" w:eastAsia="方正书宋_GBK"/>
              </w:rPr>
            </w:pPr>
            <w:r>
              <w:rPr>
                <w:rFonts w:ascii="方正书宋_GBK" w:eastAsia="方正书宋_GBK"/>
              </w:rPr>
              <w:t>210000.00</w:t>
            </w:r>
          </w:p>
        </w:tc>
        <w:tc>
          <w:tcPr>
            <w:tcW w:w="2976" w:type="dxa"/>
            <w:vMerge w:val="restart"/>
            <w:shd w:val="clear" w:color="auto" w:fill="auto"/>
            <w:vAlign w:val="center"/>
          </w:tcPr>
          <w:p w14:paraId="322D426A">
            <w:pPr>
              <w:spacing w:line="300" w:lineRule="exact"/>
              <w:jc w:val="left"/>
              <w:rPr>
                <w:rFonts w:hint="eastAsia" w:ascii="方正书宋_GBK" w:eastAsia="方正书宋_GBK"/>
              </w:rPr>
            </w:pPr>
            <w:r>
              <w:rPr>
                <w:rFonts w:hint="eastAsia" w:ascii="方正书宋_GBK" w:eastAsia="方正书宋_GBK"/>
              </w:rPr>
              <w:t>会议是人民政协履行职能的主要形式，是开展工作的主体，是委员履行自身职责的主要途径。包括全体会议、常委会议、主席会议、秘书长会议、各专委会会议等。</w:t>
            </w:r>
          </w:p>
        </w:tc>
        <w:tc>
          <w:tcPr>
            <w:tcW w:w="2976" w:type="dxa"/>
            <w:vMerge w:val="restart"/>
            <w:shd w:val="clear" w:color="auto" w:fill="auto"/>
            <w:vAlign w:val="center"/>
          </w:tcPr>
          <w:p w14:paraId="4496BFCE">
            <w:pPr>
              <w:spacing w:line="300" w:lineRule="exact"/>
              <w:jc w:val="left"/>
              <w:rPr>
                <w:rFonts w:hint="eastAsia" w:ascii="方正书宋_GBK" w:eastAsia="方正书宋_GBK"/>
              </w:rPr>
            </w:pPr>
            <w:r>
              <w:rPr>
                <w:rFonts w:hint="eastAsia" w:ascii="方正书宋_GBK" w:eastAsia="方正书宋_GBK"/>
              </w:rPr>
              <w:t>完善各项会议制度，规范会议程序，提高会议质量，提高政治协商水平。</w:t>
            </w:r>
          </w:p>
        </w:tc>
        <w:tc>
          <w:tcPr>
            <w:tcW w:w="1417" w:type="dxa"/>
            <w:shd w:val="clear" w:color="auto" w:fill="auto"/>
            <w:vAlign w:val="center"/>
          </w:tcPr>
          <w:p w14:paraId="1DB753D9">
            <w:pPr>
              <w:spacing w:line="300" w:lineRule="exact"/>
              <w:jc w:val="left"/>
              <w:rPr>
                <w:rFonts w:ascii="方正书宋_GBK" w:eastAsia="方正书宋_GBK"/>
              </w:rPr>
            </w:pPr>
            <w:r>
              <w:rPr>
                <w:rFonts w:hint="eastAsia" w:ascii="方正书宋_GBK" w:eastAsia="方正书宋_GBK"/>
              </w:rPr>
              <w:t>会议筹备及会务工作的完成率</w:t>
            </w:r>
          </w:p>
        </w:tc>
        <w:tc>
          <w:tcPr>
            <w:tcW w:w="737" w:type="dxa"/>
            <w:shd w:val="clear" w:color="auto" w:fill="auto"/>
            <w:vAlign w:val="center"/>
          </w:tcPr>
          <w:p w14:paraId="50745E2A">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0BAB94C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292B6DE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00F4F98C">
            <w:pPr>
              <w:spacing w:line="300" w:lineRule="exact"/>
              <w:jc w:val="center"/>
              <w:rPr>
                <w:rFonts w:ascii="方正书宋_GBK" w:eastAsia="方正书宋_GBK"/>
              </w:rPr>
            </w:pPr>
            <w:r>
              <w:rPr>
                <w:rFonts w:ascii="方正书宋_GBK" w:eastAsia="方正书宋_GBK"/>
              </w:rPr>
              <w:t>&lt;90%</w:t>
            </w:r>
          </w:p>
        </w:tc>
      </w:tr>
      <w:tr w14:paraId="1FF727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2ABD7F4">
            <w:pPr>
              <w:spacing w:line="300" w:lineRule="exact"/>
              <w:jc w:val="left"/>
              <w:rPr>
                <w:rFonts w:hint="eastAsia" w:ascii="方正书宋_GBK" w:eastAsia="方正书宋_GBK"/>
                <w:b/>
              </w:rPr>
            </w:pPr>
          </w:p>
        </w:tc>
        <w:tc>
          <w:tcPr>
            <w:tcW w:w="1276" w:type="dxa"/>
            <w:vMerge w:val="continue"/>
            <w:shd w:val="clear" w:color="auto" w:fill="auto"/>
            <w:vAlign w:val="center"/>
          </w:tcPr>
          <w:p w14:paraId="4C6B6108">
            <w:pPr>
              <w:spacing w:line="300" w:lineRule="exact"/>
              <w:jc w:val="left"/>
              <w:rPr>
                <w:rFonts w:ascii="方正书宋_GBK" w:eastAsia="方正书宋_GBK"/>
              </w:rPr>
            </w:pPr>
          </w:p>
        </w:tc>
        <w:tc>
          <w:tcPr>
            <w:tcW w:w="2976" w:type="dxa"/>
            <w:vMerge w:val="continue"/>
            <w:shd w:val="clear" w:color="auto" w:fill="auto"/>
            <w:vAlign w:val="center"/>
          </w:tcPr>
          <w:p w14:paraId="4DDAF0E5">
            <w:pPr>
              <w:spacing w:line="300" w:lineRule="exact"/>
              <w:jc w:val="left"/>
              <w:rPr>
                <w:rFonts w:hint="eastAsia" w:ascii="方正书宋_GBK" w:eastAsia="方正书宋_GBK"/>
              </w:rPr>
            </w:pPr>
          </w:p>
        </w:tc>
        <w:tc>
          <w:tcPr>
            <w:tcW w:w="2976" w:type="dxa"/>
            <w:vMerge w:val="continue"/>
            <w:shd w:val="clear" w:color="auto" w:fill="auto"/>
            <w:vAlign w:val="center"/>
          </w:tcPr>
          <w:p w14:paraId="39D6EEC4">
            <w:pPr>
              <w:spacing w:line="300" w:lineRule="exact"/>
              <w:jc w:val="left"/>
              <w:rPr>
                <w:rFonts w:hint="eastAsia" w:ascii="方正书宋_GBK" w:eastAsia="方正书宋_GBK"/>
              </w:rPr>
            </w:pPr>
          </w:p>
        </w:tc>
        <w:tc>
          <w:tcPr>
            <w:tcW w:w="1417" w:type="dxa"/>
            <w:shd w:val="clear" w:color="auto" w:fill="auto"/>
            <w:vAlign w:val="center"/>
          </w:tcPr>
          <w:p w14:paraId="23F51AF9">
            <w:pPr>
              <w:spacing w:line="300" w:lineRule="exact"/>
              <w:jc w:val="left"/>
              <w:rPr>
                <w:rFonts w:hint="eastAsia" w:ascii="方正书宋_GBK" w:eastAsia="方正书宋_GBK"/>
              </w:rPr>
            </w:pPr>
            <w:r>
              <w:rPr>
                <w:rFonts w:hint="eastAsia" w:ascii="方正书宋_GBK" w:eastAsia="方正书宋_GBK"/>
              </w:rPr>
              <w:t>政治任务实现率</w:t>
            </w:r>
          </w:p>
        </w:tc>
        <w:tc>
          <w:tcPr>
            <w:tcW w:w="737" w:type="dxa"/>
            <w:shd w:val="clear" w:color="auto" w:fill="auto"/>
            <w:vAlign w:val="center"/>
          </w:tcPr>
          <w:p w14:paraId="0DB98650">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41858921">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557D6FE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396039F7">
            <w:pPr>
              <w:spacing w:line="300" w:lineRule="exact"/>
              <w:jc w:val="center"/>
              <w:rPr>
                <w:rFonts w:ascii="方正书宋_GBK" w:eastAsia="方正书宋_GBK"/>
              </w:rPr>
            </w:pPr>
            <w:r>
              <w:rPr>
                <w:rFonts w:ascii="方正书宋_GBK" w:eastAsia="方正书宋_GBK"/>
              </w:rPr>
              <w:t>&lt;90%</w:t>
            </w:r>
          </w:p>
        </w:tc>
      </w:tr>
      <w:tr w14:paraId="6839E9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460941B">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、民主协商</w:t>
            </w:r>
          </w:p>
        </w:tc>
        <w:tc>
          <w:tcPr>
            <w:tcW w:w="1276" w:type="dxa"/>
            <w:shd w:val="clear" w:color="auto" w:fill="auto"/>
            <w:vAlign w:val="center"/>
          </w:tcPr>
          <w:p w14:paraId="5E491311">
            <w:pPr>
              <w:spacing w:line="300" w:lineRule="exact"/>
              <w:jc w:val="left"/>
              <w:rPr>
                <w:rFonts w:ascii="方正书宋_GBK" w:eastAsia="方正书宋_GBK"/>
              </w:rPr>
            </w:pPr>
          </w:p>
        </w:tc>
        <w:tc>
          <w:tcPr>
            <w:tcW w:w="2976" w:type="dxa"/>
            <w:shd w:val="clear" w:color="auto" w:fill="auto"/>
            <w:vAlign w:val="center"/>
          </w:tcPr>
          <w:p w14:paraId="27E31405">
            <w:pPr>
              <w:spacing w:line="300" w:lineRule="exact"/>
              <w:jc w:val="left"/>
              <w:rPr>
                <w:rFonts w:hint="eastAsia" w:ascii="方正书宋_GBK" w:eastAsia="方正书宋_GBK"/>
              </w:rPr>
            </w:pPr>
            <w:r>
              <w:rPr>
                <w:rFonts w:hint="eastAsia" w:ascii="方正书宋_GBK" w:eastAsia="方正书宋_GBK"/>
              </w:rPr>
              <w:t>根据形势、任务和党委政府统一部署，安排协商活动，召开专题协商会、协商民主会、专题座谈会、情况通报会、意见听取会、工作研讨会和学习座谈会等。</w:t>
            </w:r>
          </w:p>
        </w:tc>
        <w:tc>
          <w:tcPr>
            <w:tcW w:w="2976" w:type="dxa"/>
            <w:shd w:val="clear" w:color="auto" w:fill="auto"/>
            <w:vAlign w:val="center"/>
          </w:tcPr>
          <w:p w14:paraId="7F4659F1">
            <w:pPr>
              <w:spacing w:line="300" w:lineRule="exact"/>
              <w:jc w:val="left"/>
              <w:rPr>
                <w:rFonts w:hint="eastAsia" w:ascii="方正书宋_GBK" w:eastAsia="方正书宋_GBK"/>
              </w:rPr>
            </w:pPr>
            <w:r>
              <w:rPr>
                <w:rFonts w:hint="eastAsia" w:ascii="方正书宋_GBK" w:eastAsia="方正书宋_GBK"/>
              </w:rPr>
              <w:t>增强开展政治协商的自觉性和主动性，规范协商内容，丰富协商形式和层次，把政治协商纳入决策程序。</w:t>
            </w:r>
          </w:p>
        </w:tc>
        <w:tc>
          <w:tcPr>
            <w:tcW w:w="1417" w:type="dxa"/>
            <w:shd w:val="clear" w:color="auto" w:fill="auto"/>
            <w:vAlign w:val="center"/>
          </w:tcPr>
          <w:p w14:paraId="2A7B51A5">
            <w:pPr>
              <w:spacing w:line="300" w:lineRule="exact"/>
              <w:jc w:val="left"/>
              <w:rPr>
                <w:rFonts w:hint="eastAsia" w:ascii="方正书宋_GBK" w:eastAsia="方正书宋_GBK"/>
              </w:rPr>
            </w:pPr>
            <w:r>
              <w:rPr>
                <w:rFonts w:hint="eastAsia" w:ascii="方正书宋_GBK" w:eastAsia="方正书宋_GBK"/>
              </w:rPr>
              <w:t>专题协商活动完成率</w:t>
            </w:r>
          </w:p>
        </w:tc>
        <w:tc>
          <w:tcPr>
            <w:tcW w:w="737" w:type="dxa"/>
            <w:shd w:val="clear" w:color="auto" w:fill="auto"/>
            <w:vAlign w:val="center"/>
          </w:tcPr>
          <w:p w14:paraId="57D059B9">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023CC48F">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44B4FC93">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B064705">
            <w:pPr>
              <w:spacing w:line="300" w:lineRule="exact"/>
              <w:jc w:val="center"/>
              <w:rPr>
                <w:rFonts w:ascii="方正书宋_GBK" w:eastAsia="方正书宋_GBK"/>
              </w:rPr>
            </w:pPr>
            <w:r>
              <w:rPr>
                <w:rFonts w:ascii="方正书宋_GBK" w:eastAsia="方正书宋_GBK"/>
              </w:rPr>
              <w:t>&lt;90%</w:t>
            </w:r>
          </w:p>
        </w:tc>
      </w:tr>
      <w:tr w14:paraId="6FFBBE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203DDB6">
            <w:pPr>
              <w:spacing w:line="300" w:lineRule="exact"/>
              <w:jc w:val="left"/>
              <w:rPr>
                <w:rFonts w:hint="eastAsia" w:ascii="方正书宋_GBK" w:eastAsia="方正书宋_GBK"/>
                <w:b/>
              </w:rPr>
            </w:pPr>
            <w:r>
              <w:rPr>
                <w:rFonts w:hint="eastAsia" w:ascii="方正书宋_GBK" w:eastAsia="方正书宋_GBK"/>
                <w:b/>
              </w:rPr>
              <w:t>二、民主监督</w:t>
            </w:r>
          </w:p>
        </w:tc>
        <w:tc>
          <w:tcPr>
            <w:tcW w:w="1276" w:type="dxa"/>
            <w:shd w:val="clear" w:color="auto" w:fill="auto"/>
            <w:vAlign w:val="center"/>
          </w:tcPr>
          <w:p w14:paraId="6A9AFC42">
            <w:pPr>
              <w:spacing w:line="300" w:lineRule="exact"/>
              <w:jc w:val="left"/>
              <w:rPr>
                <w:rFonts w:ascii="方正书宋_GBK" w:eastAsia="方正书宋_GBK"/>
              </w:rPr>
            </w:pPr>
            <w:r>
              <w:rPr>
                <w:rFonts w:ascii="方正书宋_GBK" w:eastAsia="方正书宋_GBK"/>
              </w:rPr>
              <w:t>50000.00</w:t>
            </w:r>
          </w:p>
        </w:tc>
        <w:tc>
          <w:tcPr>
            <w:tcW w:w="2976" w:type="dxa"/>
            <w:shd w:val="clear" w:color="auto" w:fill="auto"/>
            <w:vAlign w:val="center"/>
          </w:tcPr>
          <w:p w14:paraId="45D6BC1F">
            <w:pPr>
              <w:spacing w:line="300" w:lineRule="exact"/>
              <w:jc w:val="left"/>
              <w:rPr>
                <w:rFonts w:hint="eastAsia" w:ascii="方正书宋_GBK" w:eastAsia="方正书宋_GBK"/>
              </w:rPr>
            </w:pPr>
            <w:r>
              <w:rPr>
                <w:rFonts w:hint="eastAsia" w:ascii="方正书宋_GBK" w:eastAsia="方正书宋_GBK"/>
              </w:rPr>
              <w:t>有效履行民主监督职责，发挥好协调关系、汇聚力量、建言献策、服务大局的作用。通过意见、建议、批评的方式对国家法律法规的实施、重大方针政策的贯彻执行、党和政府的工作进行政治监督。</w:t>
            </w:r>
          </w:p>
        </w:tc>
        <w:tc>
          <w:tcPr>
            <w:tcW w:w="2976" w:type="dxa"/>
            <w:shd w:val="clear" w:color="auto" w:fill="auto"/>
            <w:vAlign w:val="center"/>
          </w:tcPr>
          <w:p w14:paraId="0ECD1980">
            <w:pPr>
              <w:spacing w:line="300" w:lineRule="exact"/>
              <w:jc w:val="left"/>
              <w:rPr>
                <w:rFonts w:hint="eastAsia" w:ascii="方正书宋_GBK" w:eastAsia="方正书宋_GBK"/>
              </w:rPr>
            </w:pPr>
            <w:r>
              <w:rPr>
                <w:rFonts w:hint="eastAsia" w:ascii="方正书宋_GBK" w:eastAsia="方正书宋_GBK"/>
              </w:rPr>
              <w:t>完善民主监督机制，畅通民主监督渠道，建立健全知情、沟通制度，将民主监督寓于委员提案、进行视察、参与工作检查等活动中，提高民主监督质量和成效。</w:t>
            </w:r>
          </w:p>
        </w:tc>
        <w:tc>
          <w:tcPr>
            <w:tcW w:w="1417" w:type="dxa"/>
            <w:shd w:val="clear" w:color="auto" w:fill="auto"/>
            <w:vAlign w:val="center"/>
          </w:tcPr>
          <w:p w14:paraId="5093B137">
            <w:pPr>
              <w:spacing w:line="300" w:lineRule="exact"/>
              <w:jc w:val="left"/>
              <w:rPr>
                <w:rFonts w:hint="eastAsia" w:ascii="方正书宋_GBK" w:eastAsia="方正书宋_GBK"/>
              </w:rPr>
            </w:pPr>
          </w:p>
        </w:tc>
        <w:tc>
          <w:tcPr>
            <w:tcW w:w="737" w:type="dxa"/>
            <w:shd w:val="clear" w:color="auto" w:fill="auto"/>
            <w:vAlign w:val="center"/>
          </w:tcPr>
          <w:p w14:paraId="71F5D18A">
            <w:pPr>
              <w:spacing w:line="300" w:lineRule="exact"/>
              <w:jc w:val="center"/>
              <w:rPr>
                <w:rFonts w:ascii="方正书宋_GBK" w:eastAsia="方正书宋_GBK"/>
              </w:rPr>
            </w:pPr>
          </w:p>
        </w:tc>
        <w:tc>
          <w:tcPr>
            <w:tcW w:w="737" w:type="dxa"/>
            <w:shd w:val="clear" w:color="auto" w:fill="auto"/>
            <w:vAlign w:val="center"/>
          </w:tcPr>
          <w:p w14:paraId="54E4032F">
            <w:pPr>
              <w:spacing w:line="300" w:lineRule="exact"/>
              <w:jc w:val="center"/>
              <w:rPr>
                <w:rFonts w:hint="eastAsia" w:ascii="方正书宋_GBK" w:eastAsia="方正书宋_GBK"/>
              </w:rPr>
            </w:pPr>
          </w:p>
        </w:tc>
        <w:tc>
          <w:tcPr>
            <w:tcW w:w="737" w:type="dxa"/>
            <w:shd w:val="clear" w:color="auto" w:fill="auto"/>
            <w:vAlign w:val="center"/>
          </w:tcPr>
          <w:p w14:paraId="541A31EC">
            <w:pPr>
              <w:spacing w:line="300" w:lineRule="exact"/>
              <w:jc w:val="center"/>
              <w:rPr>
                <w:rFonts w:hint="eastAsia" w:ascii="方正书宋_GBK" w:eastAsia="方正书宋_GBK"/>
              </w:rPr>
            </w:pPr>
          </w:p>
        </w:tc>
        <w:tc>
          <w:tcPr>
            <w:tcW w:w="737" w:type="dxa"/>
            <w:shd w:val="clear" w:color="auto" w:fill="auto"/>
            <w:vAlign w:val="center"/>
          </w:tcPr>
          <w:p w14:paraId="7BDBF566">
            <w:pPr>
              <w:spacing w:line="300" w:lineRule="exact"/>
              <w:jc w:val="center"/>
              <w:rPr>
                <w:rFonts w:ascii="方正书宋_GBK" w:eastAsia="方正书宋_GBK"/>
              </w:rPr>
            </w:pPr>
          </w:p>
        </w:tc>
      </w:tr>
      <w:tr w14:paraId="0303EA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45E876F">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、监督事务</w:t>
            </w:r>
          </w:p>
        </w:tc>
        <w:tc>
          <w:tcPr>
            <w:tcW w:w="1276" w:type="dxa"/>
            <w:shd w:val="clear" w:color="auto" w:fill="auto"/>
            <w:vAlign w:val="center"/>
          </w:tcPr>
          <w:p w14:paraId="201F6454">
            <w:pPr>
              <w:spacing w:line="300" w:lineRule="exact"/>
              <w:jc w:val="left"/>
              <w:rPr>
                <w:rFonts w:ascii="方正书宋_GBK" w:eastAsia="方正书宋_GBK"/>
              </w:rPr>
            </w:pPr>
            <w:r>
              <w:rPr>
                <w:rFonts w:ascii="方正书宋_GBK" w:eastAsia="方正书宋_GBK"/>
              </w:rPr>
              <w:t>50000.00</w:t>
            </w:r>
          </w:p>
        </w:tc>
        <w:tc>
          <w:tcPr>
            <w:tcW w:w="2976" w:type="dxa"/>
            <w:shd w:val="clear" w:color="auto" w:fill="auto"/>
            <w:vAlign w:val="center"/>
          </w:tcPr>
          <w:p w14:paraId="40D59BD2">
            <w:pPr>
              <w:spacing w:line="300" w:lineRule="exact"/>
              <w:jc w:val="left"/>
              <w:rPr>
                <w:rFonts w:hint="eastAsia" w:ascii="方正书宋_GBK" w:eastAsia="方正书宋_GBK"/>
              </w:rPr>
            </w:pPr>
            <w:r>
              <w:rPr>
                <w:rFonts w:hint="eastAsia" w:ascii="方正书宋_GBK" w:eastAsia="方正书宋_GBK"/>
              </w:rPr>
              <w:t>组织、鼓励和引导委员深入实际、走向基层、贴近群众开展视察考察，通过建议案、提案等形式进行监督。通过参加党委政府组织的调查和检查活动实施监督。</w:t>
            </w:r>
          </w:p>
        </w:tc>
        <w:tc>
          <w:tcPr>
            <w:tcW w:w="2976" w:type="dxa"/>
            <w:shd w:val="clear" w:color="auto" w:fill="auto"/>
            <w:vAlign w:val="center"/>
          </w:tcPr>
          <w:p w14:paraId="45CDEB44">
            <w:pPr>
              <w:spacing w:line="300" w:lineRule="exact"/>
              <w:jc w:val="left"/>
              <w:rPr>
                <w:rFonts w:hint="eastAsia" w:ascii="方正书宋_GBK" w:eastAsia="方正书宋_GBK"/>
              </w:rPr>
            </w:pPr>
            <w:r>
              <w:rPr>
                <w:rFonts w:hint="eastAsia" w:ascii="方正书宋_GBK" w:eastAsia="方正书宋_GBK"/>
              </w:rPr>
              <w:t>完善民主监督机制，畅通民主监督渠道，建立健全知情、沟通制度，加强工作协调配合，提高民主监督的质量和成效。</w:t>
            </w:r>
          </w:p>
        </w:tc>
        <w:tc>
          <w:tcPr>
            <w:tcW w:w="1417" w:type="dxa"/>
            <w:shd w:val="clear" w:color="auto" w:fill="auto"/>
            <w:vAlign w:val="center"/>
          </w:tcPr>
          <w:p w14:paraId="6A7B4B64">
            <w:pPr>
              <w:spacing w:line="300" w:lineRule="exact"/>
              <w:jc w:val="left"/>
              <w:rPr>
                <w:rFonts w:hint="eastAsia" w:ascii="方正书宋_GBK" w:eastAsia="方正书宋_GBK"/>
              </w:rPr>
            </w:pPr>
            <w:r>
              <w:rPr>
                <w:rFonts w:hint="eastAsia" w:ascii="方正书宋_GBK" w:eastAsia="方正书宋_GBK"/>
              </w:rPr>
              <w:t>监督工作任务完成率</w:t>
            </w:r>
          </w:p>
        </w:tc>
        <w:tc>
          <w:tcPr>
            <w:tcW w:w="737" w:type="dxa"/>
            <w:shd w:val="clear" w:color="auto" w:fill="auto"/>
            <w:vAlign w:val="center"/>
          </w:tcPr>
          <w:p w14:paraId="66984ED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4BB54D6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025DC5C1">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78E38624">
            <w:pPr>
              <w:spacing w:line="300" w:lineRule="exact"/>
              <w:jc w:val="center"/>
              <w:rPr>
                <w:rFonts w:ascii="方正书宋_GBK" w:eastAsia="方正书宋_GBK"/>
              </w:rPr>
            </w:pPr>
            <w:r>
              <w:rPr>
                <w:rFonts w:ascii="方正书宋_GBK" w:eastAsia="方正书宋_GBK"/>
              </w:rPr>
              <w:t>&lt;90%</w:t>
            </w:r>
          </w:p>
        </w:tc>
      </w:tr>
      <w:tr w14:paraId="3B3480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594124AB">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、提案工作</w:t>
            </w:r>
          </w:p>
        </w:tc>
        <w:tc>
          <w:tcPr>
            <w:tcW w:w="1276" w:type="dxa"/>
            <w:vMerge w:val="restart"/>
            <w:shd w:val="clear" w:color="auto" w:fill="auto"/>
            <w:vAlign w:val="center"/>
          </w:tcPr>
          <w:p w14:paraId="05475402">
            <w:pPr>
              <w:spacing w:line="300" w:lineRule="exact"/>
              <w:jc w:val="left"/>
              <w:rPr>
                <w:rFonts w:ascii="方正书宋_GBK" w:eastAsia="方正书宋_GBK"/>
              </w:rPr>
            </w:pPr>
          </w:p>
        </w:tc>
        <w:tc>
          <w:tcPr>
            <w:tcW w:w="2976" w:type="dxa"/>
            <w:vMerge w:val="restart"/>
            <w:shd w:val="clear" w:color="auto" w:fill="auto"/>
            <w:vAlign w:val="center"/>
          </w:tcPr>
          <w:p w14:paraId="3688138B">
            <w:pPr>
              <w:spacing w:line="300" w:lineRule="exact"/>
              <w:jc w:val="left"/>
              <w:rPr>
                <w:rFonts w:hint="eastAsia" w:ascii="方正书宋_GBK" w:eastAsia="方正书宋_GBK"/>
              </w:rPr>
            </w:pPr>
            <w:r>
              <w:rPr>
                <w:rFonts w:hint="eastAsia" w:ascii="方正书宋_GBK" w:eastAsia="方正书宋_GBK"/>
              </w:rPr>
              <w:t>对政协委员和参加政协的各党派团体以及各专委会（提案者）的提案进行审查立案，立案后交承办单位办理，适时通过协调、沟通、座谈、视察等形式进行督办。</w:t>
            </w:r>
          </w:p>
        </w:tc>
        <w:tc>
          <w:tcPr>
            <w:tcW w:w="2976" w:type="dxa"/>
            <w:vMerge w:val="restart"/>
            <w:shd w:val="clear" w:color="auto" w:fill="auto"/>
            <w:vAlign w:val="center"/>
          </w:tcPr>
          <w:p w14:paraId="4C52530C">
            <w:pPr>
              <w:spacing w:line="300" w:lineRule="exact"/>
              <w:jc w:val="left"/>
              <w:rPr>
                <w:rFonts w:hint="eastAsia" w:ascii="方正书宋_GBK" w:eastAsia="方正书宋_GBK"/>
              </w:rPr>
            </w:pPr>
            <w:r>
              <w:rPr>
                <w:rFonts w:hint="eastAsia" w:ascii="方正书宋_GBK" w:eastAsia="方正书宋_GBK"/>
              </w:rPr>
              <w:t>完善提案审查、办理和反馈机制，做到提案程序更加规范，制度更加完善，提案质量和办理质量不断提高，政协履职作用更加突出。</w:t>
            </w:r>
          </w:p>
        </w:tc>
        <w:tc>
          <w:tcPr>
            <w:tcW w:w="1417" w:type="dxa"/>
            <w:shd w:val="clear" w:color="auto" w:fill="auto"/>
            <w:vAlign w:val="center"/>
          </w:tcPr>
          <w:p w14:paraId="01AD91C1">
            <w:pPr>
              <w:spacing w:line="300" w:lineRule="exact"/>
              <w:jc w:val="left"/>
              <w:rPr>
                <w:rFonts w:hint="eastAsia" w:ascii="方正书宋_GBK" w:eastAsia="方正书宋_GBK"/>
              </w:rPr>
            </w:pPr>
            <w:r>
              <w:rPr>
                <w:rFonts w:hint="eastAsia" w:ascii="方正书宋_GBK" w:eastAsia="方正书宋_GBK"/>
              </w:rPr>
              <w:t>提案督办完成率</w:t>
            </w:r>
          </w:p>
        </w:tc>
        <w:tc>
          <w:tcPr>
            <w:tcW w:w="737" w:type="dxa"/>
            <w:shd w:val="clear" w:color="auto" w:fill="auto"/>
            <w:vAlign w:val="center"/>
          </w:tcPr>
          <w:p w14:paraId="1E2DD584">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03966AF6">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5EF7DE8F">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33F1E73A">
            <w:pPr>
              <w:spacing w:line="300" w:lineRule="exact"/>
              <w:jc w:val="center"/>
              <w:rPr>
                <w:rFonts w:ascii="方正书宋_GBK" w:eastAsia="方正书宋_GBK"/>
              </w:rPr>
            </w:pPr>
            <w:r>
              <w:rPr>
                <w:rFonts w:ascii="方正书宋_GBK" w:eastAsia="方正书宋_GBK"/>
              </w:rPr>
              <w:t>&lt;90%</w:t>
            </w:r>
          </w:p>
        </w:tc>
      </w:tr>
      <w:tr w14:paraId="18B12B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4B926AF">
            <w:pPr>
              <w:spacing w:line="300" w:lineRule="exact"/>
              <w:jc w:val="left"/>
              <w:rPr>
                <w:rFonts w:hint="eastAsia" w:ascii="方正书宋_GBK" w:eastAsia="方正书宋_GBK"/>
                <w:b/>
              </w:rPr>
            </w:pPr>
          </w:p>
        </w:tc>
        <w:tc>
          <w:tcPr>
            <w:tcW w:w="1276" w:type="dxa"/>
            <w:vMerge w:val="continue"/>
            <w:shd w:val="clear" w:color="auto" w:fill="auto"/>
            <w:vAlign w:val="center"/>
          </w:tcPr>
          <w:p w14:paraId="78DF4393">
            <w:pPr>
              <w:spacing w:line="300" w:lineRule="exact"/>
              <w:jc w:val="left"/>
              <w:rPr>
                <w:rFonts w:ascii="方正书宋_GBK" w:eastAsia="方正书宋_GBK"/>
              </w:rPr>
            </w:pPr>
          </w:p>
        </w:tc>
        <w:tc>
          <w:tcPr>
            <w:tcW w:w="2976" w:type="dxa"/>
            <w:vMerge w:val="continue"/>
            <w:shd w:val="clear" w:color="auto" w:fill="auto"/>
            <w:vAlign w:val="center"/>
          </w:tcPr>
          <w:p w14:paraId="10BF0D4A">
            <w:pPr>
              <w:spacing w:line="300" w:lineRule="exact"/>
              <w:jc w:val="left"/>
              <w:rPr>
                <w:rFonts w:hint="eastAsia" w:ascii="方正书宋_GBK" w:eastAsia="方正书宋_GBK"/>
              </w:rPr>
            </w:pPr>
          </w:p>
        </w:tc>
        <w:tc>
          <w:tcPr>
            <w:tcW w:w="2976" w:type="dxa"/>
            <w:vMerge w:val="continue"/>
            <w:shd w:val="clear" w:color="auto" w:fill="auto"/>
            <w:vAlign w:val="center"/>
          </w:tcPr>
          <w:p w14:paraId="22A0A15B">
            <w:pPr>
              <w:spacing w:line="300" w:lineRule="exact"/>
              <w:jc w:val="left"/>
              <w:rPr>
                <w:rFonts w:hint="eastAsia" w:ascii="方正书宋_GBK" w:eastAsia="方正书宋_GBK"/>
              </w:rPr>
            </w:pPr>
          </w:p>
        </w:tc>
        <w:tc>
          <w:tcPr>
            <w:tcW w:w="1417" w:type="dxa"/>
            <w:shd w:val="clear" w:color="auto" w:fill="auto"/>
            <w:vAlign w:val="center"/>
          </w:tcPr>
          <w:p w14:paraId="4C2270E8">
            <w:pPr>
              <w:spacing w:line="300" w:lineRule="exact"/>
              <w:jc w:val="left"/>
              <w:rPr>
                <w:rFonts w:hint="eastAsia" w:ascii="方正书宋_GBK" w:eastAsia="方正书宋_GBK"/>
              </w:rPr>
            </w:pPr>
            <w:r>
              <w:rPr>
                <w:rFonts w:hint="eastAsia" w:ascii="方正书宋_GBK" w:eastAsia="方正书宋_GBK"/>
              </w:rPr>
              <w:t>提案交办率</w:t>
            </w:r>
          </w:p>
        </w:tc>
        <w:tc>
          <w:tcPr>
            <w:tcW w:w="737" w:type="dxa"/>
            <w:shd w:val="clear" w:color="auto" w:fill="auto"/>
            <w:vAlign w:val="center"/>
          </w:tcPr>
          <w:p w14:paraId="72799A4E">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0E23E13">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2811E8A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2679E48">
            <w:pPr>
              <w:spacing w:line="300" w:lineRule="exact"/>
              <w:jc w:val="center"/>
              <w:rPr>
                <w:rFonts w:ascii="方正书宋_GBK" w:eastAsia="方正书宋_GBK"/>
              </w:rPr>
            </w:pPr>
            <w:r>
              <w:rPr>
                <w:rFonts w:ascii="方正书宋_GBK" w:eastAsia="方正书宋_GBK"/>
              </w:rPr>
              <w:t>&lt;90%</w:t>
            </w:r>
          </w:p>
        </w:tc>
      </w:tr>
      <w:tr w14:paraId="19CC19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72B66DA">
            <w:pPr>
              <w:spacing w:line="300" w:lineRule="exact"/>
              <w:jc w:val="left"/>
              <w:rPr>
                <w:rFonts w:hint="eastAsia" w:ascii="方正书宋_GBK" w:eastAsia="方正书宋_GBK"/>
                <w:b/>
              </w:rPr>
            </w:pPr>
            <w:r>
              <w:rPr>
                <w:rFonts w:hint="eastAsia" w:ascii="方正书宋_GBK" w:eastAsia="方正书宋_GBK"/>
                <w:b/>
              </w:rPr>
              <w:t>三、参政议政</w:t>
            </w:r>
          </w:p>
        </w:tc>
        <w:tc>
          <w:tcPr>
            <w:tcW w:w="1276" w:type="dxa"/>
            <w:shd w:val="clear" w:color="auto" w:fill="auto"/>
            <w:vAlign w:val="center"/>
          </w:tcPr>
          <w:p w14:paraId="2EF5E130">
            <w:pPr>
              <w:spacing w:line="300" w:lineRule="exact"/>
              <w:jc w:val="left"/>
              <w:rPr>
                <w:rFonts w:ascii="方正书宋_GBK" w:eastAsia="方正书宋_GBK"/>
              </w:rPr>
            </w:pPr>
          </w:p>
        </w:tc>
        <w:tc>
          <w:tcPr>
            <w:tcW w:w="2976" w:type="dxa"/>
            <w:shd w:val="clear" w:color="auto" w:fill="auto"/>
            <w:vAlign w:val="center"/>
          </w:tcPr>
          <w:p w14:paraId="5F781A65">
            <w:pPr>
              <w:spacing w:line="300" w:lineRule="exact"/>
              <w:jc w:val="left"/>
              <w:rPr>
                <w:rFonts w:hint="eastAsia" w:ascii="方正书宋_GBK" w:eastAsia="方正书宋_GBK"/>
              </w:rPr>
            </w:pPr>
            <w:r>
              <w:rPr>
                <w:rFonts w:hint="eastAsia" w:ascii="方正书宋_GBK" w:eastAsia="方正书宋_GBK"/>
              </w:rPr>
              <w:t>通过对重大问题以及人民群众普遍关心的问题，开展调查研究，反映社情民意，进行协商讨论，以调研报告、建议案或其他形式，向县委、县政府提出意见和建议。</w:t>
            </w:r>
          </w:p>
        </w:tc>
        <w:tc>
          <w:tcPr>
            <w:tcW w:w="2976" w:type="dxa"/>
            <w:shd w:val="clear" w:color="auto" w:fill="auto"/>
            <w:vAlign w:val="center"/>
          </w:tcPr>
          <w:p w14:paraId="291B42A6">
            <w:pPr>
              <w:spacing w:line="300" w:lineRule="exact"/>
              <w:jc w:val="left"/>
              <w:rPr>
                <w:rFonts w:hint="eastAsia" w:ascii="方正书宋_GBK" w:eastAsia="方正书宋_GBK"/>
              </w:rPr>
            </w:pPr>
            <w:r>
              <w:rPr>
                <w:rFonts w:hint="eastAsia" w:ascii="方正书宋_GBK" w:eastAsia="方正书宋_GBK"/>
              </w:rPr>
              <w:t>发挥政协作为扩大社会各界有序参与的重要渠道作用，探索开展活动的新方法新途径，充分调动委员参政议政积极，向县委、县政府提出高质量的建议案。</w:t>
            </w:r>
          </w:p>
        </w:tc>
        <w:tc>
          <w:tcPr>
            <w:tcW w:w="1417" w:type="dxa"/>
            <w:shd w:val="clear" w:color="auto" w:fill="auto"/>
            <w:vAlign w:val="center"/>
          </w:tcPr>
          <w:p w14:paraId="350931B9">
            <w:pPr>
              <w:spacing w:line="300" w:lineRule="exact"/>
              <w:jc w:val="left"/>
              <w:rPr>
                <w:rFonts w:hint="eastAsia" w:ascii="方正书宋_GBK" w:eastAsia="方正书宋_GBK"/>
              </w:rPr>
            </w:pPr>
          </w:p>
        </w:tc>
        <w:tc>
          <w:tcPr>
            <w:tcW w:w="737" w:type="dxa"/>
            <w:shd w:val="clear" w:color="auto" w:fill="auto"/>
            <w:vAlign w:val="center"/>
          </w:tcPr>
          <w:p w14:paraId="7B88587A">
            <w:pPr>
              <w:spacing w:line="300" w:lineRule="exact"/>
              <w:jc w:val="center"/>
              <w:rPr>
                <w:rFonts w:ascii="方正书宋_GBK" w:eastAsia="方正书宋_GBK"/>
              </w:rPr>
            </w:pPr>
          </w:p>
        </w:tc>
        <w:tc>
          <w:tcPr>
            <w:tcW w:w="737" w:type="dxa"/>
            <w:shd w:val="clear" w:color="auto" w:fill="auto"/>
            <w:vAlign w:val="center"/>
          </w:tcPr>
          <w:p w14:paraId="48F2FB21">
            <w:pPr>
              <w:spacing w:line="300" w:lineRule="exact"/>
              <w:jc w:val="center"/>
              <w:rPr>
                <w:rFonts w:hint="eastAsia" w:ascii="方正书宋_GBK" w:eastAsia="方正书宋_GBK"/>
              </w:rPr>
            </w:pPr>
          </w:p>
        </w:tc>
        <w:tc>
          <w:tcPr>
            <w:tcW w:w="737" w:type="dxa"/>
            <w:shd w:val="clear" w:color="auto" w:fill="auto"/>
            <w:vAlign w:val="center"/>
          </w:tcPr>
          <w:p w14:paraId="54972284">
            <w:pPr>
              <w:spacing w:line="300" w:lineRule="exact"/>
              <w:jc w:val="center"/>
              <w:rPr>
                <w:rFonts w:hint="eastAsia" w:ascii="方正书宋_GBK" w:eastAsia="方正书宋_GBK"/>
              </w:rPr>
            </w:pPr>
          </w:p>
        </w:tc>
        <w:tc>
          <w:tcPr>
            <w:tcW w:w="737" w:type="dxa"/>
            <w:shd w:val="clear" w:color="auto" w:fill="auto"/>
            <w:vAlign w:val="center"/>
          </w:tcPr>
          <w:p w14:paraId="5FEB5C49">
            <w:pPr>
              <w:spacing w:line="300" w:lineRule="exact"/>
              <w:jc w:val="center"/>
              <w:rPr>
                <w:rFonts w:ascii="方正书宋_GBK" w:eastAsia="方正书宋_GBK"/>
              </w:rPr>
            </w:pPr>
          </w:p>
        </w:tc>
      </w:tr>
      <w:tr w14:paraId="4DA7E5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7353E22F">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、专题调研</w:t>
            </w:r>
          </w:p>
        </w:tc>
        <w:tc>
          <w:tcPr>
            <w:tcW w:w="1276" w:type="dxa"/>
            <w:vMerge w:val="restart"/>
            <w:shd w:val="clear" w:color="auto" w:fill="auto"/>
            <w:vAlign w:val="center"/>
          </w:tcPr>
          <w:p w14:paraId="77C4F3B1">
            <w:pPr>
              <w:spacing w:line="300" w:lineRule="exact"/>
              <w:jc w:val="left"/>
              <w:rPr>
                <w:rFonts w:ascii="方正书宋_GBK" w:eastAsia="方正书宋_GBK"/>
              </w:rPr>
            </w:pPr>
          </w:p>
        </w:tc>
        <w:tc>
          <w:tcPr>
            <w:tcW w:w="2976" w:type="dxa"/>
            <w:vMerge w:val="restart"/>
            <w:shd w:val="clear" w:color="auto" w:fill="auto"/>
            <w:vAlign w:val="center"/>
          </w:tcPr>
          <w:p w14:paraId="0EE75DAF">
            <w:pPr>
              <w:spacing w:line="300" w:lineRule="exact"/>
              <w:jc w:val="left"/>
              <w:rPr>
                <w:rFonts w:hint="eastAsia" w:ascii="方正书宋_GBK" w:eastAsia="方正书宋_GBK"/>
              </w:rPr>
            </w:pPr>
            <w:r>
              <w:rPr>
                <w:rFonts w:hint="eastAsia" w:ascii="方正书宋_GBK" w:eastAsia="方正书宋_GBK"/>
              </w:rPr>
              <w:t>选择经济社会发展中具有综合性、全局性、前瞻性的课题，在县委和县政府有关部门密切配合下，深入调查研究，开展咨询论证、提出意见建议。</w:t>
            </w:r>
          </w:p>
        </w:tc>
        <w:tc>
          <w:tcPr>
            <w:tcW w:w="2976" w:type="dxa"/>
            <w:vMerge w:val="restart"/>
            <w:shd w:val="clear" w:color="auto" w:fill="auto"/>
            <w:vAlign w:val="center"/>
          </w:tcPr>
          <w:p w14:paraId="27FDE249">
            <w:pPr>
              <w:spacing w:line="300" w:lineRule="exact"/>
              <w:jc w:val="left"/>
              <w:rPr>
                <w:rFonts w:hint="eastAsia" w:ascii="方正书宋_GBK" w:eastAsia="方正书宋_GBK"/>
              </w:rPr>
            </w:pPr>
            <w:r>
              <w:rPr>
                <w:rFonts w:hint="eastAsia" w:ascii="方正书宋_GBK" w:eastAsia="方正书宋_GBK"/>
              </w:rPr>
              <w:t>通过调研课题就党和政府关注的问题，提出客观、有价值、有分量、有影响的意见建议，促进决策民主化和科学化。</w:t>
            </w:r>
          </w:p>
        </w:tc>
        <w:tc>
          <w:tcPr>
            <w:tcW w:w="1417" w:type="dxa"/>
            <w:shd w:val="clear" w:color="auto" w:fill="auto"/>
            <w:vAlign w:val="center"/>
          </w:tcPr>
          <w:p w14:paraId="0123FE94">
            <w:pPr>
              <w:spacing w:line="300" w:lineRule="exact"/>
              <w:jc w:val="left"/>
              <w:rPr>
                <w:rFonts w:hint="eastAsia" w:ascii="方正书宋_GBK" w:eastAsia="方正书宋_GBK"/>
              </w:rPr>
            </w:pPr>
            <w:r>
              <w:rPr>
                <w:rFonts w:hint="eastAsia" w:ascii="方正书宋_GBK" w:eastAsia="方正书宋_GBK"/>
              </w:rPr>
              <w:t>调研结果和政策建议采纳数</w:t>
            </w:r>
          </w:p>
        </w:tc>
        <w:tc>
          <w:tcPr>
            <w:tcW w:w="737" w:type="dxa"/>
            <w:shd w:val="clear" w:color="auto" w:fill="auto"/>
            <w:vAlign w:val="center"/>
          </w:tcPr>
          <w:p w14:paraId="35F678C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256C0A18">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30%</w:t>
            </w:r>
          </w:p>
        </w:tc>
        <w:tc>
          <w:tcPr>
            <w:tcW w:w="737" w:type="dxa"/>
            <w:shd w:val="clear" w:color="auto" w:fill="auto"/>
            <w:vAlign w:val="center"/>
          </w:tcPr>
          <w:p w14:paraId="572FE00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20%</w:t>
            </w:r>
          </w:p>
        </w:tc>
        <w:tc>
          <w:tcPr>
            <w:tcW w:w="737" w:type="dxa"/>
            <w:shd w:val="clear" w:color="auto" w:fill="auto"/>
            <w:vAlign w:val="center"/>
          </w:tcPr>
          <w:p w14:paraId="480A05EC">
            <w:pPr>
              <w:spacing w:line="300" w:lineRule="exact"/>
              <w:jc w:val="center"/>
              <w:rPr>
                <w:rFonts w:ascii="方正书宋_GBK" w:eastAsia="方正书宋_GBK"/>
              </w:rPr>
            </w:pPr>
            <w:r>
              <w:rPr>
                <w:rFonts w:ascii="方正书宋_GBK" w:eastAsia="方正书宋_GBK"/>
              </w:rPr>
              <w:t>&lt;20%</w:t>
            </w:r>
          </w:p>
        </w:tc>
      </w:tr>
      <w:tr w14:paraId="626BAA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86748C5">
            <w:pPr>
              <w:spacing w:line="300" w:lineRule="exact"/>
              <w:jc w:val="left"/>
              <w:rPr>
                <w:rFonts w:hint="eastAsia" w:ascii="方正书宋_GBK" w:eastAsia="方正书宋_GBK"/>
                <w:b/>
              </w:rPr>
            </w:pPr>
          </w:p>
        </w:tc>
        <w:tc>
          <w:tcPr>
            <w:tcW w:w="1276" w:type="dxa"/>
            <w:vMerge w:val="continue"/>
            <w:shd w:val="clear" w:color="auto" w:fill="auto"/>
            <w:vAlign w:val="center"/>
          </w:tcPr>
          <w:p w14:paraId="2F82F898">
            <w:pPr>
              <w:spacing w:line="300" w:lineRule="exact"/>
              <w:jc w:val="left"/>
              <w:rPr>
                <w:rFonts w:ascii="方正书宋_GBK" w:eastAsia="方正书宋_GBK"/>
              </w:rPr>
            </w:pPr>
          </w:p>
        </w:tc>
        <w:tc>
          <w:tcPr>
            <w:tcW w:w="2976" w:type="dxa"/>
            <w:vMerge w:val="continue"/>
            <w:shd w:val="clear" w:color="auto" w:fill="auto"/>
            <w:vAlign w:val="center"/>
          </w:tcPr>
          <w:p w14:paraId="5C76BAEC">
            <w:pPr>
              <w:spacing w:line="300" w:lineRule="exact"/>
              <w:jc w:val="left"/>
              <w:rPr>
                <w:rFonts w:hint="eastAsia" w:ascii="方正书宋_GBK" w:eastAsia="方正书宋_GBK"/>
              </w:rPr>
            </w:pPr>
          </w:p>
        </w:tc>
        <w:tc>
          <w:tcPr>
            <w:tcW w:w="2976" w:type="dxa"/>
            <w:vMerge w:val="continue"/>
            <w:shd w:val="clear" w:color="auto" w:fill="auto"/>
            <w:vAlign w:val="center"/>
          </w:tcPr>
          <w:p w14:paraId="45FEDF85">
            <w:pPr>
              <w:spacing w:line="300" w:lineRule="exact"/>
              <w:jc w:val="left"/>
              <w:rPr>
                <w:rFonts w:hint="eastAsia" w:ascii="方正书宋_GBK" w:eastAsia="方正书宋_GBK"/>
              </w:rPr>
            </w:pPr>
          </w:p>
        </w:tc>
        <w:tc>
          <w:tcPr>
            <w:tcW w:w="1417" w:type="dxa"/>
            <w:shd w:val="clear" w:color="auto" w:fill="auto"/>
            <w:vAlign w:val="center"/>
          </w:tcPr>
          <w:p w14:paraId="40DF689D">
            <w:pPr>
              <w:spacing w:line="300" w:lineRule="exact"/>
              <w:jc w:val="left"/>
              <w:rPr>
                <w:rFonts w:hint="eastAsia" w:ascii="方正书宋_GBK" w:eastAsia="方正书宋_GBK"/>
              </w:rPr>
            </w:pPr>
            <w:r>
              <w:rPr>
                <w:rFonts w:hint="eastAsia" w:ascii="方正书宋_GBK" w:eastAsia="方正书宋_GBK"/>
              </w:rPr>
              <w:t>重点课题和专项调研完成率</w:t>
            </w:r>
          </w:p>
        </w:tc>
        <w:tc>
          <w:tcPr>
            <w:tcW w:w="737" w:type="dxa"/>
            <w:shd w:val="clear" w:color="auto" w:fill="auto"/>
            <w:vAlign w:val="center"/>
          </w:tcPr>
          <w:p w14:paraId="1B96F33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2C68B426">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2EBD181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105BE698">
            <w:pPr>
              <w:spacing w:line="300" w:lineRule="exact"/>
              <w:jc w:val="center"/>
              <w:rPr>
                <w:rFonts w:ascii="方正书宋_GBK" w:eastAsia="方正书宋_GBK"/>
              </w:rPr>
            </w:pPr>
            <w:r>
              <w:rPr>
                <w:rFonts w:ascii="方正书宋_GBK" w:eastAsia="方正书宋_GBK"/>
              </w:rPr>
              <w:t>&lt;90%</w:t>
            </w:r>
          </w:p>
        </w:tc>
      </w:tr>
      <w:tr w14:paraId="2EE1FB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DC5597F">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、社情民意</w:t>
            </w:r>
          </w:p>
        </w:tc>
        <w:tc>
          <w:tcPr>
            <w:tcW w:w="1276" w:type="dxa"/>
            <w:shd w:val="clear" w:color="auto" w:fill="auto"/>
            <w:vAlign w:val="center"/>
          </w:tcPr>
          <w:p w14:paraId="531F0517">
            <w:pPr>
              <w:spacing w:line="300" w:lineRule="exact"/>
              <w:jc w:val="left"/>
              <w:rPr>
                <w:rFonts w:ascii="方正书宋_GBK" w:eastAsia="方正书宋_GBK"/>
              </w:rPr>
            </w:pPr>
          </w:p>
        </w:tc>
        <w:tc>
          <w:tcPr>
            <w:tcW w:w="2976" w:type="dxa"/>
            <w:shd w:val="clear" w:color="auto" w:fill="auto"/>
            <w:vAlign w:val="center"/>
          </w:tcPr>
          <w:p w14:paraId="5E622368">
            <w:pPr>
              <w:spacing w:line="300" w:lineRule="exact"/>
              <w:jc w:val="left"/>
              <w:rPr>
                <w:rFonts w:hint="eastAsia" w:ascii="方正书宋_GBK" w:eastAsia="方正书宋_GBK"/>
              </w:rPr>
            </w:pPr>
            <w:r>
              <w:rPr>
                <w:rFonts w:hint="eastAsia" w:ascii="方正书宋_GBK" w:eastAsia="方正书宋_GBK"/>
              </w:rPr>
              <w:t>利用政协自身包容各界、联系广泛、人才聚集的优势和特点，了解和反映社会不同阶层、群体的愿望和要求，将分散在民间、基层有识之士的真知灼见反映给决策部门。</w:t>
            </w:r>
          </w:p>
        </w:tc>
        <w:tc>
          <w:tcPr>
            <w:tcW w:w="2976" w:type="dxa"/>
            <w:shd w:val="clear" w:color="auto" w:fill="auto"/>
            <w:vAlign w:val="center"/>
          </w:tcPr>
          <w:p w14:paraId="3CDBCF8D">
            <w:pPr>
              <w:spacing w:line="300" w:lineRule="exact"/>
              <w:jc w:val="left"/>
              <w:rPr>
                <w:rFonts w:hint="eastAsia" w:ascii="方正书宋_GBK" w:eastAsia="方正书宋_GBK"/>
              </w:rPr>
            </w:pPr>
            <w:r>
              <w:rPr>
                <w:rFonts w:hint="eastAsia" w:ascii="方正书宋_GBK" w:eastAsia="方正书宋_GBK"/>
              </w:rPr>
              <w:t>通过界别渠道密切联系群众，反映社情民意，努力做到协调关系、化解矛盾、理顺情绪，增进社会各阶层不同利益群体的和谐和稳定。</w:t>
            </w:r>
          </w:p>
        </w:tc>
        <w:tc>
          <w:tcPr>
            <w:tcW w:w="1417" w:type="dxa"/>
            <w:shd w:val="clear" w:color="auto" w:fill="auto"/>
            <w:vAlign w:val="center"/>
          </w:tcPr>
          <w:p w14:paraId="63759F4B">
            <w:pPr>
              <w:spacing w:line="300" w:lineRule="exact"/>
              <w:jc w:val="left"/>
              <w:rPr>
                <w:rFonts w:hint="eastAsia" w:ascii="方正书宋_GBK" w:eastAsia="方正书宋_GBK"/>
              </w:rPr>
            </w:pPr>
            <w:r>
              <w:rPr>
                <w:rFonts w:hint="eastAsia" w:ascii="方正书宋_GBK" w:eastAsia="方正书宋_GBK"/>
              </w:rPr>
              <w:t>社情民意反映率</w:t>
            </w:r>
          </w:p>
        </w:tc>
        <w:tc>
          <w:tcPr>
            <w:tcW w:w="737" w:type="dxa"/>
            <w:shd w:val="clear" w:color="auto" w:fill="auto"/>
            <w:vAlign w:val="center"/>
          </w:tcPr>
          <w:p w14:paraId="2A6B7FBB">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350CCAE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18408AEF">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4BF2D7BC">
            <w:pPr>
              <w:spacing w:line="300" w:lineRule="exact"/>
              <w:jc w:val="center"/>
              <w:rPr>
                <w:rFonts w:ascii="方正书宋_GBK" w:eastAsia="方正书宋_GBK"/>
              </w:rPr>
            </w:pPr>
            <w:r>
              <w:rPr>
                <w:rFonts w:ascii="方正书宋_GBK" w:eastAsia="方正书宋_GBK"/>
              </w:rPr>
              <w:t>&lt;50%</w:t>
            </w:r>
          </w:p>
        </w:tc>
      </w:tr>
      <w:tr w14:paraId="142CB0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EA3CABC">
            <w:pPr>
              <w:spacing w:line="300" w:lineRule="exact"/>
              <w:jc w:val="left"/>
              <w:rPr>
                <w:rFonts w:hint="eastAsia" w:ascii="方正书宋_GBK" w:eastAsia="方正书宋_GBK"/>
                <w:b/>
              </w:rPr>
            </w:pPr>
            <w:r>
              <w:rPr>
                <w:rFonts w:hint="eastAsia" w:ascii="方正书宋_GBK" w:eastAsia="方正书宋_GBK"/>
                <w:b/>
              </w:rPr>
              <w:t>四、政协事务管理</w:t>
            </w:r>
          </w:p>
        </w:tc>
        <w:tc>
          <w:tcPr>
            <w:tcW w:w="1276" w:type="dxa"/>
            <w:shd w:val="clear" w:color="auto" w:fill="auto"/>
            <w:vAlign w:val="center"/>
          </w:tcPr>
          <w:p w14:paraId="779BEE2C">
            <w:pPr>
              <w:spacing w:line="300" w:lineRule="exact"/>
              <w:jc w:val="left"/>
              <w:rPr>
                <w:rFonts w:ascii="方正书宋_GBK" w:eastAsia="方正书宋_GBK"/>
              </w:rPr>
            </w:pPr>
          </w:p>
        </w:tc>
        <w:tc>
          <w:tcPr>
            <w:tcW w:w="2976" w:type="dxa"/>
            <w:shd w:val="clear" w:color="auto" w:fill="auto"/>
            <w:vAlign w:val="center"/>
          </w:tcPr>
          <w:p w14:paraId="1A73D081">
            <w:pPr>
              <w:spacing w:line="300" w:lineRule="exact"/>
              <w:jc w:val="left"/>
              <w:rPr>
                <w:rFonts w:hint="eastAsia" w:ascii="方正书宋_GBK" w:eastAsia="方正书宋_GBK"/>
              </w:rPr>
            </w:pPr>
            <w:r>
              <w:rPr>
                <w:rFonts w:hint="eastAsia" w:ascii="方正书宋_GBK" w:eastAsia="方正书宋_GBK"/>
              </w:rPr>
              <w:t>县政协自身建设、理论研究以及宣传工作，与县内外有关单位的联系协调；负责机关外事工作，机构编制、人事任免、人员培训、考核奖惩、工资福利，后勤保障、经费资产管理、基建和审计，接待、离退休人员服务，承办县政协主席、副主席、秘书长交办的其他事项。</w:t>
            </w:r>
          </w:p>
        </w:tc>
        <w:tc>
          <w:tcPr>
            <w:tcW w:w="2976" w:type="dxa"/>
            <w:shd w:val="clear" w:color="auto" w:fill="auto"/>
            <w:vAlign w:val="center"/>
          </w:tcPr>
          <w:p w14:paraId="66C14A9C">
            <w:pPr>
              <w:spacing w:line="300" w:lineRule="exact"/>
              <w:jc w:val="left"/>
              <w:rPr>
                <w:rFonts w:hint="eastAsia" w:ascii="方正书宋_GBK" w:eastAsia="方正书宋_GBK"/>
              </w:rPr>
            </w:pPr>
            <w:r>
              <w:rPr>
                <w:rFonts w:hint="eastAsia" w:ascii="方正书宋_GBK" w:eastAsia="方正书宋_GBK"/>
              </w:rPr>
              <w:t>机关自身建设、服务保障能力进一步提升。</w:t>
            </w:r>
          </w:p>
        </w:tc>
        <w:tc>
          <w:tcPr>
            <w:tcW w:w="1417" w:type="dxa"/>
            <w:shd w:val="clear" w:color="auto" w:fill="auto"/>
            <w:vAlign w:val="center"/>
          </w:tcPr>
          <w:p w14:paraId="5767C2CC">
            <w:pPr>
              <w:spacing w:line="300" w:lineRule="exact"/>
              <w:jc w:val="left"/>
              <w:rPr>
                <w:rFonts w:hint="eastAsia" w:ascii="方正书宋_GBK" w:eastAsia="方正书宋_GBK"/>
              </w:rPr>
            </w:pPr>
          </w:p>
        </w:tc>
        <w:tc>
          <w:tcPr>
            <w:tcW w:w="737" w:type="dxa"/>
            <w:shd w:val="clear" w:color="auto" w:fill="auto"/>
            <w:vAlign w:val="center"/>
          </w:tcPr>
          <w:p w14:paraId="2F201B8D">
            <w:pPr>
              <w:spacing w:line="300" w:lineRule="exact"/>
              <w:jc w:val="center"/>
              <w:rPr>
                <w:rFonts w:hint="eastAsia" w:ascii="方正书宋_GBK" w:eastAsia="方正书宋_GBK"/>
              </w:rPr>
            </w:pPr>
          </w:p>
        </w:tc>
        <w:tc>
          <w:tcPr>
            <w:tcW w:w="737" w:type="dxa"/>
            <w:shd w:val="clear" w:color="auto" w:fill="auto"/>
            <w:vAlign w:val="center"/>
          </w:tcPr>
          <w:p w14:paraId="0B34815D">
            <w:pPr>
              <w:spacing w:line="300" w:lineRule="exact"/>
              <w:jc w:val="center"/>
              <w:rPr>
                <w:rFonts w:hint="eastAsia" w:ascii="方正书宋_GBK" w:eastAsia="方正书宋_GBK"/>
              </w:rPr>
            </w:pPr>
          </w:p>
        </w:tc>
        <w:tc>
          <w:tcPr>
            <w:tcW w:w="737" w:type="dxa"/>
            <w:shd w:val="clear" w:color="auto" w:fill="auto"/>
            <w:vAlign w:val="center"/>
          </w:tcPr>
          <w:p w14:paraId="3365099C">
            <w:pPr>
              <w:spacing w:line="300" w:lineRule="exact"/>
              <w:jc w:val="center"/>
              <w:rPr>
                <w:rFonts w:hint="eastAsia" w:ascii="方正书宋_GBK" w:eastAsia="方正书宋_GBK"/>
              </w:rPr>
            </w:pPr>
          </w:p>
        </w:tc>
        <w:tc>
          <w:tcPr>
            <w:tcW w:w="737" w:type="dxa"/>
            <w:shd w:val="clear" w:color="auto" w:fill="auto"/>
            <w:vAlign w:val="center"/>
          </w:tcPr>
          <w:p w14:paraId="2B02F0C2">
            <w:pPr>
              <w:spacing w:line="300" w:lineRule="exact"/>
              <w:jc w:val="center"/>
              <w:rPr>
                <w:rFonts w:ascii="方正书宋_GBK" w:eastAsia="方正书宋_GBK"/>
              </w:rPr>
            </w:pPr>
          </w:p>
        </w:tc>
      </w:tr>
      <w:tr w14:paraId="57F8E1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CB689B5">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、综合业务管理</w:t>
            </w:r>
          </w:p>
        </w:tc>
        <w:tc>
          <w:tcPr>
            <w:tcW w:w="1276" w:type="dxa"/>
            <w:shd w:val="clear" w:color="auto" w:fill="auto"/>
            <w:vAlign w:val="center"/>
          </w:tcPr>
          <w:p w14:paraId="2123DA01">
            <w:pPr>
              <w:spacing w:line="300" w:lineRule="exact"/>
              <w:jc w:val="left"/>
              <w:rPr>
                <w:rFonts w:ascii="方正书宋_GBK" w:eastAsia="方正书宋_GBK"/>
              </w:rPr>
            </w:pPr>
          </w:p>
        </w:tc>
        <w:tc>
          <w:tcPr>
            <w:tcW w:w="2976" w:type="dxa"/>
            <w:shd w:val="clear" w:color="auto" w:fill="auto"/>
            <w:vAlign w:val="center"/>
          </w:tcPr>
          <w:p w14:paraId="1BF95F3C">
            <w:pPr>
              <w:spacing w:line="300" w:lineRule="exact"/>
              <w:jc w:val="left"/>
              <w:rPr>
                <w:rFonts w:hint="eastAsia" w:ascii="方正书宋_GBK" w:eastAsia="方正书宋_GBK"/>
              </w:rPr>
            </w:pPr>
            <w:r>
              <w:rPr>
                <w:rFonts w:hint="eastAsia" w:ascii="方正书宋_GBK" w:eastAsia="方正书宋_GBK"/>
              </w:rPr>
              <w:t>加强县政协机关与专委会自身建设以及理论研究和宣传工作，扩大与省市政协办公厅，县委、县人大常委会、县政府办公室，县各民主党派、工商联、人民团体、县直有关部门和乡政协的联系、协调工作。</w:t>
            </w:r>
          </w:p>
        </w:tc>
        <w:tc>
          <w:tcPr>
            <w:tcW w:w="2976" w:type="dxa"/>
            <w:shd w:val="clear" w:color="auto" w:fill="auto"/>
            <w:vAlign w:val="center"/>
          </w:tcPr>
          <w:p w14:paraId="54E47E14">
            <w:pPr>
              <w:spacing w:line="300" w:lineRule="exact"/>
              <w:jc w:val="left"/>
              <w:rPr>
                <w:rFonts w:hint="eastAsia" w:ascii="方正书宋_GBK" w:eastAsia="方正书宋_GBK"/>
              </w:rPr>
            </w:pPr>
            <w:r>
              <w:rPr>
                <w:rFonts w:hint="eastAsia" w:ascii="方正书宋_GBK" w:eastAsia="方正书宋_GBK"/>
              </w:rPr>
              <w:t>政协自身建设质量更加扎实，工作科学化水平进一步提升。文史资料的社会功能增强，理论研究成果服务履职作用明显。</w:t>
            </w:r>
          </w:p>
        </w:tc>
        <w:tc>
          <w:tcPr>
            <w:tcW w:w="1417" w:type="dxa"/>
            <w:shd w:val="clear" w:color="auto" w:fill="auto"/>
            <w:vAlign w:val="center"/>
          </w:tcPr>
          <w:p w14:paraId="3B060A28">
            <w:pPr>
              <w:spacing w:line="300" w:lineRule="exact"/>
              <w:jc w:val="left"/>
              <w:rPr>
                <w:rFonts w:hint="eastAsia" w:ascii="方正书宋_GBK" w:eastAsia="方正书宋_GBK"/>
              </w:rPr>
            </w:pPr>
            <w:r>
              <w:rPr>
                <w:rFonts w:hint="eastAsia" w:ascii="方正书宋_GBK" w:eastAsia="方正书宋_GBK"/>
              </w:rPr>
              <w:t>综合业务管理工作完成率</w:t>
            </w:r>
          </w:p>
        </w:tc>
        <w:tc>
          <w:tcPr>
            <w:tcW w:w="737" w:type="dxa"/>
            <w:shd w:val="clear" w:color="auto" w:fill="auto"/>
            <w:vAlign w:val="center"/>
          </w:tcPr>
          <w:p w14:paraId="5F3F94C6">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265ECB99">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4D2A7792">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35ACD655">
            <w:pPr>
              <w:spacing w:line="300" w:lineRule="exact"/>
              <w:jc w:val="center"/>
              <w:rPr>
                <w:rFonts w:ascii="方正书宋_GBK" w:eastAsia="方正书宋_GBK"/>
              </w:rPr>
            </w:pPr>
            <w:r>
              <w:rPr>
                <w:rFonts w:ascii="方正书宋_GBK" w:eastAsia="方正书宋_GBK"/>
              </w:rPr>
              <w:t>&lt;90%</w:t>
            </w:r>
          </w:p>
        </w:tc>
      </w:tr>
      <w:tr w14:paraId="6F7CB2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C21DFEA">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、综合事务管理</w:t>
            </w:r>
          </w:p>
        </w:tc>
        <w:tc>
          <w:tcPr>
            <w:tcW w:w="1276" w:type="dxa"/>
            <w:shd w:val="clear" w:color="auto" w:fill="auto"/>
            <w:vAlign w:val="center"/>
          </w:tcPr>
          <w:p w14:paraId="02DED4A9">
            <w:pPr>
              <w:spacing w:line="300" w:lineRule="exact"/>
              <w:jc w:val="left"/>
              <w:rPr>
                <w:rFonts w:ascii="方正书宋_GBK" w:eastAsia="方正书宋_GBK"/>
              </w:rPr>
            </w:pPr>
          </w:p>
        </w:tc>
        <w:tc>
          <w:tcPr>
            <w:tcW w:w="2976" w:type="dxa"/>
            <w:shd w:val="clear" w:color="auto" w:fill="auto"/>
            <w:vAlign w:val="center"/>
          </w:tcPr>
          <w:p w14:paraId="1DED1EC7">
            <w:pPr>
              <w:spacing w:line="300" w:lineRule="exact"/>
              <w:jc w:val="left"/>
              <w:rPr>
                <w:rFonts w:hint="eastAsia" w:ascii="方正书宋_GBK" w:eastAsia="方正书宋_GBK"/>
              </w:rPr>
            </w:pPr>
            <w:r>
              <w:rPr>
                <w:rFonts w:hint="eastAsia" w:ascii="方正书宋_GBK" w:eastAsia="方正书宋_GBK"/>
              </w:rPr>
              <w:t>县政协机关的机构编制、人事任免、调配及人员培训、考核奖惩、工资福利，后勤保障、机关经费管理、资产管理、基建和审计，机关接待、离退休人员服务，以及承办县政协主席、副主席、秘书长交办的其他事项。</w:t>
            </w:r>
          </w:p>
        </w:tc>
        <w:tc>
          <w:tcPr>
            <w:tcW w:w="2976" w:type="dxa"/>
            <w:shd w:val="clear" w:color="auto" w:fill="auto"/>
            <w:vAlign w:val="center"/>
          </w:tcPr>
          <w:p w14:paraId="71C408B0">
            <w:pPr>
              <w:spacing w:line="300" w:lineRule="exact"/>
              <w:jc w:val="left"/>
              <w:rPr>
                <w:rFonts w:hint="eastAsia" w:ascii="方正书宋_GBK" w:eastAsia="方正书宋_GBK"/>
              </w:rPr>
            </w:pPr>
            <w:r>
              <w:rPr>
                <w:rFonts w:hint="eastAsia" w:ascii="方正书宋_GBK" w:eastAsia="方正书宋_GBK"/>
              </w:rPr>
              <w:t>机关基本设施设备正常运转、信息化保障、老干部服务保障能力进一步提高。</w:t>
            </w:r>
          </w:p>
        </w:tc>
        <w:tc>
          <w:tcPr>
            <w:tcW w:w="1417" w:type="dxa"/>
            <w:shd w:val="clear" w:color="auto" w:fill="auto"/>
            <w:vAlign w:val="center"/>
          </w:tcPr>
          <w:p w14:paraId="36CAA91F">
            <w:pPr>
              <w:spacing w:line="300" w:lineRule="exact"/>
              <w:jc w:val="left"/>
              <w:rPr>
                <w:rFonts w:hint="eastAsia" w:ascii="方正书宋_GBK" w:eastAsia="方正书宋_GBK"/>
              </w:rPr>
            </w:pPr>
            <w:r>
              <w:rPr>
                <w:rFonts w:hint="eastAsia" w:ascii="方正书宋_GBK" w:eastAsia="方正书宋_GBK"/>
              </w:rPr>
              <w:t>综合事务保障率</w:t>
            </w:r>
          </w:p>
        </w:tc>
        <w:tc>
          <w:tcPr>
            <w:tcW w:w="737" w:type="dxa"/>
            <w:shd w:val="clear" w:color="auto" w:fill="auto"/>
            <w:vAlign w:val="center"/>
          </w:tcPr>
          <w:p w14:paraId="1D249CAE">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448F4DA8">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7A04625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EBD4FD8">
            <w:pPr>
              <w:spacing w:line="300" w:lineRule="exact"/>
              <w:jc w:val="center"/>
              <w:rPr>
                <w:rFonts w:ascii="方正书宋_GBK" w:eastAsia="方正书宋_GBK"/>
              </w:rPr>
            </w:pPr>
            <w:r>
              <w:rPr>
                <w:rFonts w:ascii="方正书宋_GBK" w:eastAsia="方正书宋_GBK"/>
              </w:rPr>
              <w:t>&lt;90%</w:t>
            </w:r>
          </w:p>
        </w:tc>
      </w:tr>
    </w:tbl>
    <w:p w14:paraId="54ECC57E">
      <w:pPr>
        <w:spacing w:line="300" w:lineRule="exact"/>
        <w:jc w:val="left"/>
        <w:outlineLvl w:val="0"/>
        <w:sectPr>
          <w:pgSz w:w="16839" w:h="11907" w:orient="landscape"/>
          <w:pgMar w:top="1020" w:right="1361" w:bottom="1020" w:left="1361" w:header="851" w:footer="992" w:gutter="0"/>
          <w:cols w:space="425" w:num="1"/>
          <w:docGrid w:type="lines" w:linePitch="312" w:charSpace="0"/>
        </w:sectPr>
      </w:pPr>
    </w:p>
    <w:p w14:paraId="745AA476">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14:paraId="619E2A3C">
      <w:pPr>
        <w:outlineLvl w:val="0"/>
        <w:rPr>
          <w:rFonts w:ascii="仿宋_GB2312" w:hAnsi="Times New Roman" w:eastAsia="仿宋_GB2312"/>
          <w:sz w:val="32"/>
          <w:szCs w:val="24"/>
        </w:rPr>
      </w:pPr>
      <w:bookmarkStart w:id="3" w:name="_Toc471398468"/>
      <w:r>
        <w:rPr>
          <w:rFonts w:ascii="方正小标宋_GBK" w:hAnsi="Times New Roman" w:eastAsia="方正小标宋_GBK"/>
          <w:sz w:val="32"/>
          <w:szCs w:val="24"/>
        </w:rPr>
        <w:t xml:space="preserve"> </w:t>
      </w:r>
      <w:r>
        <w:rPr>
          <w:rFonts w:ascii="Times New Roman" w:hAnsi="Times New Roman" w:eastAsia="方正仿宋_GBK"/>
          <w:sz w:val="32"/>
          <w:szCs w:val="24"/>
        </w:rPr>
        <w:t xml:space="preserve">   </w:t>
      </w:r>
      <w:r>
        <w:rPr>
          <w:rFonts w:ascii="仿宋_GB2312" w:hAnsi="Times New Roman" w:eastAsia="仿宋_GB2312"/>
          <w:sz w:val="32"/>
          <w:szCs w:val="24"/>
        </w:rPr>
        <w:t>2018</w:t>
      </w:r>
      <w:r>
        <w:rPr>
          <w:rFonts w:hint="eastAsia" w:ascii="仿宋_GB2312" w:hAnsi="Times New Roman" w:eastAsia="仿宋_GB2312"/>
          <w:sz w:val="32"/>
          <w:szCs w:val="24"/>
        </w:rPr>
        <w:t>年，我单位安排政府采购预算</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rPr>
        <w:t>万元。具体内容见下表。</w:t>
      </w:r>
    </w:p>
    <w:bookmarkEnd w:id="3"/>
    <w:p w14:paraId="337B8295">
      <w:pPr>
        <w:jc w:val="center"/>
        <w:outlineLvl w:val="0"/>
        <w:rPr>
          <w:rFonts w:ascii="方正小标宋_GBK" w:eastAsia="方正小标宋_GBK"/>
          <w:sz w:val="32"/>
        </w:rPr>
      </w:pPr>
      <w:bookmarkStart w:id="4" w:name="_Toc504489153"/>
      <w:r>
        <w:rPr>
          <w:rFonts w:hint="eastAsia" w:ascii="方正小标宋_GBK" w:eastAsia="方正小标宋_GBK"/>
          <w:sz w:val="32"/>
        </w:rPr>
        <w:t>部门政府采购预算</w:t>
      </w:r>
      <w:bookmarkEnd w:id="4"/>
    </w:p>
    <w:tbl>
      <w:tblPr>
        <w:tblStyle w:val="9"/>
        <w:tblW w:w="1442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85"/>
        <w:gridCol w:w="1049"/>
        <w:gridCol w:w="1089"/>
        <w:gridCol w:w="1220"/>
        <w:gridCol w:w="715"/>
        <w:gridCol w:w="714"/>
        <w:gridCol w:w="884"/>
        <w:gridCol w:w="913"/>
        <w:gridCol w:w="914"/>
        <w:gridCol w:w="913"/>
        <w:gridCol w:w="914"/>
        <w:gridCol w:w="916"/>
        <w:gridCol w:w="918"/>
        <w:gridCol w:w="876"/>
      </w:tblGrid>
      <w:tr w14:paraId="2568AB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3" w:hRule="atLeast"/>
          <w:tblHeader/>
          <w:jc w:val="center"/>
        </w:trPr>
        <w:tc>
          <w:tcPr>
            <w:tcW w:w="8056" w:type="dxa"/>
            <w:gridSpan w:val="7"/>
            <w:tcBorders>
              <w:top w:val="single" w:color="FFFFFF" w:sz="6" w:space="0"/>
              <w:left w:val="single" w:color="FFFFFF" w:sz="6" w:space="0"/>
              <w:right w:val="single" w:color="FFFFFF" w:sz="6" w:space="0"/>
            </w:tcBorders>
            <w:vAlign w:val="center"/>
          </w:tcPr>
          <w:p w14:paraId="50BEF9DE">
            <w:pPr>
              <w:spacing w:line="300" w:lineRule="exact"/>
              <w:jc w:val="left"/>
              <w:rPr>
                <w:rFonts w:ascii="方正小标宋_GBK" w:eastAsia="方正小标宋_GBK"/>
                <w:sz w:val="24"/>
              </w:rPr>
            </w:pPr>
            <w:r>
              <w:rPr>
                <w:rFonts w:hint="eastAsia" w:ascii="方正小标宋_GBK" w:eastAsia="方正小标宋_GBK"/>
                <w:sz w:val="24"/>
                <w:lang w:val="en-US" w:eastAsia="zh-CN"/>
              </w:rPr>
              <w:t>131</w:t>
            </w:r>
            <w:r>
              <w:rPr>
                <w:rFonts w:hint="eastAsia" w:ascii="方正小标宋_GBK" w:eastAsia="方正小标宋_GBK"/>
                <w:sz w:val="24"/>
                <w:lang w:eastAsia="zh-CN"/>
              </w:rPr>
              <w:t>县政协</w:t>
            </w:r>
          </w:p>
        </w:tc>
        <w:tc>
          <w:tcPr>
            <w:tcW w:w="6364" w:type="dxa"/>
            <w:gridSpan w:val="7"/>
            <w:tcBorders>
              <w:top w:val="single" w:color="FFFFFF" w:sz="6" w:space="0"/>
              <w:left w:val="single" w:color="FFFFFF" w:sz="6" w:space="0"/>
              <w:right w:val="single" w:color="FFFFFF" w:sz="6" w:space="0"/>
            </w:tcBorders>
            <w:vAlign w:val="center"/>
          </w:tcPr>
          <w:p w14:paraId="6C73E881">
            <w:pPr>
              <w:spacing w:line="300" w:lineRule="exact"/>
              <w:jc w:val="right"/>
              <w:rPr>
                <w:rFonts w:ascii="方正书宋_GBK" w:eastAsia="方正书宋_GBK"/>
                <w:sz w:val="24"/>
              </w:rPr>
            </w:pPr>
            <w:r>
              <w:rPr>
                <w:rFonts w:hint="eastAsia" w:ascii="方正书宋_GBK" w:eastAsia="方正书宋_GBK"/>
                <w:sz w:val="24"/>
              </w:rPr>
              <w:t>单位：万元</w:t>
            </w:r>
          </w:p>
        </w:tc>
      </w:tr>
      <w:tr w14:paraId="50F305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3" w:hRule="atLeast"/>
          <w:tblHeader/>
          <w:jc w:val="center"/>
        </w:trPr>
        <w:tc>
          <w:tcPr>
            <w:tcW w:w="3434" w:type="dxa"/>
            <w:gridSpan w:val="2"/>
            <w:vAlign w:val="center"/>
          </w:tcPr>
          <w:p w14:paraId="3D14869C">
            <w:pPr>
              <w:spacing w:line="300" w:lineRule="exact"/>
              <w:jc w:val="center"/>
              <w:rPr>
                <w:rFonts w:ascii="方正书宋_GBK" w:eastAsia="方正书宋_GBK"/>
                <w:b/>
              </w:rPr>
            </w:pPr>
            <w:r>
              <w:rPr>
                <w:rFonts w:hint="eastAsia" w:ascii="方正书宋_GBK" w:eastAsia="方正书宋_GBK"/>
                <w:b/>
              </w:rPr>
              <w:t>政府采购项目来源</w:t>
            </w:r>
          </w:p>
        </w:tc>
        <w:tc>
          <w:tcPr>
            <w:tcW w:w="1089" w:type="dxa"/>
            <w:vMerge w:val="restart"/>
            <w:vAlign w:val="center"/>
          </w:tcPr>
          <w:p w14:paraId="55D6D939">
            <w:pPr>
              <w:spacing w:line="300" w:lineRule="exact"/>
              <w:jc w:val="center"/>
              <w:rPr>
                <w:rFonts w:ascii="方正书宋_GBK" w:eastAsia="方正书宋_GBK"/>
                <w:b/>
              </w:rPr>
            </w:pPr>
            <w:r>
              <w:rPr>
                <w:rFonts w:hint="eastAsia" w:ascii="方正书宋_GBK" w:eastAsia="方正书宋_GBK"/>
                <w:b/>
              </w:rPr>
              <w:t>采购物品名称</w:t>
            </w:r>
          </w:p>
        </w:tc>
        <w:tc>
          <w:tcPr>
            <w:tcW w:w="1220" w:type="dxa"/>
            <w:vMerge w:val="restart"/>
            <w:vAlign w:val="center"/>
          </w:tcPr>
          <w:p w14:paraId="2CB12933">
            <w:pPr>
              <w:spacing w:line="300" w:lineRule="exact"/>
              <w:jc w:val="center"/>
              <w:rPr>
                <w:rFonts w:ascii="方正书宋_GBK" w:eastAsia="方正书宋_GBK"/>
                <w:b/>
              </w:rPr>
            </w:pPr>
            <w:r>
              <w:rPr>
                <w:rFonts w:hint="eastAsia" w:ascii="方正书宋_GBK" w:eastAsia="方正书宋_GBK"/>
                <w:b/>
              </w:rPr>
              <w:t>政府采购目录序号</w:t>
            </w:r>
          </w:p>
        </w:tc>
        <w:tc>
          <w:tcPr>
            <w:tcW w:w="715" w:type="dxa"/>
            <w:vMerge w:val="restart"/>
            <w:vAlign w:val="center"/>
          </w:tcPr>
          <w:p w14:paraId="3E11DFF5">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714" w:type="dxa"/>
            <w:vMerge w:val="restart"/>
            <w:vAlign w:val="center"/>
          </w:tcPr>
          <w:p w14:paraId="371C42A7">
            <w:pPr>
              <w:spacing w:line="300" w:lineRule="exact"/>
              <w:jc w:val="center"/>
              <w:rPr>
                <w:rFonts w:ascii="方正书宋_GBK" w:eastAsia="方正书宋_GBK"/>
                <w:b/>
              </w:rPr>
            </w:pPr>
            <w:r>
              <w:rPr>
                <w:rFonts w:hint="eastAsia" w:ascii="方正书宋_GBK" w:eastAsia="方正书宋_GBK"/>
                <w:b/>
              </w:rPr>
              <w:t>数量</w:t>
            </w:r>
          </w:p>
        </w:tc>
        <w:tc>
          <w:tcPr>
            <w:tcW w:w="884" w:type="dxa"/>
            <w:vMerge w:val="restart"/>
            <w:vAlign w:val="center"/>
          </w:tcPr>
          <w:p w14:paraId="267B1C41">
            <w:pPr>
              <w:spacing w:line="300" w:lineRule="exact"/>
              <w:jc w:val="center"/>
              <w:rPr>
                <w:rFonts w:ascii="方正书宋_GBK" w:eastAsia="方正书宋_GBK"/>
                <w:b/>
              </w:rPr>
            </w:pPr>
            <w:r>
              <w:rPr>
                <w:rFonts w:hint="eastAsia" w:ascii="方正书宋_GBK" w:eastAsia="方正书宋_GBK"/>
                <w:b/>
              </w:rPr>
              <w:t>单价</w:t>
            </w:r>
          </w:p>
        </w:tc>
        <w:tc>
          <w:tcPr>
            <w:tcW w:w="6364" w:type="dxa"/>
            <w:gridSpan w:val="7"/>
            <w:vAlign w:val="center"/>
          </w:tcPr>
          <w:p w14:paraId="62437AA6">
            <w:pPr>
              <w:spacing w:line="300" w:lineRule="exact"/>
              <w:jc w:val="center"/>
              <w:rPr>
                <w:rFonts w:ascii="方正书宋_GBK" w:eastAsia="方正书宋_GBK"/>
                <w:b/>
              </w:rPr>
            </w:pPr>
            <w:r>
              <w:rPr>
                <w:rFonts w:hint="eastAsia" w:ascii="方正书宋_GBK" w:eastAsia="方正书宋_GBK"/>
                <w:b/>
              </w:rPr>
              <w:t>政府采购金额</w:t>
            </w:r>
          </w:p>
        </w:tc>
      </w:tr>
      <w:tr w14:paraId="3BFD61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3" w:hRule="atLeast"/>
          <w:tblHeader/>
          <w:jc w:val="center"/>
        </w:trPr>
        <w:tc>
          <w:tcPr>
            <w:tcW w:w="2385" w:type="dxa"/>
            <w:vMerge w:val="restart"/>
            <w:vAlign w:val="center"/>
          </w:tcPr>
          <w:p w14:paraId="58B67034">
            <w:pPr>
              <w:spacing w:line="300" w:lineRule="exact"/>
              <w:jc w:val="center"/>
              <w:rPr>
                <w:rFonts w:ascii="方正书宋_GBK" w:eastAsia="方正书宋_GBK"/>
                <w:b/>
              </w:rPr>
            </w:pPr>
            <w:r>
              <w:rPr>
                <w:rFonts w:hint="eastAsia" w:ascii="方正书宋_GBK" w:eastAsia="方正书宋_GBK"/>
                <w:b/>
              </w:rPr>
              <w:t>项目名称</w:t>
            </w:r>
          </w:p>
        </w:tc>
        <w:tc>
          <w:tcPr>
            <w:tcW w:w="1049" w:type="dxa"/>
            <w:vMerge w:val="restart"/>
            <w:vAlign w:val="center"/>
          </w:tcPr>
          <w:p w14:paraId="0412FAED">
            <w:pPr>
              <w:spacing w:line="300" w:lineRule="exact"/>
              <w:jc w:val="center"/>
              <w:rPr>
                <w:rFonts w:ascii="方正书宋_GBK" w:eastAsia="方正书宋_GBK"/>
                <w:b/>
              </w:rPr>
            </w:pPr>
            <w:r>
              <w:rPr>
                <w:rFonts w:hint="eastAsia" w:ascii="方正书宋_GBK" w:eastAsia="方正书宋_GBK"/>
                <w:b/>
              </w:rPr>
              <w:t>预算资金</w:t>
            </w:r>
          </w:p>
        </w:tc>
        <w:tc>
          <w:tcPr>
            <w:tcW w:w="1089" w:type="dxa"/>
            <w:vMerge w:val="continue"/>
            <w:vAlign w:val="center"/>
          </w:tcPr>
          <w:p w14:paraId="55FE11FE">
            <w:pPr>
              <w:spacing w:line="300" w:lineRule="exact"/>
              <w:jc w:val="left"/>
              <w:outlineLvl w:val="0"/>
            </w:pPr>
          </w:p>
        </w:tc>
        <w:tc>
          <w:tcPr>
            <w:tcW w:w="1220" w:type="dxa"/>
            <w:vMerge w:val="continue"/>
            <w:vAlign w:val="center"/>
          </w:tcPr>
          <w:p w14:paraId="781F41A6">
            <w:pPr>
              <w:spacing w:line="300" w:lineRule="exact"/>
              <w:jc w:val="left"/>
              <w:outlineLvl w:val="0"/>
            </w:pPr>
          </w:p>
        </w:tc>
        <w:tc>
          <w:tcPr>
            <w:tcW w:w="715" w:type="dxa"/>
            <w:vMerge w:val="continue"/>
            <w:vAlign w:val="center"/>
          </w:tcPr>
          <w:p w14:paraId="34211EC6">
            <w:pPr>
              <w:spacing w:line="300" w:lineRule="exact"/>
              <w:jc w:val="left"/>
              <w:outlineLvl w:val="0"/>
            </w:pPr>
          </w:p>
        </w:tc>
        <w:tc>
          <w:tcPr>
            <w:tcW w:w="714" w:type="dxa"/>
            <w:vMerge w:val="continue"/>
            <w:vAlign w:val="center"/>
          </w:tcPr>
          <w:p w14:paraId="634028BB">
            <w:pPr>
              <w:spacing w:line="300" w:lineRule="exact"/>
              <w:jc w:val="left"/>
              <w:outlineLvl w:val="0"/>
            </w:pPr>
          </w:p>
        </w:tc>
        <w:tc>
          <w:tcPr>
            <w:tcW w:w="884" w:type="dxa"/>
            <w:vMerge w:val="continue"/>
            <w:vAlign w:val="center"/>
          </w:tcPr>
          <w:p w14:paraId="0B0756FB">
            <w:pPr>
              <w:spacing w:line="300" w:lineRule="exact"/>
              <w:jc w:val="left"/>
              <w:outlineLvl w:val="0"/>
            </w:pPr>
          </w:p>
        </w:tc>
        <w:tc>
          <w:tcPr>
            <w:tcW w:w="913" w:type="dxa"/>
            <w:vMerge w:val="restart"/>
            <w:vAlign w:val="center"/>
          </w:tcPr>
          <w:p w14:paraId="54A0D70F">
            <w:pPr>
              <w:spacing w:line="300" w:lineRule="exact"/>
              <w:jc w:val="center"/>
              <w:rPr>
                <w:rFonts w:ascii="方正书宋_GBK" w:eastAsia="方正书宋_GBK"/>
                <w:b/>
              </w:rPr>
            </w:pPr>
            <w:r>
              <w:rPr>
                <w:rFonts w:hint="eastAsia" w:ascii="方正书宋_GBK" w:eastAsia="方正书宋_GBK"/>
                <w:b/>
              </w:rPr>
              <w:t>总计</w:t>
            </w:r>
          </w:p>
        </w:tc>
        <w:tc>
          <w:tcPr>
            <w:tcW w:w="4575" w:type="dxa"/>
            <w:gridSpan w:val="5"/>
            <w:vAlign w:val="center"/>
          </w:tcPr>
          <w:p w14:paraId="14B24541">
            <w:pPr>
              <w:spacing w:line="300" w:lineRule="exact"/>
              <w:jc w:val="center"/>
              <w:rPr>
                <w:rFonts w:ascii="方正书宋_GBK" w:eastAsia="方正书宋_GBK"/>
                <w:b/>
              </w:rPr>
            </w:pPr>
            <w:r>
              <w:rPr>
                <w:rFonts w:hint="eastAsia" w:ascii="方正书宋_GBK" w:eastAsia="方正书宋_GBK"/>
                <w:b/>
              </w:rPr>
              <w:t>当年部门预算安排资金</w:t>
            </w:r>
          </w:p>
        </w:tc>
        <w:tc>
          <w:tcPr>
            <w:tcW w:w="876" w:type="dxa"/>
            <w:vMerge w:val="restart"/>
            <w:vAlign w:val="center"/>
          </w:tcPr>
          <w:p w14:paraId="0C62D4D0">
            <w:pPr>
              <w:spacing w:line="300" w:lineRule="exact"/>
              <w:jc w:val="center"/>
              <w:rPr>
                <w:rFonts w:ascii="方正书宋_GBK" w:eastAsia="方正书宋_GBK"/>
                <w:b/>
              </w:rPr>
            </w:pPr>
            <w:r>
              <w:rPr>
                <w:rFonts w:hint="eastAsia" w:ascii="方正书宋_GBK" w:eastAsia="方正书宋_GBK"/>
                <w:b/>
              </w:rPr>
              <w:t>其他渠道资金</w:t>
            </w:r>
          </w:p>
        </w:tc>
      </w:tr>
      <w:tr w14:paraId="34BD7E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90" w:hRule="atLeast"/>
          <w:tblHeader/>
          <w:jc w:val="center"/>
        </w:trPr>
        <w:tc>
          <w:tcPr>
            <w:tcW w:w="2385" w:type="dxa"/>
            <w:vMerge w:val="continue"/>
            <w:vAlign w:val="center"/>
          </w:tcPr>
          <w:p w14:paraId="6DDA2F67">
            <w:pPr>
              <w:spacing w:line="300" w:lineRule="exact"/>
              <w:jc w:val="left"/>
              <w:outlineLvl w:val="0"/>
            </w:pPr>
          </w:p>
        </w:tc>
        <w:tc>
          <w:tcPr>
            <w:tcW w:w="1049" w:type="dxa"/>
            <w:vMerge w:val="continue"/>
            <w:vAlign w:val="center"/>
          </w:tcPr>
          <w:p w14:paraId="5B3CB746">
            <w:pPr>
              <w:spacing w:line="300" w:lineRule="exact"/>
              <w:jc w:val="left"/>
              <w:outlineLvl w:val="0"/>
            </w:pPr>
          </w:p>
        </w:tc>
        <w:tc>
          <w:tcPr>
            <w:tcW w:w="1089" w:type="dxa"/>
            <w:vMerge w:val="continue"/>
            <w:vAlign w:val="center"/>
          </w:tcPr>
          <w:p w14:paraId="5561A0DD">
            <w:pPr>
              <w:spacing w:line="300" w:lineRule="exact"/>
              <w:jc w:val="left"/>
              <w:outlineLvl w:val="0"/>
            </w:pPr>
          </w:p>
        </w:tc>
        <w:tc>
          <w:tcPr>
            <w:tcW w:w="1220" w:type="dxa"/>
            <w:vMerge w:val="continue"/>
            <w:vAlign w:val="center"/>
          </w:tcPr>
          <w:p w14:paraId="39C45123">
            <w:pPr>
              <w:spacing w:line="300" w:lineRule="exact"/>
              <w:jc w:val="left"/>
              <w:outlineLvl w:val="0"/>
            </w:pPr>
          </w:p>
        </w:tc>
        <w:tc>
          <w:tcPr>
            <w:tcW w:w="715" w:type="dxa"/>
            <w:vMerge w:val="continue"/>
            <w:vAlign w:val="center"/>
          </w:tcPr>
          <w:p w14:paraId="3AACAC0E">
            <w:pPr>
              <w:spacing w:line="300" w:lineRule="exact"/>
              <w:jc w:val="left"/>
              <w:outlineLvl w:val="0"/>
            </w:pPr>
          </w:p>
        </w:tc>
        <w:tc>
          <w:tcPr>
            <w:tcW w:w="714" w:type="dxa"/>
            <w:vMerge w:val="continue"/>
            <w:vAlign w:val="center"/>
          </w:tcPr>
          <w:p w14:paraId="53DD4B5D">
            <w:pPr>
              <w:spacing w:line="300" w:lineRule="exact"/>
              <w:jc w:val="left"/>
              <w:outlineLvl w:val="0"/>
            </w:pPr>
          </w:p>
        </w:tc>
        <w:tc>
          <w:tcPr>
            <w:tcW w:w="884" w:type="dxa"/>
            <w:vMerge w:val="continue"/>
            <w:vAlign w:val="center"/>
          </w:tcPr>
          <w:p w14:paraId="7C652050">
            <w:pPr>
              <w:spacing w:line="300" w:lineRule="exact"/>
              <w:jc w:val="left"/>
              <w:outlineLvl w:val="0"/>
            </w:pPr>
          </w:p>
        </w:tc>
        <w:tc>
          <w:tcPr>
            <w:tcW w:w="913" w:type="dxa"/>
            <w:vMerge w:val="continue"/>
            <w:vAlign w:val="center"/>
          </w:tcPr>
          <w:p w14:paraId="4DB37482">
            <w:pPr>
              <w:spacing w:line="300" w:lineRule="exact"/>
              <w:jc w:val="left"/>
              <w:outlineLvl w:val="0"/>
            </w:pPr>
          </w:p>
        </w:tc>
        <w:tc>
          <w:tcPr>
            <w:tcW w:w="914" w:type="dxa"/>
            <w:vAlign w:val="center"/>
          </w:tcPr>
          <w:p w14:paraId="551F0C26">
            <w:pPr>
              <w:spacing w:line="300" w:lineRule="exact"/>
              <w:jc w:val="center"/>
              <w:rPr>
                <w:rFonts w:ascii="方正书宋_GBK" w:eastAsia="方正书宋_GBK"/>
                <w:b/>
              </w:rPr>
            </w:pPr>
            <w:r>
              <w:rPr>
                <w:rFonts w:hint="eastAsia" w:ascii="方正书宋_GBK" w:eastAsia="方正书宋_GBK"/>
                <w:b/>
              </w:rPr>
              <w:t>合计</w:t>
            </w:r>
          </w:p>
        </w:tc>
        <w:tc>
          <w:tcPr>
            <w:tcW w:w="913" w:type="dxa"/>
            <w:vAlign w:val="center"/>
          </w:tcPr>
          <w:p w14:paraId="2A6F0812">
            <w:pPr>
              <w:spacing w:line="300" w:lineRule="exact"/>
              <w:jc w:val="center"/>
              <w:rPr>
                <w:rFonts w:ascii="方正书宋_GBK" w:eastAsia="方正书宋_GBK"/>
                <w:b/>
              </w:rPr>
            </w:pPr>
            <w:r>
              <w:rPr>
                <w:rFonts w:hint="eastAsia" w:ascii="方正书宋_GBK" w:eastAsia="方正书宋_GBK"/>
                <w:b/>
              </w:rPr>
              <w:t>一般公共预算拨款</w:t>
            </w:r>
          </w:p>
        </w:tc>
        <w:tc>
          <w:tcPr>
            <w:tcW w:w="914" w:type="dxa"/>
            <w:vAlign w:val="center"/>
          </w:tcPr>
          <w:p w14:paraId="4984F7E0">
            <w:pPr>
              <w:spacing w:line="300" w:lineRule="exact"/>
              <w:jc w:val="center"/>
              <w:rPr>
                <w:rFonts w:ascii="方正书宋_GBK" w:eastAsia="方正书宋_GBK"/>
                <w:b/>
              </w:rPr>
            </w:pPr>
            <w:r>
              <w:rPr>
                <w:rFonts w:hint="eastAsia" w:ascii="方正书宋_GBK" w:eastAsia="方正书宋_GBK"/>
                <w:b/>
              </w:rPr>
              <w:t>基金预算拨款</w:t>
            </w:r>
          </w:p>
        </w:tc>
        <w:tc>
          <w:tcPr>
            <w:tcW w:w="916" w:type="dxa"/>
            <w:vAlign w:val="center"/>
          </w:tcPr>
          <w:p w14:paraId="2EFF4187">
            <w:pPr>
              <w:spacing w:line="300" w:lineRule="exact"/>
              <w:jc w:val="center"/>
              <w:rPr>
                <w:rFonts w:ascii="方正书宋_GBK" w:eastAsia="方正书宋_GBK"/>
                <w:b/>
              </w:rPr>
            </w:pPr>
            <w:r>
              <w:rPr>
                <w:rFonts w:hint="eastAsia" w:ascii="方正书宋_GBK" w:eastAsia="方正书宋_GBK"/>
                <w:b/>
              </w:rPr>
              <w:t>财政专户核拨</w:t>
            </w:r>
          </w:p>
        </w:tc>
        <w:tc>
          <w:tcPr>
            <w:tcW w:w="918" w:type="dxa"/>
            <w:vAlign w:val="center"/>
          </w:tcPr>
          <w:p w14:paraId="2260301C">
            <w:pPr>
              <w:spacing w:line="300" w:lineRule="exact"/>
              <w:jc w:val="center"/>
              <w:rPr>
                <w:rFonts w:ascii="方正书宋_GBK" w:eastAsia="方正书宋_GBK"/>
                <w:b/>
              </w:rPr>
            </w:pPr>
            <w:r>
              <w:rPr>
                <w:rFonts w:hint="eastAsia" w:ascii="方正书宋_GBK" w:eastAsia="方正书宋_GBK"/>
                <w:b/>
              </w:rPr>
              <w:t>其他来源收入</w:t>
            </w:r>
          </w:p>
        </w:tc>
        <w:tc>
          <w:tcPr>
            <w:tcW w:w="876" w:type="dxa"/>
            <w:vMerge w:val="continue"/>
            <w:vAlign w:val="center"/>
          </w:tcPr>
          <w:p w14:paraId="28C4B8DB">
            <w:pPr>
              <w:spacing w:line="300" w:lineRule="exact"/>
              <w:jc w:val="left"/>
              <w:outlineLvl w:val="0"/>
            </w:pPr>
          </w:p>
        </w:tc>
      </w:tr>
      <w:tr w14:paraId="5E4E0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3" w:hRule="atLeast"/>
          <w:jc w:val="center"/>
        </w:trPr>
        <w:tc>
          <w:tcPr>
            <w:tcW w:w="2385" w:type="dxa"/>
            <w:vAlign w:val="center"/>
          </w:tcPr>
          <w:p w14:paraId="08E43252">
            <w:pPr>
              <w:spacing w:line="300" w:lineRule="exact"/>
              <w:jc w:val="center"/>
              <w:rPr>
                <w:rFonts w:ascii="方正书宋_GBK" w:eastAsia="方正书宋_GBK"/>
                <w:b/>
              </w:rPr>
            </w:pPr>
            <w:r>
              <w:rPr>
                <w:rFonts w:hint="eastAsia" w:ascii="方正书宋_GBK" w:eastAsia="方正书宋_GBK"/>
                <w:b/>
              </w:rPr>
              <w:t>合　计</w:t>
            </w:r>
          </w:p>
        </w:tc>
        <w:tc>
          <w:tcPr>
            <w:tcW w:w="1049" w:type="dxa"/>
            <w:vAlign w:val="center"/>
          </w:tcPr>
          <w:p w14:paraId="19AFE1B3">
            <w:pPr>
              <w:spacing w:line="300" w:lineRule="exact"/>
              <w:jc w:val="center"/>
              <w:rPr>
                <w:rFonts w:ascii="方正书宋_GBK" w:eastAsia="方正书宋_GBK"/>
                <w:b/>
              </w:rPr>
            </w:pPr>
          </w:p>
        </w:tc>
        <w:tc>
          <w:tcPr>
            <w:tcW w:w="1089" w:type="dxa"/>
            <w:vAlign w:val="center"/>
          </w:tcPr>
          <w:p w14:paraId="5887986E">
            <w:pPr>
              <w:spacing w:line="300" w:lineRule="exact"/>
              <w:jc w:val="left"/>
              <w:rPr>
                <w:rFonts w:ascii="方正书宋_GBK" w:eastAsia="方正书宋_GBK"/>
                <w:b/>
              </w:rPr>
            </w:pPr>
          </w:p>
        </w:tc>
        <w:tc>
          <w:tcPr>
            <w:tcW w:w="1220" w:type="dxa"/>
            <w:vAlign w:val="center"/>
          </w:tcPr>
          <w:p w14:paraId="7F756E54">
            <w:pPr>
              <w:spacing w:line="300" w:lineRule="exact"/>
              <w:jc w:val="left"/>
              <w:rPr>
                <w:rFonts w:ascii="方正书宋_GBK" w:eastAsia="方正书宋_GBK"/>
                <w:b/>
              </w:rPr>
            </w:pPr>
          </w:p>
        </w:tc>
        <w:tc>
          <w:tcPr>
            <w:tcW w:w="715" w:type="dxa"/>
            <w:vAlign w:val="center"/>
          </w:tcPr>
          <w:p w14:paraId="1D33BD8B">
            <w:pPr>
              <w:spacing w:line="300" w:lineRule="exact"/>
              <w:jc w:val="left"/>
              <w:rPr>
                <w:rFonts w:ascii="方正书宋_GBK" w:eastAsia="方正书宋_GBK"/>
                <w:b/>
              </w:rPr>
            </w:pPr>
          </w:p>
        </w:tc>
        <w:tc>
          <w:tcPr>
            <w:tcW w:w="714" w:type="dxa"/>
            <w:vAlign w:val="center"/>
          </w:tcPr>
          <w:p w14:paraId="40204A01">
            <w:pPr>
              <w:spacing w:line="300" w:lineRule="exact"/>
              <w:jc w:val="right"/>
              <w:rPr>
                <w:rFonts w:ascii="方正书宋_GBK" w:eastAsia="方正书宋_GBK"/>
                <w:b/>
              </w:rPr>
            </w:pPr>
          </w:p>
        </w:tc>
        <w:tc>
          <w:tcPr>
            <w:tcW w:w="884" w:type="dxa"/>
            <w:vAlign w:val="center"/>
          </w:tcPr>
          <w:p w14:paraId="3BEC225F">
            <w:pPr>
              <w:spacing w:line="300" w:lineRule="exact"/>
              <w:jc w:val="right"/>
              <w:rPr>
                <w:rFonts w:ascii="方正书宋_GBK" w:eastAsia="方正书宋_GBK"/>
                <w:b/>
              </w:rPr>
            </w:pPr>
          </w:p>
        </w:tc>
        <w:tc>
          <w:tcPr>
            <w:tcW w:w="913" w:type="dxa"/>
            <w:vAlign w:val="center"/>
          </w:tcPr>
          <w:p w14:paraId="36998392">
            <w:pPr>
              <w:spacing w:line="300" w:lineRule="exact"/>
              <w:jc w:val="center"/>
              <w:rPr>
                <w:rFonts w:ascii="方正书宋_GBK" w:eastAsia="方正书宋_GBK"/>
                <w:b/>
              </w:rPr>
            </w:pPr>
          </w:p>
        </w:tc>
        <w:tc>
          <w:tcPr>
            <w:tcW w:w="914" w:type="dxa"/>
            <w:vAlign w:val="center"/>
          </w:tcPr>
          <w:p w14:paraId="2E87F0C4">
            <w:pPr>
              <w:spacing w:line="300" w:lineRule="exact"/>
              <w:jc w:val="center"/>
              <w:rPr>
                <w:rFonts w:ascii="方正书宋_GBK" w:eastAsia="方正书宋_GBK"/>
                <w:b/>
              </w:rPr>
            </w:pPr>
          </w:p>
        </w:tc>
        <w:tc>
          <w:tcPr>
            <w:tcW w:w="913" w:type="dxa"/>
            <w:vAlign w:val="center"/>
          </w:tcPr>
          <w:p w14:paraId="62038183">
            <w:pPr>
              <w:spacing w:line="300" w:lineRule="exact"/>
              <w:jc w:val="center"/>
              <w:rPr>
                <w:rFonts w:ascii="方正书宋_GBK" w:eastAsia="方正书宋_GBK"/>
                <w:b/>
              </w:rPr>
            </w:pPr>
          </w:p>
        </w:tc>
        <w:tc>
          <w:tcPr>
            <w:tcW w:w="914" w:type="dxa"/>
            <w:vAlign w:val="center"/>
          </w:tcPr>
          <w:p w14:paraId="04E73176">
            <w:pPr>
              <w:spacing w:line="300" w:lineRule="exact"/>
              <w:rPr>
                <w:rFonts w:ascii="方正书宋_GBK" w:eastAsia="方正书宋_GBK"/>
                <w:b/>
              </w:rPr>
            </w:pPr>
          </w:p>
        </w:tc>
        <w:tc>
          <w:tcPr>
            <w:tcW w:w="916" w:type="dxa"/>
            <w:vAlign w:val="center"/>
          </w:tcPr>
          <w:p w14:paraId="3578C73D">
            <w:pPr>
              <w:spacing w:line="300" w:lineRule="exact"/>
              <w:rPr>
                <w:rFonts w:ascii="方正书宋_GBK" w:eastAsia="方正书宋_GBK"/>
                <w:b/>
              </w:rPr>
            </w:pPr>
          </w:p>
        </w:tc>
        <w:tc>
          <w:tcPr>
            <w:tcW w:w="918" w:type="dxa"/>
            <w:vAlign w:val="center"/>
          </w:tcPr>
          <w:p w14:paraId="5409C9F6">
            <w:pPr>
              <w:spacing w:line="300" w:lineRule="exact"/>
              <w:jc w:val="center"/>
              <w:rPr>
                <w:rFonts w:ascii="方正书宋_GBK" w:eastAsia="方正书宋_GBK"/>
                <w:b/>
              </w:rPr>
            </w:pPr>
          </w:p>
        </w:tc>
        <w:tc>
          <w:tcPr>
            <w:tcW w:w="876" w:type="dxa"/>
            <w:vAlign w:val="center"/>
          </w:tcPr>
          <w:p w14:paraId="73D5FBA2">
            <w:pPr>
              <w:spacing w:line="300" w:lineRule="exact"/>
              <w:jc w:val="right"/>
              <w:rPr>
                <w:rFonts w:ascii="方正书宋_GBK" w:eastAsia="方正书宋_GBK"/>
                <w:b/>
              </w:rPr>
            </w:pPr>
          </w:p>
        </w:tc>
      </w:tr>
      <w:tr w14:paraId="6FB940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37" w:hRule="atLeast"/>
          <w:jc w:val="center"/>
        </w:trPr>
        <w:tc>
          <w:tcPr>
            <w:tcW w:w="2385" w:type="dxa"/>
            <w:vAlign w:val="center"/>
          </w:tcPr>
          <w:p w14:paraId="46CC82EB">
            <w:pPr>
              <w:spacing w:line="300" w:lineRule="exact"/>
              <w:jc w:val="center"/>
              <w:rPr>
                <w:rFonts w:ascii="方正书宋_GBK" w:eastAsia="方正书宋_GBK"/>
              </w:rPr>
            </w:pPr>
            <w:r>
              <w:rPr>
                <w:rFonts w:hint="eastAsia" w:ascii="方正书宋_GBK" w:eastAsia="方正书宋_GBK"/>
                <w:b/>
              </w:rPr>
              <w:t>日常公用</w:t>
            </w:r>
          </w:p>
        </w:tc>
        <w:tc>
          <w:tcPr>
            <w:tcW w:w="1049" w:type="dxa"/>
            <w:vAlign w:val="center"/>
          </w:tcPr>
          <w:p w14:paraId="4CD3A050">
            <w:pPr>
              <w:spacing w:line="300" w:lineRule="exact"/>
              <w:jc w:val="center"/>
              <w:rPr>
                <w:rFonts w:ascii="方正书宋_GBK" w:eastAsia="方正书宋_GBK"/>
                <w:b/>
              </w:rPr>
            </w:pPr>
          </w:p>
        </w:tc>
        <w:tc>
          <w:tcPr>
            <w:tcW w:w="1089" w:type="dxa"/>
            <w:vAlign w:val="center"/>
          </w:tcPr>
          <w:p w14:paraId="3E2D058A">
            <w:pPr>
              <w:spacing w:line="300" w:lineRule="exact"/>
              <w:jc w:val="left"/>
              <w:rPr>
                <w:rFonts w:ascii="方正书宋_GBK" w:eastAsia="方正书宋_GBK"/>
                <w:b/>
              </w:rPr>
            </w:pPr>
          </w:p>
        </w:tc>
        <w:tc>
          <w:tcPr>
            <w:tcW w:w="1220" w:type="dxa"/>
            <w:vAlign w:val="center"/>
          </w:tcPr>
          <w:p w14:paraId="00894C2F">
            <w:pPr>
              <w:spacing w:line="300" w:lineRule="exact"/>
              <w:jc w:val="center"/>
              <w:rPr>
                <w:rFonts w:ascii="方正书宋_GBK" w:eastAsia="方正书宋_GBK"/>
                <w:b/>
              </w:rPr>
            </w:pPr>
          </w:p>
        </w:tc>
        <w:tc>
          <w:tcPr>
            <w:tcW w:w="715" w:type="dxa"/>
            <w:vAlign w:val="center"/>
          </w:tcPr>
          <w:p w14:paraId="365F2AFA">
            <w:pPr>
              <w:spacing w:line="300" w:lineRule="exact"/>
              <w:jc w:val="left"/>
              <w:rPr>
                <w:rFonts w:ascii="方正书宋_GBK" w:eastAsia="方正书宋_GBK"/>
                <w:b/>
              </w:rPr>
            </w:pPr>
          </w:p>
        </w:tc>
        <w:tc>
          <w:tcPr>
            <w:tcW w:w="714" w:type="dxa"/>
            <w:vAlign w:val="center"/>
          </w:tcPr>
          <w:p w14:paraId="2996CFB7">
            <w:pPr>
              <w:spacing w:line="300" w:lineRule="exact"/>
              <w:jc w:val="left"/>
              <w:rPr>
                <w:rFonts w:ascii="方正书宋_GBK" w:eastAsia="方正书宋_GBK"/>
                <w:b/>
              </w:rPr>
            </w:pPr>
          </w:p>
        </w:tc>
        <w:tc>
          <w:tcPr>
            <w:tcW w:w="884" w:type="dxa"/>
            <w:vAlign w:val="center"/>
          </w:tcPr>
          <w:p w14:paraId="4B104466">
            <w:pPr>
              <w:spacing w:line="300" w:lineRule="exact"/>
              <w:jc w:val="left"/>
              <w:rPr>
                <w:rFonts w:ascii="方正书宋_GBK" w:eastAsia="方正书宋_GBK"/>
                <w:b/>
              </w:rPr>
            </w:pPr>
          </w:p>
        </w:tc>
        <w:tc>
          <w:tcPr>
            <w:tcW w:w="913" w:type="dxa"/>
            <w:vAlign w:val="center"/>
          </w:tcPr>
          <w:p w14:paraId="1D12A258">
            <w:pPr>
              <w:spacing w:line="300" w:lineRule="exact"/>
              <w:jc w:val="center"/>
              <w:rPr>
                <w:rFonts w:ascii="方正书宋_GBK" w:eastAsia="方正书宋_GBK"/>
                <w:b/>
              </w:rPr>
            </w:pPr>
          </w:p>
        </w:tc>
        <w:tc>
          <w:tcPr>
            <w:tcW w:w="914" w:type="dxa"/>
            <w:vAlign w:val="center"/>
          </w:tcPr>
          <w:p w14:paraId="0CC63FC9">
            <w:pPr>
              <w:spacing w:line="300" w:lineRule="exact"/>
              <w:jc w:val="center"/>
              <w:rPr>
                <w:rFonts w:ascii="方正书宋_GBK" w:eastAsia="方正书宋_GBK"/>
                <w:b/>
              </w:rPr>
            </w:pPr>
          </w:p>
        </w:tc>
        <w:tc>
          <w:tcPr>
            <w:tcW w:w="913" w:type="dxa"/>
            <w:vAlign w:val="center"/>
          </w:tcPr>
          <w:p w14:paraId="307597B1">
            <w:pPr>
              <w:spacing w:line="300" w:lineRule="exact"/>
              <w:jc w:val="center"/>
              <w:rPr>
                <w:rFonts w:ascii="方正书宋_GBK" w:eastAsia="方正书宋_GBK"/>
                <w:b/>
              </w:rPr>
            </w:pPr>
          </w:p>
        </w:tc>
        <w:tc>
          <w:tcPr>
            <w:tcW w:w="914" w:type="dxa"/>
            <w:vAlign w:val="center"/>
          </w:tcPr>
          <w:p w14:paraId="29BCD6B8">
            <w:pPr>
              <w:spacing w:line="300" w:lineRule="exact"/>
              <w:jc w:val="left"/>
              <w:rPr>
                <w:rFonts w:ascii="方正书宋_GBK" w:eastAsia="方正书宋_GBK"/>
                <w:b/>
              </w:rPr>
            </w:pPr>
          </w:p>
        </w:tc>
        <w:tc>
          <w:tcPr>
            <w:tcW w:w="916" w:type="dxa"/>
            <w:vAlign w:val="center"/>
          </w:tcPr>
          <w:p w14:paraId="788554E9">
            <w:pPr>
              <w:spacing w:line="300" w:lineRule="exact"/>
              <w:jc w:val="right"/>
              <w:rPr>
                <w:rFonts w:ascii="方正书宋_GBK" w:eastAsia="方正书宋_GBK"/>
              </w:rPr>
            </w:pPr>
          </w:p>
        </w:tc>
        <w:tc>
          <w:tcPr>
            <w:tcW w:w="918" w:type="dxa"/>
            <w:vAlign w:val="center"/>
          </w:tcPr>
          <w:p w14:paraId="0974E912">
            <w:pPr>
              <w:spacing w:line="300" w:lineRule="exact"/>
              <w:jc w:val="right"/>
              <w:rPr>
                <w:rFonts w:ascii="方正书宋_GBK" w:eastAsia="方正书宋_GBK"/>
              </w:rPr>
            </w:pPr>
          </w:p>
        </w:tc>
        <w:tc>
          <w:tcPr>
            <w:tcW w:w="876" w:type="dxa"/>
            <w:vAlign w:val="center"/>
          </w:tcPr>
          <w:p w14:paraId="2C33E724">
            <w:pPr>
              <w:spacing w:line="300" w:lineRule="exact"/>
              <w:jc w:val="right"/>
              <w:rPr>
                <w:rFonts w:ascii="方正书宋_GBK" w:eastAsia="方正书宋_GBK"/>
              </w:rPr>
            </w:pPr>
          </w:p>
        </w:tc>
      </w:tr>
    </w:tbl>
    <w:p w14:paraId="162A5606">
      <w:pPr>
        <w:autoSpaceDE w:val="0"/>
        <w:autoSpaceDN w:val="0"/>
        <w:adjustRightInd w:val="0"/>
        <w:ind w:firstLine="643" w:firstLineChars="200"/>
        <w:jc w:val="left"/>
        <w:rPr>
          <w:rFonts w:hint="eastAsia" w:ascii="黑体" w:hAnsi="黑体" w:eastAsia="黑体"/>
          <w:b/>
          <w:sz w:val="32"/>
          <w:szCs w:val="32"/>
        </w:rPr>
      </w:pPr>
    </w:p>
    <w:p w14:paraId="62F36376">
      <w:pPr>
        <w:autoSpaceDE w:val="0"/>
        <w:autoSpaceDN w:val="0"/>
        <w:adjustRightInd w:val="0"/>
        <w:ind w:firstLine="643" w:firstLineChars="200"/>
        <w:jc w:val="left"/>
        <w:rPr>
          <w:rFonts w:hint="eastAsia" w:ascii="黑体" w:hAnsi="黑体" w:eastAsia="黑体"/>
          <w:b/>
          <w:sz w:val="32"/>
          <w:szCs w:val="32"/>
        </w:rPr>
      </w:pPr>
    </w:p>
    <w:p w14:paraId="3B88B016">
      <w:pPr>
        <w:autoSpaceDE w:val="0"/>
        <w:autoSpaceDN w:val="0"/>
        <w:adjustRightInd w:val="0"/>
        <w:jc w:val="left"/>
        <w:rPr>
          <w:rFonts w:hint="eastAsia" w:ascii="黑体" w:hAnsi="黑体" w:eastAsia="黑体"/>
          <w:b/>
          <w:sz w:val="32"/>
          <w:szCs w:val="32"/>
        </w:rPr>
      </w:pPr>
    </w:p>
    <w:p w14:paraId="6AF606EB">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14:paraId="1059064C">
      <w:pPr>
        <w:ind w:firstLine="640"/>
        <w:rPr>
          <w:rFonts w:ascii="仿宋_GB2312" w:hAnsi="黑体" w:eastAsia="仿宋_GB2312"/>
          <w:sz w:val="32"/>
          <w:szCs w:val="32"/>
        </w:rPr>
      </w:pPr>
      <w:r>
        <w:rPr>
          <w:rFonts w:hint="eastAsia" w:ascii="仿宋_GB2312" w:hAnsi="黑体" w:eastAsia="仿宋_GB2312"/>
          <w:sz w:val="32"/>
          <w:szCs w:val="32"/>
          <w:lang w:eastAsia="zh-CN"/>
        </w:rPr>
        <w:t>馆陶县政协</w:t>
      </w:r>
      <w:r>
        <w:rPr>
          <w:rFonts w:hint="eastAsia" w:ascii="仿宋_GB2312" w:hAnsi="黑体" w:eastAsia="仿宋_GB2312"/>
          <w:sz w:val="32"/>
          <w:szCs w:val="32"/>
        </w:rPr>
        <w:t>上年末固定资产金额为</w:t>
      </w:r>
      <w:r>
        <w:rPr>
          <w:rFonts w:hint="eastAsia" w:ascii="仿宋_GB2312" w:hAnsi="Times New Roman" w:eastAsia="仿宋_GB2312"/>
          <w:sz w:val="32"/>
          <w:szCs w:val="32"/>
          <w:lang w:eastAsia="zh-CN"/>
        </w:rPr>
        <w:t>委员</w:t>
      </w:r>
      <w:r>
        <w:rPr>
          <w:rFonts w:hint="eastAsia" w:ascii="仿宋_GB2312" w:hAnsi="Times New Roman" w:eastAsia="仿宋_GB2312"/>
          <w:sz w:val="32"/>
          <w:szCs w:val="32"/>
          <w:lang w:val="en-US" w:eastAsia="zh-CN"/>
        </w:rPr>
        <w:t>32.5262</w:t>
      </w:r>
      <w:r>
        <w:rPr>
          <w:rFonts w:hint="eastAsia" w:ascii="仿宋_GB2312" w:hAnsi="黑体" w:eastAsia="仿宋_GB2312"/>
          <w:sz w:val="32"/>
          <w:szCs w:val="32"/>
        </w:rPr>
        <w:t>万元（</w:t>
      </w:r>
      <w:r>
        <w:rPr>
          <w:rFonts w:hint="eastAsia" w:ascii="仿宋_GB2312" w:hAnsi="Times New Roman" w:eastAsia="仿宋_GB2312"/>
          <w:sz w:val="32"/>
          <w:szCs w:val="32"/>
        </w:rPr>
        <w:t>详见下表），</w:t>
      </w:r>
      <w:r>
        <w:rPr>
          <w:rFonts w:hint="eastAsia" w:ascii="仿宋_GB2312" w:hAnsi="黑体" w:eastAsia="仿宋_GB2312"/>
          <w:sz w:val="32"/>
          <w:szCs w:val="32"/>
        </w:rPr>
        <w:t>本年度我单位拟购置固定资产</w:t>
      </w:r>
      <w:r>
        <w:rPr>
          <w:rFonts w:hint="eastAsia" w:ascii="仿宋_GB2312" w:hAnsi="Times New Roman" w:eastAsia="仿宋_GB2312"/>
          <w:sz w:val="32"/>
          <w:szCs w:val="32"/>
        </w:rPr>
        <w:t>总额为</w:t>
      </w:r>
      <w:r>
        <w:rPr>
          <w:rFonts w:hint="eastAsia" w:ascii="仿宋_GB2312" w:hAnsi="Times New Roman" w:eastAsia="仿宋_GB2312"/>
          <w:sz w:val="32"/>
          <w:szCs w:val="32"/>
          <w:lang w:val="en-US" w:eastAsia="zh-CN"/>
        </w:rPr>
        <w:t>0</w:t>
      </w:r>
      <w:r>
        <w:rPr>
          <w:rFonts w:hint="eastAsia" w:ascii="仿宋_GB2312" w:hAnsi="Times New Roman" w:eastAsia="仿宋_GB2312"/>
          <w:sz w:val="32"/>
          <w:szCs w:val="32"/>
        </w:rPr>
        <w:t>万元</w:t>
      </w:r>
      <w:r>
        <w:rPr>
          <w:rFonts w:hint="eastAsia" w:ascii="仿宋_GB2312" w:hAnsi="黑体" w:eastAsia="仿宋_GB2312"/>
          <w:sz w:val="32"/>
          <w:szCs w:val="32"/>
        </w:rPr>
        <w:t>。</w:t>
      </w:r>
    </w:p>
    <w:tbl>
      <w:tblPr>
        <w:tblStyle w:val="9"/>
        <w:tblW w:w="11295" w:type="dxa"/>
        <w:jc w:val="center"/>
        <w:tblLayout w:type="fixed"/>
        <w:tblCellMar>
          <w:top w:w="15" w:type="dxa"/>
          <w:left w:w="15" w:type="dxa"/>
          <w:bottom w:w="15" w:type="dxa"/>
          <w:right w:w="15" w:type="dxa"/>
        </w:tblCellMar>
      </w:tblPr>
      <w:tblGrid>
        <w:gridCol w:w="4191"/>
        <w:gridCol w:w="1103"/>
        <w:gridCol w:w="1344"/>
        <w:gridCol w:w="1635"/>
        <w:gridCol w:w="3022"/>
      </w:tblGrid>
      <w:tr w14:paraId="27A32267">
        <w:tblPrEx>
          <w:tblCellMar>
            <w:top w:w="15" w:type="dxa"/>
            <w:left w:w="15" w:type="dxa"/>
            <w:bottom w:w="15" w:type="dxa"/>
            <w:right w:w="15" w:type="dxa"/>
          </w:tblCellMar>
        </w:tblPrEx>
        <w:trPr>
          <w:trHeight w:val="540" w:hRule="atLeast"/>
          <w:jc w:val="center"/>
        </w:trPr>
        <w:tc>
          <w:tcPr>
            <w:tcW w:w="11295" w:type="dxa"/>
            <w:gridSpan w:val="5"/>
            <w:vAlign w:val="bottom"/>
          </w:tcPr>
          <w:p w14:paraId="23D1427C">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14:paraId="739108F0">
        <w:tblPrEx>
          <w:tblCellMar>
            <w:top w:w="15" w:type="dxa"/>
            <w:left w:w="15" w:type="dxa"/>
            <w:bottom w:w="15" w:type="dxa"/>
            <w:right w:w="15" w:type="dxa"/>
          </w:tblCellMar>
        </w:tblPrEx>
        <w:trPr>
          <w:trHeight w:val="256" w:hRule="atLeast"/>
          <w:jc w:val="center"/>
        </w:trPr>
        <w:tc>
          <w:tcPr>
            <w:tcW w:w="4191" w:type="dxa"/>
            <w:vAlign w:val="bottom"/>
          </w:tcPr>
          <w:p w14:paraId="3D37092D">
            <w:pPr>
              <w:rPr>
                <w:rFonts w:ascii="Arial" w:hAnsi="Arial" w:cs="Arial"/>
                <w:color w:val="000000"/>
                <w:sz w:val="20"/>
                <w:szCs w:val="20"/>
              </w:rPr>
            </w:pPr>
          </w:p>
        </w:tc>
        <w:tc>
          <w:tcPr>
            <w:tcW w:w="1103" w:type="dxa"/>
            <w:vAlign w:val="bottom"/>
          </w:tcPr>
          <w:p w14:paraId="413519B4">
            <w:pPr>
              <w:rPr>
                <w:rFonts w:ascii="Arial" w:hAnsi="Arial" w:cs="Arial"/>
                <w:color w:val="000000"/>
                <w:sz w:val="20"/>
                <w:szCs w:val="20"/>
              </w:rPr>
            </w:pPr>
          </w:p>
        </w:tc>
        <w:tc>
          <w:tcPr>
            <w:tcW w:w="1344" w:type="dxa"/>
            <w:vAlign w:val="bottom"/>
          </w:tcPr>
          <w:p w14:paraId="2C9B085C">
            <w:pPr>
              <w:rPr>
                <w:rFonts w:ascii="Arial" w:hAnsi="Arial" w:cs="Arial"/>
                <w:color w:val="000000"/>
                <w:sz w:val="20"/>
                <w:szCs w:val="20"/>
              </w:rPr>
            </w:pPr>
          </w:p>
        </w:tc>
        <w:tc>
          <w:tcPr>
            <w:tcW w:w="1635" w:type="dxa"/>
            <w:vAlign w:val="bottom"/>
          </w:tcPr>
          <w:p w14:paraId="47851CC2">
            <w:pPr>
              <w:rPr>
                <w:rFonts w:ascii="Arial" w:hAnsi="Arial" w:cs="Arial"/>
                <w:color w:val="000000"/>
                <w:sz w:val="20"/>
                <w:szCs w:val="20"/>
              </w:rPr>
            </w:pPr>
          </w:p>
        </w:tc>
        <w:tc>
          <w:tcPr>
            <w:tcW w:w="3022" w:type="dxa"/>
            <w:vAlign w:val="bottom"/>
          </w:tcPr>
          <w:p w14:paraId="711EF08F">
            <w:pPr>
              <w:rPr>
                <w:rFonts w:ascii="Arial" w:hAnsi="Arial" w:cs="Arial"/>
                <w:color w:val="000000"/>
                <w:sz w:val="20"/>
                <w:szCs w:val="20"/>
              </w:rPr>
            </w:pPr>
          </w:p>
        </w:tc>
      </w:tr>
      <w:tr w14:paraId="61057212">
        <w:tblPrEx>
          <w:tblCellMar>
            <w:top w:w="15" w:type="dxa"/>
            <w:left w:w="15" w:type="dxa"/>
            <w:bottom w:w="15" w:type="dxa"/>
            <w:right w:w="15" w:type="dxa"/>
          </w:tblCellMar>
        </w:tblPrEx>
        <w:trPr>
          <w:trHeight w:val="285" w:hRule="atLeast"/>
          <w:jc w:val="center"/>
        </w:trPr>
        <w:tc>
          <w:tcPr>
            <w:tcW w:w="4191" w:type="dxa"/>
            <w:tcBorders>
              <w:top w:val="single" w:color="000000" w:sz="4" w:space="0"/>
              <w:left w:val="single" w:color="000000" w:sz="4" w:space="0"/>
              <w:bottom w:val="single" w:color="000000" w:sz="4" w:space="0"/>
              <w:right w:val="single" w:color="000000" w:sz="4" w:space="0"/>
            </w:tcBorders>
            <w:vAlign w:val="bottom"/>
          </w:tcPr>
          <w:p w14:paraId="51514A7C">
            <w:pPr>
              <w:widowControl/>
              <w:jc w:val="left"/>
              <w:textAlignment w:val="bottom"/>
              <w:rPr>
                <w:rFonts w:ascii="宋体" w:cs="宋体"/>
                <w:color w:val="000000"/>
                <w:sz w:val="24"/>
                <w:szCs w:val="24"/>
              </w:rPr>
            </w:pPr>
            <w:r>
              <w:rPr>
                <w:rFonts w:hint="eastAsia" w:ascii="宋体" w:hAnsi="宋体" w:cs="宋体"/>
                <w:color w:val="000000"/>
                <w:kern w:val="0"/>
                <w:sz w:val="24"/>
                <w:szCs w:val="24"/>
              </w:rPr>
              <w:t>编制单位：</w:t>
            </w:r>
            <w:r>
              <w:rPr>
                <w:rFonts w:hint="eastAsia" w:ascii="宋体" w:hAnsi="宋体" w:cs="宋体"/>
                <w:color w:val="000000"/>
                <w:kern w:val="0"/>
                <w:sz w:val="24"/>
                <w:szCs w:val="24"/>
                <w:lang w:eastAsia="zh-CN"/>
              </w:rPr>
              <w:t>馆陶县政协</w:t>
            </w:r>
          </w:p>
        </w:tc>
        <w:tc>
          <w:tcPr>
            <w:tcW w:w="1103" w:type="dxa"/>
            <w:tcBorders>
              <w:top w:val="single" w:color="000000" w:sz="4" w:space="0"/>
              <w:left w:val="single" w:color="000000" w:sz="4" w:space="0"/>
              <w:bottom w:val="single" w:color="000000" w:sz="4" w:space="0"/>
              <w:right w:val="single" w:color="000000" w:sz="4" w:space="0"/>
            </w:tcBorders>
            <w:vAlign w:val="bottom"/>
          </w:tcPr>
          <w:p w14:paraId="1CBA676C">
            <w:pPr>
              <w:rPr>
                <w:rFonts w:ascii="Arial" w:hAnsi="Arial" w:cs="Arial"/>
                <w:color w:val="000000"/>
                <w:sz w:val="20"/>
                <w:szCs w:val="20"/>
              </w:rPr>
            </w:pPr>
          </w:p>
        </w:tc>
        <w:tc>
          <w:tcPr>
            <w:tcW w:w="1344" w:type="dxa"/>
            <w:tcBorders>
              <w:top w:val="single" w:color="000000" w:sz="4" w:space="0"/>
              <w:left w:val="single" w:color="000000" w:sz="4" w:space="0"/>
              <w:bottom w:val="single" w:color="000000" w:sz="4" w:space="0"/>
              <w:right w:val="single" w:color="000000" w:sz="4" w:space="0"/>
            </w:tcBorders>
            <w:vAlign w:val="bottom"/>
          </w:tcPr>
          <w:p w14:paraId="6316B96B">
            <w:pPr>
              <w:rPr>
                <w:rFonts w:ascii="Arial" w:hAnsi="Arial" w:cs="Arial"/>
                <w:color w:val="000000"/>
                <w:sz w:val="20"/>
                <w:szCs w:val="20"/>
              </w:rPr>
            </w:pPr>
          </w:p>
        </w:tc>
        <w:tc>
          <w:tcPr>
            <w:tcW w:w="1635" w:type="dxa"/>
            <w:tcBorders>
              <w:top w:val="single" w:color="000000" w:sz="4" w:space="0"/>
              <w:left w:val="single" w:color="000000" w:sz="4" w:space="0"/>
              <w:bottom w:val="single" w:color="000000" w:sz="4" w:space="0"/>
              <w:right w:val="single" w:color="000000" w:sz="4" w:space="0"/>
            </w:tcBorders>
            <w:vAlign w:val="bottom"/>
          </w:tcPr>
          <w:p w14:paraId="69E09D86">
            <w:pPr>
              <w:widowControl/>
              <w:jc w:val="center"/>
              <w:textAlignment w:val="bottom"/>
              <w:rPr>
                <w:rFonts w:ascii="宋体" w:cs="宋体"/>
                <w:color w:val="000000"/>
                <w:sz w:val="24"/>
                <w:szCs w:val="24"/>
              </w:rPr>
            </w:pPr>
            <w:r>
              <w:rPr>
                <w:rFonts w:ascii="宋体" w:hAnsi="宋体" w:cs="宋体"/>
                <w:color w:val="000000"/>
                <w:kern w:val="0"/>
                <w:sz w:val="24"/>
                <w:szCs w:val="24"/>
              </w:rPr>
              <w:t>2017</w:t>
            </w:r>
            <w:r>
              <w:rPr>
                <w:rFonts w:hint="eastAsia" w:ascii="宋体" w:hAnsi="宋体" w:cs="宋体"/>
                <w:color w:val="000000"/>
                <w:kern w:val="0"/>
                <w:sz w:val="24"/>
                <w:szCs w:val="24"/>
              </w:rPr>
              <w:t>年度</w:t>
            </w:r>
          </w:p>
        </w:tc>
        <w:tc>
          <w:tcPr>
            <w:tcW w:w="3022" w:type="dxa"/>
            <w:tcBorders>
              <w:top w:val="single" w:color="000000" w:sz="4" w:space="0"/>
              <w:left w:val="single" w:color="000000" w:sz="4" w:space="0"/>
              <w:bottom w:val="single" w:color="000000" w:sz="4" w:space="0"/>
              <w:right w:val="single" w:color="000000" w:sz="4" w:space="0"/>
            </w:tcBorders>
            <w:vAlign w:val="bottom"/>
          </w:tcPr>
          <w:p w14:paraId="5F248C07">
            <w:pPr>
              <w:widowControl/>
              <w:jc w:val="right"/>
              <w:textAlignment w:val="bottom"/>
              <w:rPr>
                <w:rFonts w:ascii="宋体" w:cs="宋体"/>
                <w:color w:val="000000"/>
                <w:sz w:val="24"/>
                <w:szCs w:val="24"/>
              </w:rPr>
            </w:pPr>
            <w:r>
              <w:rPr>
                <w:rFonts w:hint="eastAsia" w:ascii="宋体" w:hAnsi="宋体" w:cs="宋体"/>
                <w:color w:val="000000"/>
                <w:kern w:val="0"/>
                <w:sz w:val="24"/>
                <w:szCs w:val="24"/>
              </w:rPr>
              <w:t>金额单位：元</w:t>
            </w:r>
          </w:p>
        </w:tc>
      </w:tr>
      <w:tr w14:paraId="2E5D5C22">
        <w:tblPrEx>
          <w:tblCellMar>
            <w:top w:w="15" w:type="dxa"/>
            <w:left w:w="15" w:type="dxa"/>
            <w:bottom w:w="15" w:type="dxa"/>
            <w:right w:w="15" w:type="dxa"/>
          </w:tblCellMar>
        </w:tblPrEx>
        <w:trPr>
          <w:trHeight w:val="390" w:hRule="atLeast"/>
          <w:jc w:val="center"/>
        </w:trPr>
        <w:tc>
          <w:tcPr>
            <w:tcW w:w="4191" w:type="dxa"/>
            <w:vMerge w:val="restart"/>
            <w:tcBorders>
              <w:top w:val="single" w:color="000000" w:sz="4" w:space="0"/>
              <w:left w:val="single" w:color="000000" w:sz="4" w:space="0"/>
              <w:bottom w:val="single" w:color="000000" w:sz="4" w:space="0"/>
              <w:right w:val="single" w:color="000000" w:sz="4" w:space="0"/>
            </w:tcBorders>
            <w:vAlign w:val="center"/>
          </w:tcPr>
          <w:p w14:paraId="49EC1313">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2447" w:type="dxa"/>
            <w:gridSpan w:val="2"/>
            <w:tcBorders>
              <w:top w:val="single" w:color="000000" w:sz="4" w:space="0"/>
              <w:left w:val="single" w:color="000000" w:sz="4" w:space="0"/>
              <w:bottom w:val="single" w:color="000000" w:sz="4" w:space="0"/>
              <w:right w:val="single" w:color="000000" w:sz="4" w:space="0"/>
            </w:tcBorders>
            <w:vAlign w:val="center"/>
          </w:tcPr>
          <w:p w14:paraId="0B7826F4">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4657" w:type="dxa"/>
            <w:gridSpan w:val="2"/>
            <w:tcBorders>
              <w:top w:val="single" w:color="000000" w:sz="4" w:space="0"/>
              <w:left w:val="single" w:color="000000" w:sz="4" w:space="0"/>
              <w:bottom w:val="single" w:color="000000" w:sz="4" w:space="0"/>
              <w:right w:val="single" w:color="000000" w:sz="4" w:space="0"/>
            </w:tcBorders>
            <w:vAlign w:val="center"/>
          </w:tcPr>
          <w:p w14:paraId="4241A756">
            <w:pPr>
              <w:widowControl/>
              <w:jc w:val="center"/>
              <w:textAlignment w:val="center"/>
              <w:rPr>
                <w:rFonts w:ascii="宋体" w:cs="宋体"/>
                <w:color w:val="000000"/>
                <w:sz w:val="22"/>
              </w:rPr>
            </w:pPr>
            <w:r>
              <w:rPr>
                <w:rFonts w:hint="eastAsia" w:ascii="宋体" w:hAnsi="宋体" w:cs="宋体"/>
                <w:color w:val="000000"/>
                <w:kern w:val="0"/>
                <w:sz w:val="22"/>
              </w:rPr>
              <w:t>价值</w:t>
            </w:r>
          </w:p>
        </w:tc>
      </w:tr>
      <w:tr w14:paraId="7E87ABCA">
        <w:tblPrEx>
          <w:tblCellMar>
            <w:top w:w="15" w:type="dxa"/>
            <w:left w:w="15" w:type="dxa"/>
            <w:bottom w:w="15" w:type="dxa"/>
            <w:right w:w="15" w:type="dxa"/>
          </w:tblCellMar>
        </w:tblPrEx>
        <w:trPr>
          <w:trHeight w:val="300" w:hRule="atLeast"/>
          <w:jc w:val="center"/>
        </w:trPr>
        <w:tc>
          <w:tcPr>
            <w:tcW w:w="4191" w:type="dxa"/>
            <w:vMerge w:val="continue"/>
            <w:tcBorders>
              <w:top w:val="single" w:color="000000" w:sz="4" w:space="0"/>
              <w:left w:val="single" w:color="000000" w:sz="4" w:space="0"/>
              <w:bottom w:val="single" w:color="000000" w:sz="4" w:space="0"/>
              <w:right w:val="single" w:color="000000" w:sz="4" w:space="0"/>
            </w:tcBorders>
            <w:vAlign w:val="center"/>
          </w:tcPr>
          <w:p w14:paraId="4CB5A1F2">
            <w:pPr>
              <w:jc w:val="center"/>
              <w:rPr>
                <w:rFonts w:ascii="宋体" w:cs="宋体"/>
                <w:color w:val="000000"/>
                <w:sz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0E42A8D7">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344" w:type="dxa"/>
            <w:tcBorders>
              <w:top w:val="single" w:color="000000" w:sz="4" w:space="0"/>
              <w:left w:val="single" w:color="000000" w:sz="4" w:space="0"/>
              <w:bottom w:val="single" w:color="000000" w:sz="4" w:space="0"/>
              <w:right w:val="single" w:color="000000" w:sz="4" w:space="0"/>
            </w:tcBorders>
            <w:vAlign w:val="center"/>
          </w:tcPr>
          <w:p w14:paraId="1146A8F4">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635" w:type="dxa"/>
            <w:tcBorders>
              <w:top w:val="single" w:color="000000" w:sz="4" w:space="0"/>
              <w:left w:val="single" w:color="000000" w:sz="4" w:space="0"/>
              <w:bottom w:val="single" w:color="000000" w:sz="4" w:space="0"/>
              <w:right w:val="single" w:color="000000" w:sz="4" w:space="0"/>
            </w:tcBorders>
            <w:vAlign w:val="center"/>
          </w:tcPr>
          <w:p w14:paraId="570BA7B6">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3022" w:type="dxa"/>
            <w:tcBorders>
              <w:top w:val="single" w:color="000000" w:sz="4" w:space="0"/>
              <w:left w:val="single" w:color="000000" w:sz="4" w:space="0"/>
              <w:bottom w:val="single" w:color="000000" w:sz="4" w:space="0"/>
              <w:right w:val="single" w:color="000000" w:sz="4" w:space="0"/>
            </w:tcBorders>
            <w:vAlign w:val="center"/>
          </w:tcPr>
          <w:p w14:paraId="0ED9C049">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14:paraId="37AAEA9B">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74454931">
            <w:pPr>
              <w:widowControl/>
              <w:jc w:val="center"/>
              <w:textAlignment w:val="center"/>
              <w:rPr>
                <w:rFonts w:ascii="宋体" w:cs="宋体"/>
                <w:color w:val="000000"/>
                <w:sz w:val="22"/>
              </w:rPr>
            </w:pPr>
            <w:r>
              <w:rPr>
                <w:rFonts w:hint="eastAsia" w:ascii="宋体" w:hAnsi="宋体" w:cs="宋体"/>
                <w:color w:val="000000"/>
                <w:kern w:val="0"/>
                <w:sz w:val="22"/>
              </w:rPr>
              <w:t>资产总额</w:t>
            </w:r>
          </w:p>
        </w:tc>
        <w:tc>
          <w:tcPr>
            <w:tcW w:w="1103" w:type="dxa"/>
            <w:tcBorders>
              <w:top w:val="single" w:color="000000" w:sz="4" w:space="0"/>
              <w:left w:val="single" w:color="000000" w:sz="4" w:space="0"/>
              <w:bottom w:val="single" w:color="000000" w:sz="4" w:space="0"/>
              <w:right w:val="single" w:color="000000" w:sz="4" w:space="0"/>
            </w:tcBorders>
            <w:vAlign w:val="center"/>
          </w:tcPr>
          <w:p w14:paraId="6697D438">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14:paraId="49D188B3">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14:paraId="43366E25">
            <w:pPr>
              <w:widowControl/>
              <w:jc w:val="right"/>
              <w:textAlignment w:val="center"/>
              <w:rPr>
                <w:rFonts w:hint="eastAsia" w:ascii="宋体" w:eastAsia="宋体" w:cs="宋体"/>
                <w:color w:val="000000"/>
                <w:sz w:val="22"/>
                <w:lang w:val="en-US" w:eastAsia="zh-CN"/>
              </w:rPr>
            </w:pPr>
            <w:r>
              <w:rPr>
                <w:rFonts w:hint="eastAsia" w:ascii="宋体" w:cs="宋体"/>
                <w:color w:val="000000"/>
                <w:sz w:val="22"/>
                <w:lang w:val="en-US" w:eastAsia="zh-CN"/>
              </w:rPr>
              <w:t>562092</w:t>
            </w:r>
          </w:p>
        </w:tc>
        <w:tc>
          <w:tcPr>
            <w:tcW w:w="3022" w:type="dxa"/>
            <w:tcBorders>
              <w:top w:val="single" w:color="000000" w:sz="4" w:space="0"/>
              <w:left w:val="single" w:color="000000" w:sz="4" w:space="0"/>
              <w:bottom w:val="single" w:color="000000" w:sz="4" w:space="0"/>
              <w:right w:val="single" w:color="000000" w:sz="4" w:space="0"/>
            </w:tcBorders>
            <w:vAlign w:val="center"/>
          </w:tcPr>
          <w:p w14:paraId="12269C4D">
            <w:pPr>
              <w:widowControl/>
              <w:jc w:val="right"/>
              <w:textAlignment w:val="center"/>
              <w:rPr>
                <w:rFonts w:hint="eastAsia" w:ascii="宋体" w:eastAsia="宋体" w:cs="宋体"/>
                <w:color w:val="000000"/>
                <w:sz w:val="22"/>
                <w:lang w:val="en-US" w:eastAsia="zh-CN"/>
              </w:rPr>
            </w:pPr>
            <w:r>
              <w:rPr>
                <w:rFonts w:hint="eastAsia" w:ascii="宋体" w:cs="宋体"/>
                <w:color w:val="000000"/>
                <w:sz w:val="22"/>
                <w:lang w:val="en-US" w:eastAsia="zh-CN"/>
              </w:rPr>
              <w:t>325262</w:t>
            </w:r>
          </w:p>
        </w:tc>
      </w:tr>
      <w:tr w14:paraId="68F2A846">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5B7DEB84">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、房屋（平方米）</w:t>
            </w:r>
          </w:p>
        </w:tc>
        <w:tc>
          <w:tcPr>
            <w:tcW w:w="1103" w:type="dxa"/>
            <w:tcBorders>
              <w:top w:val="single" w:color="000000" w:sz="4" w:space="0"/>
              <w:left w:val="single" w:color="000000" w:sz="4" w:space="0"/>
              <w:bottom w:val="single" w:color="000000" w:sz="4" w:space="0"/>
              <w:right w:val="single" w:color="000000" w:sz="4" w:space="0"/>
            </w:tcBorders>
            <w:vAlign w:val="center"/>
          </w:tcPr>
          <w:p w14:paraId="6F856CCC">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427CA3B9">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3EC809C4">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7C420321">
            <w:pPr>
              <w:widowControl/>
              <w:jc w:val="right"/>
              <w:textAlignment w:val="center"/>
              <w:rPr>
                <w:rFonts w:ascii="宋体" w:cs="宋体"/>
                <w:color w:val="000000"/>
                <w:sz w:val="22"/>
              </w:rPr>
            </w:pPr>
          </w:p>
        </w:tc>
      </w:tr>
      <w:tr w14:paraId="0536E7BD">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66427335">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办公用房</w:t>
            </w:r>
          </w:p>
        </w:tc>
        <w:tc>
          <w:tcPr>
            <w:tcW w:w="1103" w:type="dxa"/>
            <w:tcBorders>
              <w:top w:val="single" w:color="000000" w:sz="4" w:space="0"/>
              <w:left w:val="single" w:color="000000" w:sz="4" w:space="0"/>
              <w:bottom w:val="single" w:color="000000" w:sz="4" w:space="0"/>
              <w:right w:val="single" w:color="000000" w:sz="4" w:space="0"/>
            </w:tcBorders>
            <w:vAlign w:val="center"/>
          </w:tcPr>
          <w:p w14:paraId="52B56BF4">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337B925C">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04F4D9B0">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6C9F9F90">
            <w:pPr>
              <w:widowControl/>
              <w:jc w:val="right"/>
              <w:textAlignment w:val="center"/>
              <w:rPr>
                <w:rFonts w:ascii="宋体" w:cs="宋体"/>
                <w:color w:val="000000"/>
                <w:sz w:val="22"/>
              </w:rPr>
            </w:pPr>
          </w:p>
        </w:tc>
      </w:tr>
      <w:tr w14:paraId="52EE79DE">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11682BBA">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2.</w:t>
            </w:r>
            <w:r>
              <w:rPr>
                <w:rFonts w:hint="eastAsia" w:ascii="宋体" w:hAnsi="宋体" w:cs="宋体"/>
                <w:color w:val="000000"/>
                <w:kern w:val="0"/>
                <w:sz w:val="22"/>
              </w:rPr>
              <w:t>业务用房</w:t>
            </w:r>
          </w:p>
        </w:tc>
        <w:tc>
          <w:tcPr>
            <w:tcW w:w="1103" w:type="dxa"/>
            <w:tcBorders>
              <w:top w:val="single" w:color="000000" w:sz="4" w:space="0"/>
              <w:left w:val="single" w:color="000000" w:sz="4" w:space="0"/>
              <w:bottom w:val="single" w:color="000000" w:sz="4" w:space="0"/>
              <w:right w:val="single" w:color="000000" w:sz="4" w:space="0"/>
            </w:tcBorders>
            <w:vAlign w:val="center"/>
          </w:tcPr>
          <w:p w14:paraId="084B3B38">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117A4312">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03F3B563">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34DD2C2C">
            <w:pPr>
              <w:jc w:val="right"/>
              <w:rPr>
                <w:rFonts w:ascii="宋体" w:cs="宋体"/>
                <w:color w:val="000000"/>
                <w:sz w:val="22"/>
              </w:rPr>
            </w:pPr>
          </w:p>
        </w:tc>
      </w:tr>
      <w:tr w14:paraId="3CFBBB39">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1878F691">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w:t>
            </w:r>
            <w:r>
              <w:rPr>
                <w:rFonts w:hint="eastAsia" w:ascii="宋体" w:hAnsi="宋体" w:cs="宋体"/>
                <w:color w:val="000000"/>
                <w:kern w:val="0"/>
                <w:sz w:val="22"/>
              </w:rPr>
              <w:t>　</w:t>
            </w:r>
            <w:r>
              <w:rPr>
                <w:rFonts w:ascii="宋体" w:hAnsi="宋体" w:cs="宋体"/>
                <w:color w:val="000000"/>
                <w:kern w:val="0"/>
                <w:sz w:val="22"/>
              </w:rPr>
              <w:t xml:space="preserve">   3.</w:t>
            </w:r>
            <w:r>
              <w:rPr>
                <w:rFonts w:hint="eastAsia" w:ascii="宋体" w:hAnsi="宋体" w:cs="宋体"/>
                <w:color w:val="000000"/>
                <w:kern w:val="0"/>
                <w:sz w:val="22"/>
              </w:rPr>
              <w:t>其他（不含构筑物）</w:t>
            </w:r>
          </w:p>
        </w:tc>
        <w:tc>
          <w:tcPr>
            <w:tcW w:w="1103" w:type="dxa"/>
            <w:tcBorders>
              <w:top w:val="single" w:color="000000" w:sz="4" w:space="0"/>
              <w:left w:val="single" w:color="000000" w:sz="4" w:space="0"/>
              <w:bottom w:val="single" w:color="000000" w:sz="4" w:space="0"/>
              <w:right w:val="single" w:color="000000" w:sz="4" w:space="0"/>
            </w:tcBorders>
            <w:vAlign w:val="center"/>
          </w:tcPr>
          <w:p w14:paraId="4B21CB73">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4171C65E">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48714349">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47FB1BD8">
            <w:pPr>
              <w:jc w:val="right"/>
              <w:rPr>
                <w:rFonts w:ascii="宋体" w:cs="宋体"/>
                <w:color w:val="000000"/>
                <w:sz w:val="22"/>
              </w:rPr>
            </w:pPr>
          </w:p>
        </w:tc>
      </w:tr>
      <w:tr w14:paraId="12533EB2">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33D68D3F">
            <w:pPr>
              <w:widowControl/>
              <w:jc w:val="left"/>
              <w:textAlignment w:val="center"/>
              <w:rPr>
                <w:rFonts w:ascii="宋体" w:cs="宋体"/>
                <w:color w:val="000000"/>
                <w:sz w:val="22"/>
              </w:rPr>
            </w:pPr>
            <w:r>
              <w:rPr>
                <w:rFonts w:ascii="宋体" w:hAnsi="宋体" w:cs="宋体"/>
                <w:color w:val="000000"/>
                <w:kern w:val="0"/>
                <w:sz w:val="22"/>
              </w:rPr>
              <w:t xml:space="preserve">  2</w:t>
            </w:r>
            <w:r>
              <w:rPr>
                <w:rFonts w:hint="eastAsia" w:ascii="宋体" w:hAnsi="宋体" w:cs="宋体"/>
                <w:color w:val="000000"/>
                <w:kern w:val="0"/>
                <w:sz w:val="22"/>
              </w:rPr>
              <w:t>、车辆（台、辆）</w:t>
            </w:r>
          </w:p>
        </w:tc>
        <w:tc>
          <w:tcPr>
            <w:tcW w:w="1103" w:type="dxa"/>
            <w:tcBorders>
              <w:top w:val="single" w:color="000000" w:sz="4" w:space="0"/>
              <w:left w:val="single" w:color="000000" w:sz="4" w:space="0"/>
              <w:bottom w:val="single" w:color="000000" w:sz="4" w:space="0"/>
              <w:right w:val="single" w:color="000000" w:sz="4" w:space="0"/>
            </w:tcBorders>
            <w:vAlign w:val="center"/>
          </w:tcPr>
          <w:p w14:paraId="3CDFC006">
            <w:pPr>
              <w:jc w:val="right"/>
              <w:rPr>
                <w:rFonts w:hint="eastAsia" w:ascii="宋体" w:eastAsia="宋体" w:cs="宋体"/>
                <w:color w:val="000000"/>
                <w:sz w:val="22"/>
                <w:lang w:val="en-US" w:eastAsia="zh-CN"/>
              </w:rPr>
            </w:pPr>
            <w:r>
              <w:rPr>
                <w:rFonts w:hint="eastAsia" w:ascii="宋体" w:cs="宋体"/>
                <w:color w:val="000000"/>
                <w:sz w:val="22"/>
                <w:lang w:val="en-US" w:eastAsia="zh-CN"/>
              </w:rPr>
              <w:t>3</w:t>
            </w:r>
          </w:p>
        </w:tc>
        <w:tc>
          <w:tcPr>
            <w:tcW w:w="1344" w:type="dxa"/>
            <w:tcBorders>
              <w:top w:val="single" w:color="000000" w:sz="4" w:space="0"/>
              <w:left w:val="single" w:color="000000" w:sz="4" w:space="0"/>
              <w:bottom w:val="single" w:color="000000" w:sz="4" w:space="0"/>
              <w:right w:val="single" w:color="000000" w:sz="4" w:space="0"/>
            </w:tcBorders>
            <w:vAlign w:val="center"/>
          </w:tcPr>
          <w:p w14:paraId="61003B4C">
            <w:pPr>
              <w:jc w:val="right"/>
              <w:rPr>
                <w:rFonts w:hint="eastAsia" w:ascii="宋体" w:eastAsia="宋体" w:cs="宋体"/>
                <w:color w:val="000000"/>
                <w:sz w:val="22"/>
                <w:lang w:val="en-US" w:eastAsia="zh-CN"/>
              </w:rPr>
            </w:pPr>
            <w:r>
              <w:rPr>
                <w:rFonts w:hint="eastAsia" w:ascii="宋体" w:cs="宋体"/>
                <w:color w:val="000000"/>
                <w:sz w:val="22"/>
                <w:lang w:val="en-US" w:eastAsia="zh-CN"/>
              </w:rPr>
              <w:t>1</w:t>
            </w:r>
          </w:p>
        </w:tc>
        <w:tc>
          <w:tcPr>
            <w:tcW w:w="1635" w:type="dxa"/>
            <w:tcBorders>
              <w:top w:val="single" w:color="000000" w:sz="4" w:space="0"/>
              <w:left w:val="single" w:color="000000" w:sz="4" w:space="0"/>
              <w:bottom w:val="single" w:color="000000" w:sz="4" w:space="0"/>
              <w:right w:val="single" w:color="000000" w:sz="4" w:space="0"/>
            </w:tcBorders>
            <w:vAlign w:val="center"/>
          </w:tcPr>
          <w:p w14:paraId="2FCB314C">
            <w:pPr>
              <w:jc w:val="right"/>
              <w:rPr>
                <w:rFonts w:hint="eastAsia" w:ascii="宋体" w:eastAsia="宋体" w:cs="宋体"/>
                <w:color w:val="000000"/>
                <w:sz w:val="22"/>
                <w:lang w:val="en-US" w:eastAsia="zh-CN"/>
              </w:rPr>
            </w:pPr>
            <w:r>
              <w:rPr>
                <w:rFonts w:hint="eastAsia" w:ascii="宋体" w:cs="宋体"/>
                <w:color w:val="000000"/>
                <w:sz w:val="22"/>
                <w:lang w:val="en-US" w:eastAsia="zh-CN"/>
              </w:rPr>
              <w:t>446925</w:t>
            </w:r>
          </w:p>
        </w:tc>
        <w:tc>
          <w:tcPr>
            <w:tcW w:w="3022" w:type="dxa"/>
            <w:tcBorders>
              <w:top w:val="single" w:color="000000" w:sz="4" w:space="0"/>
              <w:left w:val="single" w:color="000000" w:sz="4" w:space="0"/>
              <w:bottom w:val="single" w:color="000000" w:sz="4" w:space="0"/>
              <w:right w:val="single" w:color="000000" w:sz="4" w:space="0"/>
            </w:tcBorders>
            <w:vAlign w:val="center"/>
          </w:tcPr>
          <w:p w14:paraId="3AA53943">
            <w:pPr>
              <w:jc w:val="right"/>
              <w:rPr>
                <w:rFonts w:hint="eastAsia" w:ascii="宋体" w:eastAsia="宋体" w:cs="宋体"/>
                <w:color w:val="000000"/>
                <w:sz w:val="22"/>
                <w:lang w:val="en-US" w:eastAsia="zh-CN"/>
              </w:rPr>
            </w:pPr>
            <w:r>
              <w:rPr>
                <w:rFonts w:hint="eastAsia" w:ascii="宋体" w:cs="宋体"/>
                <w:color w:val="000000"/>
                <w:sz w:val="22"/>
                <w:lang w:val="en-US" w:eastAsia="zh-CN"/>
              </w:rPr>
              <w:t>187000</w:t>
            </w:r>
          </w:p>
        </w:tc>
      </w:tr>
      <w:tr w14:paraId="72DED9C8">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162B6771">
            <w:pPr>
              <w:widowControl/>
              <w:jc w:val="left"/>
              <w:textAlignment w:val="center"/>
              <w:rPr>
                <w:rFonts w:ascii="宋体" w:cs="宋体"/>
                <w:color w:val="000000"/>
                <w:sz w:val="22"/>
              </w:rPr>
            </w:pPr>
            <w:r>
              <w:rPr>
                <w:rFonts w:ascii="宋体" w:hAnsi="宋体" w:cs="宋体"/>
                <w:color w:val="000000"/>
                <w:kern w:val="0"/>
                <w:sz w:val="22"/>
              </w:rPr>
              <w:t xml:space="preserve">  3</w:t>
            </w:r>
            <w:r>
              <w:rPr>
                <w:rFonts w:hint="eastAsia" w:ascii="宋体" w:hAnsi="宋体" w:cs="宋体"/>
                <w:color w:val="000000"/>
                <w:kern w:val="0"/>
                <w:sz w:val="22"/>
              </w:rPr>
              <w:t>、单价</w:t>
            </w:r>
            <w:r>
              <w:rPr>
                <w:rFonts w:ascii="宋体" w:hAnsi="宋体" w:cs="宋体"/>
                <w:color w:val="000000"/>
                <w:kern w:val="0"/>
                <w:sz w:val="22"/>
              </w:rPr>
              <w:t>50</w:t>
            </w:r>
            <w:r>
              <w:rPr>
                <w:rFonts w:hint="eastAsia" w:ascii="宋体" w:hAnsi="宋体" w:cs="宋体"/>
                <w:color w:val="000000"/>
                <w:kern w:val="0"/>
                <w:sz w:val="22"/>
              </w:rPr>
              <w:t>万元（含）以上的通用设备（台、套…）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14:paraId="211E59B7">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73659F9F">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0B1D667B">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0BFF6091">
            <w:pPr>
              <w:jc w:val="right"/>
              <w:rPr>
                <w:rFonts w:ascii="宋体" w:cs="宋体"/>
                <w:color w:val="000000"/>
                <w:sz w:val="22"/>
              </w:rPr>
            </w:pPr>
          </w:p>
        </w:tc>
      </w:tr>
      <w:tr w14:paraId="4F5E35C7">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33D5F200">
            <w:pPr>
              <w:widowControl/>
              <w:jc w:val="left"/>
              <w:textAlignment w:val="center"/>
              <w:rPr>
                <w:rFonts w:ascii="宋体" w:cs="宋体"/>
                <w:color w:val="000000"/>
                <w:sz w:val="22"/>
              </w:rPr>
            </w:pPr>
            <w:r>
              <w:rPr>
                <w:rFonts w:ascii="宋体" w:hAnsi="宋体" w:cs="宋体"/>
                <w:color w:val="000000"/>
                <w:kern w:val="0"/>
                <w:sz w:val="22"/>
              </w:rPr>
              <w:t xml:space="preserve">  4</w:t>
            </w:r>
            <w:r>
              <w:rPr>
                <w:rFonts w:hint="eastAsia" w:ascii="宋体" w:hAnsi="宋体" w:cs="宋体"/>
                <w:color w:val="000000"/>
                <w:kern w:val="0"/>
                <w:sz w:val="22"/>
              </w:rPr>
              <w:t>、单价</w:t>
            </w:r>
            <w:r>
              <w:rPr>
                <w:rFonts w:ascii="宋体" w:hAnsi="宋体" w:cs="宋体"/>
                <w:color w:val="000000"/>
                <w:kern w:val="0"/>
                <w:sz w:val="22"/>
              </w:rPr>
              <w:t>100</w:t>
            </w:r>
            <w:r>
              <w:rPr>
                <w:rFonts w:hint="eastAsia" w:ascii="宋体" w:hAnsi="宋体" w:cs="宋体"/>
                <w:color w:val="000000"/>
                <w:kern w:val="0"/>
                <w:sz w:val="22"/>
              </w:rPr>
              <w:t>万元（含）以上的专用设备（台、套…）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14:paraId="3B058A20">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40AE6145">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1DB61012">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400919F1">
            <w:pPr>
              <w:jc w:val="right"/>
              <w:rPr>
                <w:rFonts w:ascii="宋体" w:cs="宋体"/>
                <w:color w:val="000000"/>
                <w:sz w:val="22"/>
              </w:rPr>
            </w:pPr>
          </w:p>
        </w:tc>
      </w:tr>
      <w:tr w14:paraId="75BBAD13">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7587A8BD">
            <w:pPr>
              <w:widowControl/>
              <w:jc w:val="left"/>
              <w:textAlignment w:val="center"/>
              <w:rPr>
                <w:rFonts w:ascii="宋体" w:cs="宋体"/>
                <w:color w:val="000000"/>
                <w:sz w:val="22"/>
              </w:rPr>
            </w:pPr>
            <w:r>
              <w:rPr>
                <w:rFonts w:ascii="宋体" w:hAnsi="宋体" w:cs="宋体"/>
                <w:color w:val="000000"/>
                <w:kern w:val="0"/>
                <w:sz w:val="22"/>
              </w:rPr>
              <w:t xml:space="preserve">  5</w:t>
            </w:r>
            <w:r>
              <w:rPr>
                <w:rFonts w:hint="eastAsia" w:ascii="宋体" w:hAnsi="宋体" w:cs="宋体"/>
                <w:color w:val="000000"/>
                <w:kern w:val="0"/>
                <w:sz w:val="22"/>
              </w:rPr>
              <w:t>、其他固定资产</w:t>
            </w:r>
          </w:p>
        </w:tc>
        <w:tc>
          <w:tcPr>
            <w:tcW w:w="1103" w:type="dxa"/>
            <w:tcBorders>
              <w:top w:val="single" w:color="000000" w:sz="4" w:space="0"/>
              <w:left w:val="single" w:color="000000" w:sz="4" w:space="0"/>
              <w:bottom w:val="single" w:color="000000" w:sz="4" w:space="0"/>
              <w:right w:val="single" w:color="000000" w:sz="4" w:space="0"/>
            </w:tcBorders>
            <w:vAlign w:val="center"/>
          </w:tcPr>
          <w:p w14:paraId="4EDB3612">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14:paraId="6ADC6025">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14:paraId="0A79CFCC">
            <w:pPr>
              <w:widowControl/>
              <w:jc w:val="right"/>
              <w:textAlignment w:val="center"/>
              <w:rPr>
                <w:rFonts w:hint="eastAsia" w:ascii="宋体" w:eastAsia="宋体" w:cs="宋体"/>
                <w:color w:val="000000"/>
                <w:sz w:val="22"/>
                <w:lang w:val="en-US" w:eastAsia="zh-CN"/>
              </w:rPr>
            </w:pPr>
            <w:r>
              <w:rPr>
                <w:rFonts w:hint="eastAsia" w:ascii="宋体" w:cs="宋体"/>
                <w:color w:val="000000"/>
                <w:sz w:val="22"/>
                <w:lang w:val="en-US" w:eastAsia="zh-CN"/>
              </w:rPr>
              <w:t>115167</w:t>
            </w:r>
          </w:p>
        </w:tc>
        <w:tc>
          <w:tcPr>
            <w:tcW w:w="3022" w:type="dxa"/>
            <w:tcBorders>
              <w:top w:val="single" w:color="000000" w:sz="4" w:space="0"/>
              <w:left w:val="single" w:color="000000" w:sz="4" w:space="0"/>
              <w:bottom w:val="single" w:color="000000" w:sz="4" w:space="0"/>
              <w:right w:val="single" w:color="000000" w:sz="4" w:space="0"/>
            </w:tcBorders>
            <w:vAlign w:val="center"/>
          </w:tcPr>
          <w:p w14:paraId="1F6DEFC4">
            <w:pPr>
              <w:widowControl/>
              <w:jc w:val="right"/>
              <w:textAlignment w:val="center"/>
              <w:rPr>
                <w:rFonts w:hint="eastAsia" w:ascii="宋体" w:eastAsia="宋体" w:cs="宋体"/>
                <w:color w:val="000000"/>
                <w:sz w:val="22"/>
                <w:lang w:val="en-US" w:eastAsia="zh-CN"/>
              </w:rPr>
            </w:pPr>
            <w:r>
              <w:rPr>
                <w:rFonts w:hint="eastAsia" w:ascii="宋体" w:cs="宋体"/>
                <w:color w:val="000000"/>
                <w:sz w:val="22"/>
                <w:lang w:val="en-US" w:eastAsia="zh-CN"/>
              </w:rPr>
              <w:t>138262</w:t>
            </w:r>
          </w:p>
        </w:tc>
      </w:tr>
    </w:tbl>
    <w:p w14:paraId="7E408132">
      <w:pPr>
        <w:autoSpaceDE w:val="0"/>
        <w:autoSpaceDN w:val="0"/>
        <w:adjustRightInd w:val="0"/>
        <w:ind w:left="198" w:firstLine="640" w:firstLineChars="200"/>
        <w:jc w:val="left"/>
        <w:rPr>
          <w:rFonts w:ascii="黑体" w:hAnsi="黑体" w:eastAsia="黑体"/>
          <w:sz w:val="32"/>
          <w:szCs w:val="32"/>
        </w:rPr>
      </w:pPr>
    </w:p>
    <w:p w14:paraId="29018740">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14:paraId="4E1A0133">
      <w:pPr>
        <w:tabs>
          <w:tab w:val="left" w:pos="11490"/>
        </w:tabs>
        <w:ind w:firstLine="643" w:firstLineChars="200"/>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hint="eastAsia" w:ascii="仿宋_GB2312" w:hAnsi="Times New Roman" w:eastAsia="仿宋_GB2312"/>
          <w:sz w:val="32"/>
          <w:szCs w:val="32"/>
        </w:rPr>
        <w:t>指县级财政当年拨付的资金。</w:t>
      </w:r>
    </w:p>
    <w:p w14:paraId="0FFFA3C4">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hint="eastAsia" w:ascii="仿宋_GB2312" w:hAnsi="Times New Roman" w:eastAsia="仿宋_GB2312"/>
          <w:sz w:val="32"/>
          <w:szCs w:val="32"/>
        </w:rPr>
        <w:t>指事业单位开展专业业务活动及辅助活动所取得的收入。</w:t>
      </w:r>
    </w:p>
    <w:p w14:paraId="0F47612A">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14:paraId="73C93A62">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14:paraId="76E35624">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14:paraId="78B2C814">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5574D5C6">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5602379">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hint="eastAsia" w:ascii="仿宋_GB2312" w:hAnsi="Times New Roman" w:eastAsia="仿宋_GB2312"/>
          <w:sz w:val="32"/>
          <w:szCs w:val="32"/>
        </w:rPr>
        <w:t>指以前年度尚未完成、结转到本年仍按原规定用途继续使用的资金。</w:t>
      </w:r>
    </w:p>
    <w:p w14:paraId="3BAA32F5">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14:paraId="5DF4087C">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14:paraId="5525A144">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80460C9-2C61-4A3D-8C70-E2064401F873}"/>
  </w:font>
  <w:font w:name="黑体">
    <w:panose1 w:val="02010609060101010101"/>
    <w:charset w:val="86"/>
    <w:family w:val="auto"/>
    <w:pitch w:val="default"/>
    <w:sig w:usb0="800002BF" w:usb1="38CF7CFA" w:usb2="00000016" w:usb3="00000000" w:csb0="00040001" w:csb1="00000000"/>
    <w:embedRegular r:id="rId2" w:fontKey="{99E72FDB-651A-4201-A543-C947942C0D9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3" w:fontKey="{A3FD2F98-9DB6-43EC-86F8-DB3FA1D58543}"/>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00000001" w:usb1="080E0000" w:usb2="00000000" w:usb3="00000000" w:csb0="00040000" w:csb1="00000000"/>
    <w:embedRegular r:id="rId4" w:fontKey="{F7B8C0D6-1EC3-4052-973D-0985ECCAAE93}"/>
  </w:font>
  <w:font w:name="方正小标宋_GBK">
    <w:panose1 w:val="02000000000000000000"/>
    <w:charset w:val="86"/>
    <w:family w:val="script"/>
    <w:pitch w:val="default"/>
    <w:sig w:usb0="A00002BF" w:usb1="38CF7CFA" w:usb2="00082016" w:usb3="00000000" w:csb0="00040001" w:csb1="00000000"/>
    <w:embedRegular r:id="rId5" w:fontKey="{1DD8DA33-B898-48AE-B0B1-651F5C412ED4}"/>
  </w:font>
  <w:font w:name="方正书宋_GBK">
    <w:panose1 w:val="02000000000000000000"/>
    <w:charset w:val="86"/>
    <w:family w:val="script"/>
    <w:pitch w:val="default"/>
    <w:sig w:usb0="A00002BF" w:usb1="38CF7CFA" w:usb2="00082016" w:usb3="00000000" w:csb0="00040001" w:csb1="00000000"/>
    <w:embedRegular r:id="rId6" w:fontKey="{505427E2-0CFF-4EF2-BE54-007F4D32A9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10FC9">
    <w:pPr>
      <w:pStyle w:val="3"/>
      <w:jc w:val="center"/>
    </w:pPr>
    <w:r>
      <w:t>-</w:t>
    </w:r>
    <w:r>
      <w:fldChar w:fldCharType="begin"/>
    </w:r>
    <w:r>
      <w:instrText xml:space="preserve">PAGE   \* MERGEFORMAT</w:instrText>
    </w:r>
    <w:r>
      <w:fldChar w:fldCharType="separate"/>
    </w:r>
    <w:r>
      <w:rPr>
        <w:lang w:val="zh-CN"/>
      </w:rPr>
      <w:t>27</w:t>
    </w:r>
    <w:r>
      <w:rPr>
        <w:lang w:val="zh-CN"/>
      </w:rPr>
      <w:fldChar w:fldCharType="end"/>
    </w:r>
    <w:r>
      <w:t>-</w:t>
    </w:r>
  </w:p>
  <w:p w14:paraId="3EDB200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4EC5C">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9BC47">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4C24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CD637">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CB24E">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MDQzZjY2MjFlMGE0ZDYwZDc4NjBjNTBkNGEwNTEifQ=="/>
  </w:docVars>
  <w:rsids>
    <w:rsidRoot w:val="00F66032"/>
    <w:rsid w:val="000053CC"/>
    <w:rsid w:val="00037AF6"/>
    <w:rsid w:val="0004565F"/>
    <w:rsid w:val="00072187"/>
    <w:rsid w:val="00075D5F"/>
    <w:rsid w:val="000A7850"/>
    <w:rsid w:val="000B529B"/>
    <w:rsid w:val="000C24E6"/>
    <w:rsid w:val="000C3A19"/>
    <w:rsid w:val="000D5C0F"/>
    <w:rsid w:val="001245BB"/>
    <w:rsid w:val="001251A3"/>
    <w:rsid w:val="001643E8"/>
    <w:rsid w:val="001919C4"/>
    <w:rsid w:val="0019723B"/>
    <w:rsid w:val="001E0757"/>
    <w:rsid w:val="001E6DDC"/>
    <w:rsid w:val="001F7873"/>
    <w:rsid w:val="00241FD4"/>
    <w:rsid w:val="00251B12"/>
    <w:rsid w:val="00265318"/>
    <w:rsid w:val="002835D7"/>
    <w:rsid w:val="00290FD6"/>
    <w:rsid w:val="00296113"/>
    <w:rsid w:val="002A673A"/>
    <w:rsid w:val="002C5E13"/>
    <w:rsid w:val="002C62BC"/>
    <w:rsid w:val="002E0EB8"/>
    <w:rsid w:val="002F3E58"/>
    <w:rsid w:val="0030542C"/>
    <w:rsid w:val="00311B7A"/>
    <w:rsid w:val="00313D9C"/>
    <w:rsid w:val="00424943"/>
    <w:rsid w:val="0042727E"/>
    <w:rsid w:val="0043175C"/>
    <w:rsid w:val="00437296"/>
    <w:rsid w:val="00451590"/>
    <w:rsid w:val="00451871"/>
    <w:rsid w:val="004706DE"/>
    <w:rsid w:val="00472923"/>
    <w:rsid w:val="00486DCD"/>
    <w:rsid w:val="004B0C3A"/>
    <w:rsid w:val="004C49A8"/>
    <w:rsid w:val="004D5788"/>
    <w:rsid w:val="004E3066"/>
    <w:rsid w:val="004E419C"/>
    <w:rsid w:val="004E74CD"/>
    <w:rsid w:val="00524EFD"/>
    <w:rsid w:val="00572067"/>
    <w:rsid w:val="00573562"/>
    <w:rsid w:val="00590ECE"/>
    <w:rsid w:val="005F5714"/>
    <w:rsid w:val="00600A07"/>
    <w:rsid w:val="00611D03"/>
    <w:rsid w:val="00614A29"/>
    <w:rsid w:val="00673D76"/>
    <w:rsid w:val="006854F0"/>
    <w:rsid w:val="006920B9"/>
    <w:rsid w:val="006B1C4A"/>
    <w:rsid w:val="006B610D"/>
    <w:rsid w:val="006E49F5"/>
    <w:rsid w:val="007013C8"/>
    <w:rsid w:val="00753836"/>
    <w:rsid w:val="0075393C"/>
    <w:rsid w:val="00754592"/>
    <w:rsid w:val="00776C08"/>
    <w:rsid w:val="007C219A"/>
    <w:rsid w:val="007E1DA8"/>
    <w:rsid w:val="007F6C26"/>
    <w:rsid w:val="00813208"/>
    <w:rsid w:val="00817533"/>
    <w:rsid w:val="008334AE"/>
    <w:rsid w:val="00836FED"/>
    <w:rsid w:val="0083724E"/>
    <w:rsid w:val="00841D53"/>
    <w:rsid w:val="00845CD2"/>
    <w:rsid w:val="00852B0D"/>
    <w:rsid w:val="00864B7F"/>
    <w:rsid w:val="00881692"/>
    <w:rsid w:val="008A6576"/>
    <w:rsid w:val="008B3CC5"/>
    <w:rsid w:val="008B52CD"/>
    <w:rsid w:val="008C7C4D"/>
    <w:rsid w:val="008E4261"/>
    <w:rsid w:val="008E70D4"/>
    <w:rsid w:val="008F4662"/>
    <w:rsid w:val="00905D08"/>
    <w:rsid w:val="00925753"/>
    <w:rsid w:val="009425F4"/>
    <w:rsid w:val="00943BD8"/>
    <w:rsid w:val="00954B2C"/>
    <w:rsid w:val="00966C5C"/>
    <w:rsid w:val="00973104"/>
    <w:rsid w:val="00995BF0"/>
    <w:rsid w:val="009A16D5"/>
    <w:rsid w:val="009A353D"/>
    <w:rsid w:val="009B0B77"/>
    <w:rsid w:val="009B511E"/>
    <w:rsid w:val="009D37D3"/>
    <w:rsid w:val="00A16E6C"/>
    <w:rsid w:val="00A40F60"/>
    <w:rsid w:val="00A44E3D"/>
    <w:rsid w:val="00A72D2E"/>
    <w:rsid w:val="00A74447"/>
    <w:rsid w:val="00A74CE5"/>
    <w:rsid w:val="00A77500"/>
    <w:rsid w:val="00A911E7"/>
    <w:rsid w:val="00A939D9"/>
    <w:rsid w:val="00AD5259"/>
    <w:rsid w:val="00B01D36"/>
    <w:rsid w:val="00B078CD"/>
    <w:rsid w:val="00B20712"/>
    <w:rsid w:val="00B3715A"/>
    <w:rsid w:val="00B43238"/>
    <w:rsid w:val="00B45DD3"/>
    <w:rsid w:val="00B73582"/>
    <w:rsid w:val="00B75216"/>
    <w:rsid w:val="00B755A2"/>
    <w:rsid w:val="00B9104C"/>
    <w:rsid w:val="00B91D52"/>
    <w:rsid w:val="00B9490F"/>
    <w:rsid w:val="00BA1ACD"/>
    <w:rsid w:val="00BD09F8"/>
    <w:rsid w:val="00C005B2"/>
    <w:rsid w:val="00CA7176"/>
    <w:rsid w:val="00CC75B0"/>
    <w:rsid w:val="00CD2773"/>
    <w:rsid w:val="00CE01BA"/>
    <w:rsid w:val="00CE143B"/>
    <w:rsid w:val="00D07DBA"/>
    <w:rsid w:val="00D27003"/>
    <w:rsid w:val="00D9307A"/>
    <w:rsid w:val="00E167C7"/>
    <w:rsid w:val="00E55B78"/>
    <w:rsid w:val="00E76361"/>
    <w:rsid w:val="00EC47F6"/>
    <w:rsid w:val="00EF08C9"/>
    <w:rsid w:val="00EF535E"/>
    <w:rsid w:val="00F14A62"/>
    <w:rsid w:val="00F471F7"/>
    <w:rsid w:val="00F66032"/>
    <w:rsid w:val="00F83B96"/>
    <w:rsid w:val="00F8441D"/>
    <w:rsid w:val="00F87C1E"/>
    <w:rsid w:val="00F958C2"/>
    <w:rsid w:val="00FA740E"/>
    <w:rsid w:val="00FC06C7"/>
    <w:rsid w:val="00FD5DB4"/>
    <w:rsid w:val="00FE1724"/>
    <w:rsid w:val="02363CA4"/>
    <w:rsid w:val="027B6BD2"/>
    <w:rsid w:val="03C419DE"/>
    <w:rsid w:val="03D108C0"/>
    <w:rsid w:val="0A2023C6"/>
    <w:rsid w:val="0B331B7E"/>
    <w:rsid w:val="0B591CF2"/>
    <w:rsid w:val="0BD72099"/>
    <w:rsid w:val="0C044491"/>
    <w:rsid w:val="0DB32BBD"/>
    <w:rsid w:val="0DD66E19"/>
    <w:rsid w:val="0EF21559"/>
    <w:rsid w:val="0FB56335"/>
    <w:rsid w:val="11C37B1A"/>
    <w:rsid w:val="15CA5792"/>
    <w:rsid w:val="163A5E1A"/>
    <w:rsid w:val="17ED14FE"/>
    <w:rsid w:val="1B1C7EE9"/>
    <w:rsid w:val="1B983B40"/>
    <w:rsid w:val="1B9B7BB4"/>
    <w:rsid w:val="1BD01DEE"/>
    <w:rsid w:val="1C27101F"/>
    <w:rsid w:val="1FC1447C"/>
    <w:rsid w:val="20A36E82"/>
    <w:rsid w:val="21613782"/>
    <w:rsid w:val="2CDA58ED"/>
    <w:rsid w:val="2D5A7954"/>
    <w:rsid w:val="2F6D5F13"/>
    <w:rsid w:val="316E46DF"/>
    <w:rsid w:val="31907403"/>
    <w:rsid w:val="31E15395"/>
    <w:rsid w:val="32426A83"/>
    <w:rsid w:val="34456D23"/>
    <w:rsid w:val="3473676B"/>
    <w:rsid w:val="3715611B"/>
    <w:rsid w:val="38100C42"/>
    <w:rsid w:val="38781EB8"/>
    <w:rsid w:val="3C5072F4"/>
    <w:rsid w:val="3CB77F9D"/>
    <w:rsid w:val="423D3BF2"/>
    <w:rsid w:val="43274E58"/>
    <w:rsid w:val="45FE5EEA"/>
    <w:rsid w:val="466035FA"/>
    <w:rsid w:val="48ED4A35"/>
    <w:rsid w:val="4A657D63"/>
    <w:rsid w:val="4ACC4515"/>
    <w:rsid w:val="4C39665D"/>
    <w:rsid w:val="525202E4"/>
    <w:rsid w:val="52F3084E"/>
    <w:rsid w:val="53071741"/>
    <w:rsid w:val="56733828"/>
    <w:rsid w:val="59834E58"/>
    <w:rsid w:val="5D5A3361"/>
    <w:rsid w:val="60315DEE"/>
    <w:rsid w:val="62AC6848"/>
    <w:rsid w:val="63124063"/>
    <w:rsid w:val="63756E47"/>
    <w:rsid w:val="64FF07E7"/>
    <w:rsid w:val="652F5C0E"/>
    <w:rsid w:val="66047C9F"/>
    <w:rsid w:val="682541DD"/>
    <w:rsid w:val="6A560416"/>
    <w:rsid w:val="6F0B7884"/>
    <w:rsid w:val="6FA90EE9"/>
    <w:rsid w:val="71051481"/>
    <w:rsid w:val="7E242906"/>
    <w:rsid w:val="7EEC624B"/>
    <w:rsid w:val="7FD70B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99"/>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alloon Text"/>
    <w:basedOn w:val="1"/>
    <w:link w:val="12"/>
    <w:autoRedefine/>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qFormat/>
    <w:uiPriority w:val="99"/>
    <w:rPr>
      <w:rFonts w:ascii="Times New Roman" w:hAnsi="Times New Roman"/>
      <w:szCs w:val="24"/>
    </w:rPr>
  </w:style>
  <w:style w:type="paragraph" w:styleId="6">
    <w:name w:val="footnote text"/>
    <w:basedOn w:val="1"/>
    <w:link w:val="15"/>
    <w:qFormat/>
    <w:uiPriority w:val="99"/>
    <w:pPr>
      <w:snapToGrid w:val="0"/>
      <w:jc w:val="left"/>
    </w:pPr>
    <w:rPr>
      <w:sz w:val="18"/>
      <w:szCs w:val="18"/>
    </w:rPr>
  </w:style>
  <w:style w:type="paragraph" w:styleId="7">
    <w:name w:val="toc 2"/>
    <w:basedOn w:val="1"/>
    <w:next w:val="1"/>
    <w:qFormat/>
    <w:uiPriority w:val="99"/>
    <w:pPr>
      <w:ind w:left="420" w:leftChars="200"/>
    </w:pPr>
    <w:rPr>
      <w:rFonts w:ascii="Times New Roman" w:hAnsi="Times New Roman"/>
      <w:szCs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basedOn w:val="10"/>
    <w:qFormat/>
    <w:uiPriority w:val="99"/>
    <w:rPr>
      <w:rFonts w:cs="Times New Roman"/>
      <w:vertAlign w:val="superscript"/>
    </w:rPr>
  </w:style>
  <w:style w:type="character" w:customStyle="1" w:styleId="12">
    <w:name w:val="Balloon Text Char"/>
    <w:basedOn w:val="10"/>
    <w:link w:val="2"/>
    <w:semiHidden/>
    <w:qFormat/>
    <w:locked/>
    <w:uiPriority w:val="99"/>
    <w:rPr>
      <w:rFonts w:cs="Times New Roman"/>
      <w:sz w:val="18"/>
      <w:szCs w:val="18"/>
    </w:rPr>
  </w:style>
  <w:style w:type="character" w:customStyle="1" w:styleId="13">
    <w:name w:val="Footer Char"/>
    <w:basedOn w:val="10"/>
    <w:link w:val="3"/>
    <w:qFormat/>
    <w:locked/>
    <w:uiPriority w:val="99"/>
    <w:rPr>
      <w:rFonts w:ascii="Times New Roman" w:hAnsi="Times New Roman" w:eastAsia="宋体" w:cs="Times New Roman"/>
      <w:sz w:val="18"/>
      <w:szCs w:val="18"/>
    </w:rPr>
  </w:style>
  <w:style w:type="character" w:customStyle="1" w:styleId="14">
    <w:name w:val="Header Char"/>
    <w:basedOn w:val="10"/>
    <w:link w:val="4"/>
    <w:qFormat/>
    <w:locked/>
    <w:uiPriority w:val="99"/>
    <w:rPr>
      <w:rFonts w:ascii="Times New Roman" w:hAnsi="Times New Roman" w:eastAsia="宋体" w:cs="Times New Roman"/>
      <w:sz w:val="18"/>
      <w:szCs w:val="18"/>
    </w:rPr>
  </w:style>
  <w:style w:type="character" w:customStyle="1" w:styleId="15">
    <w:name w:val="Footnote Text Char"/>
    <w:basedOn w:val="10"/>
    <w:link w:val="6"/>
    <w:semiHidden/>
    <w:qFormat/>
    <w:locked/>
    <w:uiPriority w:val="99"/>
    <w:rPr>
      <w:rFonts w:ascii="Calibri" w:hAnsi="Calibri" w:eastAsia="宋体" w:cs="Times New Roman"/>
      <w:sz w:val="18"/>
      <w:szCs w:val="18"/>
    </w:rPr>
  </w:style>
  <w:style w:type="paragraph" w:customStyle="1" w:styleId="16">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23</Pages>
  <Words>9087</Words>
  <Characters>9427</Characters>
  <Lines>0</Lines>
  <Paragraphs>0</Paragraphs>
  <TotalTime>0</TotalTime>
  <ScaleCrop>false</ScaleCrop>
  <LinksUpToDate>false</LinksUpToDate>
  <CharactersWithSpaces>9619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2018-01-30T08:48:00Z</dcterms:created>
  <dc:creator>guest</dc:creator>
  <cp:lastModifiedBy>闫林雪</cp:lastModifiedBy>
  <cp:lastPrinted>2018-01-30T06:12:00Z</cp:lastPrinted>
  <dcterms:modified xsi:type="dcterms:W3CDTF">2025-02-21T08:06:53Z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13655967670046889558C3339D99C8E3_12</vt:lpwstr>
  </property>
  <property fmtid="{D5CDD505-2E9C-101B-9397-08002B2CF9AE}" pid="4" name="KSOTemplateDocerSaveRecord">
    <vt:lpwstr>eyJoZGlkIjoiNGZlMDQzZjY2MjFlMGE0ZDYwZDc4NjBjNTBkNGEwNTEiLCJ1c2VySWQiOiIxNjc0NDYyOTMwIn0=</vt:lpwstr>
  </property>
</Properties>
</file>