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6</w:t>
      </w:r>
      <w:r>
        <w:fldChar w:fldCharType="end"/>
      </w:r>
      <w:r>
        <w:fldChar w:fldCharType="end"/>
      </w:r>
    </w:p>
    <w:p>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10</w:t>
      </w:r>
      <w:r>
        <w:fldChar w:fldCharType="end"/>
      </w:r>
      <w:r>
        <w:fldChar w:fldCharType="end"/>
      </w:r>
    </w:p>
    <w:p>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11</w:t>
      </w:r>
      <w:r>
        <w:fldChar w:fldCharType="end"/>
      </w:r>
      <w:r>
        <w:fldChar w:fldCharType="end"/>
      </w:r>
    </w:p>
    <w:p>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12</w:t>
      </w:r>
      <w:r>
        <w:fldChar w:fldCharType="end"/>
      </w:r>
      <w:r>
        <w:fldChar w:fldCharType="end"/>
      </w:r>
    </w:p>
    <w:p>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13</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15</w:t>
      </w:r>
      <w:r>
        <w:fldChar w:fldCharType="end"/>
      </w:r>
      <w:r>
        <w:fldChar w:fldCharType="end"/>
      </w:r>
    </w:p>
    <w:p>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17</w:t>
      </w:r>
      <w:r>
        <w:fldChar w:fldCharType="end"/>
      </w:r>
      <w:r>
        <w:fldChar w:fldCharType="end"/>
      </w:r>
    </w:p>
    <w:p>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18</w:t>
      </w:r>
      <w:r>
        <w:fldChar w:fldCharType="end"/>
      </w:r>
      <w:r>
        <w:fldChar w:fldCharType="end"/>
      </w:r>
    </w:p>
    <w:p>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18</w:t>
      </w:r>
      <w:r>
        <w:fldChar w:fldCharType="end"/>
      </w:r>
      <w:r>
        <w:fldChar w:fldCharType="end"/>
      </w:r>
    </w:p>
    <w:p>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18</w:t>
      </w:r>
      <w:r>
        <w:fldChar w:fldCharType="end"/>
      </w:r>
      <w:r>
        <w:fldChar w:fldCharType="end"/>
      </w:r>
    </w:p>
    <w:p>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22</w:t>
      </w:r>
      <w:r>
        <w:fldChar w:fldCharType="end"/>
      </w:r>
      <w:r>
        <w:fldChar w:fldCharType="end"/>
      </w:r>
    </w:p>
    <w:p>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23</w:t>
      </w:r>
      <w:r>
        <w:fldChar w:fldCharType="end"/>
      </w:r>
      <w:r>
        <w:fldChar w:fldCharType="end"/>
      </w:r>
    </w:p>
    <w:p>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29</w:t>
      </w:r>
      <w:r>
        <w:fldChar w:fldCharType="end"/>
      </w:r>
      <w:r>
        <w:fldChar w:fldCharType="end"/>
      </w:r>
    </w:p>
    <w:p>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29</w:t>
      </w:r>
      <w:r>
        <w:fldChar w:fldCharType="end"/>
      </w:r>
      <w:r>
        <w:fldChar w:fldCharType="end"/>
      </w:r>
    </w:p>
    <w:p>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30</w:t>
      </w:r>
      <w:r>
        <w:fldChar w:fldCharType="end"/>
      </w:r>
      <w:r>
        <w:fldChar w:fldCharType="end"/>
      </w:r>
    </w:p>
    <w:p>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31</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223馆陶县行政审批局</w:t>
            </w:r>
          </w:p>
        </w:tc>
        <w:tc>
          <w:tcPr>
            <w:tcW w:w="2126" w:type="dxa"/>
            <w:tcBorders>
              <w:top w:val="single" w:color="FFFFFF" w:sz="6" w:space="0"/>
              <w:left w:val="single" w:color="FFFFFF" w:sz="6" w:space="0"/>
              <w:right w:val="single" w:color="FFFFFF" w:sz="6" w:space="0"/>
            </w:tcBorders>
            <w:vAlign w:val="center"/>
          </w:tcPr>
          <w:p>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741.26</w:t>
            </w:r>
          </w:p>
        </w:tc>
        <w:tc>
          <w:tcPr>
            <w:tcW w:w="4535" w:type="dxa"/>
            <w:vAlign w:val="center"/>
          </w:tcPr>
          <w:p>
            <w:pPr>
              <w:pStyle w:val="13"/>
            </w:pPr>
            <w:r>
              <w:t>一、一般公共服务支出</w:t>
            </w:r>
          </w:p>
        </w:tc>
        <w:tc>
          <w:tcPr>
            <w:tcW w:w="2126" w:type="dxa"/>
            <w:vAlign w:val="center"/>
          </w:tcPr>
          <w:p>
            <w:pPr>
              <w:pStyle w:val="12"/>
            </w:pPr>
            <w:r>
              <w:t>652.70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38.23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20.23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30.10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5"/>
            </w:pPr>
            <w:r>
              <w:t>本年收入合计</w:t>
            </w:r>
          </w:p>
        </w:tc>
        <w:tc>
          <w:tcPr>
            <w:tcW w:w="2126" w:type="dxa"/>
            <w:vAlign w:val="center"/>
          </w:tcPr>
          <w:p>
            <w:pPr>
              <w:pStyle w:val="16"/>
            </w:pPr>
            <w:r>
              <w:t>741.26</w:t>
            </w:r>
          </w:p>
        </w:tc>
        <w:tc>
          <w:tcPr>
            <w:tcW w:w="4535" w:type="dxa"/>
            <w:vAlign w:val="center"/>
          </w:tcPr>
          <w:p>
            <w:pPr>
              <w:pStyle w:val="15"/>
            </w:pPr>
            <w:r>
              <w:t>本年支出合计</w:t>
            </w:r>
          </w:p>
        </w:tc>
        <w:tc>
          <w:tcPr>
            <w:tcW w:w="2126" w:type="dxa"/>
            <w:vAlign w:val="center"/>
          </w:tcPr>
          <w:p>
            <w:pPr>
              <w:pStyle w:val="16"/>
            </w:pPr>
            <w:r>
              <w:t>741.26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3"/>
            </w:pPr>
            <w:r>
              <w:t>上年结转结余</w:t>
            </w:r>
          </w:p>
        </w:tc>
        <w:tc>
          <w:tcPr>
            <w:tcW w:w="2126" w:type="dxa"/>
            <w:vAlign w:val="center"/>
          </w:tcPr>
          <w:p>
            <w:pPr>
              <w:pStyle w:val="12"/>
            </w:pP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5"/>
            </w:pPr>
            <w:r>
              <w:t>收入总计</w:t>
            </w:r>
          </w:p>
        </w:tc>
        <w:tc>
          <w:tcPr>
            <w:tcW w:w="2126" w:type="dxa"/>
            <w:vAlign w:val="center"/>
          </w:tcPr>
          <w:p>
            <w:pPr>
              <w:pStyle w:val="16"/>
            </w:pPr>
            <w:r>
              <w:t>741.26</w:t>
            </w:r>
          </w:p>
        </w:tc>
        <w:tc>
          <w:tcPr>
            <w:tcW w:w="4535" w:type="dxa"/>
            <w:vAlign w:val="center"/>
          </w:tcPr>
          <w:p>
            <w:pPr>
              <w:pStyle w:val="15"/>
            </w:pPr>
            <w:r>
              <w:t>支出总计</w:t>
            </w:r>
          </w:p>
        </w:tc>
        <w:tc>
          <w:tcPr>
            <w:tcW w:w="2126" w:type="dxa"/>
            <w:vAlign w:val="center"/>
          </w:tcPr>
          <w:p>
            <w:pPr>
              <w:pStyle w:val="16"/>
            </w:pPr>
            <w:r>
              <w:t>741.26</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223馆陶县行政审批局</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741.26</w:t>
            </w:r>
          </w:p>
        </w:tc>
        <w:tc>
          <w:tcPr>
            <w:tcW w:w="1134" w:type="dxa"/>
            <w:vAlign w:val="center"/>
          </w:tcPr>
          <w:p>
            <w:pPr>
              <w:pStyle w:val="16"/>
            </w:pPr>
            <w:r>
              <w:t>741.26</w:t>
            </w:r>
          </w:p>
        </w:tc>
        <w:tc>
          <w:tcPr>
            <w:tcW w:w="1134" w:type="dxa"/>
            <w:vAlign w:val="center"/>
          </w:tcPr>
          <w:p>
            <w:pPr>
              <w:pStyle w:val="16"/>
            </w:pPr>
            <w:r>
              <w:t>741.26</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201</w:t>
            </w:r>
          </w:p>
        </w:tc>
        <w:tc>
          <w:tcPr>
            <w:tcW w:w="1559" w:type="dxa"/>
            <w:vAlign w:val="center"/>
          </w:tcPr>
          <w:p>
            <w:pPr>
              <w:pStyle w:val="13"/>
            </w:pPr>
            <w:r>
              <w:t>一般公共服务支出</w:t>
            </w:r>
          </w:p>
        </w:tc>
        <w:tc>
          <w:tcPr>
            <w:tcW w:w="1134" w:type="dxa"/>
            <w:vAlign w:val="center"/>
          </w:tcPr>
          <w:p>
            <w:pPr>
              <w:pStyle w:val="12"/>
            </w:pPr>
            <w:r>
              <w:t>652.70</w:t>
            </w:r>
          </w:p>
        </w:tc>
        <w:tc>
          <w:tcPr>
            <w:tcW w:w="1134" w:type="dxa"/>
            <w:vAlign w:val="center"/>
          </w:tcPr>
          <w:p>
            <w:pPr>
              <w:pStyle w:val="12"/>
            </w:pPr>
            <w:r>
              <w:t>652.70</w:t>
            </w:r>
          </w:p>
        </w:tc>
        <w:tc>
          <w:tcPr>
            <w:tcW w:w="1134" w:type="dxa"/>
            <w:vAlign w:val="center"/>
          </w:tcPr>
          <w:p>
            <w:pPr>
              <w:pStyle w:val="12"/>
            </w:pPr>
            <w:r>
              <w:t>652.70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20103</w:t>
            </w:r>
          </w:p>
        </w:tc>
        <w:tc>
          <w:tcPr>
            <w:tcW w:w="1559" w:type="dxa"/>
            <w:vAlign w:val="center"/>
          </w:tcPr>
          <w:p>
            <w:pPr>
              <w:pStyle w:val="13"/>
            </w:pPr>
            <w:r>
              <w:t>政府办公厅（室）及相关机构事务</w:t>
            </w:r>
          </w:p>
        </w:tc>
        <w:tc>
          <w:tcPr>
            <w:tcW w:w="1134" w:type="dxa"/>
            <w:vAlign w:val="center"/>
          </w:tcPr>
          <w:p>
            <w:pPr>
              <w:pStyle w:val="12"/>
            </w:pPr>
            <w:r>
              <w:t>652.70</w:t>
            </w:r>
          </w:p>
        </w:tc>
        <w:tc>
          <w:tcPr>
            <w:tcW w:w="1134" w:type="dxa"/>
            <w:vAlign w:val="center"/>
          </w:tcPr>
          <w:p>
            <w:pPr>
              <w:pStyle w:val="12"/>
            </w:pPr>
            <w:r>
              <w:t>652.70</w:t>
            </w:r>
          </w:p>
        </w:tc>
        <w:tc>
          <w:tcPr>
            <w:tcW w:w="1134" w:type="dxa"/>
            <w:vAlign w:val="center"/>
          </w:tcPr>
          <w:p>
            <w:pPr>
              <w:pStyle w:val="12"/>
            </w:pPr>
            <w:r>
              <w:t>652.70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2010301</w:t>
            </w:r>
          </w:p>
        </w:tc>
        <w:tc>
          <w:tcPr>
            <w:tcW w:w="1559" w:type="dxa"/>
            <w:vAlign w:val="center"/>
          </w:tcPr>
          <w:p>
            <w:pPr>
              <w:pStyle w:val="13"/>
            </w:pPr>
            <w:r>
              <w:t>行政运行</w:t>
            </w:r>
          </w:p>
        </w:tc>
        <w:tc>
          <w:tcPr>
            <w:tcW w:w="1134" w:type="dxa"/>
            <w:vAlign w:val="center"/>
          </w:tcPr>
          <w:p>
            <w:pPr>
              <w:pStyle w:val="12"/>
            </w:pPr>
            <w:r>
              <w:t>429.34</w:t>
            </w:r>
          </w:p>
        </w:tc>
        <w:tc>
          <w:tcPr>
            <w:tcW w:w="1134" w:type="dxa"/>
            <w:vAlign w:val="center"/>
          </w:tcPr>
          <w:p>
            <w:pPr>
              <w:pStyle w:val="12"/>
            </w:pPr>
            <w:r>
              <w:t>429.34</w:t>
            </w:r>
          </w:p>
        </w:tc>
        <w:tc>
          <w:tcPr>
            <w:tcW w:w="1134" w:type="dxa"/>
            <w:vAlign w:val="center"/>
          </w:tcPr>
          <w:p>
            <w:pPr>
              <w:pStyle w:val="12"/>
            </w:pPr>
            <w:r>
              <w:t>429.34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2010350</w:t>
            </w:r>
          </w:p>
        </w:tc>
        <w:tc>
          <w:tcPr>
            <w:tcW w:w="1559" w:type="dxa"/>
            <w:vAlign w:val="center"/>
          </w:tcPr>
          <w:p>
            <w:pPr>
              <w:pStyle w:val="13"/>
            </w:pPr>
            <w:r>
              <w:t>事业运行</w:t>
            </w:r>
          </w:p>
        </w:tc>
        <w:tc>
          <w:tcPr>
            <w:tcW w:w="1134" w:type="dxa"/>
            <w:vAlign w:val="center"/>
          </w:tcPr>
          <w:p>
            <w:pPr>
              <w:pStyle w:val="12"/>
            </w:pPr>
            <w:r>
              <w:t>23.36</w:t>
            </w:r>
          </w:p>
        </w:tc>
        <w:tc>
          <w:tcPr>
            <w:tcW w:w="1134" w:type="dxa"/>
            <w:vAlign w:val="center"/>
          </w:tcPr>
          <w:p>
            <w:pPr>
              <w:pStyle w:val="12"/>
            </w:pPr>
            <w:r>
              <w:t>23.36</w:t>
            </w:r>
          </w:p>
        </w:tc>
        <w:tc>
          <w:tcPr>
            <w:tcW w:w="1134" w:type="dxa"/>
            <w:vAlign w:val="center"/>
          </w:tcPr>
          <w:p>
            <w:pPr>
              <w:pStyle w:val="12"/>
            </w:pPr>
            <w:r>
              <w:t>23.36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2010399</w:t>
            </w:r>
          </w:p>
        </w:tc>
        <w:tc>
          <w:tcPr>
            <w:tcW w:w="1559" w:type="dxa"/>
            <w:vAlign w:val="center"/>
          </w:tcPr>
          <w:p>
            <w:pPr>
              <w:pStyle w:val="13"/>
            </w:pPr>
            <w:r>
              <w:t>其他政府办公厅（室）及相关机构事务支出</w:t>
            </w:r>
          </w:p>
        </w:tc>
        <w:tc>
          <w:tcPr>
            <w:tcW w:w="1134" w:type="dxa"/>
            <w:vAlign w:val="center"/>
          </w:tcPr>
          <w:p>
            <w:pPr>
              <w:pStyle w:val="12"/>
            </w:pPr>
            <w:r>
              <w:t>200.00</w:t>
            </w:r>
          </w:p>
        </w:tc>
        <w:tc>
          <w:tcPr>
            <w:tcW w:w="1134" w:type="dxa"/>
            <w:vAlign w:val="center"/>
          </w:tcPr>
          <w:p>
            <w:pPr>
              <w:pStyle w:val="12"/>
            </w:pPr>
            <w:r>
              <w:t>200.00</w:t>
            </w:r>
          </w:p>
        </w:tc>
        <w:tc>
          <w:tcPr>
            <w:tcW w:w="1134" w:type="dxa"/>
            <w:vAlign w:val="center"/>
          </w:tcPr>
          <w:p>
            <w:pPr>
              <w:pStyle w:val="12"/>
            </w:pPr>
            <w:r>
              <w:t>200.00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38.23</w:t>
            </w:r>
          </w:p>
        </w:tc>
        <w:tc>
          <w:tcPr>
            <w:tcW w:w="1134" w:type="dxa"/>
            <w:vAlign w:val="center"/>
          </w:tcPr>
          <w:p>
            <w:pPr>
              <w:pStyle w:val="12"/>
            </w:pPr>
            <w:r>
              <w:t>38.23</w:t>
            </w:r>
          </w:p>
        </w:tc>
        <w:tc>
          <w:tcPr>
            <w:tcW w:w="1134" w:type="dxa"/>
            <w:vAlign w:val="center"/>
          </w:tcPr>
          <w:p>
            <w:pPr>
              <w:pStyle w:val="12"/>
            </w:pPr>
            <w:r>
              <w:t>38.23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38.23</w:t>
            </w:r>
          </w:p>
        </w:tc>
        <w:tc>
          <w:tcPr>
            <w:tcW w:w="1134" w:type="dxa"/>
            <w:vAlign w:val="center"/>
          </w:tcPr>
          <w:p>
            <w:pPr>
              <w:pStyle w:val="12"/>
            </w:pPr>
            <w:r>
              <w:t>38.23</w:t>
            </w:r>
          </w:p>
        </w:tc>
        <w:tc>
          <w:tcPr>
            <w:tcW w:w="1134" w:type="dxa"/>
            <w:vAlign w:val="center"/>
          </w:tcPr>
          <w:p>
            <w:pPr>
              <w:pStyle w:val="12"/>
            </w:pPr>
            <w:r>
              <w:t>38.23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38.23</w:t>
            </w:r>
          </w:p>
        </w:tc>
        <w:tc>
          <w:tcPr>
            <w:tcW w:w="1134" w:type="dxa"/>
            <w:vAlign w:val="center"/>
          </w:tcPr>
          <w:p>
            <w:pPr>
              <w:pStyle w:val="12"/>
            </w:pPr>
            <w:r>
              <w:t>38.23</w:t>
            </w:r>
          </w:p>
        </w:tc>
        <w:tc>
          <w:tcPr>
            <w:tcW w:w="1134" w:type="dxa"/>
            <w:vAlign w:val="center"/>
          </w:tcPr>
          <w:p>
            <w:pPr>
              <w:pStyle w:val="12"/>
            </w:pPr>
            <w:r>
              <w:t>38.23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20.23</w:t>
            </w:r>
          </w:p>
        </w:tc>
        <w:tc>
          <w:tcPr>
            <w:tcW w:w="1134" w:type="dxa"/>
            <w:vAlign w:val="center"/>
          </w:tcPr>
          <w:p>
            <w:pPr>
              <w:pStyle w:val="12"/>
            </w:pPr>
            <w:r>
              <w:t>20.23</w:t>
            </w:r>
          </w:p>
        </w:tc>
        <w:tc>
          <w:tcPr>
            <w:tcW w:w="1134" w:type="dxa"/>
            <w:vAlign w:val="center"/>
          </w:tcPr>
          <w:p>
            <w:pPr>
              <w:pStyle w:val="12"/>
            </w:pPr>
            <w:r>
              <w:t>20.23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20.23</w:t>
            </w:r>
          </w:p>
        </w:tc>
        <w:tc>
          <w:tcPr>
            <w:tcW w:w="1134" w:type="dxa"/>
            <w:vAlign w:val="center"/>
          </w:tcPr>
          <w:p>
            <w:pPr>
              <w:pStyle w:val="12"/>
            </w:pPr>
            <w:r>
              <w:t>20.23</w:t>
            </w:r>
          </w:p>
        </w:tc>
        <w:tc>
          <w:tcPr>
            <w:tcW w:w="1134" w:type="dxa"/>
            <w:vAlign w:val="center"/>
          </w:tcPr>
          <w:p>
            <w:pPr>
              <w:pStyle w:val="12"/>
            </w:pPr>
            <w:r>
              <w:t>20.23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2101101</w:t>
            </w:r>
          </w:p>
        </w:tc>
        <w:tc>
          <w:tcPr>
            <w:tcW w:w="1559" w:type="dxa"/>
            <w:vAlign w:val="center"/>
          </w:tcPr>
          <w:p>
            <w:pPr>
              <w:pStyle w:val="13"/>
            </w:pPr>
            <w:r>
              <w:t>行政单位医疗</w:t>
            </w:r>
          </w:p>
        </w:tc>
        <w:tc>
          <w:tcPr>
            <w:tcW w:w="1134" w:type="dxa"/>
            <w:vAlign w:val="center"/>
          </w:tcPr>
          <w:p>
            <w:pPr>
              <w:pStyle w:val="12"/>
            </w:pPr>
            <w:r>
              <w:t>20.23</w:t>
            </w:r>
          </w:p>
        </w:tc>
        <w:tc>
          <w:tcPr>
            <w:tcW w:w="1134" w:type="dxa"/>
            <w:vAlign w:val="center"/>
          </w:tcPr>
          <w:p>
            <w:pPr>
              <w:pStyle w:val="12"/>
            </w:pPr>
            <w:r>
              <w:t>20.23</w:t>
            </w:r>
          </w:p>
        </w:tc>
        <w:tc>
          <w:tcPr>
            <w:tcW w:w="1134" w:type="dxa"/>
            <w:vAlign w:val="center"/>
          </w:tcPr>
          <w:p>
            <w:pPr>
              <w:pStyle w:val="12"/>
            </w:pPr>
            <w:r>
              <w:t>20.23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30.10</w:t>
            </w:r>
          </w:p>
        </w:tc>
        <w:tc>
          <w:tcPr>
            <w:tcW w:w="1134" w:type="dxa"/>
            <w:vAlign w:val="center"/>
          </w:tcPr>
          <w:p>
            <w:pPr>
              <w:pStyle w:val="12"/>
            </w:pPr>
            <w:r>
              <w:t>30.10</w:t>
            </w:r>
          </w:p>
        </w:tc>
        <w:tc>
          <w:tcPr>
            <w:tcW w:w="1134" w:type="dxa"/>
            <w:vAlign w:val="center"/>
          </w:tcPr>
          <w:p>
            <w:pPr>
              <w:pStyle w:val="12"/>
            </w:pPr>
            <w:r>
              <w:t>30.10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30.10</w:t>
            </w:r>
          </w:p>
        </w:tc>
        <w:tc>
          <w:tcPr>
            <w:tcW w:w="1134" w:type="dxa"/>
            <w:vAlign w:val="center"/>
          </w:tcPr>
          <w:p>
            <w:pPr>
              <w:pStyle w:val="12"/>
            </w:pPr>
            <w:r>
              <w:t>30.10</w:t>
            </w:r>
          </w:p>
        </w:tc>
        <w:tc>
          <w:tcPr>
            <w:tcW w:w="1134" w:type="dxa"/>
            <w:vAlign w:val="center"/>
          </w:tcPr>
          <w:p>
            <w:pPr>
              <w:pStyle w:val="12"/>
            </w:pPr>
            <w:r>
              <w:t>30.10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30.10</w:t>
            </w:r>
          </w:p>
        </w:tc>
        <w:tc>
          <w:tcPr>
            <w:tcW w:w="1134" w:type="dxa"/>
            <w:vAlign w:val="center"/>
          </w:tcPr>
          <w:p>
            <w:pPr>
              <w:pStyle w:val="12"/>
            </w:pPr>
            <w:r>
              <w:t>30.10</w:t>
            </w:r>
          </w:p>
        </w:tc>
        <w:tc>
          <w:tcPr>
            <w:tcW w:w="1134" w:type="dxa"/>
            <w:vAlign w:val="center"/>
          </w:tcPr>
          <w:p>
            <w:pPr>
              <w:pStyle w:val="12"/>
            </w:pPr>
            <w:r>
              <w:t>30.10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223馆陶县行政审批局</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741.26</w:t>
            </w:r>
          </w:p>
        </w:tc>
        <w:tc>
          <w:tcPr>
            <w:tcW w:w="1361" w:type="dxa"/>
            <w:vAlign w:val="center"/>
          </w:tcPr>
          <w:p>
            <w:pPr>
              <w:pStyle w:val="16"/>
            </w:pPr>
            <w:r>
              <w:t>411.50</w:t>
            </w:r>
          </w:p>
        </w:tc>
        <w:tc>
          <w:tcPr>
            <w:tcW w:w="1361" w:type="dxa"/>
            <w:vAlign w:val="center"/>
          </w:tcPr>
          <w:p>
            <w:pPr>
              <w:pStyle w:val="16"/>
            </w:pPr>
            <w:r>
              <w:t>329.76</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201</w:t>
            </w:r>
          </w:p>
        </w:tc>
        <w:tc>
          <w:tcPr>
            <w:tcW w:w="4535" w:type="dxa"/>
            <w:vAlign w:val="center"/>
          </w:tcPr>
          <w:p>
            <w:pPr>
              <w:pStyle w:val="13"/>
            </w:pPr>
            <w:r>
              <w:t>一般公共服务支出</w:t>
            </w:r>
          </w:p>
        </w:tc>
        <w:tc>
          <w:tcPr>
            <w:tcW w:w="1361" w:type="dxa"/>
            <w:vAlign w:val="center"/>
          </w:tcPr>
          <w:p>
            <w:pPr>
              <w:pStyle w:val="12"/>
            </w:pPr>
            <w:r>
              <w:t>652.70</w:t>
            </w:r>
          </w:p>
        </w:tc>
        <w:tc>
          <w:tcPr>
            <w:tcW w:w="1361" w:type="dxa"/>
            <w:vAlign w:val="center"/>
          </w:tcPr>
          <w:p>
            <w:pPr>
              <w:pStyle w:val="12"/>
            </w:pPr>
            <w:r>
              <w:t>322.94</w:t>
            </w:r>
          </w:p>
        </w:tc>
        <w:tc>
          <w:tcPr>
            <w:tcW w:w="1361" w:type="dxa"/>
            <w:vAlign w:val="center"/>
          </w:tcPr>
          <w:p>
            <w:pPr>
              <w:pStyle w:val="12"/>
            </w:pPr>
            <w:r>
              <w:t>329.76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20103</w:t>
            </w:r>
          </w:p>
        </w:tc>
        <w:tc>
          <w:tcPr>
            <w:tcW w:w="4535" w:type="dxa"/>
            <w:vAlign w:val="center"/>
          </w:tcPr>
          <w:p>
            <w:pPr>
              <w:pStyle w:val="13"/>
            </w:pPr>
            <w:r>
              <w:t>政府办公厅（室）及相关机构事务</w:t>
            </w:r>
          </w:p>
        </w:tc>
        <w:tc>
          <w:tcPr>
            <w:tcW w:w="1361" w:type="dxa"/>
            <w:vAlign w:val="center"/>
          </w:tcPr>
          <w:p>
            <w:pPr>
              <w:pStyle w:val="12"/>
            </w:pPr>
            <w:r>
              <w:t>652.70</w:t>
            </w:r>
          </w:p>
        </w:tc>
        <w:tc>
          <w:tcPr>
            <w:tcW w:w="1361" w:type="dxa"/>
            <w:vAlign w:val="center"/>
          </w:tcPr>
          <w:p>
            <w:pPr>
              <w:pStyle w:val="12"/>
            </w:pPr>
            <w:r>
              <w:t>322.94</w:t>
            </w:r>
          </w:p>
        </w:tc>
        <w:tc>
          <w:tcPr>
            <w:tcW w:w="1361" w:type="dxa"/>
            <w:vAlign w:val="center"/>
          </w:tcPr>
          <w:p>
            <w:pPr>
              <w:pStyle w:val="12"/>
            </w:pPr>
            <w:r>
              <w:t>329.76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2010301</w:t>
            </w:r>
          </w:p>
        </w:tc>
        <w:tc>
          <w:tcPr>
            <w:tcW w:w="4535" w:type="dxa"/>
            <w:vAlign w:val="center"/>
          </w:tcPr>
          <w:p>
            <w:pPr>
              <w:pStyle w:val="13"/>
            </w:pPr>
            <w:r>
              <w:t>行政运行</w:t>
            </w:r>
          </w:p>
        </w:tc>
        <w:tc>
          <w:tcPr>
            <w:tcW w:w="1361" w:type="dxa"/>
            <w:vAlign w:val="center"/>
          </w:tcPr>
          <w:p>
            <w:pPr>
              <w:pStyle w:val="12"/>
            </w:pPr>
            <w:r>
              <w:t>429.34</w:t>
            </w:r>
          </w:p>
        </w:tc>
        <w:tc>
          <w:tcPr>
            <w:tcW w:w="1361" w:type="dxa"/>
            <w:vAlign w:val="center"/>
          </w:tcPr>
          <w:p>
            <w:pPr>
              <w:pStyle w:val="12"/>
            </w:pPr>
            <w:r>
              <w:t>322.94</w:t>
            </w:r>
          </w:p>
        </w:tc>
        <w:tc>
          <w:tcPr>
            <w:tcW w:w="1361" w:type="dxa"/>
            <w:vAlign w:val="center"/>
          </w:tcPr>
          <w:p>
            <w:pPr>
              <w:pStyle w:val="12"/>
            </w:pPr>
            <w:r>
              <w:t>106.40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2010350</w:t>
            </w:r>
          </w:p>
        </w:tc>
        <w:tc>
          <w:tcPr>
            <w:tcW w:w="4535" w:type="dxa"/>
            <w:vAlign w:val="center"/>
          </w:tcPr>
          <w:p>
            <w:pPr>
              <w:pStyle w:val="13"/>
            </w:pPr>
            <w:r>
              <w:t>事业运行</w:t>
            </w:r>
          </w:p>
        </w:tc>
        <w:tc>
          <w:tcPr>
            <w:tcW w:w="1361" w:type="dxa"/>
            <w:vAlign w:val="center"/>
          </w:tcPr>
          <w:p>
            <w:pPr>
              <w:pStyle w:val="12"/>
            </w:pPr>
            <w:r>
              <w:t>23.36</w:t>
            </w:r>
          </w:p>
        </w:tc>
        <w:tc>
          <w:tcPr>
            <w:tcW w:w="1361" w:type="dxa"/>
            <w:vAlign w:val="center"/>
          </w:tcPr>
          <w:p>
            <w:pPr>
              <w:pStyle w:val="12"/>
            </w:pPr>
          </w:p>
        </w:tc>
        <w:tc>
          <w:tcPr>
            <w:tcW w:w="1361" w:type="dxa"/>
            <w:vAlign w:val="center"/>
          </w:tcPr>
          <w:p>
            <w:pPr>
              <w:pStyle w:val="12"/>
            </w:pPr>
            <w:r>
              <w:t>23.36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2010399</w:t>
            </w:r>
          </w:p>
        </w:tc>
        <w:tc>
          <w:tcPr>
            <w:tcW w:w="4535" w:type="dxa"/>
            <w:vAlign w:val="center"/>
          </w:tcPr>
          <w:p>
            <w:pPr>
              <w:pStyle w:val="13"/>
            </w:pPr>
            <w:r>
              <w:t>其他政府办公厅（室）及相关机构事务支出</w:t>
            </w:r>
          </w:p>
        </w:tc>
        <w:tc>
          <w:tcPr>
            <w:tcW w:w="1361" w:type="dxa"/>
            <w:vAlign w:val="center"/>
          </w:tcPr>
          <w:p>
            <w:pPr>
              <w:pStyle w:val="12"/>
            </w:pPr>
            <w:r>
              <w:t>200.00</w:t>
            </w:r>
          </w:p>
        </w:tc>
        <w:tc>
          <w:tcPr>
            <w:tcW w:w="1361" w:type="dxa"/>
            <w:vAlign w:val="center"/>
          </w:tcPr>
          <w:p>
            <w:pPr>
              <w:pStyle w:val="12"/>
            </w:pPr>
          </w:p>
        </w:tc>
        <w:tc>
          <w:tcPr>
            <w:tcW w:w="1361" w:type="dxa"/>
            <w:vAlign w:val="center"/>
          </w:tcPr>
          <w:p>
            <w:pPr>
              <w:pStyle w:val="12"/>
            </w:pPr>
            <w:r>
              <w:t>200.00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38.23</w:t>
            </w:r>
          </w:p>
        </w:tc>
        <w:tc>
          <w:tcPr>
            <w:tcW w:w="1361" w:type="dxa"/>
            <w:vAlign w:val="center"/>
          </w:tcPr>
          <w:p>
            <w:pPr>
              <w:pStyle w:val="12"/>
            </w:pPr>
            <w:r>
              <w:t>38.23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38.23</w:t>
            </w:r>
          </w:p>
        </w:tc>
        <w:tc>
          <w:tcPr>
            <w:tcW w:w="1361" w:type="dxa"/>
            <w:vAlign w:val="center"/>
          </w:tcPr>
          <w:p>
            <w:pPr>
              <w:pStyle w:val="12"/>
            </w:pPr>
            <w:r>
              <w:t>38.23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38.23</w:t>
            </w:r>
          </w:p>
        </w:tc>
        <w:tc>
          <w:tcPr>
            <w:tcW w:w="1361" w:type="dxa"/>
            <w:vAlign w:val="center"/>
          </w:tcPr>
          <w:p>
            <w:pPr>
              <w:pStyle w:val="12"/>
            </w:pPr>
            <w:r>
              <w:t>38.23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20.23</w:t>
            </w:r>
          </w:p>
        </w:tc>
        <w:tc>
          <w:tcPr>
            <w:tcW w:w="1361" w:type="dxa"/>
            <w:vAlign w:val="center"/>
          </w:tcPr>
          <w:p>
            <w:pPr>
              <w:pStyle w:val="12"/>
            </w:pPr>
            <w:r>
              <w:t>20.23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20.23</w:t>
            </w:r>
          </w:p>
        </w:tc>
        <w:tc>
          <w:tcPr>
            <w:tcW w:w="1361" w:type="dxa"/>
            <w:vAlign w:val="center"/>
          </w:tcPr>
          <w:p>
            <w:pPr>
              <w:pStyle w:val="12"/>
            </w:pPr>
            <w:r>
              <w:t>20.23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2101101</w:t>
            </w:r>
          </w:p>
        </w:tc>
        <w:tc>
          <w:tcPr>
            <w:tcW w:w="4535" w:type="dxa"/>
            <w:vAlign w:val="center"/>
          </w:tcPr>
          <w:p>
            <w:pPr>
              <w:pStyle w:val="13"/>
            </w:pPr>
            <w:r>
              <w:t>行政单位医疗</w:t>
            </w:r>
          </w:p>
        </w:tc>
        <w:tc>
          <w:tcPr>
            <w:tcW w:w="1361" w:type="dxa"/>
            <w:vAlign w:val="center"/>
          </w:tcPr>
          <w:p>
            <w:pPr>
              <w:pStyle w:val="12"/>
            </w:pPr>
            <w:r>
              <w:t>20.23</w:t>
            </w:r>
          </w:p>
        </w:tc>
        <w:tc>
          <w:tcPr>
            <w:tcW w:w="1361" w:type="dxa"/>
            <w:vAlign w:val="center"/>
          </w:tcPr>
          <w:p>
            <w:pPr>
              <w:pStyle w:val="12"/>
            </w:pPr>
            <w:r>
              <w:t>20.23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30.10</w:t>
            </w:r>
          </w:p>
        </w:tc>
        <w:tc>
          <w:tcPr>
            <w:tcW w:w="1361" w:type="dxa"/>
            <w:vAlign w:val="center"/>
          </w:tcPr>
          <w:p>
            <w:pPr>
              <w:pStyle w:val="12"/>
            </w:pPr>
            <w:r>
              <w:t>30.10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30.10</w:t>
            </w:r>
          </w:p>
        </w:tc>
        <w:tc>
          <w:tcPr>
            <w:tcW w:w="1361" w:type="dxa"/>
            <w:vAlign w:val="center"/>
          </w:tcPr>
          <w:p>
            <w:pPr>
              <w:pStyle w:val="12"/>
            </w:pPr>
            <w:r>
              <w:t>30.10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30.10</w:t>
            </w:r>
          </w:p>
        </w:tc>
        <w:tc>
          <w:tcPr>
            <w:tcW w:w="1361" w:type="dxa"/>
            <w:vAlign w:val="center"/>
          </w:tcPr>
          <w:p>
            <w:pPr>
              <w:pStyle w:val="12"/>
            </w:pPr>
            <w:r>
              <w:t>30.10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223馆陶县行政审批局</w:t>
            </w:r>
          </w:p>
        </w:tc>
        <w:tc>
          <w:tcPr>
            <w:tcW w:w="3402" w:type="dxa"/>
            <w:tcBorders>
              <w:top w:val="single" w:color="FFFFFF" w:sz="6" w:space="0"/>
              <w:left w:val="single" w:color="FFFFFF" w:sz="6" w:space="0"/>
              <w:right w:val="single" w:color="FFFFFF" w:sz="6" w:space="0"/>
            </w:tcBorders>
            <w:vAlign w:val="center"/>
          </w:tcPr>
          <w:p>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741.26</w:t>
            </w:r>
          </w:p>
        </w:tc>
        <w:tc>
          <w:tcPr>
            <w:tcW w:w="3402" w:type="dxa"/>
            <w:vAlign w:val="center"/>
          </w:tcPr>
          <w:p>
            <w:pPr>
              <w:pStyle w:val="13"/>
            </w:pPr>
            <w:r>
              <w:t>一、一般公共服务支出</w:t>
            </w:r>
          </w:p>
        </w:tc>
        <w:tc>
          <w:tcPr>
            <w:tcW w:w="1474" w:type="dxa"/>
            <w:vAlign w:val="center"/>
          </w:tcPr>
          <w:p>
            <w:pPr>
              <w:pStyle w:val="12"/>
            </w:pPr>
            <w:r>
              <w:t>652.70</w:t>
            </w:r>
          </w:p>
        </w:tc>
        <w:tc>
          <w:tcPr>
            <w:tcW w:w="1474" w:type="dxa"/>
            <w:vAlign w:val="center"/>
          </w:tcPr>
          <w:p>
            <w:pPr>
              <w:pStyle w:val="12"/>
            </w:pPr>
            <w:r>
              <w:t>652.70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38.23</w:t>
            </w:r>
          </w:p>
        </w:tc>
        <w:tc>
          <w:tcPr>
            <w:tcW w:w="1474" w:type="dxa"/>
            <w:vAlign w:val="center"/>
          </w:tcPr>
          <w:p>
            <w:pPr>
              <w:pStyle w:val="12"/>
            </w:pPr>
            <w:r>
              <w:t>38.23</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20.23</w:t>
            </w:r>
          </w:p>
        </w:tc>
        <w:tc>
          <w:tcPr>
            <w:tcW w:w="1474" w:type="dxa"/>
            <w:vAlign w:val="center"/>
          </w:tcPr>
          <w:p>
            <w:pPr>
              <w:pStyle w:val="12"/>
            </w:pPr>
            <w:r>
              <w:t>20.23</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30.10</w:t>
            </w:r>
          </w:p>
        </w:tc>
        <w:tc>
          <w:tcPr>
            <w:tcW w:w="1474" w:type="dxa"/>
            <w:vAlign w:val="center"/>
          </w:tcPr>
          <w:p>
            <w:pPr>
              <w:pStyle w:val="12"/>
            </w:pPr>
            <w:r>
              <w:t>30.10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5"/>
            </w:pPr>
            <w:r>
              <w:t>本年收入合计</w:t>
            </w:r>
          </w:p>
        </w:tc>
        <w:tc>
          <w:tcPr>
            <w:tcW w:w="1474" w:type="dxa"/>
            <w:vAlign w:val="center"/>
          </w:tcPr>
          <w:p>
            <w:pPr>
              <w:pStyle w:val="16"/>
            </w:pPr>
            <w:r>
              <w:t>741.26</w:t>
            </w:r>
          </w:p>
        </w:tc>
        <w:tc>
          <w:tcPr>
            <w:tcW w:w="3402" w:type="dxa"/>
            <w:vAlign w:val="center"/>
          </w:tcPr>
          <w:p>
            <w:pPr>
              <w:pStyle w:val="15"/>
            </w:pPr>
            <w:r>
              <w:t>本年支出合计</w:t>
            </w:r>
          </w:p>
        </w:tc>
        <w:tc>
          <w:tcPr>
            <w:tcW w:w="1474" w:type="dxa"/>
            <w:vAlign w:val="center"/>
          </w:tcPr>
          <w:p>
            <w:pPr>
              <w:pStyle w:val="16"/>
            </w:pPr>
            <w:r>
              <w:t>741.26</w:t>
            </w:r>
          </w:p>
        </w:tc>
        <w:tc>
          <w:tcPr>
            <w:tcW w:w="1474" w:type="dxa"/>
            <w:vAlign w:val="center"/>
          </w:tcPr>
          <w:p>
            <w:pPr>
              <w:pStyle w:val="16"/>
            </w:pPr>
            <w:r>
              <w:t>741.26</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3"/>
            </w:pPr>
            <w:r>
              <w:t>年初财政拨款结转和结余</w:t>
            </w:r>
          </w:p>
        </w:tc>
        <w:tc>
          <w:tcPr>
            <w:tcW w:w="1474" w:type="dxa"/>
            <w:vAlign w:val="center"/>
          </w:tcPr>
          <w:p>
            <w:pPr>
              <w:pStyle w:val="12"/>
            </w:pP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一、一般公共预算拨款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5"/>
            </w:pPr>
            <w:r>
              <w:t>收入总计</w:t>
            </w:r>
          </w:p>
        </w:tc>
        <w:tc>
          <w:tcPr>
            <w:tcW w:w="1474" w:type="dxa"/>
            <w:vAlign w:val="center"/>
          </w:tcPr>
          <w:p>
            <w:pPr>
              <w:pStyle w:val="16"/>
            </w:pPr>
            <w:r>
              <w:t>741.26</w:t>
            </w:r>
          </w:p>
        </w:tc>
        <w:tc>
          <w:tcPr>
            <w:tcW w:w="3402" w:type="dxa"/>
            <w:vAlign w:val="center"/>
          </w:tcPr>
          <w:p>
            <w:pPr>
              <w:pStyle w:val="15"/>
            </w:pPr>
            <w:r>
              <w:t>支出总计</w:t>
            </w:r>
          </w:p>
        </w:tc>
        <w:tc>
          <w:tcPr>
            <w:tcW w:w="1474" w:type="dxa"/>
            <w:vAlign w:val="center"/>
          </w:tcPr>
          <w:p>
            <w:pPr>
              <w:pStyle w:val="16"/>
            </w:pPr>
            <w:r>
              <w:t>741.26</w:t>
            </w:r>
          </w:p>
        </w:tc>
        <w:tc>
          <w:tcPr>
            <w:tcW w:w="1474" w:type="dxa"/>
            <w:vAlign w:val="center"/>
          </w:tcPr>
          <w:p>
            <w:pPr>
              <w:pStyle w:val="16"/>
            </w:pPr>
            <w:r>
              <w:t>741.26</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223馆陶县行政审批局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741.26</w:t>
            </w:r>
          </w:p>
        </w:tc>
        <w:tc>
          <w:tcPr>
            <w:tcW w:w="2551" w:type="dxa"/>
            <w:vAlign w:val="center"/>
          </w:tcPr>
          <w:p>
            <w:pPr>
              <w:pStyle w:val="16"/>
            </w:pPr>
            <w:r>
              <w:t>411.50</w:t>
            </w:r>
          </w:p>
        </w:tc>
        <w:tc>
          <w:tcPr>
            <w:tcW w:w="2551" w:type="dxa"/>
            <w:vAlign w:val="center"/>
          </w:tcPr>
          <w:p>
            <w:pPr>
              <w:pStyle w:val="16"/>
            </w:pPr>
            <w:r>
              <w:t>329.76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201</w:t>
            </w:r>
          </w:p>
        </w:tc>
        <w:tc>
          <w:tcPr>
            <w:tcW w:w="4535" w:type="dxa"/>
            <w:vAlign w:val="center"/>
          </w:tcPr>
          <w:p>
            <w:pPr>
              <w:pStyle w:val="13"/>
            </w:pPr>
            <w:r>
              <w:t>一般公共服务支出</w:t>
            </w:r>
          </w:p>
        </w:tc>
        <w:tc>
          <w:tcPr>
            <w:tcW w:w="2551" w:type="dxa"/>
            <w:vAlign w:val="center"/>
          </w:tcPr>
          <w:p>
            <w:pPr>
              <w:pStyle w:val="12"/>
            </w:pPr>
            <w:r>
              <w:t>652.70</w:t>
            </w:r>
          </w:p>
        </w:tc>
        <w:tc>
          <w:tcPr>
            <w:tcW w:w="2551" w:type="dxa"/>
            <w:vAlign w:val="center"/>
          </w:tcPr>
          <w:p>
            <w:pPr>
              <w:pStyle w:val="12"/>
            </w:pPr>
            <w:r>
              <w:t>322.94</w:t>
            </w:r>
          </w:p>
        </w:tc>
        <w:tc>
          <w:tcPr>
            <w:tcW w:w="2551" w:type="dxa"/>
            <w:vAlign w:val="center"/>
          </w:tcPr>
          <w:p>
            <w:pPr>
              <w:pStyle w:val="12"/>
            </w:pPr>
            <w:r>
              <w:t>329.76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20103</w:t>
            </w:r>
          </w:p>
        </w:tc>
        <w:tc>
          <w:tcPr>
            <w:tcW w:w="4535" w:type="dxa"/>
            <w:vAlign w:val="center"/>
          </w:tcPr>
          <w:p>
            <w:pPr>
              <w:pStyle w:val="13"/>
            </w:pPr>
            <w:r>
              <w:t>政府办公厅（室）及相关机构事务</w:t>
            </w:r>
          </w:p>
        </w:tc>
        <w:tc>
          <w:tcPr>
            <w:tcW w:w="2551" w:type="dxa"/>
            <w:vAlign w:val="center"/>
          </w:tcPr>
          <w:p>
            <w:pPr>
              <w:pStyle w:val="12"/>
            </w:pPr>
            <w:r>
              <w:t>652.70</w:t>
            </w:r>
          </w:p>
        </w:tc>
        <w:tc>
          <w:tcPr>
            <w:tcW w:w="2551" w:type="dxa"/>
            <w:vAlign w:val="center"/>
          </w:tcPr>
          <w:p>
            <w:pPr>
              <w:pStyle w:val="12"/>
            </w:pPr>
            <w:r>
              <w:t>322.94</w:t>
            </w:r>
          </w:p>
        </w:tc>
        <w:tc>
          <w:tcPr>
            <w:tcW w:w="2551" w:type="dxa"/>
            <w:vAlign w:val="center"/>
          </w:tcPr>
          <w:p>
            <w:pPr>
              <w:pStyle w:val="12"/>
            </w:pPr>
            <w:r>
              <w:t>329.76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2010301</w:t>
            </w:r>
          </w:p>
        </w:tc>
        <w:tc>
          <w:tcPr>
            <w:tcW w:w="4535" w:type="dxa"/>
            <w:vAlign w:val="center"/>
          </w:tcPr>
          <w:p>
            <w:pPr>
              <w:pStyle w:val="13"/>
            </w:pPr>
            <w:r>
              <w:t>行政运行</w:t>
            </w:r>
          </w:p>
        </w:tc>
        <w:tc>
          <w:tcPr>
            <w:tcW w:w="2551" w:type="dxa"/>
            <w:vAlign w:val="center"/>
          </w:tcPr>
          <w:p>
            <w:pPr>
              <w:pStyle w:val="12"/>
            </w:pPr>
            <w:r>
              <w:t>429.34</w:t>
            </w:r>
          </w:p>
        </w:tc>
        <w:tc>
          <w:tcPr>
            <w:tcW w:w="2551" w:type="dxa"/>
            <w:vAlign w:val="center"/>
          </w:tcPr>
          <w:p>
            <w:pPr>
              <w:pStyle w:val="12"/>
            </w:pPr>
            <w:r>
              <w:t>322.94</w:t>
            </w:r>
          </w:p>
        </w:tc>
        <w:tc>
          <w:tcPr>
            <w:tcW w:w="2551" w:type="dxa"/>
            <w:vAlign w:val="center"/>
          </w:tcPr>
          <w:p>
            <w:pPr>
              <w:pStyle w:val="12"/>
            </w:pPr>
            <w:r>
              <w:t>106.40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2010350</w:t>
            </w:r>
          </w:p>
        </w:tc>
        <w:tc>
          <w:tcPr>
            <w:tcW w:w="4535" w:type="dxa"/>
            <w:vAlign w:val="center"/>
          </w:tcPr>
          <w:p>
            <w:pPr>
              <w:pStyle w:val="13"/>
            </w:pPr>
            <w:r>
              <w:t>事业运行</w:t>
            </w:r>
          </w:p>
        </w:tc>
        <w:tc>
          <w:tcPr>
            <w:tcW w:w="2551" w:type="dxa"/>
            <w:vAlign w:val="center"/>
          </w:tcPr>
          <w:p>
            <w:pPr>
              <w:pStyle w:val="12"/>
            </w:pPr>
            <w:r>
              <w:t>23.36</w:t>
            </w:r>
          </w:p>
        </w:tc>
        <w:tc>
          <w:tcPr>
            <w:tcW w:w="2551" w:type="dxa"/>
            <w:vAlign w:val="center"/>
          </w:tcPr>
          <w:p>
            <w:pPr>
              <w:pStyle w:val="12"/>
            </w:pPr>
          </w:p>
        </w:tc>
        <w:tc>
          <w:tcPr>
            <w:tcW w:w="2551" w:type="dxa"/>
            <w:vAlign w:val="center"/>
          </w:tcPr>
          <w:p>
            <w:pPr>
              <w:pStyle w:val="12"/>
            </w:pPr>
            <w:r>
              <w:t>23.36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2010399</w:t>
            </w:r>
          </w:p>
        </w:tc>
        <w:tc>
          <w:tcPr>
            <w:tcW w:w="4535" w:type="dxa"/>
            <w:vAlign w:val="center"/>
          </w:tcPr>
          <w:p>
            <w:pPr>
              <w:pStyle w:val="13"/>
            </w:pPr>
            <w:r>
              <w:t>其他政府办公厅（室）及相关机构事务支出</w:t>
            </w:r>
          </w:p>
        </w:tc>
        <w:tc>
          <w:tcPr>
            <w:tcW w:w="2551" w:type="dxa"/>
            <w:vAlign w:val="center"/>
          </w:tcPr>
          <w:p>
            <w:pPr>
              <w:pStyle w:val="12"/>
            </w:pPr>
            <w:r>
              <w:t>200.00</w:t>
            </w:r>
          </w:p>
        </w:tc>
        <w:tc>
          <w:tcPr>
            <w:tcW w:w="2551" w:type="dxa"/>
            <w:vAlign w:val="center"/>
          </w:tcPr>
          <w:p>
            <w:pPr>
              <w:pStyle w:val="12"/>
            </w:pPr>
          </w:p>
        </w:tc>
        <w:tc>
          <w:tcPr>
            <w:tcW w:w="2551" w:type="dxa"/>
            <w:vAlign w:val="center"/>
          </w:tcPr>
          <w:p>
            <w:pPr>
              <w:pStyle w:val="12"/>
            </w:pPr>
            <w:r>
              <w:t>200.00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38.23</w:t>
            </w:r>
          </w:p>
        </w:tc>
        <w:tc>
          <w:tcPr>
            <w:tcW w:w="2551" w:type="dxa"/>
            <w:vAlign w:val="center"/>
          </w:tcPr>
          <w:p>
            <w:pPr>
              <w:pStyle w:val="12"/>
            </w:pPr>
            <w:r>
              <w:t>38.23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38.23</w:t>
            </w:r>
          </w:p>
        </w:tc>
        <w:tc>
          <w:tcPr>
            <w:tcW w:w="2551" w:type="dxa"/>
            <w:vAlign w:val="center"/>
          </w:tcPr>
          <w:p>
            <w:pPr>
              <w:pStyle w:val="12"/>
            </w:pPr>
            <w:r>
              <w:t>38.23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38.23</w:t>
            </w:r>
          </w:p>
        </w:tc>
        <w:tc>
          <w:tcPr>
            <w:tcW w:w="2551" w:type="dxa"/>
            <w:vAlign w:val="center"/>
          </w:tcPr>
          <w:p>
            <w:pPr>
              <w:pStyle w:val="12"/>
            </w:pPr>
            <w:r>
              <w:t>38.23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20.23</w:t>
            </w:r>
          </w:p>
        </w:tc>
        <w:tc>
          <w:tcPr>
            <w:tcW w:w="2551" w:type="dxa"/>
            <w:vAlign w:val="center"/>
          </w:tcPr>
          <w:p>
            <w:pPr>
              <w:pStyle w:val="12"/>
            </w:pPr>
            <w:r>
              <w:t>20.23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20.23</w:t>
            </w:r>
          </w:p>
        </w:tc>
        <w:tc>
          <w:tcPr>
            <w:tcW w:w="2551" w:type="dxa"/>
            <w:vAlign w:val="center"/>
          </w:tcPr>
          <w:p>
            <w:pPr>
              <w:pStyle w:val="12"/>
            </w:pPr>
            <w:r>
              <w:t>20.23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2101101</w:t>
            </w:r>
          </w:p>
        </w:tc>
        <w:tc>
          <w:tcPr>
            <w:tcW w:w="4535" w:type="dxa"/>
            <w:vAlign w:val="center"/>
          </w:tcPr>
          <w:p>
            <w:pPr>
              <w:pStyle w:val="13"/>
            </w:pPr>
            <w:r>
              <w:t>行政单位医疗</w:t>
            </w:r>
          </w:p>
        </w:tc>
        <w:tc>
          <w:tcPr>
            <w:tcW w:w="2551" w:type="dxa"/>
            <w:vAlign w:val="center"/>
          </w:tcPr>
          <w:p>
            <w:pPr>
              <w:pStyle w:val="12"/>
            </w:pPr>
            <w:r>
              <w:t>20.23</w:t>
            </w:r>
          </w:p>
        </w:tc>
        <w:tc>
          <w:tcPr>
            <w:tcW w:w="2551" w:type="dxa"/>
            <w:vAlign w:val="center"/>
          </w:tcPr>
          <w:p>
            <w:pPr>
              <w:pStyle w:val="12"/>
            </w:pPr>
            <w:r>
              <w:t>20.23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30.10</w:t>
            </w:r>
          </w:p>
        </w:tc>
        <w:tc>
          <w:tcPr>
            <w:tcW w:w="2551" w:type="dxa"/>
            <w:vAlign w:val="center"/>
          </w:tcPr>
          <w:p>
            <w:pPr>
              <w:pStyle w:val="12"/>
            </w:pPr>
            <w:r>
              <w:t>30.10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30.10</w:t>
            </w:r>
          </w:p>
        </w:tc>
        <w:tc>
          <w:tcPr>
            <w:tcW w:w="2551" w:type="dxa"/>
            <w:vAlign w:val="center"/>
          </w:tcPr>
          <w:p>
            <w:pPr>
              <w:pStyle w:val="12"/>
            </w:pPr>
            <w:r>
              <w:t>30.10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30.10</w:t>
            </w:r>
          </w:p>
        </w:tc>
        <w:tc>
          <w:tcPr>
            <w:tcW w:w="2551" w:type="dxa"/>
            <w:vAlign w:val="center"/>
          </w:tcPr>
          <w:p>
            <w:pPr>
              <w:pStyle w:val="12"/>
            </w:pPr>
            <w:r>
              <w:t>30.10</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223馆陶县行政审批局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411.50</w:t>
            </w:r>
          </w:p>
        </w:tc>
        <w:tc>
          <w:tcPr>
            <w:tcW w:w="2551" w:type="dxa"/>
            <w:vAlign w:val="center"/>
          </w:tcPr>
          <w:p>
            <w:pPr>
              <w:pStyle w:val="16"/>
            </w:pPr>
            <w:r>
              <w:t>382.24</w:t>
            </w:r>
          </w:p>
        </w:tc>
        <w:tc>
          <w:tcPr>
            <w:tcW w:w="2551" w:type="dxa"/>
            <w:vAlign w:val="center"/>
          </w:tcPr>
          <w:p>
            <w:pPr>
              <w:pStyle w:val="16"/>
            </w:pPr>
            <w:r>
              <w:t>29.26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382.24</w:t>
            </w:r>
          </w:p>
        </w:tc>
        <w:tc>
          <w:tcPr>
            <w:tcW w:w="2551" w:type="dxa"/>
            <w:vAlign w:val="center"/>
          </w:tcPr>
          <w:p>
            <w:pPr>
              <w:pStyle w:val="12"/>
            </w:pPr>
            <w:r>
              <w:t>382.24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186.50</w:t>
            </w:r>
          </w:p>
        </w:tc>
        <w:tc>
          <w:tcPr>
            <w:tcW w:w="2551" w:type="dxa"/>
            <w:vAlign w:val="center"/>
          </w:tcPr>
          <w:p>
            <w:pPr>
              <w:pStyle w:val="12"/>
            </w:pPr>
            <w:r>
              <w:t>186.50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37.40</w:t>
            </w:r>
          </w:p>
        </w:tc>
        <w:tc>
          <w:tcPr>
            <w:tcW w:w="2551" w:type="dxa"/>
            <w:vAlign w:val="center"/>
          </w:tcPr>
          <w:p>
            <w:pPr>
              <w:pStyle w:val="12"/>
            </w:pPr>
            <w:r>
              <w:t>37.40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26.64</w:t>
            </w:r>
          </w:p>
        </w:tc>
        <w:tc>
          <w:tcPr>
            <w:tcW w:w="2551" w:type="dxa"/>
            <w:vAlign w:val="center"/>
          </w:tcPr>
          <w:p>
            <w:pPr>
              <w:pStyle w:val="12"/>
            </w:pPr>
            <w:r>
              <w:t>26.64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42.04</w:t>
            </w:r>
          </w:p>
        </w:tc>
        <w:tc>
          <w:tcPr>
            <w:tcW w:w="2551" w:type="dxa"/>
            <w:vAlign w:val="center"/>
          </w:tcPr>
          <w:p>
            <w:pPr>
              <w:pStyle w:val="12"/>
            </w:pPr>
            <w:r>
              <w:t>42.04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38.23</w:t>
            </w:r>
          </w:p>
        </w:tc>
        <w:tc>
          <w:tcPr>
            <w:tcW w:w="2551" w:type="dxa"/>
            <w:vAlign w:val="center"/>
          </w:tcPr>
          <w:p>
            <w:pPr>
              <w:pStyle w:val="12"/>
            </w:pPr>
            <w:r>
              <w:t>38.23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20.23</w:t>
            </w:r>
          </w:p>
        </w:tc>
        <w:tc>
          <w:tcPr>
            <w:tcW w:w="2551" w:type="dxa"/>
            <w:vAlign w:val="center"/>
          </w:tcPr>
          <w:p>
            <w:pPr>
              <w:pStyle w:val="12"/>
            </w:pPr>
            <w:r>
              <w:t>20.23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1.10</w:t>
            </w:r>
          </w:p>
        </w:tc>
        <w:tc>
          <w:tcPr>
            <w:tcW w:w="2551" w:type="dxa"/>
            <w:vAlign w:val="center"/>
          </w:tcPr>
          <w:p>
            <w:pPr>
              <w:pStyle w:val="12"/>
            </w:pPr>
            <w:r>
              <w:t>1.10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30.10</w:t>
            </w:r>
          </w:p>
        </w:tc>
        <w:tc>
          <w:tcPr>
            <w:tcW w:w="2551" w:type="dxa"/>
            <w:vAlign w:val="center"/>
          </w:tcPr>
          <w:p>
            <w:pPr>
              <w:pStyle w:val="12"/>
            </w:pPr>
            <w:r>
              <w:t>30.10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29.26</w:t>
            </w:r>
          </w:p>
        </w:tc>
        <w:tc>
          <w:tcPr>
            <w:tcW w:w="2551" w:type="dxa"/>
            <w:vAlign w:val="center"/>
          </w:tcPr>
          <w:p>
            <w:pPr>
              <w:pStyle w:val="12"/>
            </w:pPr>
          </w:p>
        </w:tc>
        <w:tc>
          <w:tcPr>
            <w:tcW w:w="2551" w:type="dxa"/>
            <w:vAlign w:val="center"/>
          </w:tcPr>
          <w:p>
            <w:pPr>
              <w:pStyle w:val="12"/>
            </w:pPr>
            <w:r>
              <w:t>29.26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3.90</w:t>
            </w:r>
          </w:p>
        </w:tc>
        <w:tc>
          <w:tcPr>
            <w:tcW w:w="2551" w:type="dxa"/>
            <w:vAlign w:val="center"/>
          </w:tcPr>
          <w:p>
            <w:pPr>
              <w:pStyle w:val="12"/>
            </w:pPr>
          </w:p>
        </w:tc>
        <w:tc>
          <w:tcPr>
            <w:tcW w:w="2551" w:type="dxa"/>
            <w:vAlign w:val="center"/>
          </w:tcPr>
          <w:p>
            <w:pPr>
              <w:pStyle w:val="12"/>
            </w:pPr>
            <w:r>
              <w:t>3.90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30202</w:t>
            </w:r>
          </w:p>
        </w:tc>
        <w:tc>
          <w:tcPr>
            <w:tcW w:w="4535" w:type="dxa"/>
            <w:vAlign w:val="center"/>
          </w:tcPr>
          <w:p>
            <w:pPr>
              <w:pStyle w:val="13"/>
            </w:pPr>
            <w:r>
              <w:t>印刷费</w:t>
            </w:r>
          </w:p>
        </w:tc>
        <w:tc>
          <w:tcPr>
            <w:tcW w:w="2551" w:type="dxa"/>
            <w:vAlign w:val="center"/>
          </w:tcPr>
          <w:p>
            <w:pPr>
              <w:pStyle w:val="12"/>
            </w:pPr>
            <w:r>
              <w:t>2.20</w:t>
            </w:r>
          </w:p>
        </w:tc>
        <w:tc>
          <w:tcPr>
            <w:tcW w:w="2551" w:type="dxa"/>
            <w:vAlign w:val="center"/>
          </w:tcPr>
          <w:p>
            <w:pPr>
              <w:pStyle w:val="12"/>
            </w:pPr>
          </w:p>
        </w:tc>
        <w:tc>
          <w:tcPr>
            <w:tcW w:w="2551" w:type="dxa"/>
            <w:vAlign w:val="center"/>
          </w:tcPr>
          <w:p>
            <w:pPr>
              <w:pStyle w:val="12"/>
            </w:pPr>
            <w:r>
              <w:t>2.20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30207</w:t>
            </w:r>
          </w:p>
        </w:tc>
        <w:tc>
          <w:tcPr>
            <w:tcW w:w="4535" w:type="dxa"/>
            <w:vAlign w:val="center"/>
          </w:tcPr>
          <w:p>
            <w:pPr>
              <w:pStyle w:val="13"/>
            </w:pPr>
            <w:r>
              <w:t>邮电费</w:t>
            </w:r>
          </w:p>
        </w:tc>
        <w:tc>
          <w:tcPr>
            <w:tcW w:w="2551" w:type="dxa"/>
            <w:vAlign w:val="center"/>
          </w:tcPr>
          <w:p>
            <w:pPr>
              <w:pStyle w:val="12"/>
            </w:pPr>
            <w:r>
              <w:t>8.00</w:t>
            </w:r>
          </w:p>
        </w:tc>
        <w:tc>
          <w:tcPr>
            <w:tcW w:w="2551" w:type="dxa"/>
            <w:vAlign w:val="center"/>
          </w:tcPr>
          <w:p>
            <w:pPr>
              <w:pStyle w:val="12"/>
            </w:pPr>
          </w:p>
        </w:tc>
        <w:tc>
          <w:tcPr>
            <w:tcW w:w="2551" w:type="dxa"/>
            <w:vAlign w:val="center"/>
          </w:tcPr>
          <w:p>
            <w:pPr>
              <w:pStyle w:val="12"/>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30211</w:t>
            </w:r>
          </w:p>
        </w:tc>
        <w:tc>
          <w:tcPr>
            <w:tcW w:w="4535" w:type="dxa"/>
            <w:vAlign w:val="center"/>
          </w:tcPr>
          <w:p>
            <w:pPr>
              <w:pStyle w:val="13"/>
            </w:pPr>
            <w:r>
              <w:t>差旅费</w:t>
            </w:r>
          </w:p>
        </w:tc>
        <w:tc>
          <w:tcPr>
            <w:tcW w:w="2551" w:type="dxa"/>
            <w:vAlign w:val="center"/>
          </w:tcPr>
          <w:p>
            <w:pPr>
              <w:pStyle w:val="12"/>
            </w:pPr>
            <w:r>
              <w:t>1.30</w:t>
            </w:r>
          </w:p>
        </w:tc>
        <w:tc>
          <w:tcPr>
            <w:tcW w:w="2551" w:type="dxa"/>
            <w:vAlign w:val="center"/>
          </w:tcPr>
          <w:p>
            <w:pPr>
              <w:pStyle w:val="12"/>
            </w:pPr>
          </w:p>
        </w:tc>
        <w:tc>
          <w:tcPr>
            <w:tcW w:w="2551" w:type="dxa"/>
            <w:vAlign w:val="center"/>
          </w:tcPr>
          <w:p>
            <w:pPr>
              <w:pStyle w:val="12"/>
            </w:pPr>
            <w:r>
              <w:t>1.30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30213</w:t>
            </w:r>
          </w:p>
        </w:tc>
        <w:tc>
          <w:tcPr>
            <w:tcW w:w="4535" w:type="dxa"/>
            <w:vAlign w:val="center"/>
          </w:tcPr>
          <w:p>
            <w:pPr>
              <w:pStyle w:val="13"/>
            </w:pPr>
            <w:r>
              <w:t>维修（护）费</w:t>
            </w:r>
          </w:p>
        </w:tc>
        <w:tc>
          <w:tcPr>
            <w:tcW w:w="2551" w:type="dxa"/>
            <w:vAlign w:val="center"/>
          </w:tcPr>
          <w:p>
            <w:pPr>
              <w:pStyle w:val="12"/>
            </w:pPr>
            <w:r>
              <w:t>1.00</w:t>
            </w:r>
          </w:p>
        </w:tc>
        <w:tc>
          <w:tcPr>
            <w:tcW w:w="2551" w:type="dxa"/>
            <w:vAlign w:val="center"/>
          </w:tcPr>
          <w:p>
            <w:pPr>
              <w:pStyle w:val="12"/>
            </w:pP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30215</w:t>
            </w:r>
          </w:p>
        </w:tc>
        <w:tc>
          <w:tcPr>
            <w:tcW w:w="4535" w:type="dxa"/>
            <w:vAlign w:val="center"/>
          </w:tcPr>
          <w:p>
            <w:pPr>
              <w:pStyle w:val="13"/>
            </w:pPr>
            <w:r>
              <w:t>会议费</w:t>
            </w:r>
          </w:p>
        </w:tc>
        <w:tc>
          <w:tcPr>
            <w:tcW w:w="2551" w:type="dxa"/>
            <w:vAlign w:val="center"/>
          </w:tcPr>
          <w:p>
            <w:pPr>
              <w:pStyle w:val="12"/>
            </w:pPr>
            <w:r>
              <w:t>0.66</w:t>
            </w:r>
          </w:p>
        </w:tc>
        <w:tc>
          <w:tcPr>
            <w:tcW w:w="2551" w:type="dxa"/>
            <w:vAlign w:val="center"/>
          </w:tcPr>
          <w:p>
            <w:pPr>
              <w:pStyle w:val="12"/>
            </w:pPr>
          </w:p>
        </w:tc>
        <w:tc>
          <w:tcPr>
            <w:tcW w:w="2551" w:type="dxa"/>
            <w:vAlign w:val="center"/>
          </w:tcPr>
          <w:p>
            <w:pPr>
              <w:pStyle w:val="12"/>
            </w:pPr>
            <w:r>
              <w:t>0.66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30231</w:t>
            </w:r>
          </w:p>
        </w:tc>
        <w:tc>
          <w:tcPr>
            <w:tcW w:w="4535" w:type="dxa"/>
            <w:vAlign w:val="center"/>
          </w:tcPr>
          <w:p>
            <w:pPr>
              <w:pStyle w:val="13"/>
            </w:pPr>
            <w:r>
              <w:t>公务用车运行维护费</w:t>
            </w:r>
          </w:p>
        </w:tc>
        <w:tc>
          <w:tcPr>
            <w:tcW w:w="2551" w:type="dxa"/>
            <w:vAlign w:val="center"/>
          </w:tcPr>
          <w:p>
            <w:pPr>
              <w:pStyle w:val="12"/>
            </w:pPr>
            <w:r>
              <w:t>0.20</w:t>
            </w:r>
          </w:p>
        </w:tc>
        <w:tc>
          <w:tcPr>
            <w:tcW w:w="2551" w:type="dxa"/>
            <w:vAlign w:val="center"/>
          </w:tcPr>
          <w:p>
            <w:pPr>
              <w:pStyle w:val="12"/>
            </w:pPr>
          </w:p>
        </w:tc>
        <w:tc>
          <w:tcPr>
            <w:tcW w:w="2551" w:type="dxa"/>
            <w:vAlign w:val="center"/>
          </w:tcPr>
          <w:p>
            <w:pPr>
              <w:pStyle w:val="12"/>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12.00</w:t>
            </w:r>
          </w:p>
        </w:tc>
        <w:tc>
          <w:tcPr>
            <w:tcW w:w="2551" w:type="dxa"/>
            <w:vAlign w:val="center"/>
          </w:tcPr>
          <w:p>
            <w:pPr>
              <w:pStyle w:val="12"/>
            </w:pPr>
          </w:p>
        </w:tc>
        <w:tc>
          <w:tcPr>
            <w:tcW w:w="2551" w:type="dxa"/>
            <w:vAlign w:val="center"/>
          </w:tcPr>
          <w:p>
            <w:pPr>
              <w:pStyle w:val="12"/>
            </w:pPr>
            <w:r>
              <w:t>12.00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223馆陶县行政审批局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223馆陶县行政审批局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223馆陶县行政审批局</w:t>
            </w:r>
          </w:p>
        </w:tc>
        <w:tc>
          <w:tcPr>
            <w:tcW w:w="2381" w:type="dxa"/>
            <w:tcBorders>
              <w:top w:val="single" w:color="FFFFFF" w:sz="6" w:space="0"/>
              <w:left w:val="single" w:color="FFFFFF" w:sz="6" w:space="0"/>
              <w:right w:val="single" w:color="FFFFFF" w:sz="6" w:space="0"/>
            </w:tcBorders>
            <w:vAlign w:val="center"/>
          </w:tcPr>
          <w:p>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pPr>
            <w:r>
              <w:t>0.86</w:t>
            </w:r>
          </w:p>
        </w:tc>
        <w:tc>
          <w:tcPr>
            <w:tcW w:w="2381" w:type="dxa"/>
            <w:vAlign w:val="center"/>
          </w:tcPr>
          <w:p>
            <w:pPr>
              <w:pStyle w:val="16"/>
            </w:pPr>
            <w:r>
              <w:t>0.86</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pPr>
            <w:r>
              <w:t>0.20</w:t>
            </w:r>
          </w:p>
        </w:tc>
        <w:tc>
          <w:tcPr>
            <w:tcW w:w="2381" w:type="dxa"/>
            <w:vAlign w:val="center"/>
          </w:tcPr>
          <w:p>
            <w:pPr>
              <w:pStyle w:val="12"/>
            </w:pPr>
            <w:r>
              <w:t>0.20</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pPr>
            <w:r>
              <w:t>0.20</w:t>
            </w:r>
          </w:p>
        </w:tc>
        <w:tc>
          <w:tcPr>
            <w:tcW w:w="2381" w:type="dxa"/>
            <w:vAlign w:val="center"/>
          </w:tcPr>
          <w:p>
            <w:pPr>
              <w:pStyle w:val="12"/>
            </w:pPr>
            <w:r>
              <w:t>0.20</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pPr>
            <w:r>
              <w:t>0.20</w:t>
            </w:r>
          </w:p>
        </w:tc>
        <w:tc>
          <w:tcPr>
            <w:tcW w:w="2381" w:type="dxa"/>
            <w:vAlign w:val="center"/>
          </w:tcPr>
          <w:p>
            <w:pPr>
              <w:pStyle w:val="12"/>
            </w:pPr>
            <w:r>
              <w:t>0.20</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10</w:t>
            </w:r>
          </w:p>
        </w:tc>
        <w:tc>
          <w:tcPr>
            <w:tcW w:w="3798" w:type="dxa"/>
            <w:vAlign w:val="center"/>
          </w:tcPr>
          <w:p>
            <w:pPr>
              <w:pStyle w:val="13"/>
            </w:pPr>
            <w:r>
              <w:t>四、会议费</w:t>
            </w:r>
          </w:p>
        </w:tc>
        <w:tc>
          <w:tcPr>
            <w:tcW w:w="2381" w:type="dxa"/>
            <w:vAlign w:val="center"/>
          </w:tcPr>
          <w:p>
            <w:pPr>
              <w:pStyle w:val="12"/>
            </w:pPr>
            <w:r>
              <w:t>0.66</w:t>
            </w:r>
          </w:p>
        </w:tc>
        <w:tc>
          <w:tcPr>
            <w:tcW w:w="2381" w:type="dxa"/>
            <w:vAlign w:val="center"/>
          </w:tcPr>
          <w:p>
            <w:pPr>
              <w:pStyle w:val="12"/>
            </w:pPr>
            <w:r>
              <w:t>0.66</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11</w:t>
            </w:r>
          </w:p>
        </w:tc>
        <w:tc>
          <w:tcPr>
            <w:tcW w:w="3798" w:type="dxa"/>
            <w:vAlign w:val="center"/>
          </w:tcPr>
          <w:p>
            <w:pPr>
              <w:pStyle w:val="13"/>
            </w:pPr>
            <w:r>
              <w:t xml:space="preserve">    其中：省属高校业务性会议费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12</w:t>
            </w:r>
          </w:p>
        </w:tc>
        <w:tc>
          <w:tcPr>
            <w:tcW w:w="3798" w:type="dxa"/>
            <w:vAlign w:val="center"/>
          </w:tcPr>
          <w:p>
            <w:pPr>
              <w:pStyle w:val="13"/>
            </w:pPr>
            <w:r>
              <w:t xml:space="preserve">          其他会议费</w:t>
            </w:r>
          </w:p>
        </w:tc>
        <w:tc>
          <w:tcPr>
            <w:tcW w:w="2381" w:type="dxa"/>
            <w:vAlign w:val="center"/>
          </w:tcPr>
          <w:p>
            <w:pPr>
              <w:pStyle w:val="12"/>
            </w:pPr>
            <w:r>
              <w:t>0.66</w:t>
            </w:r>
          </w:p>
        </w:tc>
        <w:tc>
          <w:tcPr>
            <w:tcW w:w="2381" w:type="dxa"/>
            <w:vAlign w:val="center"/>
          </w:tcPr>
          <w:p>
            <w:pPr>
              <w:pStyle w:val="12"/>
            </w:pPr>
            <w:r>
              <w:t>0.66</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13</w:t>
            </w:r>
          </w:p>
        </w:tc>
        <w:tc>
          <w:tcPr>
            <w:tcW w:w="3798" w:type="dxa"/>
            <w:vAlign w:val="center"/>
          </w:tcPr>
          <w:p>
            <w:pPr>
              <w:pStyle w:val="13"/>
            </w:pPr>
            <w:r>
              <w:t>五、培训费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馆陶县行政审批局2026年部门预算信息公开情况说明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馆陶县行政审批局2026年部门预算信息公开情况说明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按照《中华人民共和国预算法》、《地方预决算公开操作规程》和《关于进一步推进预算公开工作的实施意见》规定，现将馆陶县行政审批局2026年部门预算公开如下：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一）贯彻执行国家、省、市、县有关行政审批制度改革、政务服务管理、“放管服”改革、公共资源交易监管、社会信用体系建设、群众服务热线等方面的方针政策、法律法规和决策部署，拟订我县相关发展规划和规范性文件，制定县行政审批局各项规章制度和管理办法，并组织实施。</w:t>
      </w:r>
    </w:p>
    <w:p>
      <w:pPr>
        <w:pStyle w:val="18"/>
      </w:pPr>
      <w:r>
        <w:t>（二）负责规范全县行政审批和政务服务行为，建立和完善相应工作机制；负责对行政许可、政务服务事项进行流程再造、环节优化、压缩时限，并对办理情况进行跟踪督办；协调解决进驻县政务服务大厅事项办理中存在的相关问题。</w:t>
      </w:r>
    </w:p>
    <w:p>
      <w:pPr>
        <w:pStyle w:val="18"/>
      </w:pPr>
      <w:r>
        <w:t>（三）负责县本级涉及投资项目、市场服务、公共事务、社会事务、环保城管、规划建设、交通运输、商贸流通、文教卫生、农林水利等领域审批事项的审批工作，并对审批行为承担相应的法律责任。</w:t>
      </w:r>
    </w:p>
    <w:p>
      <w:pPr>
        <w:pStyle w:val="18"/>
      </w:pPr>
      <w:r>
        <w:t>（四）负责进驻县行政审批局各部门行政审批工作的规范、管理和监督；负责审批业务涉及中介服务机构的对接、沟通、协调工作；负责“中介超市”管理工作。</w:t>
      </w:r>
    </w:p>
    <w:p>
      <w:pPr>
        <w:pStyle w:val="18"/>
      </w:pPr>
      <w:r>
        <w:t>（五）组织协调全县“放管服”改革工作。指导、督促贯彻落实省、市、县关于“放管服”改革重要领域、关键环节重大政策措施，承担县推进政府职能转变和“放管服”改革协调小组的日常工作。</w:t>
      </w:r>
    </w:p>
    <w:p>
      <w:pPr>
        <w:pStyle w:val="18"/>
      </w:pPr>
      <w:r>
        <w:t>（六）负责全县行政审批制度改革工作。建立健全县级行政审批管理体系；推进简政放权，清理和规范各类行政许可等管理事项；协调推进行政审批标准化工作；承担县行政审批制度改革工作领导机构的日常工作。</w:t>
      </w:r>
    </w:p>
    <w:p>
      <w:pPr>
        <w:pStyle w:val="18"/>
      </w:pPr>
      <w:r>
        <w:t>（七）负责全县政务服务管理工作。负责优化政务服务供给，降低制度性交易成本，提升政务服务效能；负责建立和完善全县政务服务体系；负责推进审批服务便民化；协调县有关部门为公民、法人或其他组织提供规范、高效、优质的政务服务。</w:t>
      </w:r>
    </w:p>
    <w:p>
      <w:pPr>
        <w:pStyle w:val="18"/>
      </w:pPr>
      <w:r>
        <w:t>（八）统筹推进全县“互联网+政务服务”工作。推进政务服务事项网上办理，形成管理机构、实体大厅、网上平台“三位一体”的政务服务管理模式；推进全县电子证照库建设；推进全县政务服务平台规范化、标准化、集约化建设和互联互通、数据共享。</w:t>
      </w:r>
    </w:p>
    <w:p>
      <w:pPr>
        <w:pStyle w:val="18"/>
      </w:pPr>
      <w:r>
        <w:t>（九）引导和推动全县社会信用体系建设。组织制定发展规划和年度工作要点；推进健全信用制度和标准体系；负责县级信用信息数据库、共享平台和网站建设，推动信用信息的汇聚、交换、共享和应用；负责守信联合激励和失信联合惩戒制度建设和工作实施，建立诚信综合监督体系；组织开展失信问题专项治理；加强城市信用建设，培育和发展信用服务市场；承担县社会信用体系建设领导机构的日常工作。</w:t>
      </w:r>
    </w:p>
    <w:p>
      <w:pPr>
        <w:pStyle w:val="18"/>
      </w:pPr>
      <w:r>
        <w:t>（十）建立健全全县政务服务、行政审批服务效能考核评价制度；对具有政务服务职能的部门进行综合考评，对行政审批及政务服务事项办理情况、办理效能以及办事人员的服务质量进行监督；负责对行政审批、政务服务事项的投诉举报的承办、转办和督办工作，配合有关部门查处违法、违规、违纪问题。</w:t>
      </w:r>
    </w:p>
    <w:p>
      <w:pPr>
        <w:pStyle w:val="18"/>
      </w:pPr>
      <w:r>
        <w:t>（十一）负责全县统一的公共资源交易平台协调、监督和管理；会同有关行政监督部门落实公共资源交易市场规则和制度，编制公共资源交易项目目录，规范各类公共资源交易活动。</w:t>
      </w:r>
    </w:p>
    <w:p>
      <w:pPr>
        <w:pStyle w:val="18"/>
      </w:pPr>
      <w:r>
        <w:t>（十二）负责群众服务热线业务的管理指导与组织协调工作；指导群众和企业诉求件的交办、督办和考核工作。</w:t>
      </w:r>
    </w:p>
    <w:p>
      <w:pPr>
        <w:pStyle w:val="18"/>
      </w:pPr>
      <w:r>
        <w:t>（十三）负责工作人员的教育、培训、管理和绩效考核。</w:t>
      </w:r>
    </w:p>
    <w:p>
      <w:pPr>
        <w:pStyle w:val="18"/>
      </w:pPr>
      <w:r>
        <w:t>（十四）负责协调和指导乡镇、村便民服务相关工作。</w:t>
      </w:r>
    </w:p>
    <w:p>
      <w:pPr>
        <w:pStyle w:val="18"/>
      </w:pPr>
      <w:r>
        <w:t>（十五）完成县委、县政府交办的其他任务。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馆陶县行政审批局本级</w:t>
            </w:r>
          </w:p>
        </w:tc>
        <w:tc>
          <w:tcPr>
            <w:tcW w:w="1843" w:type="dxa"/>
            <w:vAlign w:val="center"/>
          </w:tcPr>
          <w:p>
            <w:pPr>
              <w:pStyle w:val="14"/>
            </w:pPr>
            <w:r>
              <w:t>行政</w:t>
            </w:r>
          </w:p>
        </w:tc>
        <w:tc>
          <w:tcPr>
            <w:tcW w:w="2126" w:type="dxa"/>
            <w:vAlign w:val="center"/>
          </w:tcPr>
          <w:p>
            <w:pPr>
              <w:pStyle w:val="14"/>
            </w:pPr>
            <w:r>
              <w:t>正科级</w:t>
            </w:r>
          </w:p>
        </w:tc>
        <w:tc>
          <w:tcPr>
            <w:tcW w:w="3827" w:type="dxa"/>
            <w:vAlign w:val="center"/>
          </w:tcPr>
          <w:p>
            <w:pPr>
              <w:pStyle w:val="14"/>
            </w:pPr>
            <w:r>
              <w:t>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智慧馆陶综合指挥中心</w:t>
            </w:r>
          </w:p>
        </w:tc>
        <w:tc>
          <w:tcPr>
            <w:tcW w:w="1843" w:type="dxa"/>
            <w:vAlign w:val="center"/>
          </w:tcPr>
          <w:p>
            <w:pPr>
              <w:pStyle w:val="14"/>
            </w:pPr>
            <w:r>
              <w:t>事业</w:t>
            </w:r>
          </w:p>
        </w:tc>
        <w:tc>
          <w:tcPr>
            <w:tcW w:w="2126" w:type="dxa"/>
            <w:vAlign w:val="center"/>
          </w:tcPr>
          <w:p>
            <w:pPr>
              <w:pStyle w:val="14"/>
            </w:pPr>
            <w:r>
              <w:t>正科级</w:t>
            </w:r>
          </w:p>
        </w:tc>
        <w:tc>
          <w:tcPr>
            <w:tcW w:w="3827" w:type="dxa"/>
            <w:vAlign w:val="center"/>
          </w:tcPr>
          <w:p>
            <w:pPr>
              <w:pStyle w:val="14"/>
            </w:pPr>
            <w:r>
              <w:t>财政性资金基本保证</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按照预算管理有关规定，目前部门预算的编制实行综合预算管理，即全部收入和支出都反映在预算中。馆陶县行政审批局机关及所属事业单位的收支包含在部门预算中。</w:t>
      </w:r>
    </w:p>
    <w:p>
      <w:pPr>
        <w:pStyle w:val="19"/>
      </w:pPr>
      <w:r>
        <w:t>1、收入说明</w:t>
      </w:r>
    </w:p>
    <w:p>
      <w:pPr>
        <w:pStyle w:val="19"/>
      </w:pPr>
      <w:r>
        <w:t>反映本部门当年全部收入。2026年预算收入741.26万元，其中：一般公共预算收入741.26万元，基金预算收入0.00万元，国有资本经营预算收入0.00万元，财政专户核拨收入0.00万元，单位资金收入0.00万元，上年结转结余0.00万元。</w:t>
      </w:r>
    </w:p>
    <w:p>
      <w:pPr>
        <w:pStyle w:val="19"/>
      </w:pPr>
      <w:r>
        <w:t>2、支出说明</w:t>
      </w:r>
    </w:p>
    <w:p>
      <w:pPr>
        <w:pStyle w:val="19"/>
      </w:pPr>
      <w:r>
        <w:t>收支预算总表支出栏、基本支出表、项目支出表按经济分类和支出功能分类科目编制，反映馆陶县行政审批局年度部门预算中支出预算的总体情况。2026年支出预算741.26万元，其中基本支出411.50万元，包括人员经费382.24万元和日常公用经费29.26万元；项目支出329.76万元，主要为委托中介咨询、专家评审、评估经费6.40万元，行政审批工作经费100.00万元，县智慧馆陶综合指挥中心防汛会议系统建设资金6.36万元，信息化建设及维护资金200.00万元，智慧馆陶工作经费17.00万元；预计下年使用的单位资金结余0.00万元。委托业务费共计安排6.40万元，主要用于因技术原因确需对外委托的辅助性工作和确有必要对外委托开展咨询、评审、规划等工作。</w:t>
      </w:r>
    </w:p>
    <w:p>
      <w:pPr>
        <w:pStyle w:val="19"/>
      </w:pPr>
      <w:r>
        <w:t>3、比上年增减情况</w:t>
      </w:r>
    </w:p>
    <w:p>
      <w:pPr>
        <w:pStyle w:val="19"/>
      </w:pPr>
      <w:r>
        <w:t>2026年预算收支安排741.26万元，较2025年预算减少126.36万元，其中：基本支出减少6.62万元，主要为人员减少。项目支出减少119.74万元，主要为专项经费减少。预计下年使用的单位资金结余增加0.00万元。</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0"/>
      </w:pPr>
      <w:r>
        <w:t>2026年，我部门机关运行经费共计安排29.26万元，主要用于日常维修、办公用房水电费、办公用房取暖费、办公用房物业管理费等日常运行支出。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2026年，我部门财政拨款“三公”经费预算安排0.20万元，其中因公出国（境）费0.00万元；公务用车购置及运维费0.20万元（其中：公务用车购置费为0.00万元，公务用车运维费0.20万元)；公务接待费0.00万元。与2025年相比无增减变化。</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根据省编委办、省法制办《关于同意邯郸市及所属县（市、区）设立行政审批局的通知》，按照《中共邯郸市委办公厅邯郸市人民政府办公厅关于印发&lt;馆陶县机构改革方案&gt;的通知》（邯办文【2019】5号）规定及馆陶县人民政府关于印发《馆陶县行政审批局主要职责内设机构和人员编制规定》的通知要求，馆陶县行政审批局贯彻执行国家、省、市、县有关行政审批制度改革、政务服务管理、“放管服”改革、公共资源交易监督、社会信用体系建设、群众服务热线等方针政策、法律法规和决策部署，拟定相关发展规划和规范性文件；负责规范全县行政审批和政务服务行为职责；负责对进驻行政审批局各部门审批工作的规范、管理和监督；协调全县“放管服”改革工作、行政审批制度改革工作、政务服务管理工作、统筹推进全县“互联网+政务服务”工作、群众服务热线业务的管理指导与组织协调工作、协调和指导乡镇、村便民服务相关工作。</w:t>
      </w:r>
    </w:p>
    <w:p>
      <w:pPr>
        <w:pStyle w:val="22"/>
      </w:pPr>
      <w:r>
        <w:t>2026年继续深化行政审批制度改革，拟定我县相关发展规划和规范性文件，制定县行政审批各项规章制度和管理办法，推进政府职能转变和“放管服”改革，进一步提高行政审批和政务服务工作效率和服务质量，推进建立和完善全县政务服务体系；开展完成行政审批工作的规范、管理和监督。</w:t>
      </w:r>
    </w:p>
    <w:p>
      <w:pPr>
        <w:pStyle w:val="22"/>
      </w:pP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1、行政审批制度改革。贯彻执行国家和省、市、县有关行政审批制度改革、政务服务管理、“放管服”改革、公共资源交易监管、社会信用体系建设、群众服务热线等方面的方针政策、法律法规和决策部署，拟定我县相关发展规划和规范性文件，制定县行政审批局各项规章制度和管理办法，并组织实施；负责规范全县行政审批和政务服务行为，建立和完善相应工作机制；负责对全县行政许可、政务服务事项进行流程再造、环节优化、压缩时限，并对办理情况进行跟踪督办；协调解决进驻政务服务大厅事项办理中存在的相关问题；推进政府职能转变和“放管服”改革；行政审批制度改革工作。改革目标完成率达到85%。</w:t>
      </w:r>
    </w:p>
    <w:p>
      <w:pPr>
        <w:pStyle w:val="23"/>
      </w:pPr>
      <w:r>
        <w:t>2、综合业务管理。进一步规范全县行政审批和政务服务行为，并对办理情况进行跟踪督办，协调解决事项办理中存在的相关问题；加强对具有政务服务职能的部门进行综合考评，对行政审批及政务服务事项办理情况、办理效能以及办事人员的服务质量进行监督；对行政审批及政务服务事项的投诉举报的承办、转办和督办工作，配合有关部门查处违法、违规、违纪问题；加强全县统一的公共资源交易平台协调、监督和管理；编制公共资源交易项目目录，规范各类公共资源交易活动；强化工作人员的教育、培训、管理、和绩效考核；负责协调和指导乡镇、村便民服务相关工作；加强群众服务热线业务的管理指导与组织协调工作，指导群众和企业诉求件的交办、督办和考核工作。进一步提高工作效率和服务质量。目标完成率达到100%。</w:t>
      </w:r>
    </w:p>
    <w:p>
      <w:pPr>
        <w:pStyle w:val="23"/>
      </w:pPr>
      <w:r>
        <w:t>3、行政管理体制改革。负责投资项目、市场服务、公共事务、社会事务、环保城管、规划建设、交通运输、商贸流通、文教卫生、农林水利等领域的审批。负责进驻县政务服务中心的垂管部门、双垂管理部门行政审批工作的规范、管理和监督；完善全县政务服务体系。</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完善制度建设。制定完善预算绩效管理制度、资金管理办法、工作保障制度等，为全年预算绩效目标的实现奠定制度基础。</w:t>
      </w:r>
    </w:p>
    <w:p>
      <w:pPr>
        <w:pStyle w:val="24"/>
      </w:pPr>
      <w:r>
        <w:t>加强支出管理。通过优化支出结构、编细编实预算、加快履行政府采购手续、尽快启动项目、及时支付资金，确保支出进度达标。</w:t>
      </w:r>
    </w:p>
    <w:p>
      <w:pPr>
        <w:pStyle w:val="24"/>
      </w:pPr>
      <w:r>
        <w:t>加强绩效运行监控。按要求开展绩效运行监控，发现问题及时采取措施，确保绩效目标如期保质实现。</w:t>
      </w:r>
    </w:p>
    <w:p>
      <w:pPr>
        <w:pStyle w:val="24"/>
      </w:pPr>
      <w:r>
        <w:t>做好绩效自评。按要求开展上年度部门预算绩效自评和重点评价工作，对评价中发现的问题及时整改，调整优化支出结构，提高财政资金使用效益。</w:t>
      </w:r>
    </w:p>
    <w:p>
      <w:pPr>
        <w:pStyle w:val="24"/>
      </w:pPr>
      <w:r>
        <w:t>规范财务资产管理。完善财务管理制度，严格审批程序，加强固定资产登记、使用和报废处置管理，做到支出合理，物尽其用。</w:t>
      </w:r>
    </w:p>
    <w:p>
      <w:pPr>
        <w:pStyle w:val="24"/>
      </w:pPr>
      <w:r>
        <w:t>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pStyle w:val="24"/>
      </w:pPr>
      <w:r>
        <w:t>加强宣传培训调研等。加强人员培训，提高本部门职工业务素质；加强调研，提出优化财政资金配置、提高资金使用效益的意见；加大宣传力度，强化预算绩效管理意识，促进预算绩效管理水平进一步提升。</w:t>
      </w:r>
    </w:p>
    <w:p>
      <w:pPr>
        <w:pStyle w:val="24"/>
        <w:sectPr>
          <w:pgSz w:w="16840" w:h="11900" w:orient="landscape"/>
          <w:pgMar w:top="1361" w:right="1020" w:bottom="1361" w:left="1020" w:header="720" w:footer="720" w:gutter="0"/>
          <w:cols w:space="720" w:num="1"/>
        </w:sectPr>
      </w:pP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1、委托中介咨询、专家评审、评估经费绩效目标表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13043326P000035100046</w:t>
            </w:r>
          </w:p>
        </w:tc>
        <w:tc>
          <w:tcPr>
            <w:tcW w:w="2835" w:type="dxa"/>
            <w:vAlign w:val="center"/>
          </w:tcPr>
          <w:p>
            <w:pPr>
              <w:pStyle w:val="11"/>
            </w:pPr>
            <w:r>
              <w:t>项目名称</w:t>
            </w:r>
          </w:p>
        </w:tc>
        <w:tc>
          <w:tcPr>
            <w:tcW w:w="6095" w:type="dxa"/>
            <w:gridSpan w:val="3"/>
            <w:vAlign w:val="center"/>
          </w:tcPr>
          <w:p>
            <w:pPr>
              <w:pStyle w:val="13"/>
            </w:pPr>
            <w:r>
              <w:t>委托中介咨询、专家评审、评估经费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6.40</w:t>
            </w:r>
          </w:p>
        </w:tc>
        <w:tc>
          <w:tcPr>
            <w:tcW w:w="2835" w:type="dxa"/>
            <w:vAlign w:val="center"/>
          </w:tcPr>
          <w:p>
            <w:pPr>
              <w:pStyle w:val="11"/>
            </w:pPr>
            <w:r>
              <w:t>其中：财政    资金</w:t>
            </w:r>
          </w:p>
        </w:tc>
        <w:tc>
          <w:tcPr>
            <w:tcW w:w="2551" w:type="dxa"/>
            <w:vAlign w:val="center"/>
          </w:tcPr>
          <w:p>
            <w:pPr>
              <w:pStyle w:val="13"/>
            </w:pPr>
            <w:r>
              <w:t>6.40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用于委托中介咨询、专家评审、评估经费，防范和规避项目风险造成的不良后果。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1.用于委托中介咨询、专家评审、评估经费，防范和规避项目风险造成的不良后果。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委托业务数量</w:t>
            </w:r>
          </w:p>
        </w:tc>
        <w:tc>
          <w:tcPr>
            <w:tcW w:w="5386" w:type="dxa"/>
            <w:vAlign w:val="center"/>
          </w:tcPr>
          <w:p>
            <w:pPr>
              <w:pStyle w:val="13"/>
            </w:pPr>
            <w:r>
              <w:t>委托评审、评估项目数量</w:t>
            </w:r>
          </w:p>
        </w:tc>
        <w:tc>
          <w:tcPr>
            <w:tcW w:w="2268" w:type="dxa"/>
            <w:vAlign w:val="center"/>
          </w:tcPr>
          <w:p>
            <w:pPr>
              <w:pStyle w:val="13"/>
            </w:pPr>
            <w:r>
              <w:t>≤20项</w:t>
            </w:r>
          </w:p>
        </w:tc>
        <w:tc>
          <w:tcPr>
            <w:tcW w:w="1276" w:type="dxa"/>
            <w:vAlign w:val="center"/>
          </w:tcPr>
          <w:p>
            <w:pPr>
              <w:pStyle w:val="13"/>
            </w:pPr>
            <w:r>
              <w:t>委托评审、评估项目明细表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评审通过率</w:t>
            </w:r>
          </w:p>
        </w:tc>
        <w:tc>
          <w:tcPr>
            <w:tcW w:w="5386" w:type="dxa"/>
            <w:vAlign w:val="center"/>
          </w:tcPr>
          <w:p>
            <w:pPr>
              <w:pStyle w:val="13"/>
            </w:pPr>
            <w:r>
              <w:t>委托评审完成项目占全部应评审项目的比例</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按时完成</w:t>
            </w:r>
          </w:p>
        </w:tc>
        <w:tc>
          <w:tcPr>
            <w:tcW w:w="5386" w:type="dxa"/>
            <w:vAlign w:val="center"/>
          </w:tcPr>
          <w:p>
            <w:pPr>
              <w:pStyle w:val="13"/>
            </w:pPr>
            <w:r>
              <w:t>按照规定时间及时完成中介咨询、专家评审、评估资金</w:t>
            </w:r>
          </w:p>
        </w:tc>
        <w:tc>
          <w:tcPr>
            <w:tcW w:w="2268" w:type="dxa"/>
            <w:vAlign w:val="center"/>
          </w:tcPr>
          <w:p>
            <w:pPr>
              <w:pStyle w:val="13"/>
            </w:pPr>
            <w:r>
              <w:t>≤30日</w:t>
            </w:r>
          </w:p>
        </w:tc>
        <w:tc>
          <w:tcPr>
            <w:tcW w:w="1276" w:type="dxa"/>
            <w:vAlign w:val="center"/>
          </w:tcPr>
          <w:p>
            <w:pPr>
              <w:pStyle w:val="13"/>
            </w:pPr>
            <w:r>
              <w:t>河北省人民政府关于印发河北省企业投资项目核准和备案实施办法的通知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评审评估资金</w:t>
            </w:r>
          </w:p>
        </w:tc>
        <w:tc>
          <w:tcPr>
            <w:tcW w:w="5386" w:type="dxa"/>
            <w:vAlign w:val="center"/>
          </w:tcPr>
          <w:p>
            <w:pPr>
              <w:pStyle w:val="13"/>
            </w:pPr>
            <w:r>
              <w:t>本年度委托中介咨询、专家评审、评估资金</w:t>
            </w:r>
          </w:p>
        </w:tc>
        <w:tc>
          <w:tcPr>
            <w:tcW w:w="2268" w:type="dxa"/>
            <w:vAlign w:val="center"/>
          </w:tcPr>
          <w:p>
            <w:pPr>
              <w:pStyle w:val="13"/>
            </w:pPr>
            <w:r>
              <w:t>≤8万元</w:t>
            </w:r>
          </w:p>
        </w:tc>
        <w:tc>
          <w:tcPr>
            <w:tcW w:w="1276" w:type="dxa"/>
            <w:vAlign w:val="center"/>
          </w:tcPr>
          <w:p>
            <w:pPr>
              <w:pStyle w:val="13"/>
            </w:pPr>
            <w:r>
              <w:t>事项核算费用表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防范重大损失</w:t>
            </w:r>
          </w:p>
        </w:tc>
        <w:tc>
          <w:tcPr>
            <w:tcW w:w="5386" w:type="dxa"/>
            <w:vAlign w:val="center"/>
          </w:tcPr>
          <w:p>
            <w:pPr>
              <w:pStyle w:val="13"/>
            </w:pPr>
            <w:r>
              <w:t>防范化解项目风险造成的较大或重大损失等风险</w:t>
            </w:r>
          </w:p>
        </w:tc>
        <w:tc>
          <w:tcPr>
            <w:tcW w:w="2268" w:type="dxa"/>
            <w:vAlign w:val="center"/>
          </w:tcPr>
          <w:p>
            <w:pPr>
              <w:pStyle w:val="13"/>
            </w:pPr>
            <w:r>
              <w:t>≥90%</w:t>
            </w:r>
          </w:p>
        </w:tc>
        <w:tc>
          <w:tcPr>
            <w:tcW w:w="1276" w:type="dxa"/>
            <w:vAlign w:val="center"/>
          </w:tcPr>
          <w:p>
            <w:pPr>
              <w:pStyle w:val="13"/>
            </w:pPr>
            <w:r>
              <w:t>冀发改投资规【2021】1号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防范社会重大风险</w:t>
            </w:r>
          </w:p>
        </w:tc>
        <w:tc>
          <w:tcPr>
            <w:tcW w:w="5386" w:type="dxa"/>
            <w:vAlign w:val="center"/>
          </w:tcPr>
          <w:p>
            <w:pPr>
              <w:pStyle w:val="13"/>
            </w:pPr>
            <w:r>
              <w:t>防范化解项目风险造成的“邻避”问题及其他风险，预防和化解社会矛盾</w:t>
            </w:r>
          </w:p>
        </w:tc>
        <w:tc>
          <w:tcPr>
            <w:tcW w:w="2268" w:type="dxa"/>
            <w:vAlign w:val="center"/>
          </w:tcPr>
          <w:p>
            <w:pPr>
              <w:pStyle w:val="13"/>
            </w:pPr>
            <w:r>
              <w:t>≥90%</w:t>
            </w:r>
          </w:p>
        </w:tc>
        <w:tc>
          <w:tcPr>
            <w:tcW w:w="1276" w:type="dxa"/>
            <w:vAlign w:val="center"/>
          </w:tcPr>
          <w:p>
            <w:pPr>
              <w:pStyle w:val="13"/>
            </w:pPr>
            <w:r>
              <w:t>冀发改投资规【2021】1号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群众服务满意度</w:t>
            </w:r>
          </w:p>
        </w:tc>
        <w:tc>
          <w:tcPr>
            <w:tcW w:w="5386" w:type="dxa"/>
            <w:vAlign w:val="center"/>
          </w:tcPr>
          <w:p>
            <w:pPr>
              <w:pStyle w:val="13"/>
            </w:pPr>
            <w:r>
              <w:t>反映群众对审批、政务服务工作满意情况</w:t>
            </w:r>
          </w:p>
        </w:tc>
        <w:tc>
          <w:tcPr>
            <w:tcW w:w="2268" w:type="dxa"/>
            <w:vAlign w:val="center"/>
          </w:tcPr>
          <w:p>
            <w:pPr>
              <w:pStyle w:val="13"/>
            </w:pPr>
            <w:r>
              <w:t>≥95%</w:t>
            </w:r>
          </w:p>
        </w:tc>
        <w:tc>
          <w:tcPr>
            <w:tcW w:w="1276" w:type="dxa"/>
            <w:vAlign w:val="center"/>
          </w:tcPr>
          <w:p>
            <w:pPr>
              <w:pStyle w:val="13"/>
            </w:pPr>
            <w:r>
              <w:t>调查问卷</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2、行政审批工作经费绩效目标表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13043326P00003510005R</w:t>
            </w:r>
          </w:p>
        </w:tc>
        <w:tc>
          <w:tcPr>
            <w:tcW w:w="2835" w:type="dxa"/>
            <w:vAlign w:val="center"/>
          </w:tcPr>
          <w:p>
            <w:pPr>
              <w:pStyle w:val="11"/>
            </w:pPr>
            <w:r>
              <w:t>项目名称</w:t>
            </w:r>
          </w:p>
        </w:tc>
        <w:tc>
          <w:tcPr>
            <w:tcW w:w="6095" w:type="dxa"/>
            <w:gridSpan w:val="3"/>
            <w:vAlign w:val="center"/>
          </w:tcPr>
          <w:p>
            <w:pPr>
              <w:pStyle w:val="13"/>
            </w:pPr>
            <w:r>
              <w:t>行政审批工作经费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100.00</w:t>
            </w:r>
          </w:p>
        </w:tc>
        <w:tc>
          <w:tcPr>
            <w:tcW w:w="2835" w:type="dxa"/>
            <w:vAlign w:val="center"/>
          </w:tcPr>
          <w:p>
            <w:pPr>
              <w:pStyle w:val="11"/>
            </w:pPr>
            <w:r>
              <w:t>其中：财政    资金</w:t>
            </w:r>
          </w:p>
        </w:tc>
        <w:tc>
          <w:tcPr>
            <w:tcW w:w="2551" w:type="dxa"/>
            <w:vAlign w:val="center"/>
          </w:tcPr>
          <w:p>
            <w:pPr>
              <w:pStyle w:val="13"/>
            </w:pPr>
            <w:r>
              <w:t>100.00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该资金用于政务服务工作，保障日常工作正常运转，提高工作效率，进一步优化营商环境。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1.该资金用于政务服务工作，保障日常工作正常运转，提高工作效率，进一步优化营商环境。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办结数量</w:t>
            </w:r>
          </w:p>
        </w:tc>
        <w:tc>
          <w:tcPr>
            <w:tcW w:w="5386" w:type="dxa"/>
            <w:vAlign w:val="center"/>
          </w:tcPr>
          <w:p>
            <w:pPr>
              <w:pStyle w:val="13"/>
            </w:pPr>
            <w:r>
              <w:t>政务服务工作的办结数量</w:t>
            </w:r>
          </w:p>
        </w:tc>
        <w:tc>
          <w:tcPr>
            <w:tcW w:w="2268" w:type="dxa"/>
            <w:vAlign w:val="center"/>
          </w:tcPr>
          <w:p>
            <w:pPr>
              <w:pStyle w:val="13"/>
            </w:pPr>
            <w:r>
              <w:t>500项</w:t>
            </w:r>
          </w:p>
        </w:tc>
        <w:tc>
          <w:tcPr>
            <w:tcW w:w="1276" w:type="dxa"/>
            <w:vAlign w:val="center"/>
          </w:tcPr>
          <w:p>
            <w:pPr>
              <w:pStyle w:val="13"/>
            </w:pPr>
            <w:r>
              <w:t>平台系统台账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网上可办率</w:t>
            </w:r>
          </w:p>
        </w:tc>
        <w:tc>
          <w:tcPr>
            <w:tcW w:w="5386" w:type="dxa"/>
            <w:vAlign w:val="center"/>
          </w:tcPr>
          <w:p>
            <w:pPr>
              <w:pStyle w:val="13"/>
            </w:pPr>
            <w:r>
              <w:t>政务服务可办事项占政务服务平台总事项的比率</w:t>
            </w:r>
          </w:p>
        </w:tc>
        <w:tc>
          <w:tcPr>
            <w:tcW w:w="2268" w:type="dxa"/>
            <w:vAlign w:val="center"/>
          </w:tcPr>
          <w:p>
            <w:pPr>
              <w:pStyle w:val="13"/>
            </w:pPr>
            <w:r>
              <w:t>100%</w:t>
            </w:r>
          </w:p>
        </w:tc>
        <w:tc>
          <w:tcPr>
            <w:tcW w:w="1276" w:type="dxa"/>
            <w:vAlign w:val="center"/>
          </w:tcPr>
          <w:p>
            <w:pPr>
              <w:pStyle w:val="13"/>
            </w:pPr>
            <w:r>
              <w:t>平台系统台账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按时办结</w:t>
            </w:r>
          </w:p>
        </w:tc>
        <w:tc>
          <w:tcPr>
            <w:tcW w:w="5386" w:type="dxa"/>
            <w:vAlign w:val="center"/>
          </w:tcPr>
          <w:p>
            <w:pPr>
              <w:pStyle w:val="13"/>
            </w:pPr>
            <w:r>
              <w:t>政务服务平台可办事项按时办结</w:t>
            </w:r>
          </w:p>
        </w:tc>
        <w:tc>
          <w:tcPr>
            <w:tcW w:w="2268" w:type="dxa"/>
            <w:vAlign w:val="center"/>
          </w:tcPr>
          <w:p>
            <w:pPr>
              <w:pStyle w:val="13"/>
            </w:pPr>
            <w:r>
              <w:t>≤4时</w:t>
            </w:r>
          </w:p>
        </w:tc>
        <w:tc>
          <w:tcPr>
            <w:tcW w:w="1276" w:type="dxa"/>
            <w:vAlign w:val="center"/>
          </w:tcPr>
          <w:p>
            <w:pPr>
              <w:pStyle w:val="13"/>
            </w:pPr>
            <w:r>
              <w:t>平台系统台账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工作资金</w:t>
            </w:r>
          </w:p>
        </w:tc>
        <w:tc>
          <w:tcPr>
            <w:tcW w:w="5386" w:type="dxa"/>
            <w:vAlign w:val="center"/>
          </w:tcPr>
          <w:p>
            <w:pPr>
              <w:pStyle w:val="13"/>
            </w:pPr>
            <w:r>
              <w:t>政务服务工作资金</w:t>
            </w:r>
          </w:p>
        </w:tc>
        <w:tc>
          <w:tcPr>
            <w:tcW w:w="2268" w:type="dxa"/>
            <w:vAlign w:val="center"/>
          </w:tcPr>
          <w:p>
            <w:pPr>
              <w:pStyle w:val="13"/>
            </w:pPr>
            <w:r>
              <w:t>≤150.4万元</w:t>
            </w:r>
          </w:p>
        </w:tc>
        <w:tc>
          <w:tcPr>
            <w:tcW w:w="1276" w:type="dxa"/>
            <w:vAlign w:val="center"/>
          </w:tcPr>
          <w:p>
            <w:pPr>
              <w:pStyle w:val="13"/>
            </w:pPr>
            <w:r>
              <w:t>馆文【2024】7号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促进经济发展</w:t>
            </w:r>
          </w:p>
        </w:tc>
        <w:tc>
          <w:tcPr>
            <w:tcW w:w="5386" w:type="dxa"/>
            <w:vAlign w:val="center"/>
          </w:tcPr>
          <w:p>
            <w:pPr>
              <w:pStyle w:val="13"/>
            </w:pPr>
            <w:r>
              <w:t>提高工作效益，促进经济发展</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优化营商环境</w:t>
            </w:r>
          </w:p>
        </w:tc>
        <w:tc>
          <w:tcPr>
            <w:tcW w:w="5386" w:type="dxa"/>
            <w:vAlign w:val="center"/>
          </w:tcPr>
          <w:p>
            <w:pPr>
              <w:pStyle w:val="13"/>
            </w:pPr>
            <w:r>
              <w:t>保障日常工作运转及提高工作效率，进一步优化营商环境</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群众对政务服务工作的满意度</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3、智慧馆陶工作经费绩效目标表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13043326P00003610016Y</w:t>
            </w:r>
          </w:p>
        </w:tc>
        <w:tc>
          <w:tcPr>
            <w:tcW w:w="2835" w:type="dxa"/>
            <w:vAlign w:val="center"/>
          </w:tcPr>
          <w:p>
            <w:pPr>
              <w:pStyle w:val="11"/>
            </w:pPr>
            <w:r>
              <w:t>项目名称</w:t>
            </w:r>
          </w:p>
        </w:tc>
        <w:tc>
          <w:tcPr>
            <w:tcW w:w="6095" w:type="dxa"/>
            <w:gridSpan w:val="3"/>
            <w:vAlign w:val="center"/>
          </w:tcPr>
          <w:p>
            <w:pPr>
              <w:pStyle w:val="13"/>
            </w:pPr>
            <w:r>
              <w:t>智慧馆陶工作经费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17.00</w:t>
            </w:r>
          </w:p>
        </w:tc>
        <w:tc>
          <w:tcPr>
            <w:tcW w:w="2835" w:type="dxa"/>
            <w:vAlign w:val="center"/>
          </w:tcPr>
          <w:p>
            <w:pPr>
              <w:pStyle w:val="11"/>
            </w:pPr>
            <w:r>
              <w:t>其中：财政    资金</w:t>
            </w:r>
          </w:p>
        </w:tc>
        <w:tc>
          <w:tcPr>
            <w:tcW w:w="2551" w:type="dxa"/>
            <w:vAlign w:val="center"/>
          </w:tcPr>
          <w:p>
            <w:pPr>
              <w:pStyle w:val="13"/>
            </w:pPr>
            <w:r>
              <w:t>17.00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该资金用于保障网络线路、电子屏与服务器运维及日常办公运转，确保各项工作开展。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1.该资金用于保障网络线路、电子屏与服务器运维及日常办公运转，确保各项工作开展。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服务数量</w:t>
            </w:r>
          </w:p>
        </w:tc>
        <w:tc>
          <w:tcPr>
            <w:tcW w:w="5386" w:type="dxa"/>
            <w:vAlign w:val="center"/>
          </w:tcPr>
          <w:p>
            <w:pPr>
              <w:pStyle w:val="13"/>
            </w:pPr>
            <w:r>
              <w:t>根据合同乙方提供甲方的服务数</w:t>
            </w:r>
          </w:p>
        </w:tc>
        <w:tc>
          <w:tcPr>
            <w:tcW w:w="2268" w:type="dxa"/>
            <w:vAlign w:val="center"/>
          </w:tcPr>
          <w:p>
            <w:pPr>
              <w:pStyle w:val="13"/>
            </w:pPr>
            <w:r>
              <w:t>4项</w:t>
            </w:r>
          </w:p>
        </w:tc>
        <w:tc>
          <w:tcPr>
            <w:tcW w:w="1276" w:type="dxa"/>
            <w:vAlign w:val="center"/>
          </w:tcPr>
          <w:p>
            <w:pPr>
              <w:pStyle w:val="13"/>
            </w:pPr>
            <w:r>
              <w:t>服务合同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运维达标率</w:t>
            </w:r>
          </w:p>
        </w:tc>
        <w:tc>
          <w:tcPr>
            <w:tcW w:w="5386" w:type="dxa"/>
            <w:vAlign w:val="center"/>
          </w:tcPr>
          <w:p>
            <w:pPr>
              <w:pStyle w:val="13"/>
            </w:pPr>
            <w:r>
              <w:t>机房运维达标数量占总运维数量的百分比</w:t>
            </w:r>
          </w:p>
        </w:tc>
        <w:tc>
          <w:tcPr>
            <w:tcW w:w="2268" w:type="dxa"/>
            <w:vAlign w:val="center"/>
          </w:tcPr>
          <w:p>
            <w:pPr>
              <w:pStyle w:val="13"/>
            </w:pPr>
            <w:r>
              <w:t>≥95%</w:t>
            </w:r>
          </w:p>
        </w:tc>
        <w:tc>
          <w:tcPr>
            <w:tcW w:w="1276" w:type="dxa"/>
            <w:vAlign w:val="center"/>
          </w:tcPr>
          <w:p>
            <w:pPr>
              <w:pStyle w:val="13"/>
            </w:pPr>
            <w:r>
              <w:t>服务合同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及时完成</w:t>
            </w:r>
          </w:p>
        </w:tc>
        <w:tc>
          <w:tcPr>
            <w:tcW w:w="5386" w:type="dxa"/>
            <w:vAlign w:val="center"/>
          </w:tcPr>
          <w:p>
            <w:pPr>
              <w:pStyle w:val="13"/>
            </w:pPr>
            <w:r>
              <w:t>根据合同约定及时完成维修工作</w:t>
            </w:r>
          </w:p>
        </w:tc>
        <w:tc>
          <w:tcPr>
            <w:tcW w:w="2268" w:type="dxa"/>
            <w:vAlign w:val="center"/>
          </w:tcPr>
          <w:p>
            <w:pPr>
              <w:pStyle w:val="13"/>
            </w:pPr>
            <w:r>
              <w:t>≤1周</w:t>
            </w:r>
          </w:p>
        </w:tc>
        <w:tc>
          <w:tcPr>
            <w:tcW w:w="1276" w:type="dxa"/>
            <w:vAlign w:val="center"/>
          </w:tcPr>
          <w:p>
            <w:pPr>
              <w:pStyle w:val="13"/>
            </w:pPr>
            <w:r>
              <w:t>服务合同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运转所需资金</w:t>
            </w:r>
          </w:p>
        </w:tc>
        <w:tc>
          <w:tcPr>
            <w:tcW w:w="5386" w:type="dxa"/>
            <w:vAlign w:val="center"/>
          </w:tcPr>
          <w:p>
            <w:pPr>
              <w:pStyle w:val="13"/>
            </w:pPr>
            <w:r>
              <w:t>保障网络线路、电子屏与服务器运维及日常办公运转所需资金</w:t>
            </w:r>
          </w:p>
        </w:tc>
        <w:tc>
          <w:tcPr>
            <w:tcW w:w="2268" w:type="dxa"/>
            <w:vAlign w:val="center"/>
          </w:tcPr>
          <w:p>
            <w:pPr>
              <w:pStyle w:val="13"/>
            </w:pPr>
            <w:r>
              <w:t>21.6万元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增强综合指挥能力</w:t>
            </w:r>
          </w:p>
        </w:tc>
        <w:tc>
          <w:tcPr>
            <w:tcW w:w="5386" w:type="dxa"/>
            <w:vAlign w:val="center"/>
          </w:tcPr>
          <w:p>
            <w:pPr>
              <w:pStyle w:val="13"/>
            </w:pPr>
            <w:r>
              <w:t>通过该项目的开展，保障平台各种设备运转，增强综合指挥调度能力</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持续对内外网进行隔离、防护</w:t>
            </w:r>
          </w:p>
        </w:tc>
        <w:tc>
          <w:tcPr>
            <w:tcW w:w="5386" w:type="dxa"/>
            <w:vAlign w:val="center"/>
          </w:tcPr>
          <w:p>
            <w:pPr>
              <w:pStyle w:val="13"/>
            </w:pPr>
            <w:r>
              <w:t>通过该项目的开展，对内外网持续进行更新漏洞，增强防护能力</w:t>
            </w:r>
          </w:p>
        </w:tc>
        <w:tc>
          <w:tcPr>
            <w:tcW w:w="2268" w:type="dxa"/>
            <w:vAlign w:val="center"/>
          </w:tcPr>
          <w:p>
            <w:pPr>
              <w:pStyle w:val="13"/>
            </w:pPr>
            <w:r>
              <w:t>≥95%</w:t>
            </w:r>
          </w:p>
        </w:tc>
        <w:tc>
          <w:tcPr>
            <w:tcW w:w="1276" w:type="dxa"/>
            <w:vAlign w:val="center"/>
          </w:tcPr>
          <w:p>
            <w:pPr>
              <w:pStyle w:val="13"/>
            </w:pPr>
            <w:r>
              <w:t>服务合同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大厅工作人员满意度</w:t>
            </w:r>
          </w:p>
        </w:tc>
        <w:tc>
          <w:tcPr>
            <w:tcW w:w="5386" w:type="dxa"/>
            <w:vAlign w:val="center"/>
          </w:tcPr>
          <w:p>
            <w:pPr>
              <w:pStyle w:val="13"/>
            </w:pPr>
            <w:r>
              <w:t>大厅工作人员对运转保障工作的满意度</w:t>
            </w:r>
          </w:p>
        </w:tc>
        <w:tc>
          <w:tcPr>
            <w:tcW w:w="2268" w:type="dxa"/>
            <w:vAlign w:val="center"/>
          </w:tcPr>
          <w:p>
            <w:pPr>
              <w:pStyle w:val="13"/>
            </w:pPr>
            <w:r>
              <w:t>≥95%</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4、县智慧馆陶综合指挥中心防汛会议系统建设资金绩效目标表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13043326P00003810003K</w:t>
            </w:r>
          </w:p>
        </w:tc>
        <w:tc>
          <w:tcPr>
            <w:tcW w:w="2835" w:type="dxa"/>
            <w:vAlign w:val="center"/>
          </w:tcPr>
          <w:p>
            <w:pPr>
              <w:pStyle w:val="11"/>
            </w:pPr>
            <w:r>
              <w:t>项目名称</w:t>
            </w:r>
          </w:p>
        </w:tc>
        <w:tc>
          <w:tcPr>
            <w:tcW w:w="6095" w:type="dxa"/>
            <w:gridSpan w:val="3"/>
            <w:vAlign w:val="center"/>
          </w:tcPr>
          <w:p>
            <w:pPr>
              <w:pStyle w:val="13"/>
            </w:pPr>
            <w:r>
              <w:t>县智慧馆陶综合指挥中心防汛会议系统建设资金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6.36</w:t>
            </w:r>
          </w:p>
        </w:tc>
        <w:tc>
          <w:tcPr>
            <w:tcW w:w="2835" w:type="dxa"/>
            <w:vAlign w:val="center"/>
          </w:tcPr>
          <w:p>
            <w:pPr>
              <w:pStyle w:val="11"/>
            </w:pPr>
            <w:r>
              <w:t>其中：财政    资金</w:t>
            </w:r>
          </w:p>
        </w:tc>
        <w:tc>
          <w:tcPr>
            <w:tcW w:w="2551" w:type="dxa"/>
            <w:vAlign w:val="center"/>
          </w:tcPr>
          <w:p>
            <w:pPr>
              <w:pStyle w:val="13"/>
            </w:pPr>
            <w:r>
              <w:t>6.36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该资金用于建设防汛会议系统，提升防汛工作能力水平，持续保障防汛会议指示精神上传下达，保护群众安全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1.该资金用于建设防汛会议系统，提升防汛工作能力水平，持续保障防汛会议指示精神上传下达，保护群众安全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会议终端数量</w:t>
            </w:r>
          </w:p>
        </w:tc>
        <w:tc>
          <w:tcPr>
            <w:tcW w:w="5386" w:type="dxa"/>
            <w:vAlign w:val="center"/>
          </w:tcPr>
          <w:p>
            <w:pPr>
              <w:pStyle w:val="13"/>
            </w:pPr>
            <w:r>
              <w:t>ME90会议终端数量</w:t>
            </w:r>
          </w:p>
        </w:tc>
        <w:tc>
          <w:tcPr>
            <w:tcW w:w="2268" w:type="dxa"/>
            <w:vAlign w:val="center"/>
          </w:tcPr>
          <w:p>
            <w:pPr>
              <w:pStyle w:val="13"/>
            </w:pPr>
            <w:r>
              <w:t>2套</w:t>
            </w:r>
          </w:p>
        </w:tc>
        <w:tc>
          <w:tcPr>
            <w:tcW w:w="1276" w:type="dxa"/>
            <w:vAlign w:val="center"/>
          </w:tcPr>
          <w:p>
            <w:pPr>
              <w:pStyle w:val="13"/>
            </w:pPr>
            <w:r>
              <w:t>项目服务合同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人员按时到场值班率</w:t>
            </w:r>
          </w:p>
        </w:tc>
        <w:tc>
          <w:tcPr>
            <w:tcW w:w="5386" w:type="dxa"/>
            <w:vAlign w:val="center"/>
          </w:tcPr>
          <w:p>
            <w:pPr>
              <w:pStyle w:val="13"/>
            </w:pPr>
            <w:r>
              <w:t>会议期间技术人员及时到会次数与总会议次数的比</w:t>
            </w:r>
          </w:p>
        </w:tc>
        <w:tc>
          <w:tcPr>
            <w:tcW w:w="2268" w:type="dxa"/>
            <w:vAlign w:val="center"/>
          </w:tcPr>
          <w:p>
            <w:pPr>
              <w:pStyle w:val="13"/>
            </w:pPr>
            <w:r>
              <w:t>≥95%</w:t>
            </w:r>
          </w:p>
        </w:tc>
        <w:tc>
          <w:tcPr>
            <w:tcW w:w="1276" w:type="dxa"/>
            <w:vAlign w:val="center"/>
          </w:tcPr>
          <w:p>
            <w:pPr>
              <w:pStyle w:val="13"/>
            </w:pPr>
            <w:r>
              <w:t>防汛会议签到记录表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及时完成</w:t>
            </w:r>
          </w:p>
        </w:tc>
        <w:tc>
          <w:tcPr>
            <w:tcW w:w="5386" w:type="dxa"/>
            <w:vAlign w:val="center"/>
          </w:tcPr>
          <w:p>
            <w:pPr>
              <w:pStyle w:val="13"/>
            </w:pPr>
            <w:r>
              <w:t>在合同约定时间内施工完成</w:t>
            </w:r>
          </w:p>
        </w:tc>
        <w:tc>
          <w:tcPr>
            <w:tcW w:w="2268" w:type="dxa"/>
            <w:vAlign w:val="center"/>
          </w:tcPr>
          <w:p>
            <w:pPr>
              <w:pStyle w:val="13"/>
            </w:pPr>
            <w:r>
              <w:t>≤7日</w:t>
            </w:r>
          </w:p>
        </w:tc>
        <w:tc>
          <w:tcPr>
            <w:tcW w:w="1276" w:type="dxa"/>
            <w:vAlign w:val="center"/>
          </w:tcPr>
          <w:p>
            <w:pPr>
              <w:pStyle w:val="13"/>
            </w:pPr>
            <w:r>
              <w:t>项目服务合同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所需费用</w:t>
            </w:r>
          </w:p>
        </w:tc>
        <w:tc>
          <w:tcPr>
            <w:tcW w:w="5386" w:type="dxa"/>
            <w:vAlign w:val="center"/>
          </w:tcPr>
          <w:p>
            <w:pPr>
              <w:pStyle w:val="13"/>
            </w:pPr>
            <w:r>
              <w:t>该工程需支付建设方费用</w:t>
            </w:r>
          </w:p>
        </w:tc>
        <w:tc>
          <w:tcPr>
            <w:tcW w:w="2268" w:type="dxa"/>
            <w:vAlign w:val="center"/>
          </w:tcPr>
          <w:p>
            <w:pPr>
              <w:pStyle w:val="13"/>
            </w:pPr>
            <w:r>
              <w:t>6.36万元</w:t>
            </w:r>
          </w:p>
        </w:tc>
        <w:tc>
          <w:tcPr>
            <w:tcW w:w="1276" w:type="dxa"/>
            <w:vAlign w:val="center"/>
          </w:tcPr>
          <w:p>
            <w:pPr>
              <w:pStyle w:val="13"/>
            </w:pPr>
            <w:r>
              <w:t>项目服务合同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提高防汛工作能力水平</w:t>
            </w:r>
          </w:p>
        </w:tc>
        <w:tc>
          <w:tcPr>
            <w:tcW w:w="5386" w:type="dxa"/>
            <w:vAlign w:val="center"/>
          </w:tcPr>
          <w:p>
            <w:pPr>
              <w:pStyle w:val="13"/>
            </w:pPr>
            <w:r>
              <w:t>提升防汛工作能力水平，保护群众安全</w:t>
            </w:r>
          </w:p>
        </w:tc>
        <w:tc>
          <w:tcPr>
            <w:tcW w:w="2268" w:type="dxa"/>
            <w:vAlign w:val="center"/>
          </w:tcPr>
          <w:p>
            <w:pPr>
              <w:pStyle w:val="13"/>
            </w:pPr>
            <w:r>
              <w:t>≥95%</w:t>
            </w:r>
          </w:p>
        </w:tc>
        <w:tc>
          <w:tcPr>
            <w:tcW w:w="1276" w:type="dxa"/>
            <w:vAlign w:val="center"/>
          </w:tcPr>
          <w:p>
            <w:pPr>
              <w:pStyle w:val="13"/>
            </w:pPr>
            <w:r>
              <w:t>防汛系统批复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持续保障防汛会议精神上传下达</w:t>
            </w:r>
          </w:p>
        </w:tc>
        <w:tc>
          <w:tcPr>
            <w:tcW w:w="5386" w:type="dxa"/>
            <w:vAlign w:val="center"/>
          </w:tcPr>
          <w:p>
            <w:pPr>
              <w:pStyle w:val="13"/>
            </w:pPr>
            <w:r>
              <w:t>持续保障防汛会议精神上传下达，保护群众安全</w:t>
            </w:r>
          </w:p>
        </w:tc>
        <w:tc>
          <w:tcPr>
            <w:tcW w:w="2268" w:type="dxa"/>
            <w:vAlign w:val="center"/>
          </w:tcPr>
          <w:p>
            <w:pPr>
              <w:pStyle w:val="13"/>
            </w:pPr>
            <w:r>
              <w:t>≥95%</w:t>
            </w:r>
          </w:p>
        </w:tc>
        <w:tc>
          <w:tcPr>
            <w:tcW w:w="1276" w:type="dxa"/>
            <w:vAlign w:val="center"/>
          </w:tcPr>
          <w:p>
            <w:pPr>
              <w:pStyle w:val="13"/>
            </w:pPr>
            <w:r>
              <w:t>防汛系统批复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防汛工作人员满意度</w:t>
            </w:r>
          </w:p>
        </w:tc>
        <w:tc>
          <w:tcPr>
            <w:tcW w:w="5386" w:type="dxa"/>
            <w:vAlign w:val="center"/>
          </w:tcPr>
          <w:p>
            <w:pPr>
              <w:pStyle w:val="13"/>
            </w:pPr>
            <w:r>
              <w:t>防汛工作人员对会议系统建设工作的满意程度</w:t>
            </w:r>
          </w:p>
        </w:tc>
        <w:tc>
          <w:tcPr>
            <w:tcW w:w="2268" w:type="dxa"/>
            <w:vAlign w:val="center"/>
          </w:tcPr>
          <w:p>
            <w:pPr>
              <w:pStyle w:val="13"/>
            </w:pPr>
            <w:r>
              <w:t>≥95%</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5、信息化建设及维护资金绩效目标表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13043326P00003710003X</w:t>
            </w:r>
          </w:p>
        </w:tc>
        <w:tc>
          <w:tcPr>
            <w:tcW w:w="2835" w:type="dxa"/>
            <w:vAlign w:val="center"/>
          </w:tcPr>
          <w:p>
            <w:pPr>
              <w:pStyle w:val="11"/>
            </w:pPr>
            <w:r>
              <w:t>项目名称</w:t>
            </w:r>
          </w:p>
        </w:tc>
        <w:tc>
          <w:tcPr>
            <w:tcW w:w="6095" w:type="dxa"/>
            <w:gridSpan w:val="3"/>
            <w:vAlign w:val="center"/>
          </w:tcPr>
          <w:p>
            <w:pPr>
              <w:pStyle w:val="13"/>
            </w:pPr>
            <w:r>
              <w:t>信息化建设及维护资金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200.00</w:t>
            </w:r>
          </w:p>
        </w:tc>
        <w:tc>
          <w:tcPr>
            <w:tcW w:w="2835" w:type="dxa"/>
            <w:vAlign w:val="center"/>
          </w:tcPr>
          <w:p>
            <w:pPr>
              <w:pStyle w:val="11"/>
            </w:pPr>
            <w:r>
              <w:t>其中：财政    资金</w:t>
            </w:r>
          </w:p>
        </w:tc>
        <w:tc>
          <w:tcPr>
            <w:tcW w:w="2551" w:type="dxa"/>
            <w:vAlign w:val="center"/>
          </w:tcPr>
          <w:p>
            <w:pPr>
              <w:pStyle w:val="13"/>
            </w:pPr>
            <w:r>
              <w:t>200.00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该资金用于支付信息化项目运行维护经费，保障网络、信息化系统正常运行，推进资源整合，集约管理，确保数据安全高效利用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1.该资金用于支付信息化项目运行维护经费，保障网络、信息化系统正常运行，推进资源整合，集约管理，确保数据安全高效利用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支付系统数量</w:t>
            </w:r>
          </w:p>
        </w:tc>
        <w:tc>
          <w:tcPr>
            <w:tcW w:w="5386" w:type="dxa"/>
            <w:vAlign w:val="center"/>
          </w:tcPr>
          <w:p>
            <w:pPr>
              <w:pStyle w:val="13"/>
            </w:pPr>
            <w:r>
              <w:t>用于保障支付的信息化项目数量</w:t>
            </w:r>
          </w:p>
        </w:tc>
        <w:tc>
          <w:tcPr>
            <w:tcW w:w="2268" w:type="dxa"/>
            <w:vAlign w:val="center"/>
          </w:tcPr>
          <w:p>
            <w:pPr>
              <w:pStyle w:val="13"/>
            </w:pPr>
            <w:r>
              <w:t>15个</w:t>
            </w:r>
          </w:p>
        </w:tc>
        <w:tc>
          <w:tcPr>
            <w:tcW w:w="1276" w:type="dxa"/>
            <w:vAlign w:val="center"/>
          </w:tcPr>
          <w:p>
            <w:pPr>
              <w:pStyle w:val="13"/>
            </w:pPr>
            <w:r>
              <w:t>信息化建设及维护资金详情表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运维合格率</w:t>
            </w:r>
          </w:p>
        </w:tc>
        <w:tc>
          <w:tcPr>
            <w:tcW w:w="5386" w:type="dxa"/>
            <w:vAlign w:val="center"/>
          </w:tcPr>
          <w:p>
            <w:pPr>
              <w:pStyle w:val="13"/>
            </w:pPr>
            <w:r>
              <w:t>通过验收运维合格的项目数与总运维项目数的比</w:t>
            </w:r>
          </w:p>
        </w:tc>
        <w:tc>
          <w:tcPr>
            <w:tcW w:w="2268" w:type="dxa"/>
            <w:vAlign w:val="center"/>
          </w:tcPr>
          <w:p>
            <w:pPr>
              <w:pStyle w:val="13"/>
            </w:pPr>
            <w:r>
              <w:t>≥95%</w:t>
            </w:r>
          </w:p>
        </w:tc>
        <w:tc>
          <w:tcPr>
            <w:tcW w:w="1276" w:type="dxa"/>
            <w:vAlign w:val="center"/>
          </w:tcPr>
          <w:p>
            <w:pPr>
              <w:pStyle w:val="13"/>
            </w:pPr>
            <w:r>
              <w:t>运维情况统计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及时完成</w:t>
            </w:r>
          </w:p>
        </w:tc>
        <w:tc>
          <w:tcPr>
            <w:tcW w:w="5386" w:type="dxa"/>
            <w:vAlign w:val="center"/>
          </w:tcPr>
          <w:p>
            <w:pPr>
              <w:pStyle w:val="13"/>
            </w:pPr>
            <w:r>
              <w:t>信息化项目建成后及时组织相关单位或部门验收</w:t>
            </w:r>
          </w:p>
        </w:tc>
        <w:tc>
          <w:tcPr>
            <w:tcW w:w="2268" w:type="dxa"/>
            <w:vAlign w:val="center"/>
          </w:tcPr>
          <w:p>
            <w:pPr>
              <w:pStyle w:val="13"/>
            </w:pPr>
            <w:r>
              <w:t>≤0.5年</w:t>
            </w:r>
          </w:p>
        </w:tc>
        <w:tc>
          <w:tcPr>
            <w:tcW w:w="1276" w:type="dxa"/>
            <w:vAlign w:val="center"/>
          </w:tcPr>
          <w:p>
            <w:pPr>
              <w:pStyle w:val="13"/>
            </w:pPr>
            <w:r>
              <w:t>馆文【2024】14号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所需资金</w:t>
            </w:r>
          </w:p>
        </w:tc>
        <w:tc>
          <w:tcPr>
            <w:tcW w:w="5386" w:type="dxa"/>
            <w:vAlign w:val="center"/>
          </w:tcPr>
          <w:p>
            <w:pPr>
              <w:pStyle w:val="13"/>
            </w:pPr>
            <w:r>
              <w:t>保障系统正常运行所需的资金</w:t>
            </w:r>
          </w:p>
        </w:tc>
        <w:tc>
          <w:tcPr>
            <w:tcW w:w="2268" w:type="dxa"/>
            <w:vAlign w:val="center"/>
          </w:tcPr>
          <w:p>
            <w:pPr>
              <w:pStyle w:val="13"/>
            </w:pPr>
            <w:r>
              <w:t>347.6万元</w:t>
            </w:r>
          </w:p>
        </w:tc>
        <w:tc>
          <w:tcPr>
            <w:tcW w:w="1276" w:type="dxa"/>
            <w:vAlign w:val="center"/>
          </w:tcPr>
          <w:p>
            <w:pPr>
              <w:pStyle w:val="13"/>
            </w:pPr>
            <w:r>
              <w:t>信息化建设及维护资金详情表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保障网络安全稳定运行</w:t>
            </w:r>
          </w:p>
        </w:tc>
        <w:tc>
          <w:tcPr>
            <w:tcW w:w="5386" w:type="dxa"/>
            <w:vAlign w:val="center"/>
          </w:tcPr>
          <w:p>
            <w:pPr>
              <w:pStyle w:val="13"/>
            </w:pPr>
            <w:r>
              <w:t>保障网络、信息化系统安全稳定运行</w:t>
            </w:r>
          </w:p>
        </w:tc>
        <w:tc>
          <w:tcPr>
            <w:tcW w:w="2268" w:type="dxa"/>
            <w:vAlign w:val="center"/>
          </w:tcPr>
          <w:p>
            <w:pPr>
              <w:pStyle w:val="13"/>
            </w:pPr>
            <w:r>
              <w:t>≥95%</w:t>
            </w:r>
          </w:p>
        </w:tc>
        <w:tc>
          <w:tcPr>
            <w:tcW w:w="1276" w:type="dxa"/>
            <w:vAlign w:val="center"/>
          </w:tcPr>
          <w:p>
            <w:pPr>
              <w:pStyle w:val="13"/>
            </w:pPr>
            <w:r>
              <w:t>馆文【2024】14号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持续提升资源利用率</w:t>
            </w:r>
          </w:p>
        </w:tc>
        <w:tc>
          <w:tcPr>
            <w:tcW w:w="5386" w:type="dxa"/>
            <w:vAlign w:val="center"/>
          </w:tcPr>
          <w:p>
            <w:pPr>
              <w:pStyle w:val="13"/>
            </w:pPr>
            <w:r>
              <w:t>推进资源整合，集约管理，确保数据安全高效利用</w:t>
            </w:r>
          </w:p>
        </w:tc>
        <w:tc>
          <w:tcPr>
            <w:tcW w:w="2268" w:type="dxa"/>
            <w:vAlign w:val="center"/>
          </w:tcPr>
          <w:p>
            <w:pPr>
              <w:pStyle w:val="13"/>
            </w:pPr>
            <w:r>
              <w:t>≥95%</w:t>
            </w:r>
          </w:p>
        </w:tc>
        <w:tc>
          <w:tcPr>
            <w:tcW w:w="1276" w:type="dxa"/>
            <w:vAlign w:val="center"/>
          </w:tcPr>
          <w:p>
            <w:pPr>
              <w:pStyle w:val="13"/>
            </w:pPr>
            <w:r>
              <w:t>馆文【2024】14号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使用单位满意度</w:t>
            </w:r>
          </w:p>
        </w:tc>
        <w:tc>
          <w:tcPr>
            <w:tcW w:w="5386" w:type="dxa"/>
            <w:vAlign w:val="center"/>
          </w:tcPr>
          <w:p>
            <w:pPr>
              <w:pStyle w:val="13"/>
            </w:pPr>
            <w:r>
              <w:t>系统使用单位对信息化项目建设维护工作的满意程度</w:t>
            </w:r>
          </w:p>
        </w:tc>
        <w:tc>
          <w:tcPr>
            <w:tcW w:w="2268" w:type="dxa"/>
            <w:vAlign w:val="center"/>
          </w:tcPr>
          <w:p>
            <w:pPr>
              <w:pStyle w:val="13"/>
            </w:pPr>
            <w:r>
              <w:t>≥95%</w:t>
            </w:r>
          </w:p>
        </w:tc>
        <w:tc>
          <w:tcPr>
            <w:tcW w:w="1276" w:type="dxa"/>
            <w:vAlign w:val="center"/>
          </w:tcPr>
          <w:p>
            <w:pPr>
              <w:pStyle w:val="13"/>
            </w:pPr>
            <w:r>
              <w:t>满意度调查表</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223馆陶县行政审批局</w:t>
            </w:r>
          </w:p>
        </w:tc>
        <w:tc>
          <w:tcPr>
            <w:tcW w:w="8676" w:type="dxa"/>
            <w:gridSpan w:val="9"/>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7712" w:type="dxa"/>
            <w:gridSpan w:val="8"/>
            <w:vAlign w:val="center"/>
          </w:tcPr>
          <w:p>
            <w:pPr>
              <w:pStyle w:val="11"/>
            </w:pPr>
            <w:r>
              <w:t>政府采购金额（当年部门预算安排资金）</w:t>
            </w:r>
          </w:p>
        </w:tc>
        <w:tc>
          <w:tcPr>
            <w:tcW w:w="964" w:type="dxa"/>
            <w:vMerge w:val="restart"/>
            <w:vAlign w:val="center"/>
          </w:tcPr>
          <w:p>
            <w:pPr>
              <w:pStyle w:val="11"/>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财政拨款结转</w:t>
            </w:r>
          </w:p>
        </w:tc>
        <w:tc>
          <w:tcPr>
            <w:tcW w:w="964" w:type="dxa"/>
            <w:vAlign w:val="center"/>
          </w:tcPr>
          <w:p>
            <w:pPr>
              <w:pStyle w:val="11"/>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1.40</w:t>
            </w:r>
          </w:p>
        </w:tc>
        <w:tc>
          <w:tcPr>
            <w:tcW w:w="964" w:type="dxa"/>
            <w:vAlign w:val="center"/>
          </w:tcPr>
          <w:p>
            <w:pPr>
              <w:pStyle w:val="16"/>
            </w:pPr>
            <w:r>
              <w:t>1.40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1.40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馆陶县行政审批局本级小计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1.40</w:t>
            </w:r>
          </w:p>
        </w:tc>
        <w:tc>
          <w:tcPr>
            <w:tcW w:w="964" w:type="dxa"/>
            <w:vAlign w:val="center"/>
          </w:tcPr>
          <w:p>
            <w:pPr>
              <w:pStyle w:val="16"/>
            </w:pPr>
            <w:r>
              <w:t>1.40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1.40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行政审批工作经费</w:t>
            </w:r>
          </w:p>
        </w:tc>
        <w:tc>
          <w:tcPr>
            <w:tcW w:w="964" w:type="dxa"/>
            <w:vAlign w:val="center"/>
          </w:tcPr>
          <w:p>
            <w:pPr>
              <w:pStyle w:val="12"/>
            </w:pPr>
            <w:r>
              <w:t>100.00</w:t>
            </w:r>
          </w:p>
        </w:tc>
        <w:tc>
          <w:tcPr>
            <w:tcW w:w="1134" w:type="dxa"/>
            <w:vAlign w:val="center"/>
          </w:tcPr>
          <w:p>
            <w:pPr>
              <w:pStyle w:val="13"/>
            </w:pPr>
            <w:r>
              <w:t>台式计算机</w:t>
            </w:r>
          </w:p>
        </w:tc>
        <w:tc>
          <w:tcPr>
            <w:tcW w:w="1134" w:type="dxa"/>
            <w:vAlign w:val="center"/>
          </w:tcPr>
          <w:p>
            <w:pPr>
              <w:pStyle w:val="13"/>
            </w:pPr>
            <w:r>
              <w:t>A02010105</w:t>
            </w:r>
          </w:p>
        </w:tc>
        <w:tc>
          <w:tcPr>
            <w:tcW w:w="709" w:type="dxa"/>
            <w:vAlign w:val="center"/>
          </w:tcPr>
          <w:p>
            <w:pPr>
              <w:pStyle w:val="14"/>
            </w:pPr>
            <w:r>
              <w:t>台</w:t>
            </w:r>
          </w:p>
        </w:tc>
        <w:tc>
          <w:tcPr>
            <w:tcW w:w="850" w:type="dxa"/>
            <w:vAlign w:val="center"/>
          </w:tcPr>
          <w:p>
            <w:pPr>
              <w:pStyle w:val="12"/>
            </w:pPr>
            <w:r>
              <w:t>2</w:t>
            </w:r>
          </w:p>
        </w:tc>
        <w:tc>
          <w:tcPr>
            <w:tcW w:w="850" w:type="dxa"/>
            <w:vAlign w:val="center"/>
          </w:tcPr>
          <w:p>
            <w:pPr>
              <w:pStyle w:val="12"/>
            </w:pPr>
            <w:r>
              <w:t>0.50</w:t>
            </w:r>
          </w:p>
        </w:tc>
        <w:tc>
          <w:tcPr>
            <w:tcW w:w="964" w:type="dxa"/>
            <w:vAlign w:val="center"/>
          </w:tcPr>
          <w:p>
            <w:pPr>
              <w:pStyle w:val="12"/>
            </w:pPr>
            <w:r>
              <w:t>1.00</w:t>
            </w:r>
          </w:p>
        </w:tc>
        <w:tc>
          <w:tcPr>
            <w:tcW w:w="964" w:type="dxa"/>
            <w:vAlign w:val="center"/>
          </w:tcPr>
          <w:p>
            <w:pPr>
              <w:pStyle w:val="12"/>
            </w:pPr>
            <w:r>
              <w:t>1.00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行政审批工作经费</w:t>
            </w:r>
          </w:p>
        </w:tc>
        <w:tc>
          <w:tcPr>
            <w:tcW w:w="964" w:type="dxa"/>
            <w:vAlign w:val="center"/>
          </w:tcPr>
          <w:p>
            <w:pPr>
              <w:pStyle w:val="12"/>
            </w:pPr>
            <w:r>
              <w:t>100.00</w:t>
            </w:r>
          </w:p>
        </w:tc>
        <w:tc>
          <w:tcPr>
            <w:tcW w:w="1134" w:type="dxa"/>
            <w:vAlign w:val="center"/>
          </w:tcPr>
          <w:p>
            <w:pPr>
              <w:pStyle w:val="13"/>
            </w:pPr>
            <w:r>
              <w:t>多功能一体机</w:t>
            </w:r>
          </w:p>
        </w:tc>
        <w:tc>
          <w:tcPr>
            <w:tcW w:w="1134" w:type="dxa"/>
            <w:vAlign w:val="center"/>
          </w:tcPr>
          <w:p>
            <w:pPr>
              <w:pStyle w:val="13"/>
            </w:pPr>
            <w:r>
              <w:t>A02020400</w:t>
            </w:r>
          </w:p>
        </w:tc>
        <w:tc>
          <w:tcPr>
            <w:tcW w:w="709" w:type="dxa"/>
            <w:vAlign w:val="center"/>
          </w:tcPr>
          <w:p>
            <w:pPr>
              <w:pStyle w:val="14"/>
            </w:pPr>
            <w:r>
              <w:t>台</w:t>
            </w:r>
          </w:p>
        </w:tc>
        <w:tc>
          <w:tcPr>
            <w:tcW w:w="850" w:type="dxa"/>
            <w:vAlign w:val="center"/>
          </w:tcPr>
          <w:p>
            <w:pPr>
              <w:pStyle w:val="12"/>
            </w:pPr>
            <w:r>
              <w:t>2</w:t>
            </w:r>
          </w:p>
        </w:tc>
        <w:tc>
          <w:tcPr>
            <w:tcW w:w="850" w:type="dxa"/>
            <w:vAlign w:val="center"/>
          </w:tcPr>
          <w:p>
            <w:pPr>
              <w:pStyle w:val="12"/>
            </w:pPr>
            <w:r>
              <w:t>0.20</w:t>
            </w:r>
          </w:p>
        </w:tc>
        <w:tc>
          <w:tcPr>
            <w:tcW w:w="964" w:type="dxa"/>
            <w:vAlign w:val="center"/>
          </w:tcPr>
          <w:p>
            <w:pPr>
              <w:pStyle w:val="12"/>
            </w:pPr>
            <w:r>
              <w:t>0.40</w:t>
            </w:r>
          </w:p>
        </w:tc>
        <w:tc>
          <w:tcPr>
            <w:tcW w:w="964" w:type="dxa"/>
            <w:vAlign w:val="center"/>
          </w:tcPr>
          <w:p>
            <w:pPr>
              <w:pStyle w:val="12"/>
            </w:pPr>
            <w:r>
              <w:t>0.40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0.40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馆陶县行政审批局（含所属单位）上年末固定资产金额为0.00万元（详见下表）。本年度拟购置固定资产总额为</w:t>
      </w:r>
      <w:r>
        <w:rPr>
          <w:rFonts w:hint="eastAsia" w:eastAsia="方正仿宋_GBK" w:cs="Times New Roman"/>
          <w:b w:val="0"/>
          <w:color w:val="000000"/>
          <w:sz w:val="28"/>
          <w:lang w:val="en-US" w:eastAsia="zh-CN"/>
        </w:rPr>
        <w:t>1</w:t>
      </w:r>
      <w:r>
        <w:rPr>
          <w:rFonts w:ascii="Times New Roman" w:hAnsi="Times New Roman" w:eastAsia="方正仿宋_GBK" w:cs="Times New Roman"/>
          <w:b w:val="0"/>
          <w:color w:val="000000"/>
          <w:sz w:val="28"/>
        </w:rPr>
        <w:t>.</w:t>
      </w:r>
      <w:r>
        <w:rPr>
          <w:rFonts w:hint="eastAsia" w:eastAsia="方正仿宋_GBK" w:cs="Times New Roman"/>
          <w:b w:val="0"/>
          <w:color w:val="000000"/>
          <w:sz w:val="28"/>
          <w:lang w:val="en-US" w:eastAsia="zh-CN"/>
        </w:rPr>
        <w:t>4</w:t>
      </w:r>
      <w:r>
        <w:rPr>
          <w:rFonts w:ascii="Times New Roman" w:hAnsi="Times New Roman" w:eastAsia="方正仿宋_GBK" w:cs="Times New Roman"/>
          <w:b w:val="0"/>
          <w:color w:val="000000"/>
          <w:sz w:val="28"/>
        </w:rPr>
        <w:t>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223馆陶县行政审批局</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1、房屋（平方米）</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　　其中：办公用房（平方米）</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2、车辆（台、辆）</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3、单价在20万元以上的设备</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4、其他固定资产</w:t>
            </w:r>
          </w:p>
        </w:tc>
        <w:tc>
          <w:tcPr>
            <w:tcW w:w="2835" w:type="dxa"/>
            <w:vAlign w:val="center"/>
          </w:tcPr>
          <w:p>
            <w:pPr>
              <w:pStyle w:val="14"/>
            </w:pPr>
          </w:p>
        </w:tc>
        <w:tc>
          <w:tcPr>
            <w:tcW w:w="2835" w:type="dxa"/>
            <w:vAlign w:val="center"/>
          </w:tcPr>
          <w:p>
            <w:pPr>
              <w:pStyle w:val="12"/>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bookmarkStart w:id="20" w:name="_GoBack"/>
      <w:bookmarkEnd w:id="20"/>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31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30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35916F7B"/>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33</Pages>
  <TotalTime>0</TotalTime>
  <ScaleCrop>false</ScaleCrop>
  <LinksUpToDate>false</LinksUpToDate>
  <Application>WPS Office_11.1.0.15320_F1E327BC-269C-435d-A152-05C5408002CA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2026-03-23T11:46:00Z</dcterms:created>
  <dc:creator>Administrator</dc:creator>
  <cp:lastModifiedBy>Administrator</cp:lastModifiedBy>
  <dcterms:modified xsi:type="dcterms:W3CDTF">2026-03-23T03:51:18Z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2052-11.1.0.15320</vt:lpwstr>
  </property>
  <property fmtid="{D5CDD505-2E9C-101B-9397-08002B2CF9AE}" pid="3" name="ICV">
    <vt:lpwstr>213E0579D18A478688DEA1985C9C64F8_12</vt:lpwstr>
  </property>
</Properties>
</file>