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85.75</w:t>
            </w:r>
          </w:p>
        </w:tc>
        <w:tc>
          <w:tcPr>
            <w:tcW w:w="1971" w:type="dxa"/>
            <w:vAlign w:val="center"/>
          </w:tcPr>
          <w:p>
            <w:pPr>
              <w:pStyle w:val="13"/>
            </w:pPr>
            <w:r>
              <w:t>一、一般公共服务支出</w:t>
            </w:r>
          </w:p>
        </w:tc>
        <w:tc>
          <w:tcPr>
            <w:tcW w:w="1971" w:type="dxa"/>
            <w:vAlign w:val="center"/>
          </w:tcPr>
          <w:p>
            <w:pPr>
              <w:pStyle w:val="12"/>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85.75</w:t>
            </w:r>
          </w:p>
        </w:tc>
        <w:tc>
          <w:tcPr>
            <w:tcW w:w="1971" w:type="dxa"/>
            <w:vAlign w:val="center"/>
          </w:tcPr>
          <w:p>
            <w:pPr>
              <w:pStyle w:val="15"/>
            </w:pPr>
            <w:r>
              <w:t>本年支出合计</w:t>
            </w:r>
          </w:p>
        </w:tc>
        <w:tc>
          <w:tcPr>
            <w:tcW w:w="1971" w:type="dxa"/>
            <w:vAlign w:val="center"/>
          </w:tcPr>
          <w:p>
            <w:pPr>
              <w:pStyle w:val="16"/>
            </w:pPr>
            <w:r>
              <w:t>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85.75</w:t>
            </w:r>
          </w:p>
        </w:tc>
        <w:tc>
          <w:tcPr>
            <w:tcW w:w="1971" w:type="dxa"/>
            <w:vAlign w:val="center"/>
          </w:tcPr>
          <w:p>
            <w:pPr>
              <w:pStyle w:val="15"/>
            </w:pPr>
            <w:r>
              <w:t>支出总计</w:t>
            </w:r>
          </w:p>
        </w:tc>
        <w:tc>
          <w:tcPr>
            <w:tcW w:w="1971" w:type="dxa"/>
            <w:vAlign w:val="center"/>
          </w:tcPr>
          <w:p>
            <w:pPr>
              <w:pStyle w:val="16"/>
            </w:pPr>
            <w:r>
              <w:t>85.75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286馆陶县县直机关工作委员会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85.75</w:t>
            </w:r>
          </w:p>
        </w:tc>
        <w:tc>
          <w:tcPr>
            <w:tcW w:w="758" w:type="dxa"/>
            <w:vAlign w:val="center"/>
          </w:tcPr>
          <w:p>
            <w:pPr>
              <w:pStyle w:val="16"/>
            </w:pPr>
            <w:r>
              <w:t>85.75</w:t>
            </w:r>
          </w:p>
        </w:tc>
        <w:tc>
          <w:tcPr>
            <w:tcW w:w="758" w:type="dxa"/>
            <w:vAlign w:val="center"/>
          </w:tcPr>
          <w:p>
            <w:pPr>
              <w:pStyle w:val="16"/>
            </w:pPr>
            <w:r>
              <w:t>85.75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20136</w:t>
            </w:r>
          </w:p>
        </w:tc>
        <w:tc>
          <w:tcPr>
            <w:tcW w:w="758" w:type="dxa"/>
            <w:vAlign w:val="center"/>
          </w:tcPr>
          <w:p>
            <w:pPr>
              <w:pStyle w:val="13"/>
            </w:pPr>
            <w:r>
              <w:t>其他共产党事务支出</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2013601</w:t>
            </w:r>
          </w:p>
        </w:tc>
        <w:tc>
          <w:tcPr>
            <w:tcW w:w="758" w:type="dxa"/>
            <w:vAlign w:val="center"/>
          </w:tcPr>
          <w:p>
            <w:pPr>
              <w:pStyle w:val="13"/>
            </w:pPr>
            <w:r>
              <w:t>行政运行</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r>
              <w:t>67.54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r>
              <w:t>7.45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r>
              <w:t>4.68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r>
              <w:t>6.08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85.75</w:t>
            </w:r>
          </w:p>
        </w:tc>
        <w:tc>
          <w:tcPr>
            <w:tcW w:w="1095" w:type="dxa"/>
            <w:vAlign w:val="center"/>
          </w:tcPr>
          <w:p>
            <w:pPr>
              <w:pStyle w:val="16"/>
            </w:pPr>
            <w:r>
              <w:t>85.75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67.54</w:t>
            </w:r>
          </w:p>
        </w:tc>
        <w:tc>
          <w:tcPr>
            <w:tcW w:w="1095" w:type="dxa"/>
            <w:vAlign w:val="center"/>
          </w:tcPr>
          <w:p>
            <w:pPr>
              <w:pStyle w:val="12"/>
            </w:pPr>
            <w:r>
              <w:t>67.54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20136</w:t>
            </w:r>
          </w:p>
        </w:tc>
        <w:tc>
          <w:tcPr>
            <w:tcW w:w="1095" w:type="dxa"/>
            <w:vAlign w:val="center"/>
          </w:tcPr>
          <w:p>
            <w:pPr>
              <w:pStyle w:val="13"/>
            </w:pPr>
            <w:r>
              <w:t>其他共产党事务支出</w:t>
            </w:r>
          </w:p>
        </w:tc>
        <w:tc>
          <w:tcPr>
            <w:tcW w:w="1095" w:type="dxa"/>
            <w:vAlign w:val="center"/>
          </w:tcPr>
          <w:p>
            <w:pPr>
              <w:pStyle w:val="12"/>
            </w:pPr>
            <w:r>
              <w:t>67.54</w:t>
            </w:r>
          </w:p>
        </w:tc>
        <w:tc>
          <w:tcPr>
            <w:tcW w:w="1095" w:type="dxa"/>
            <w:vAlign w:val="center"/>
          </w:tcPr>
          <w:p>
            <w:pPr>
              <w:pStyle w:val="12"/>
            </w:pPr>
            <w:r>
              <w:t>67.54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2013601</w:t>
            </w:r>
          </w:p>
        </w:tc>
        <w:tc>
          <w:tcPr>
            <w:tcW w:w="1095" w:type="dxa"/>
            <w:vAlign w:val="center"/>
          </w:tcPr>
          <w:p>
            <w:pPr>
              <w:pStyle w:val="13"/>
            </w:pPr>
            <w:r>
              <w:t>行政运行</w:t>
            </w:r>
          </w:p>
        </w:tc>
        <w:tc>
          <w:tcPr>
            <w:tcW w:w="1095" w:type="dxa"/>
            <w:vAlign w:val="center"/>
          </w:tcPr>
          <w:p>
            <w:pPr>
              <w:pStyle w:val="12"/>
            </w:pPr>
            <w:r>
              <w:t>67.54</w:t>
            </w:r>
          </w:p>
        </w:tc>
        <w:tc>
          <w:tcPr>
            <w:tcW w:w="1095" w:type="dxa"/>
            <w:vAlign w:val="center"/>
          </w:tcPr>
          <w:p>
            <w:pPr>
              <w:pStyle w:val="12"/>
            </w:pPr>
            <w:r>
              <w:t>67.54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7.45</w:t>
            </w:r>
          </w:p>
        </w:tc>
        <w:tc>
          <w:tcPr>
            <w:tcW w:w="1095" w:type="dxa"/>
            <w:vAlign w:val="center"/>
          </w:tcPr>
          <w:p>
            <w:pPr>
              <w:pStyle w:val="12"/>
            </w:pPr>
            <w:r>
              <w:t>7.45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7.45</w:t>
            </w:r>
          </w:p>
        </w:tc>
        <w:tc>
          <w:tcPr>
            <w:tcW w:w="1095" w:type="dxa"/>
            <w:vAlign w:val="center"/>
          </w:tcPr>
          <w:p>
            <w:pPr>
              <w:pStyle w:val="12"/>
            </w:pPr>
            <w:r>
              <w:t>7.45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7.45</w:t>
            </w:r>
          </w:p>
        </w:tc>
        <w:tc>
          <w:tcPr>
            <w:tcW w:w="1095" w:type="dxa"/>
            <w:vAlign w:val="center"/>
          </w:tcPr>
          <w:p>
            <w:pPr>
              <w:pStyle w:val="12"/>
            </w:pPr>
            <w:r>
              <w:t>7.45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4.68</w:t>
            </w:r>
          </w:p>
        </w:tc>
        <w:tc>
          <w:tcPr>
            <w:tcW w:w="1095" w:type="dxa"/>
            <w:vAlign w:val="center"/>
          </w:tcPr>
          <w:p>
            <w:pPr>
              <w:pStyle w:val="12"/>
            </w:pPr>
            <w:r>
              <w:t>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4.68</w:t>
            </w:r>
          </w:p>
        </w:tc>
        <w:tc>
          <w:tcPr>
            <w:tcW w:w="1095" w:type="dxa"/>
            <w:vAlign w:val="center"/>
          </w:tcPr>
          <w:p>
            <w:pPr>
              <w:pStyle w:val="12"/>
            </w:pPr>
            <w:r>
              <w:t>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4.68</w:t>
            </w:r>
          </w:p>
        </w:tc>
        <w:tc>
          <w:tcPr>
            <w:tcW w:w="1095" w:type="dxa"/>
            <w:vAlign w:val="center"/>
          </w:tcPr>
          <w:p>
            <w:pPr>
              <w:pStyle w:val="12"/>
            </w:pPr>
            <w:r>
              <w:t>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6.08</w:t>
            </w:r>
          </w:p>
        </w:tc>
        <w:tc>
          <w:tcPr>
            <w:tcW w:w="1095" w:type="dxa"/>
            <w:vAlign w:val="center"/>
          </w:tcPr>
          <w:p>
            <w:pPr>
              <w:pStyle w:val="12"/>
            </w:pPr>
            <w:r>
              <w:t>6.08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6.08</w:t>
            </w:r>
          </w:p>
        </w:tc>
        <w:tc>
          <w:tcPr>
            <w:tcW w:w="1095" w:type="dxa"/>
            <w:vAlign w:val="center"/>
          </w:tcPr>
          <w:p>
            <w:pPr>
              <w:pStyle w:val="12"/>
            </w:pPr>
            <w:r>
              <w:t>6.08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6.08</w:t>
            </w:r>
          </w:p>
        </w:tc>
        <w:tc>
          <w:tcPr>
            <w:tcW w:w="1095" w:type="dxa"/>
            <w:vAlign w:val="center"/>
          </w:tcPr>
          <w:p>
            <w:pPr>
              <w:pStyle w:val="12"/>
            </w:pPr>
            <w:r>
              <w:t>6.08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85.75</w:t>
            </w:r>
          </w:p>
        </w:tc>
        <w:tc>
          <w:tcPr>
            <w:tcW w:w="1232" w:type="dxa"/>
            <w:vAlign w:val="center"/>
          </w:tcPr>
          <w:p>
            <w:pPr>
              <w:pStyle w:val="13"/>
            </w:pPr>
            <w:r>
              <w:t>一、一般公共服务支出</w:t>
            </w:r>
          </w:p>
        </w:tc>
        <w:tc>
          <w:tcPr>
            <w:tcW w:w="1232" w:type="dxa"/>
            <w:vAlign w:val="center"/>
          </w:tcPr>
          <w:p>
            <w:pPr>
              <w:pStyle w:val="12"/>
            </w:pPr>
            <w:r>
              <w:t>67.54</w:t>
            </w:r>
          </w:p>
        </w:tc>
        <w:tc>
          <w:tcPr>
            <w:tcW w:w="1232" w:type="dxa"/>
            <w:vAlign w:val="center"/>
          </w:tcPr>
          <w:p>
            <w:pPr>
              <w:pStyle w:val="12"/>
            </w:pPr>
            <w:r>
              <w:t>67.54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7.45</w:t>
            </w:r>
          </w:p>
        </w:tc>
        <w:tc>
          <w:tcPr>
            <w:tcW w:w="1232" w:type="dxa"/>
            <w:vAlign w:val="center"/>
          </w:tcPr>
          <w:p>
            <w:pPr>
              <w:pStyle w:val="12"/>
            </w:pPr>
            <w:r>
              <w:t>7.45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4.68</w:t>
            </w:r>
          </w:p>
        </w:tc>
        <w:tc>
          <w:tcPr>
            <w:tcW w:w="1232" w:type="dxa"/>
            <w:vAlign w:val="center"/>
          </w:tcPr>
          <w:p>
            <w:pPr>
              <w:pStyle w:val="12"/>
            </w:pPr>
            <w:r>
              <w:t>4.68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6.08</w:t>
            </w:r>
          </w:p>
        </w:tc>
        <w:tc>
          <w:tcPr>
            <w:tcW w:w="1232" w:type="dxa"/>
            <w:vAlign w:val="center"/>
          </w:tcPr>
          <w:p>
            <w:pPr>
              <w:pStyle w:val="12"/>
            </w:pPr>
            <w:r>
              <w:t>6.08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85.75</w:t>
            </w:r>
          </w:p>
        </w:tc>
        <w:tc>
          <w:tcPr>
            <w:tcW w:w="1232" w:type="dxa"/>
            <w:vAlign w:val="center"/>
          </w:tcPr>
          <w:p>
            <w:pPr>
              <w:pStyle w:val="15"/>
            </w:pPr>
            <w:r>
              <w:t>本年支出合计</w:t>
            </w:r>
          </w:p>
        </w:tc>
        <w:tc>
          <w:tcPr>
            <w:tcW w:w="1232" w:type="dxa"/>
            <w:vAlign w:val="center"/>
          </w:tcPr>
          <w:p>
            <w:pPr>
              <w:pStyle w:val="16"/>
            </w:pPr>
            <w:r>
              <w:t>85.75</w:t>
            </w:r>
          </w:p>
        </w:tc>
        <w:tc>
          <w:tcPr>
            <w:tcW w:w="1232" w:type="dxa"/>
            <w:vAlign w:val="center"/>
          </w:tcPr>
          <w:p>
            <w:pPr>
              <w:pStyle w:val="16"/>
            </w:pPr>
            <w:r>
              <w:t>85.75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85.75</w:t>
            </w:r>
          </w:p>
        </w:tc>
        <w:tc>
          <w:tcPr>
            <w:tcW w:w="1232" w:type="dxa"/>
            <w:vAlign w:val="center"/>
          </w:tcPr>
          <w:p>
            <w:pPr>
              <w:pStyle w:val="15"/>
            </w:pPr>
            <w:r>
              <w:t>支出总计</w:t>
            </w:r>
          </w:p>
        </w:tc>
        <w:tc>
          <w:tcPr>
            <w:tcW w:w="1232" w:type="dxa"/>
            <w:vAlign w:val="center"/>
          </w:tcPr>
          <w:p>
            <w:pPr>
              <w:pStyle w:val="16"/>
            </w:pPr>
            <w:r>
              <w:t>85.75</w:t>
            </w:r>
          </w:p>
        </w:tc>
        <w:tc>
          <w:tcPr>
            <w:tcW w:w="1232" w:type="dxa"/>
            <w:vAlign w:val="center"/>
          </w:tcPr>
          <w:p>
            <w:pPr>
              <w:pStyle w:val="16"/>
            </w:pPr>
            <w:r>
              <w:t>85.75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85.75</w:t>
            </w:r>
          </w:p>
        </w:tc>
        <w:tc>
          <w:tcPr>
            <w:tcW w:w="1643" w:type="dxa"/>
            <w:vAlign w:val="center"/>
          </w:tcPr>
          <w:p>
            <w:pPr>
              <w:pStyle w:val="16"/>
            </w:pPr>
            <w:r>
              <w:t>85.75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67.54</w:t>
            </w:r>
          </w:p>
        </w:tc>
        <w:tc>
          <w:tcPr>
            <w:tcW w:w="1643" w:type="dxa"/>
            <w:vAlign w:val="center"/>
          </w:tcPr>
          <w:p>
            <w:pPr>
              <w:pStyle w:val="12"/>
            </w:pPr>
            <w:r>
              <w:t>67.54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20136</w:t>
            </w:r>
          </w:p>
        </w:tc>
        <w:tc>
          <w:tcPr>
            <w:tcW w:w="1643" w:type="dxa"/>
            <w:vAlign w:val="center"/>
          </w:tcPr>
          <w:p>
            <w:pPr>
              <w:pStyle w:val="13"/>
            </w:pPr>
            <w:r>
              <w:t>其他共产党事务支出</w:t>
            </w:r>
          </w:p>
        </w:tc>
        <w:tc>
          <w:tcPr>
            <w:tcW w:w="1643" w:type="dxa"/>
            <w:vAlign w:val="center"/>
          </w:tcPr>
          <w:p>
            <w:pPr>
              <w:pStyle w:val="12"/>
            </w:pPr>
            <w:r>
              <w:t>67.54</w:t>
            </w:r>
          </w:p>
        </w:tc>
        <w:tc>
          <w:tcPr>
            <w:tcW w:w="1643" w:type="dxa"/>
            <w:vAlign w:val="center"/>
          </w:tcPr>
          <w:p>
            <w:pPr>
              <w:pStyle w:val="12"/>
            </w:pPr>
            <w:r>
              <w:t>67.54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2013601</w:t>
            </w:r>
          </w:p>
        </w:tc>
        <w:tc>
          <w:tcPr>
            <w:tcW w:w="1643" w:type="dxa"/>
            <w:vAlign w:val="center"/>
          </w:tcPr>
          <w:p>
            <w:pPr>
              <w:pStyle w:val="13"/>
            </w:pPr>
            <w:r>
              <w:t>行政运行</w:t>
            </w:r>
          </w:p>
        </w:tc>
        <w:tc>
          <w:tcPr>
            <w:tcW w:w="1643" w:type="dxa"/>
            <w:vAlign w:val="center"/>
          </w:tcPr>
          <w:p>
            <w:pPr>
              <w:pStyle w:val="12"/>
            </w:pPr>
            <w:r>
              <w:t>67.54</w:t>
            </w:r>
          </w:p>
        </w:tc>
        <w:tc>
          <w:tcPr>
            <w:tcW w:w="1643" w:type="dxa"/>
            <w:vAlign w:val="center"/>
          </w:tcPr>
          <w:p>
            <w:pPr>
              <w:pStyle w:val="12"/>
            </w:pPr>
            <w:r>
              <w:t>67.54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7.45</w:t>
            </w:r>
          </w:p>
        </w:tc>
        <w:tc>
          <w:tcPr>
            <w:tcW w:w="1643" w:type="dxa"/>
            <w:vAlign w:val="center"/>
          </w:tcPr>
          <w:p>
            <w:pPr>
              <w:pStyle w:val="12"/>
            </w:pPr>
            <w:r>
              <w:t>7.45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7.45</w:t>
            </w:r>
          </w:p>
        </w:tc>
        <w:tc>
          <w:tcPr>
            <w:tcW w:w="1643" w:type="dxa"/>
            <w:vAlign w:val="center"/>
          </w:tcPr>
          <w:p>
            <w:pPr>
              <w:pStyle w:val="12"/>
            </w:pPr>
            <w:r>
              <w:t>7.45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7.45</w:t>
            </w:r>
          </w:p>
        </w:tc>
        <w:tc>
          <w:tcPr>
            <w:tcW w:w="1643" w:type="dxa"/>
            <w:vAlign w:val="center"/>
          </w:tcPr>
          <w:p>
            <w:pPr>
              <w:pStyle w:val="12"/>
            </w:pPr>
            <w:r>
              <w:t>7.45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4.68</w:t>
            </w:r>
          </w:p>
        </w:tc>
        <w:tc>
          <w:tcPr>
            <w:tcW w:w="1643" w:type="dxa"/>
            <w:vAlign w:val="center"/>
          </w:tcPr>
          <w:p>
            <w:pPr>
              <w:pStyle w:val="12"/>
            </w:pPr>
            <w:r>
              <w:t>4.68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4.68</w:t>
            </w:r>
          </w:p>
        </w:tc>
        <w:tc>
          <w:tcPr>
            <w:tcW w:w="1643" w:type="dxa"/>
            <w:vAlign w:val="center"/>
          </w:tcPr>
          <w:p>
            <w:pPr>
              <w:pStyle w:val="12"/>
            </w:pPr>
            <w:r>
              <w:t>4.68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4.68</w:t>
            </w:r>
          </w:p>
        </w:tc>
        <w:tc>
          <w:tcPr>
            <w:tcW w:w="1643" w:type="dxa"/>
            <w:vAlign w:val="center"/>
          </w:tcPr>
          <w:p>
            <w:pPr>
              <w:pStyle w:val="12"/>
            </w:pPr>
            <w:r>
              <w:t>4.68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6.08</w:t>
            </w:r>
          </w:p>
        </w:tc>
        <w:tc>
          <w:tcPr>
            <w:tcW w:w="1643" w:type="dxa"/>
            <w:vAlign w:val="center"/>
          </w:tcPr>
          <w:p>
            <w:pPr>
              <w:pStyle w:val="12"/>
            </w:pPr>
            <w:r>
              <w:t>6.08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6.08</w:t>
            </w:r>
          </w:p>
        </w:tc>
        <w:tc>
          <w:tcPr>
            <w:tcW w:w="1643" w:type="dxa"/>
            <w:vAlign w:val="center"/>
          </w:tcPr>
          <w:p>
            <w:pPr>
              <w:pStyle w:val="12"/>
            </w:pPr>
            <w:r>
              <w:t>6.08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6.08</w:t>
            </w:r>
          </w:p>
        </w:tc>
        <w:tc>
          <w:tcPr>
            <w:tcW w:w="1643" w:type="dxa"/>
            <w:vAlign w:val="center"/>
          </w:tcPr>
          <w:p>
            <w:pPr>
              <w:pStyle w:val="12"/>
            </w:pPr>
            <w:r>
              <w:t>6.08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85.75</w:t>
            </w:r>
          </w:p>
        </w:tc>
        <w:tc>
          <w:tcPr>
            <w:tcW w:w="1643" w:type="dxa"/>
            <w:vAlign w:val="center"/>
          </w:tcPr>
          <w:p>
            <w:pPr>
              <w:pStyle w:val="16"/>
            </w:pPr>
            <w:r>
              <w:t>73.82</w:t>
            </w:r>
          </w:p>
        </w:tc>
        <w:tc>
          <w:tcPr>
            <w:tcW w:w="1643" w:type="dxa"/>
            <w:vAlign w:val="center"/>
          </w:tcPr>
          <w:p>
            <w:pPr>
              <w:pStyle w:val="16"/>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73.43</w:t>
            </w:r>
          </w:p>
        </w:tc>
        <w:tc>
          <w:tcPr>
            <w:tcW w:w="1643" w:type="dxa"/>
            <w:vAlign w:val="center"/>
          </w:tcPr>
          <w:p>
            <w:pPr>
              <w:pStyle w:val="12"/>
            </w:pPr>
            <w:r>
              <w:t>73.43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32.62</w:t>
            </w:r>
          </w:p>
        </w:tc>
        <w:tc>
          <w:tcPr>
            <w:tcW w:w="1643" w:type="dxa"/>
            <w:vAlign w:val="center"/>
          </w:tcPr>
          <w:p>
            <w:pPr>
              <w:pStyle w:val="12"/>
            </w:pPr>
            <w:r>
              <w:t>32.62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12.14</w:t>
            </w:r>
          </w:p>
        </w:tc>
        <w:tc>
          <w:tcPr>
            <w:tcW w:w="1643" w:type="dxa"/>
            <w:vAlign w:val="center"/>
          </w:tcPr>
          <w:p>
            <w:pPr>
              <w:pStyle w:val="12"/>
            </w:pPr>
            <w:r>
              <w:t>12.14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6.73</w:t>
            </w:r>
          </w:p>
        </w:tc>
        <w:tc>
          <w:tcPr>
            <w:tcW w:w="1643" w:type="dxa"/>
            <w:vAlign w:val="center"/>
          </w:tcPr>
          <w:p>
            <w:pPr>
              <w:pStyle w:val="12"/>
            </w:pPr>
            <w:r>
              <w:t>6.73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3.50</w:t>
            </w:r>
          </w:p>
        </w:tc>
        <w:tc>
          <w:tcPr>
            <w:tcW w:w="1643" w:type="dxa"/>
            <w:vAlign w:val="center"/>
          </w:tcPr>
          <w:p>
            <w:pPr>
              <w:pStyle w:val="12"/>
            </w:pPr>
            <w:r>
              <w:t>3.50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7.45</w:t>
            </w:r>
          </w:p>
        </w:tc>
        <w:tc>
          <w:tcPr>
            <w:tcW w:w="1643" w:type="dxa"/>
            <w:vAlign w:val="center"/>
          </w:tcPr>
          <w:p>
            <w:pPr>
              <w:pStyle w:val="12"/>
            </w:pPr>
            <w:r>
              <w:t>7.45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4.68</w:t>
            </w:r>
          </w:p>
        </w:tc>
        <w:tc>
          <w:tcPr>
            <w:tcW w:w="1643" w:type="dxa"/>
            <w:vAlign w:val="center"/>
          </w:tcPr>
          <w:p>
            <w:pPr>
              <w:pStyle w:val="12"/>
            </w:pPr>
            <w:r>
              <w:t>4.68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0.23</w:t>
            </w:r>
          </w:p>
        </w:tc>
        <w:tc>
          <w:tcPr>
            <w:tcW w:w="1643" w:type="dxa"/>
            <w:vAlign w:val="center"/>
          </w:tcPr>
          <w:p>
            <w:pPr>
              <w:pStyle w:val="12"/>
            </w:pPr>
            <w:r>
              <w:t>0.23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6.08</w:t>
            </w:r>
          </w:p>
        </w:tc>
        <w:tc>
          <w:tcPr>
            <w:tcW w:w="1643" w:type="dxa"/>
            <w:vAlign w:val="center"/>
          </w:tcPr>
          <w:p>
            <w:pPr>
              <w:pStyle w:val="12"/>
            </w:pPr>
            <w:r>
              <w:t>6.08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11.93</w:t>
            </w:r>
          </w:p>
        </w:tc>
        <w:tc>
          <w:tcPr>
            <w:tcW w:w="1643" w:type="dxa"/>
            <w:vAlign w:val="center"/>
          </w:tcPr>
          <w:p>
            <w:pPr>
              <w:pStyle w:val="12"/>
            </w:pPr>
          </w:p>
        </w:tc>
        <w:tc>
          <w:tcPr>
            <w:tcW w:w="1643" w:type="dxa"/>
            <w:vAlign w:val="center"/>
          </w:tcPr>
          <w:p>
            <w:pPr>
              <w:pStyle w:val="12"/>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0.73</w:t>
            </w:r>
          </w:p>
        </w:tc>
        <w:tc>
          <w:tcPr>
            <w:tcW w:w="1643" w:type="dxa"/>
            <w:vAlign w:val="center"/>
          </w:tcPr>
          <w:p>
            <w:pPr>
              <w:pStyle w:val="12"/>
            </w:pPr>
          </w:p>
        </w:tc>
        <w:tc>
          <w:tcPr>
            <w:tcW w:w="1643" w:type="dxa"/>
            <w:vAlign w:val="center"/>
          </w:tcPr>
          <w:p>
            <w:pPr>
              <w:pStyle w:val="12"/>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0.70</w:t>
            </w:r>
          </w:p>
        </w:tc>
        <w:tc>
          <w:tcPr>
            <w:tcW w:w="1643" w:type="dxa"/>
            <w:vAlign w:val="center"/>
          </w:tcPr>
          <w:p>
            <w:pPr>
              <w:pStyle w:val="12"/>
            </w:pPr>
          </w:p>
        </w:tc>
        <w:tc>
          <w:tcPr>
            <w:tcW w:w="1643"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4.30</w:t>
            </w:r>
          </w:p>
        </w:tc>
        <w:tc>
          <w:tcPr>
            <w:tcW w:w="1643" w:type="dxa"/>
            <w:vAlign w:val="center"/>
          </w:tcPr>
          <w:p>
            <w:pPr>
              <w:pStyle w:val="12"/>
            </w:pPr>
          </w:p>
        </w:tc>
        <w:tc>
          <w:tcPr>
            <w:tcW w:w="1643"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2"/>
            </w:pPr>
            <w:r>
              <w:t>0.80</w:t>
            </w:r>
          </w:p>
        </w:tc>
        <w:tc>
          <w:tcPr>
            <w:tcW w:w="1643"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5.30</w:t>
            </w:r>
          </w:p>
        </w:tc>
        <w:tc>
          <w:tcPr>
            <w:tcW w:w="1643" w:type="dxa"/>
            <w:vAlign w:val="center"/>
          </w:tcPr>
          <w:p>
            <w:pPr>
              <w:pStyle w:val="12"/>
            </w:pPr>
          </w:p>
        </w:tc>
        <w:tc>
          <w:tcPr>
            <w:tcW w:w="1643" w:type="dxa"/>
            <w:vAlign w:val="center"/>
          </w:tcPr>
          <w:p>
            <w:pPr>
              <w:pStyle w:val="12"/>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0.39</w:t>
            </w:r>
          </w:p>
        </w:tc>
        <w:tc>
          <w:tcPr>
            <w:tcW w:w="1643" w:type="dxa"/>
            <w:vAlign w:val="center"/>
          </w:tcPr>
          <w:p>
            <w:pPr>
              <w:pStyle w:val="12"/>
            </w:pPr>
            <w:r>
              <w:t>0.39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286馆陶县县直机关工作委员会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馆陶县县直机关工作委员会2024年部门预算信息公开情况说明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馆陶县县直机关工作委员会2024年部门预算信息公开情况说明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按照《中华人民共和国预算法》、《地方预决算公开操作规程》和《关于进一步推进预算公开工作的实施意见》规定，现将馆陶县县直机关工作委员会2024年部门预算公开如下：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（一）统一组织、规划、部署县直机关党的工作，提出加强和改进机关党的建设的意见和建议，研究制定工作规划，并抓好组织实施。 </w:t>
      </w:r>
    </w:p>
    <w:p>
      <w:pPr>
        <w:pStyle w:val="18"/>
      </w:pPr>
      <w:r>
        <w:t xml:space="preserve">（二）指导县直机关党的政治建设、思想建设、组织建设、作风建设、纪律建设，把制度建设贯穿其中，深入推进反腐败斗争。 </w:t>
      </w:r>
    </w:p>
    <w:p>
      <w:pPr>
        <w:pStyle w:val="18"/>
      </w:pPr>
      <w:r>
        <w:t xml:space="preserve">（三）指导县直机关各级党组织和广大党员学习马克思列宁主义、毛泽东思想、邓小平理论、“三个代表”重要思想、科学发展观、习近平新时代中国特色社会主义思想。 </w:t>
      </w:r>
    </w:p>
    <w:p>
      <w:pPr>
        <w:pStyle w:val="18"/>
      </w:pPr>
      <w:r>
        <w:t xml:space="preserve">（四）对县直机关各级党组织、党员领导干部落实党建责任制、遵守政治纪律和政治规矩情况进行监督检查，并向县委报告。 </w:t>
      </w:r>
    </w:p>
    <w:p>
      <w:pPr>
        <w:pStyle w:val="18"/>
      </w:pPr>
      <w:r>
        <w:t xml:space="preserve">（五）指导县直机关各级党组织实施对党员特别是党员领导干部的监督和管理，定期了解各部门党员和群众对领导干部的意见，及时向县委反映各部门领导班子、领导干部的情况。 </w:t>
      </w:r>
    </w:p>
    <w:p>
      <w:pPr>
        <w:pStyle w:val="18"/>
      </w:pPr>
      <w:r>
        <w:t xml:space="preserve">（六）配合县委有关部门抓好县直机关各部门领导班子思想政治建设，参与对党员领导干部民主生活会和县直机关各部门党组（党委）理论学习中心组学习的督促检查和指导，了解掌握情况，按规定报送情况报告。 </w:t>
      </w:r>
    </w:p>
    <w:p>
      <w:pPr>
        <w:pStyle w:val="18"/>
      </w:pPr>
      <w:r>
        <w:t xml:space="preserve">（七）督促指导县直机关各部门机关党委（总支、支部）按期换届，审批关于召开党员大会或党员代表大会的请示，审批县直机关各部门机关党委（总支、支部）党组织的成立及撤销，审批县直机关各部门机关党委（总支、支部）和机关纪委领导班子的组成及书记、副书记的任免。 </w:t>
      </w:r>
    </w:p>
    <w:p>
      <w:pPr>
        <w:pStyle w:val="18"/>
      </w:pPr>
      <w:r>
        <w:t xml:space="preserve">（八）指导党组织加强基层组织建设，做好党员发展、教育和管理等工作。 </w:t>
      </w:r>
    </w:p>
    <w:p>
      <w:pPr>
        <w:pStyle w:val="18"/>
      </w:pPr>
      <w:r>
        <w:t xml:space="preserve">（九）领导县直机关各部门机关党的纪律检查工作。 </w:t>
      </w:r>
    </w:p>
    <w:p>
      <w:pPr>
        <w:pStyle w:val="18"/>
      </w:pPr>
      <w:r>
        <w:t xml:space="preserve">（十）了解掌握县直机关工作人员的思想状况，指导县直机关各级党组织加强思想政治工作和精神文明建设，做好政工职称评定相关工作。 </w:t>
      </w:r>
    </w:p>
    <w:p>
      <w:pPr>
        <w:pStyle w:val="18"/>
      </w:pPr>
      <w:r>
        <w:t xml:space="preserve">（十一）指导县直机关各级党组织做好党的群众工作、人民武装工作，领导县直机关工会、共青团、妇委会等群团组织的工作。 </w:t>
      </w:r>
    </w:p>
    <w:p>
      <w:pPr>
        <w:pStyle w:val="18"/>
      </w:pPr>
      <w:r>
        <w:t xml:space="preserve">（十二）协同有关部门指导、规划、协调、监督、检查县直机关干部教育培训工作，组织实施有关干部教育培训重点任务。 </w:t>
      </w:r>
    </w:p>
    <w:p>
      <w:pPr>
        <w:pStyle w:val="18"/>
      </w:pPr>
      <w:r>
        <w:t xml:space="preserve">（十三）协助有关部门协调县直机关各部门做好维护稳定、离退休干部和老龄等工作。 </w:t>
      </w:r>
    </w:p>
    <w:p>
      <w:pPr>
        <w:pStyle w:val="18"/>
      </w:pPr>
      <w:r>
        <w:t>（十四）完成县委交办的其他任务。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馆陶县县直机关工作委员会本级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按照预算管理有关规定，目前部门预算的编制实行综合预算管理，即全部收入和支出都反映在预算中。馆陶县县直机关工作委员会机关及所属事业单位的收支包含在部门预算中。</w:t>
      </w:r>
    </w:p>
    <w:p>
      <w:pPr>
        <w:pStyle w:val="19"/>
      </w:pPr>
      <w:r>
        <w:t>1、收入说明</w:t>
      </w:r>
    </w:p>
    <w:p>
      <w:pPr>
        <w:pStyle w:val="19"/>
      </w:pPr>
      <w:r>
        <w:t>反映本部门当年全部收入。2024年预算收入85.75万元，其中：一般公共预算收入85.75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县直机关工作委员会年度部门预算中支出预算的总体情况。2024年支出预算85.75万元，其中基本支出85.75万元，包括人员经费73.82万元和日常公用经费11.93万元；项目支出0.00万元。</w:t>
      </w:r>
    </w:p>
    <w:p>
      <w:pPr>
        <w:pStyle w:val="19"/>
      </w:pPr>
      <w:r>
        <w:t>3、比上年增减情况</w:t>
      </w:r>
    </w:p>
    <w:p>
      <w:pPr>
        <w:pStyle w:val="19"/>
      </w:pPr>
      <w:r>
        <w:t>2024年预算收支安排85.75万元，较2023年预算减少202.63万元，其中：基本支出减少202.63万元，主要为厉行节俭，基本支出减少。项目支出增加0.00万元，与上年度持平。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年，我部门运行经费共计安排11.93万元，主要用于邮电费、办公费、印刷费等日常运行支出。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0元，其中因公出国（境）费0元；公务用车购置及运维费0元（其中：公务用车购置费为0元，公务用车运维费0元)；公务接待费0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1、加强机关党支部规范化、标准化建设。</w:t>
      </w:r>
    </w:p>
    <w:p>
      <w:pPr>
        <w:pStyle w:val="22"/>
      </w:pPr>
      <w:r>
        <w:t>召开馆陶县县直机关党的建设动员会议，印发《关于进一步加强和改进县直机关党的建设工作实施方案》，提出指导思想、确定推进目标和步骤、明确今年机关党建工作要求。动员加强领导、强化保障、统筹兼顾，大力推进党支部建设标准化、规范化，全面提高县直机关党的建设质量，为建设宜居宜业宜游的生态旅游健康强县提供坚强的政治保障。</w:t>
      </w:r>
    </w:p>
    <w:p>
      <w:pPr>
        <w:pStyle w:val="22"/>
      </w:pPr>
      <w:r>
        <w:t>2、加强党的建设，落实“三会一课”。</w:t>
      </w:r>
    </w:p>
    <w:p>
      <w:pPr>
        <w:pStyle w:val="22"/>
      </w:pPr>
      <w:r>
        <w:t>印发《关于进一步加强县直机关“三会一课”制度落实的通知》，要求县直机关各党支部必须坚持围绕中心、服务大局、加强领导，强化责任、严格规范、积极创新，全面落实好“三会一课” （“三会”是指：定期召开支部委员会、支部党员大会、党小组会；“一课”是指：按时上好党课）制度，确保质量，充分发挥党支部的战斗堡垒作用和党员的先锋模范作用。</w:t>
      </w:r>
    </w:p>
    <w:p>
      <w:pPr>
        <w:pStyle w:val="22"/>
      </w:pPr>
      <w:r>
        <w:t>3、做好发展党员工作。</w:t>
      </w:r>
    </w:p>
    <w:p>
      <w:pPr>
        <w:pStyle w:val="22"/>
      </w:pPr>
      <w:r>
        <w:t>按照党员发展和管理工作的新要求，认真执行发展党员“十六字”方针，以“三步走”抓好发展对象考察工作，确保发展党员质量。一是严审入党材料，二是严格考察程序，三是抓好谈话提醒。</w:t>
      </w:r>
    </w:p>
    <w:p>
      <w:pPr>
        <w:pStyle w:val="22"/>
      </w:pPr>
      <w:r>
        <w:t>4、扎实开展纠正“四风”和作风纪律专项整治工作。</w:t>
      </w:r>
    </w:p>
    <w:p>
      <w:pPr>
        <w:pStyle w:val="22"/>
      </w:pPr>
      <w:r>
        <w:t>扎实开展县直机关纠正“四风”和作风纪律专项整治工作。为进一步推进县直机关纠正“四风”和作风纪律专项整治工作，县直工委先后深入到一线单位进行现场指导工作，查看单位相关文件资料，并提出指导意见，促进县直机关纠正“四风”和作风纪律专项整治工作再上新台阶。按照责任分工，县直工委负责县直机关59个单位的相关文件、台账的汇总上报工作。主动作为，督促县直单位按时按质完成专项整治每月开展情况、纠正“四风”台账和典型问题问责汇总表。通过县直机关纠正“四风”和作风纪律专项整治工作的持续开展，使县直单位的领导干部干事创业的热情和激情更高了，遇到困难不绕、碰见问题不跑，敢于担当、勇于担当的人更多了，大家的责任心和责任意识愈发强烈。</w:t>
      </w:r>
    </w:p>
    <w:p>
      <w:pPr>
        <w:pStyle w:val="22"/>
      </w:pPr>
      <w:r>
        <w:t>5、完成国防武装征兵工作。</w:t>
      </w:r>
    </w:p>
    <w:p>
      <w:pPr>
        <w:pStyle w:val="22"/>
      </w:pPr>
      <w:r>
        <w:t>按照县委和县人武部关于做好夏秋季征兵工作的要求，县直工委做好宣传和动员，鼓励年轻有为青年积极报名应征。充分发动和应征青年的踊跃报名，应征青年通过严格的体检、政审、家访、训练等有关程序，确保完成国防武装征兵工作，为国防建设贡献一份力量。</w:t>
      </w:r>
    </w:p>
    <w:p>
      <w:pPr>
        <w:pStyle w:val="22"/>
      </w:pPr>
      <w:r>
        <w:rPr>
          <w:rFonts w:hint="eastAsia"/>
          <w:lang w:val="en-US" w:eastAsia="zh-CN"/>
        </w:rPr>
        <w:t>6</w:t>
      </w:r>
      <w:r>
        <w:t>、开展丰富多彩的系列活动</w:t>
      </w:r>
    </w:p>
    <w:p>
      <w:pPr>
        <w:pStyle w:val="22"/>
      </w:pPr>
      <w:r>
        <w:t>一是扎实开展党员志愿服务活动。充分利用每个月最后一周的周六，集中开展志愿服务活动，引导广大党员和志愿服务队立足岗位，争当先锋，在建设“宜居宜业宜游生态旅游健康强县”工作中担当作为，建功立业。二是认真开展“党员固定活动日”活动。组织县直机关各级党组织，利用每个月第一周的周五，围绕党员走访联系、民主议事、民主评议等开展系列活动，取得良好效果。三是积极开展讲党课活动。为进一步推进“两学一做”学习教育深入开展，组织县直机关各级党组织负责人，以普通党员喜闻乐见的方式，深入到基层自己的联系点讲党课，得到基层党员的一致认可。四是组织开展重温入党誓词活动。组织县直机关各级党组织，以支部为单位，组织全体党员到小镇党校重温入党誓词，重读当年《入党申请书》，激励党员铭记和践行入党誓词，唤醒初心，以实际行动争做优秀共产党员。</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1、综合事务管理职责绩效目标</w:t>
      </w:r>
    </w:p>
    <w:p>
      <w:pPr>
        <w:pStyle w:val="23"/>
      </w:pPr>
      <w:r>
        <w:t>绩效目标：保障单位日常工作的正常运转。</w:t>
      </w:r>
    </w:p>
    <w:p>
      <w:pPr>
        <w:pStyle w:val="23"/>
      </w:pPr>
      <w:r>
        <w:t>绩效指标：做好全县广大党员的教育工作，对馆陶有关党的建设工作内容认真核定，做好相关内容监督指导。完成上级交办的各项事务，为县委解决有关党的建设方面的问题提供资料及意见。中央、省、市县直机关对馆陶县县直机关工作委员会工作的满意程度,县委县政府对县直机关工作的满意程度、全县广大党员对县直机关工作委员会服务工作的满意程度≥95%。</w:t>
      </w:r>
    </w:p>
    <w:p>
      <w:pPr>
        <w:pStyle w:val="23"/>
      </w:pPr>
      <w:r>
        <w:t>2、综合业务管理职责绩效目标</w:t>
      </w:r>
    </w:p>
    <w:p>
      <w:pPr>
        <w:pStyle w:val="23"/>
      </w:pPr>
      <w:r>
        <w:t>绩效目标：完成各级县直机关工作委员会及县委、县政府交办的工作任务。</w:t>
      </w:r>
    </w:p>
    <w:p>
      <w:pPr>
        <w:pStyle w:val="23"/>
      </w:pPr>
      <w:r>
        <w:t>绩效指标：完成各级县直机关工作委员会及县委、县政府交办的工作任务，搞好我县在全国、河北省、邯郸市有关的党员教育工作。中央、省、市机关对馆陶县县直机关工作的满意程度,县委县政府对县直机关工作的满意程度、全县广大党员对县直机关服务工作的满意程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2、强化攻坚克难工作，做好党的建设工作</w:t>
      </w:r>
    </w:p>
    <w:p>
      <w:pPr>
        <w:pStyle w:val="24"/>
      </w:pPr>
      <w:r>
        <w:t>馆陶县县直机关工作委员会紧紧围绕年初确定的任务目标，制定措施，努力工作，争取各项工作进展顺利。加快工作进度，提高工作效率，争取尽快完成年度工作目标。加强与其它市、县县直机关的沟通与联系，共享资源，取长补短，提高馆陶县直机关工作水平。</w:t>
      </w:r>
    </w:p>
    <w:p>
      <w:pPr>
        <w:pStyle w:val="24"/>
      </w:pPr>
      <w:r>
        <w:t>3、加强支出管理。优化支出结构、编细编实预算、加快履行政府采购手续、尽快启动项目、及时支付资金，确保支出进度达标。</w:t>
      </w:r>
    </w:p>
    <w:p>
      <w:pPr>
        <w:pStyle w:val="24"/>
      </w:pPr>
      <w:r>
        <w:t>4、加强绩效运行监控。按要求开展绩效运行监控，发现问题及时采取措施，确保绩效目标如期保质实现。</w:t>
      </w:r>
    </w:p>
    <w:p>
      <w:pPr>
        <w:pStyle w:val="24"/>
      </w:pPr>
      <w:r>
        <w:t>5、做好绩效自评。按要求开展上年度部门预算绩效自评和重点评价工作，对评价中发现的问题及时整改，调整优化支出结构，提高财政资金使用效益。</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8、加强宣传培训调研等。加强人员培训，提高本部门职工业务素质；加强调研，提出优化财政资金配置、提高资金使用效益的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286馆陶县县直机关工作委员会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馆陶县县直机关工作委员会（含所属单位）上年末固定资产金额为0.00万元（详见下表）。本年度拟购置固定资产总额为0.00万元，已按要求列入政府采购预算，详见政府采购预算表。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286馆陶县县直机关工作委员会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99830"/>
    <w:multiLevelType w:val="singleLevel"/>
    <w:tmpl w:val="0E09983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3CA1F70"/>
    <w:rsid w:val="336C74BF"/>
    <w:rsid w:val="5E795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2024-02-28T16:30:35Z</dcterms:created>
  <dcterms:modified xsi:type="dcterms:W3CDTF">2024-02-28T08:30:35Z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2024-02-28T16:30:34Z</dcterms:created>
  <dcterms:modified xsi:type="dcterms:W3CDTF">2024-02-28T08:30:34Z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2024-02-28T16:30:34Z</dcterms:created>
  <dcterms:modified xsi:type="dcterms:W3CDTF">2024-02-28T08:30:34Z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2024-02-28T16:30:34Z</dcterms:created>
  <dcterms:modified xsi:type="dcterms:W3CDTF">2024-02-28T08:30:33Z</dcterms:modified>
</cp:coreProperties>
</file>

<file path=customXml/itemProps1.xml><?xml version="1.0" encoding="utf-8"?>
<ds:datastoreItem xmlns:ds="http://schemas.openxmlformats.org/officeDocument/2006/customXml" ds:itemID="{16df0218-0a32-443d-87e2-cd2e8041e4a0}">
  <ds:schemaRefs/>
</ds:datastoreItem>
</file>

<file path=customXml/itemProps2.xml><?xml version="1.0" encoding="utf-8"?>
<ds:datastoreItem xmlns:ds="http://schemas.openxmlformats.org/officeDocument/2006/customXml" ds:itemID="{efb99859-9487-4e97-9721-18b90cf3ffaa}">
  <ds:schemaRefs/>
</ds:datastoreItem>
</file>

<file path=customXml/itemProps3.xml><?xml version="1.0" encoding="utf-8"?>
<ds:datastoreItem xmlns:ds="http://schemas.openxmlformats.org/officeDocument/2006/customXml" ds:itemID="{509893a7-2727-4a9a-a34f-58dcb6f75a6e}">
  <ds:schemaRefs/>
</ds:datastoreItem>
</file>

<file path=customXml/itemProps4.xml><?xml version="1.0" encoding="utf-8"?>
<ds:datastoreItem xmlns:ds="http://schemas.openxmlformats.org/officeDocument/2006/customXml" ds:itemID="{9a831a10-0f1c-4dc5-b1fa-eca36d4e1c70}">
  <ds:schemaRefs/>
</ds:datastoreItem>
</file>

<file path=customXml/itemProps5.xml><?xml version="1.0" encoding="utf-8"?>
<ds:datastoreItem xmlns:ds="http://schemas.openxmlformats.org/officeDocument/2006/customXml" ds:itemID="{a6857e5b-9898-4747-a879-4808a9bb60e1}">
  <ds:schemaRefs/>
</ds:datastoreItem>
</file>

<file path=customXml/itemProps6.xml><?xml version="1.0" encoding="utf-8"?>
<ds:datastoreItem xmlns:ds="http://schemas.openxmlformats.org/officeDocument/2006/customXml" ds:itemID="{200a6711-3e02-4708-9c08-a810c8d0628b}">
  <ds:schemaRefs/>
</ds:datastoreItem>
</file>

<file path=customXml/itemProps7.xml><?xml version="1.0" encoding="utf-8"?>
<ds:datastoreItem xmlns:ds="http://schemas.openxmlformats.org/officeDocument/2006/customXml" ds:itemID="{6a39aa75-73b5-49cb-8fbc-75a376efd37e}">
  <ds:schemaRefs/>
</ds:datastoreItem>
</file>

<file path=customXml/itemProps8.xml><?xml version="1.0" encoding="utf-8"?>
<ds:datastoreItem xmlns:ds="http://schemas.openxmlformats.org/officeDocument/2006/customXml" ds:itemID="{f871d306-f6f1-473e-aa4e-b107d7ad76ee}">
  <ds:schemaRefs/>
</ds:datastoreItem>
</file>

<file path=docProps/app.xml><?xml version="1.0" encoding="utf-8"?>
<Properties xmlns="http://schemas.openxmlformats.org/officeDocument/2006/extended-properties" xmlns:vt="http://schemas.openxmlformats.org/officeDocument/2006/docPropsVTypes">
  <Pages>34</Pages>
  <Words>7859</Words>
  <Characters>8845</Characters>
  <TotalTime>2</TotalTime>
  <ScaleCrop>false</ScaleCrop>
  <LinksUpToDate>false</LinksUpToDate>
  <CharactersWithSpaces>8983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2024-02-28T16:30:00Z</dcterms:created>
  <dc:creator>Administrator</dc:creator>
  <cp:lastModifiedBy>Sally</cp:lastModifiedBy>
  <dcterms:modified xsi:type="dcterms:W3CDTF">2024-05-23T07:17:32Z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9DBA4AD7868E43D780BADDD6F2BB1870_12</vt:lpwstr>
  </property>
</Properties>
</file>