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rPr>
        <w:t>政法委单位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一、馆陶县政法委员会本级2022年单位预算信息公开情况说明</w:t>
      </w:r>
      <w:r>
        <w:tab/>
      </w:r>
      <w:r>
        <w:rPr>
          <w:rFonts w:hint="eastAsia"/>
          <w:lang w:eastAsia="zh-CN"/>
        </w:rPr>
        <w:t>2</w:t>
      </w:r>
      <w:r>
        <w:rPr>
          <w:rFonts w:hint="eastAsia"/>
          <w:lang w:eastAsia="zh-CN"/>
        </w:rPr>
        <w:fldChar w:fldCharType="end"/>
      </w:r>
    </w:p>
    <w:p>
      <w:pPr>
        <w:pStyle w:val="34"/>
        <w:tabs>
          <w:tab w:val="right" w:leader="dot" w:pos="14562"/>
        </w:tabs>
      </w:pPr>
      <w:r>
        <w:fldChar w:fldCharType="begin"/>
      </w:r>
      <w:r>
        <w:instrText xml:space="preserve"> HYPERLINK \l "_Toc_3_3_0000000011" </w:instrText>
      </w:r>
      <w:r>
        <w:fldChar w:fldCharType="separate"/>
      </w:r>
      <w:r>
        <w:t>二、馆陶县政法委员会机关（事业）收支预算</w:t>
      </w:r>
      <w:r>
        <w:tab/>
      </w:r>
      <w:r>
        <w:rPr>
          <w:rFonts w:hint="eastAsia"/>
          <w:lang w:eastAsia="zh-CN"/>
        </w:rPr>
        <w:t>2</w:t>
      </w:r>
      <w:r>
        <w:rPr>
          <w:rFonts w:hint="eastAsia"/>
          <w:lang w:val="en-US" w:eastAsia="zh-CN"/>
        </w:rPr>
        <w:t>7</w:t>
      </w:r>
      <w:r>
        <w:rPr>
          <w:rFonts w:hint="eastAsia"/>
          <w:lang w:eastAsia="zh-CN"/>
        </w:rPr>
        <w:fldChar w:fldCharType="end"/>
      </w:r>
    </w:p>
    <w:p>
      <w:pPr>
        <w:jc w:val="center"/>
        <w:outlineLvl w:val="0"/>
      </w:pPr>
      <w:r>
        <w:fldChar w:fldCharType="end"/>
      </w:r>
    </w:p>
    <w:p>
      <w:pPr>
        <w:jc w:val="center"/>
        <w:outlineLvl w:val="0"/>
        <w:sectPr>
          <w:footerReference r:id="rId4" w:type="default"/>
          <w:pgSz w:w="16840" w:h="11900" w:orient="landscape"/>
          <w:pgMar w:top="1361" w:right="1020" w:bottom="1134" w:left="1020" w:header="720" w:footer="720" w:gutter="0"/>
          <w:cols w:space="720" w:num="1"/>
        </w:sectPr>
      </w:pPr>
    </w:p>
    <w:p>
      <w:pPr>
        <w:jc w:val="center"/>
        <w:outlineLvl w:val="3"/>
      </w:pPr>
      <w:bookmarkStart w:id="0" w:name="_Toc_4_4_0000000019"/>
      <w:r>
        <w:rPr>
          <w:rFonts w:ascii="方正小标宋_GBK" w:hAnsi="方正小标宋_GBK" w:eastAsia="方正小标宋_GBK" w:cs="方正小标宋_GBK"/>
          <w:color w:val="000000"/>
          <w:sz w:val="44"/>
        </w:rPr>
        <w:t>一、馆陶县政法委员会本级收支预算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216001馆陶县政法委员会本级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2794900.00</w:t>
            </w:r>
          </w:p>
        </w:tc>
        <w:tc>
          <w:tcPr>
            <w:tcW w:w="4535" w:type="dxa"/>
            <w:vAlign w:val="center"/>
          </w:tcPr>
          <w:p>
            <w:pPr>
              <w:pStyle w:val="14"/>
            </w:pPr>
            <w:r>
              <w:t>一、一般公共服务支出</w:t>
            </w:r>
          </w:p>
        </w:tc>
        <w:tc>
          <w:tcPr>
            <w:tcW w:w="2126" w:type="dxa"/>
            <w:vAlign w:val="center"/>
          </w:tcPr>
          <w:p>
            <w:pPr>
              <w:pStyle w:val="13"/>
            </w:pPr>
            <w:r>
              <w:t>2388600.00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191900.00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137400.00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2794900.00</w:t>
            </w:r>
          </w:p>
        </w:tc>
        <w:tc>
          <w:tcPr>
            <w:tcW w:w="4535" w:type="dxa"/>
            <w:vAlign w:val="center"/>
          </w:tcPr>
          <w:p>
            <w:pPr>
              <w:pStyle w:val="16"/>
            </w:pPr>
            <w:r>
              <w:t>本年支出合计</w:t>
            </w:r>
          </w:p>
        </w:tc>
        <w:tc>
          <w:tcPr>
            <w:tcW w:w="2126" w:type="dxa"/>
            <w:vAlign w:val="center"/>
          </w:tcPr>
          <w:p>
            <w:pPr>
              <w:pStyle w:val="17"/>
            </w:pPr>
            <w:r>
              <w:t>2794900.00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2794900.00</w:t>
            </w:r>
          </w:p>
        </w:tc>
        <w:tc>
          <w:tcPr>
            <w:tcW w:w="4535" w:type="dxa"/>
            <w:vAlign w:val="center"/>
          </w:tcPr>
          <w:p>
            <w:pPr>
              <w:pStyle w:val="16"/>
            </w:pPr>
            <w:r>
              <w:t>支出总计</w:t>
            </w:r>
          </w:p>
        </w:tc>
        <w:tc>
          <w:tcPr>
            <w:tcW w:w="2126" w:type="dxa"/>
            <w:vAlign w:val="center"/>
          </w:tcPr>
          <w:p>
            <w:pPr>
              <w:pStyle w:val="17"/>
            </w:pPr>
            <w:r>
              <w:t>2794900.00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216001馆陶县政法委员会本级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2794900.00</w:t>
            </w:r>
          </w:p>
        </w:tc>
        <w:tc>
          <w:tcPr>
            <w:tcW w:w="1134" w:type="dxa"/>
            <w:vAlign w:val="center"/>
          </w:tcPr>
          <w:p>
            <w:pPr>
              <w:pStyle w:val="17"/>
            </w:pPr>
            <w:r>
              <w:t>2794900.00</w:t>
            </w:r>
          </w:p>
        </w:tc>
        <w:tc>
          <w:tcPr>
            <w:tcW w:w="1134" w:type="dxa"/>
            <w:vAlign w:val="center"/>
          </w:tcPr>
          <w:p>
            <w:pPr>
              <w:pStyle w:val="17"/>
            </w:pPr>
            <w:r>
              <w:t>2794900.00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2388600.00</w:t>
            </w:r>
          </w:p>
        </w:tc>
        <w:tc>
          <w:tcPr>
            <w:tcW w:w="1134" w:type="dxa"/>
            <w:vAlign w:val="center"/>
          </w:tcPr>
          <w:p>
            <w:pPr>
              <w:pStyle w:val="13"/>
            </w:pPr>
            <w:r>
              <w:t>2388600.00</w:t>
            </w:r>
          </w:p>
        </w:tc>
        <w:tc>
          <w:tcPr>
            <w:tcW w:w="1134" w:type="dxa"/>
            <w:vAlign w:val="center"/>
          </w:tcPr>
          <w:p>
            <w:pPr>
              <w:pStyle w:val="13"/>
            </w:pPr>
            <w:r>
              <w:t>2388600.00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20136</w:t>
            </w:r>
          </w:p>
        </w:tc>
        <w:tc>
          <w:tcPr>
            <w:tcW w:w="1559" w:type="dxa"/>
            <w:vAlign w:val="center"/>
          </w:tcPr>
          <w:p>
            <w:pPr>
              <w:pStyle w:val="14"/>
            </w:pPr>
            <w:r>
              <w:t>其他共产党事务支出</w:t>
            </w:r>
          </w:p>
        </w:tc>
        <w:tc>
          <w:tcPr>
            <w:tcW w:w="1134" w:type="dxa"/>
            <w:vAlign w:val="center"/>
          </w:tcPr>
          <w:p>
            <w:pPr>
              <w:pStyle w:val="13"/>
            </w:pPr>
            <w:r>
              <w:t>2388600.00</w:t>
            </w:r>
          </w:p>
        </w:tc>
        <w:tc>
          <w:tcPr>
            <w:tcW w:w="1134" w:type="dxa"/>
            <w:vAlign w:val="center"/>
          </w:tcPr>
          <w:p>
            <w:pPr>
              <w:pStyle w:val="13"/>
            </w:pPr>
            <w:r>
              <w:t>2388600.00</w:t>
            </w:r>
          </w:p>
        </w:tc>
        <w:tc>
          <w:tcPr>
            <w:tcW w:w="1134" w:type="dxa"/>
            <w:vAlign w:val="center"/>
          </w:tcPr>
          <w:p>
            <w:pPr>
              <w:pStyle w:val="13"/>
            </w:pPr>
            <w:r>
              <w:t>2388600.00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2013601</w:t>
            </w:r>
          </w:p>
        </w:tc>
        <w:tc>
          <w:tcPr>
            <w:tcW w:w="1559" w:type="dxa"/>
            <w:vAlign w:val="center"/>
          </w:tcPr>
          <w:p>
            <w:pPr>
              <w:pStyle w:val="14"/>
            </w:pPr>
            <w:r>
              <w:t>行政运行</w:t>
            </w:r>
          </w:p>
        </w:tc>
        <w:tc>
          <w:tcPr>
            <w:tcW w:w="1134" w:type="dxa"/>
            <w:vAlign w:val="center"/>
          </w:tcPr>
          <w:p>
            <w:pPr>
              <w:pStyle w:val="13"/>
            </w:pPr>
            <w:r>
              <w:t>2188600.00</w:t>
            </w:r>
          </w:p>
        </w:tc>
        <w:tc>
          <w:tcPr>
            <w:tcW w:w="1134" w:type="dxa"/>
            <w:vAlign w:val="center"/>
          </w:tcPr>
          <w:p>
            <w:pPr>
              <w:pStyle w:val="13"/>
            </w:pPr>
            <w:r>
              <w:t>2188600.00</w:t>
            </w:r>
          </w:p>
        </w:tc>
        <w:tc>
          <w:tcPr>
            <w:tcW w:w="1134" w:type="dxa"/>
            <w:vAlign w:val="center"/>
          </w:tcPr>
          <w:p>
            <w:pPr>
              <w:pStyle w:val="13"/>
            </w:pPr>
            <w:r>
              <w:t>2188600.00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2013699</w:t>
            </w:r>
          </w:p>
        </w:tc>
        <w:tc>
          <w:tcPr>
            <w:tcW w:w="1559" w:type="dxa"/>
            <w:vAlign w:val="center"/>
          </w:tcPr>
          <w:p>
            <w:pPr>
              <w:pStyle w:val="14"/>
            </w:pPr>
            <w:r>
              <w:t>其他共产党事务支出</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191900.00</w:t>
            </w:r>
          </w:p>
        </w:tc>
        <w:tc>
          <w:tcPr>
            <w:tcW w:w="1134" w:type="dxa"/>
            <w:vAlign w:val="center"/>
          </w:tcPr>
          <w:p>
            <w:pPr>
              <w:pStyle w:val="13"/>
            </w:pPr>
            <w:r>
              <w:t>191900.00</w:t>
            </w:r>
          </w:p>
        </w:tc>
        <w:tc>
          <w:tcPr>
            <w:tcW w:w="1134" w:type="dxa"/>
            <w:vAlign w:val="center"/>
          </w:tcPr>
          <w:p>
            <w:pPr>
              <w:pStyle w:val="13"/>
            </w:pPr>
            <w:r>
              <w:t>191900.00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191900.00</w:t>
            </w:r>
          </w:p>
        </w:tc>
        <w:tc>
          <w:tcPr>
            <w:tcW w:w="1134" w:type="dxa"/>
            <w:vAlign w:val="center"/>
          </w:tcPr>
          <w:p>
            <w:pPr>
              <w:pStyle w:val="13"/>
            </w:pPr>
            <w:r>
              <w:t>191900.00</w:t>
            </w:r>
          </w:p>
        </w:tc>
        <w:tc>
          <w:tcPr>
            <w:tcW w:w="1134" w:type="dxa"/>
            <w:vAlign w:val="center"/>
          </w:tcPr>
          <w:p>
            <w:pPr>
              <w:pStyle w:val="13"/>
            </w:pPr>
            <w:r>
              <w:t>191900.00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128000.00</w:t>
            </w:r>
          </w:p>
        </w:tc>
        <w:tc>
          <w:tcPr>
            <w:tcW w:w="1134" w:type="dxa"/>
            <w:vAlign w:val="center"/>
          </w:tcPr>
          <w:p>
            <w:pPr>
              <w:pStyle w:val="13"/>
            </w:pPr>
            <w:r>
              <w:t>128000.00</w:t>
            </w:r>
          </w:p>
        </w:tc>
        <w:tc>
          <w:tcPr>
            <w:tcW w:w="1134" w:type="dxa"/>
            <w:vAlign w:val="center"/>
          </w:tcPr>
          <w:p>
            <w:pPr>
              <w:pStyle w:val="13"/>
            </w:pPr>
            <w:r>
              <w:t>128000.00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63900.00</w:t>
            </w:r>
          </w:p>
        </w:tc>
        <w:tc>
          <w:tcPr>
            <w:tcW w:w="1134" w:type="dxa"/>
            <w:vAlign w:val="center"/>
          </w:tcPr>
          <w:p>
            <w:pPr>
              <w:pStyle w:val="13"/>
            </w:pPr>
            <w:r>
              <w:t>63900.00</w:t>
            </w:r>
          </w:p>
        </w:tc>
        <w:tc>
          <w:tcPr>
            <w:tcW w:w="1134" w:type="dxa"/>
            <w:vAlign w:val="center"/>
          </w:tcPr>
          <w:p>
            <w:pPr>
              <w:pStyle w:val="13"/>
            </w:pPr>
            <w:r>
              <w:t>63900.00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77000.00</w:t>
            </w:r>
          </w:p>
        </w:tc>
        <w:tc>
          <w:tcPr>
            <w:tcW w:w="1134" w:type="dxa"/>
            <w:vAlign w:val="center"/>
          </w:tcPr>
          <w:p>
            <w:pPr>
              <w:pStyle w:val="13"/>
            </w:pPr>
            <w:r>
              <w:t>77000.00</w:t>
            </w:r>
          </w:p>
        </w:tc>
        <w:tc>
          <w:tcPr>
            <w:tcW w:w="1134" w:type="dxa"/>
            <w:vAlign w:val="center"/>
          </w:tcPr>
          <w:p>
            <w:pPr>
              <w:pStyle w:val="13"/>
            </w:pPr>
            <w:r>
              <w:t>77000.00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77000.00</w:t>
            </w:r>
          </w:p>
        </w:tc>
        <w:tc>
          <w:tcPr>
            <w:tcW w:w="1134" w:type="dxa"/>
            <w:vAlign w:val="center"/>
          </w:tcPr>
          <w:p>
            <w:pPr>
              <w:pStyle w:val="13"/>
            </w:pPr>
            <w:r>
              <w:t>77000.00</w:t>
            </w:r>
          </w:p>
        </w:tc>
        <w:tc>
          <w:tcPr>
            <w:tcW w:w="1134" w:type="dxa"/>
            <w:vAlign w:val="center"/>
          </w:tcPr>
          <w:p>
            <w:pPr>
              <w:pStyle w:val="13"/>
            </w:pPr>
            <w:r>
              <w:t>77000.00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77000.00</w:t>
            </w:r>
          </w:p>
        </w:tc>
        <w:tc>
          <w:tcPr>
            <w:tcW w:w="1134" w:type="dxa"/>
            <w:vAlign w:val="center"/>
          </w:tcPr>
          <w:p>
            <w:pPr>
              <w:pStyle w:val="13"/>
            </w:pPr>
            <w:r>
              <w:t>77000.00</w:t>
            </w:r>
          </w:p>
        </w:tc>
        <w:tc>
          <w:tcPr>
            <w:tcW w:w="1134" w:type="dxa"/>
            <w:vAlign w:val="center"/>
          </w:tcPr>
          <w:p>
            <w:pPr>
              <w:pStyle w:val="13"/>
            </w:pPr>
            <w:r>
              <w:t>77000.00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137400.00</w:t>
            </w:r>
          </w:p>
        </w:tc>
        <w:tc>
          <w:tcPr>
            <w:tcW w:w="1134" w:type="dxa"/>
            <w:vAlign w:val="center"/>
          </w:tcPr>
          <w:p>
            <w:pPr>
              <w:pStyle w:val="13"/>
            </w:pPr>
            <w:r>
              <w:t>137400.00</w:t>
            </w:r>
          </w:p>
        </w:tc>
        <w:tc>
          <w:tcPr>
            <w:tcW w:w="1134" w:type="dxa"/>
            <w:vAlign w:val="center"/>
          </w:tcPr>
          <w:p>
            <w:pPr>
              <w:pStyle w:val="13"/>
            </w:pPr>
            <w:r>
              <w:t>137400.00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137400.00</w:t>
            </w:r>
          </w:p>
        </w:tc>
        <w:tc>
          <w:tcPr>
            <w:tcW w:w="1134" w:type="dxa"/>
            <w:vAlign w:val="center"/>
          </w:tcPr>
          <w:p>
            <w:pPr>
              <w:pStyle w:val="13"/>
            </w:pPr>
            <w:r>
              <w:t>137400.00</w:t>
            </w:r>
          </w:p>
        </w:tc>
        <w:tc>
          <w:tcPr>
            <w:tcW w:w="1134" w:type="dxa"/>
            <w:vAlign w:val="center"/>
          </w:tcPr>
          <w:p>
            <w:pPr>
              <w:pStyle w:val="13"/>
            </w:pPr>
            <w:r>
              <w:t>137400.00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137400.00</w:t>
            </w:r>
          </w:p>
        </w:tc>
        <w:tc>
          <w:tcPr>
            <w:tcW w:w="1134" w:type="dxa"/>
            <w:vAlign w:val="center"/>
          </w:tcPr>
          <w:p>
            <w:pPr>
              <w:pStyle w:val="13"/>
            </w:pPr>
            <w:r>
              <w:t>137400.00</w:t>
            </w:r>
          </w:p>
        </w:tc>
        <w:tc>
          <w:tcPr>
            <w:tcW w:w="1134" w:type="dxa"/>
            <w:vAlign w:val="center"/>
          </w:tcPr>
          <w:p>
            <w:pPr>
              <w:pStyle w:val="13"/>
            </w:pPr>
            <w:r>
              <w:t>137400.00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216001馆陶县政法委员会本级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2794900.00</w:t>
            </w:r>
          </w:p>
        </w:tc>
        <w:tc>
          <w:tcPr>
            <w:tcW w:w="1361" w:type="dxa"/>
            <w:vAlign w:val="center"/>
          </w:tcPr>
          <w:p>
            <w:pPr>
              <w:pStyle w:val="17"/>
            </w:pPr>
            <w:r>
              <w:t>2114900.00</w:t>
            </w:r>
          </w:p>
        </w:tc>
        <w:tc>
          <w:tcPr>
            <w:tcW w:w="1361" w:type="dxa"/>
            <w:vAlign w:val="center"/>
          </w:tcPr>
          <w:p>
            <w:pPr>
              <w:pStyle w:val="17"/>
            </w:pPr>
            <w:r>
              <w:t>680000.00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2388600.00</w:t>
            </w:r>
          </w:p>
        </w:tc>
        <w:tc>
          <w:tcPr>
            <w:tcW w:w="1361" w:type="dxa"/>
            <w:vAlign w:val="center"/>
          </w:tcPr>
          <w:p>
            <w:pPr>
              <w:pStyle w:val="13"/>
            </w:pPr>
            <w:r>
              <w:t>1708600.00</w:t>
            </w:r>
          </w:p>
        </w:tc>
        <w:tc>
          <w:tcPr>
            <w:tcW w:w="1361" w:type="dxa"/>
            <w:vAlign w:val="center"/>
          </w:tcPr>
          <w:p>
            <w:pPr>
              <w:pStyle w:val="13"/>
            </w:pPr>
            <w:r>
              <w:t>680000.00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20136</w:t>
            </w:r>
          </w:p>
        </w:tc>
        <w:tc>
          <w:tcPr>
            <w:tcW w:w="4535" w:type="dxa"/>
            <w:vAlign w:val="center"/>
          </w:tcPr>
          <w:p>
            <w:pPr>
              <w:pStyle w:val="14"/>
            </w:pPr>
            <w:r>
              <w:t>其他共产党事务支出</w:t>
            </w:r>
          </w:p>
        </w:tc>
        <w:tc>
          <w:tcPr>
            <w:tcW w:w="1361" w:type="dxa"/>
            <w:vAlign w:val="center"/>
          </w:tcPr>
          <w:p>
            <w:pPr>
              <w:pStyle w:val="13"/>
            </w:pPr>
            <w:r>
              <w:t>2388600.00</w:t>
            </w:r>
          </w:p>
        </w:tc>
        <w:tc>
          <w:tcPr>
            <w:tcW w:w="1361" w:type="dxa"/>
            <w:vAlign w:val="center"/>
          </w:tcPr>
          <w:p>
            <w:pPr>
              <w:pStyle w:val="13"/>
            </w:pPr>
            <w:r>
              <w:t>1708600.00</w:t>
            </w:r>
          </w:p>
        </w:tc>
        <w:tc>
          <w:tcPr>
            <w:tcW w:w="1361" w:type="dxa"/>
            <w:vAlign w:val="center"/>
          </w:tcPr>
          <w:p>
            <w:pPr>
              <w:pStyle w:val="13"/>
            </w:pPr>
            <w:r>
              <w:t>680000.00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2013601</w:t>
            </w:r>
          </w:p>
        </w:tc>
        <w:tc>
          <w:tcPr>
            <w:tcW w:w="4535" w:type="dxa"/>
            <w:vAlign w:val="center"/>
          </w:tcPr>
          <w:p>
            <w:pPr>
              <w:pStyle w:val="14"/>
            </w:pPr>
            <w:r>
              <w:t>行政运行</w:t>
            </w:r>
          </w:p>
        </w:tc>
        <w:tc>
          <w:tcPr>
            <w:tcW w:w="1361" w:type="dxa"/>
            <w:vAlign w:val="center"/>
          </w:tcPr>
          <w:p>
            <w:pPr>
              <w:pStyle w:val="13"/>
            </w:pPr>
            <w:r>
              <w:t>2188600.00</w:t>
            </w:r>
          </w:p>
        </w:tc>
        <w:tc>
          <w:tcPr>
            <w:tcW w:w="1361" w:type="dxa"/>
            <w:vAlign w:val="center"/>
          </w:tcPr>
          <w:p>
            <w:pPr>
              <w:pStyle w:val="13"/>
            </w:pPr>
            <w:r>
              <w:t>1708600.00</w:t>
            </w:r>
          </w:p>
        </w:tc>
        <w:tc>
          <w:tcPr>
            <w:tcW w:w="1361" w:type="dxa"/>
            <w:vAlign w:val="center"/>
          </w:tcPr>
          <w:p>
            <w:pPr>
              <w:pStyle w:val="13"/>
            </w:pPr>
            <w:r>
              <w:t>480000.00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2013699</w:t>
            </w:r>
          </w:p>
        </w:tc>
        <w:tc>
          <w:tcPr>
            <w:tcW w:w="4535" w:type="dxa"/>
            <w:vAlign w:val="center"/>
          </w:tcPr>
          <w:p>
            <w:pPr>
              <w:pStyle w:val="14"/>
            </w:pPr>
            <w:r>
              <w:t>其他共产党事务支出</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191900.00</w:t>
            </w:r>
          </w:p>
        </w:tc>
        <w:tc>
          <w:tcPr>
            <w:tcW w:w="1361" w:type="dxa"/>
            <w:vAlign w:val="center"/>
          </w:tcPr>
          <w:p>
            <w:pPr>
              <w:pStyle w:val="13"/>
            </w:pPr>
            <w:r>
              <w:t>191900.00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191900.00</w:t>
            </w:r>
          </w:p>
        </w:tc>
        <w:tc>
          <w:tcPr>
            <w:tcW w:w="1361" w:type="dxa"/>
            <w:vAlign w:val="center"/>
          </w:tcPr>
          <w:p>
            <w:pPr>
              <w:pStyle w:val="13"/>
            </w:pPr>
            <w:r>
              <w:t>191900.00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128000.00</w:t>
            </w:r>
          </w:p>
        </w:tc>
        <w:tc>
          <w:tcPr>
            <w:tcW w:w="1361" w:type="dxa"/>
            <w:vAlign w:val="center"/>
          </w:tcPr>
          <w:p>
            <w:pPr>
              <w:pStyle w:val="13"/>
            </w:pPr>
            <w:r>
              <w:t>128000.00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63900.00</w:t>
            </w:r>
          </w:p>
        </w:tc>
        <w:tc>
          <w:tcPr>
            <w:tcW w:w="1361" w:type="dxa"/>
            <w:vAlign w:val="center"/>
          </w:tcPr>
          <w:p>
            <w:pPr>
              <w:pStyle w:val="13"/>
            </w:pPr>
            <w:r>
              <w:t>63900.00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77000.00</w:t>
            </w:r>
          </w:p>
        </w:tc>
        <w:tc>
          <w:tcPr>
            <w:tcW w:w="1361" w:type="dxa"/>
            <w:vAlign w:val="center"/>
          </w:tcPr>
          <w:p>
            <w:pPr>
              <w:pStyle w:val="13"/>
            </w:pPr>
            <w:r>
              <w:t>77000.00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77000.00</w:t>
            </w:r>
          </w:p>
        </w:tc>
        <w:tc>
          <w:tcPr>
            <w:tcW w:w="1361" w:type="dxa"/>
            <w:vAlign w:val="center"/>
          </w:tcPr>
          <w:p>
            <w:pPr>
              <w:pStyle w:val="13"/>
            </w:pPr>
            <w:r>
              <w:t>77000.00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77000.00</w:t>
            </w:r>
          </w:p>
        </w:tc>
        <w:tc>
          <w:tcPr>
            <w:tcW w:w="1361" w:type="dxa"/>
            <w:vAlign w:val="center"/>
          </w:tcPr>
          <w:p>
            <w:pPr>
              <w:pStyle w:val="13"/>
            </w:pPr>
            <w:r>
              <w:t>77000.00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137400.00</w:t>
            </w:r>
          </w:p>
        </w:tc>
        <w:tc>
          <w:tcPr>
            <w:tcW w:w="1361" w:type="dxa"/>
            <w:vAlign w:val="center"/>
          </w:tcPr>
          <w:p>
            <w:pPr>
              <w:pStyle w:val="13"/>
            </w:pPr>
            <w:r>
              <w:t>137400.00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137400.00</w:t>
            </w:r>
          </w:p>
        </w:tc>
        <w:tc>
          <w:tcPr>
            <w:tcW w:w="1361" w:type="dxa"/>
            <w:vAlign w:val="center"/>
          </w:tcPr>
          <w:p>
            <w:pPr>
              <w:pStyle w:val="13"/>
            </w:pPr>
            <w:r>
              <w:t>137400.00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137400.00</w:t>
            </w:r>
          </w:p>
        </w:tc>
        <w:tc>
          <w:tcPr>
            <w:tcW w:w="1361" w:type="dxa"/>
            <w:vAlign w:val="center"/>
          </w:tcPr>
          <w:p>
            <w:pPr>
              <w:pStyle w:val="13"/>
            </w:pPr>
            <w:r>
              <w:t>137400.00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216001馆陶县政法委员会本级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2794900.00</w:t>
            </w:r>
          </w:p>
        </w:tc>
        <w:tc>
          <w:tcPr>
            <w:tcW w:w="3402" w:type="dxa"/>
            <w:vAlign w:val="center"/>
          </w:tcPr>
          <w:p>
            <w:pPr>
              <w:pStyle w:val="14"/>
            </w:pPr>
            <w:r>
              <w:t>一、一般公共服务支出</w:t>
            </w:r>
          </w:p>
        </w:tc>
        <w:tc>
          <w:tcPr>
            <w:tcW w:w="1474" w:type="dxa"/>
            <w:vAlign w:val="center"/>
          </w:tcPr>
          <w:p>
            <w:pPr>
              <w:pStyle w:val="13"/>
            </w:pPr>
            <w:r>
              <w:t>2388600.00</w:t>
            </w:r>
          </w:p>
        </w:tc>
        <w:tc>
          <w:tcPr>
            <w:tcW w:w="1474" w:type="dxa"/>
            <w:vAlign w:val="center"/>
          </w:tcPr>
          <w:p>
            <w:pPr>
              <w:pStyle w:val="13"/>
            </w:pPr>
            <w:r>
              <w:t>2388600.00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191900.00</w:t>
            </w:r>
          </w:p>
        </w:tc>
        <w:tc>
          <w:tcPr>
            <w:tcW w:w="1474" w:type="dxa"/>
            <w:vAlign w:val="center"/>
          </w:tcPr>
          <w:p>
            <w:pPr>
              <w:pStyle w:val="13"/>
            </w:pPr>
            <w:r>
              <w:t>191900.00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77000.00</w:t>
            </w:r>
          </w:p>
        </w:tc>
        <w:tc>
          <w:tcPr>
            <w:tcW w:w="1474" w:type="dxa"/>
            <w:vAlign w:val="center"/>
          </w:tcPr>
          <w:p>
            <w:pPr>
              <w:pStyle w:val="13"/>
            </w:pPr>
            <w:r>
              <w:t>77000.00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137400.00</w:t>
            </w:r>
          </w:p>
        </w:tc>
        <w:tc>
          <w:tcPr>
            <w:tcW w:w="1474" w:type="dxa"/>
            <w:vAlign w:val="center"/>
          </w:tcPr>
          <w:p>
            <w:pPr>
              <w:pStyle w:val="13"/>
            </w:pPr>
            <w:r>
              <w:t>137400.00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2794900.00</w:t>
            </w:r>
          </w:p>
        </w:tc>
        <w:tc>
          <w:tcPr>
            <w:tcW w:w="3402" w:type="dxa"/>
            <w:vAlign w:val="center"/>
          </w:tcPr>
          <w:p>
            <w:pPr>
              <w:pStyle w:val="16"/>
            </w:pPr>
            <w:r>
              <w:t>本年支出合计</w:t>
            </w:r>
          </w:p>
        </w:tc>
        <w:tc>
          <w:tcPr>
            <w:tcW w:w="1474" w:type="dxa"/>
            <w:vAlign w:val="center"/>
          </w:tcPr>
          <w:p>
            <w:pPr>
              <w:pStyle w:val="17"/>
            </w:pPr>
            <w:r>
              <w:t>2794900.00</w:t>
            </w:r>
          </w:p>
        </w:tc>
        <w:tc>
          <w:tcPr>
            <w:tcW w:w="1474" w:type="dxa"/>
            <w:vAlign w:val="center"/>
          </w:tcPr>
          <w:p>
            <w:pPr>
              <w:pStyle w:val="17"/>
            </w:pPr>
            <w:r>
              <w:t>2794900.00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2794900.00</w:t>
            </w:r>
          </w:p>
        </w:tc>
        <w:tc>
          <w:tcPr>
            <w:tcW w:w="3402" w:type="dxa"/>
            <w:vAlign w:val="center"/>
          </w:tcPr>
          <w:p>
            <w:pPr>
              <w:pStyle w:val="16"/>
            </w:pPr>
            <w:r>
              <w:t>支出总计</w:t>
            </w:r>
          </w:p>
        </w:tc>
        <w:tc>
          <w:tcPr>
            <w:tcW w:w="1474" w:type="dxa"/>
            <w:vAlign w:val="center"/>
          </w:tcPr>
          <w:p>
            <w:pPr>
              <w:pStyle w:val="17"/>
            </w:pPr>
            <w:r>
              <w:t>2794900.00</w:t>
            </w:r>
          </w:p>
        </w:tc>
        <w:tc>
          <w:tcPr>
            <w:tcW w:w="1474" w:type="dxa"/>
            <w:vAlign w:val="center"/>
          </w:tcPr>
          <w:p>
            <w:pPr>
              <w:pStyle w:val="17"/>
            </w:pPr>
            <w:r>
              <w:t>2794900.00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216001馆陶县政法委员会本级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2794900.00</w:t>
            </w:r>
          </w:p>
        </w:tc>
        <w:tc>
          <w:tcPr>
            <w:tcW w:w="2551" w:type="dxa"/>
            <w:vAlign w:val="center"/>
          </w:tcPr>
          <w:p>
            <w:pPr>
              <w:pStyle w:val="17"/>
            </w:pPr>
            <w:r>
              <w:t>2114900.00</w:t>
            </w:r>
          </w:p>
        </w:tc>
        <w:tc>
          <w:tcPr>
            <w:tcW w:w="2551" w:type="dxa"/>
            <w:vAlign w:val="center"/>
          </w:tcPr>
          <w:p>
            <w:pPr>
              <w:pStyle w:val="17"/>
            </w:pPr>
            <w:r>
              <w:t>680000.00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2388600.00</w:t>
            </w:r>
          </w:p>
        </w:tc>
        <w:tc>
          <w:tcPr>
            <w:tcW w:w="2551" w:type="dxa"/>
            <w:vAlign w:val="center"/>
          </w:tcPr>
          <w:p>
            <w:pPr>
              <w:pStyle w:val="13"/>
            </w:pPr>
            <w:r>
              <w:t>1708600.00</w:t>
            </w:r>
          </w:p>
        </w:tc>
        <w:tc>
          <w:tcPr>
            <w:tcW w:w="2551" w:type="dxa"/>
            <w:vAlign w:val="center"/>
          </w:tcPr>
          <w:p>
            <w:pPr>
              <w:pStyle w:val="13"/>
            </w:pPr>
            <w:r>
              <w:t>680000.00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20136</w:t>
            </w:r>
          </w:p>
        </w:tc>
        <w:tc>
          <w:tcPr>
            <w:tcW w:w="4535" w:type="dxa"/>
            <w:vAlign w:val="center"/>
          </w:tcPr>
          <w:p>
            <w:pPr>
              <w:pStyle w:val="14"/>
            </w:pPr>
            <w:r>
              <w:t>其他共产党事务支出</w:t>
            </w:r>
          </w:p>
        </w:tc>
        <w:tc>
          <w:tcPr>
            <w:tcW w:w="2551" w:type="dxa"/>
            <w:vAlign w:val="center"/>
          </w:tcPr>
          <w:p>
            <w:pPr>
              <w:pStyle w:val="13"/>
            </w:pPr>
            <w:r>
              <w:t>2388600.00</w:t>
            </w:r>
          </w:p>
        </w:tc>
        <w:tc>
          <w:tcPr>
            <w:tcW w:w="2551" w:type="dxa"/>
            <w:vAlign w:val="center"/>
          </w:tcPr>
          <w:p>
            <w:pPr>
              <w:pStyle w:val="13"/>
            </w:pPr>
            <w:r>
              <w:t>1708600.00</w:t>
            </w:r>
          </w:p>
        </w:tc>
        <w:tc>
          <w:tcPr>
            <w:tcW w:w="2551" w:type="dxa"/>
            <w:vAlign w:val="center"/>
          </w:tcPr>
          <w:p>
            <w:pPr>
              <w:pStyle w:val="13"/>
            </w:pPr>
            <w:r>
              <w:t>680000.00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2013601</w:t>
            </w:r>
          </w:p>
        </w:tc>
        <w:tc>
          <w:tcPr>
            <w:tcW w:w="4535" w:type="dxa"/>
            <w:vAlign w:val="center"/>
          </w:tcPr>
          <w:p>
            <w:pPr>
              <w:pStyle w:val="14"/>
            </w:pPr>
            <w:r>
              <w:t>行政运行</w:t>
            </w:r>
          </w:p>
        </w:tc>
        <w:tc>
          <w:tcPr>
            <w:tcW w:w="2551" w:type="dxa"/>
            <w:vAlign w:val="center"/>
          </w:tcPr>
          <w:p>
            <w:pPr>
              <w:pStyle w:val="13"/>
            </w:pPr>
            <w:r>
              <w:t>2188600.00</w:t>
            </w:r>
          </w:p>
        </w:tc>
        <w:tc>
          <w:tcPr>
            <w:tcW w:w="2551" w:type="dxa"/>
            <w:vAlign w:val="center"/>
          </w:tcPr>
          <w:p>
            <w:pPr>
              <w:pStyle w:val="13"/>
            </w:pPr>
            <w:r>
              <w:t>1708600.00</w:t>
            </w:r>
          </w:p>
        </w:tc>
        <w:tc>
          <w:tcPr>
            <w:tcW w:w="2551" w:type="dxa"/>
            <w:vAlign w:val="center"/>
          </w:tcPr>
          <w:p>
            <w:pPr>
              <w:pStyle w:val="13"/>
            </w:pPr>
            <w:r>
              <w:t>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2013699</w:t>
            </w:r>
          </w:p>
        </w:tc>
        <w:tc>
          <w:tcPr>
            <w:tcW w:w="4535" w:type="dxa"/>
            <w:vAlign w:val="center"/>
          </w:tcPr>
          <w:p>
            <w:pPr>
              <w:pStyle w:val="14"/>
            </w:pPr>
            <w:r>
              <w:t>其他共产党事务支出</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191900.00</w:t>
            </w:r>
          </w:p>
        </w:tc>
        <w:tc>
          <w:tcPr>
            <w:tcW w:w="2551" w:type="dxa"/>
            <w:vAlign w:val="center"/>
          </w:tcPr>
          <w:p>
            <w:pPr>
              <w:pStyle w:val="13"/>
            </w:pPr>
            <w:r>
              <w:t>191900.00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191900.00</w:t>
            </w:r>
          </w:p>
        </w:tc>
        <w:tc>
          <w:tcPr>
            <w:tcW w:w="2551" w:type="dxa"/>
            <w:vAlign w:val="center"/>
          </w:tcPr>
          <w:p>
            <w:pPr>
              <w:pStyle w:val="13"/>
            </w:pPr>
            <w:r>
              <w:t>191900.00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128000.00</w:t>
            </w:r>
          </w:p>
        </w:tc>
        <w:tc>
          <w:tcPr>
            <w:tcW w:w="2551" w:type="dxa"/>
            <w:vAlign w:val="center"/>
          </w:tcPr>
          <w:p>
            <w:pPr>
              <w:pStyle w:val="13"/>
            </w:pPr>
            <w:r>
              <w:t>128000.00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63900.00</w:t>
            </w:r>
          </w:p>
        </w:tc>
        <w:tc>
          <w:tcPr>
            <w:tcW w:w="2551" w:type="dxa"/>
            <w:vAlign w:val="center"/>
          </w:tcPr>
          <w:p>
            <w:pPr>
              <w:pStyle w:val="13"/>
            </w:pPr>
            <w:r>
              <w:t>63900.00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77000.00</w:t>
            </w:r>
          </w:p>
        </w:tc>
        <w:tc>
          <w:tcPr>
            <w:tcW w:w="2551" w:type="dxa"/>
            <w:vAlign w:val="center"/>
          </w:tcPr>
          <w:p>
            <w:pPr>
              <w:pStyle w:val="13"/>
            </w:pPr>
            <w:r>
              <w:t>77000.00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77000.00</w:t>
            </w:r>
          </w:p>
        </w:tc>
        <w:tc>
          <w:tcPr>
            <w:tcW w:w="2551" w:type="dxa"/>
            <w:vAlign w:val="center"/>
          </w:tcPr>
          <w:p>
            <w:pPr>
              <w:pStyle w:val="13"/>
            </w:pPr>
            <w:r>
              <w:t>77000.00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77000.00</w:t>
            </w:r>
          </w:p>
        </w:tc>
        <w:tc>
          <w:tcPr>
            <w:tcW w:w="2551" w:type="dxa"/>
            <w:vAlign w:val="center"/>
          </w:tcPr>
          <w:p>
            <w:pPr>
              <w:pStyle w:val="13"/>
            </w:pPr>
            <w:r>
              <w:t>77000.00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137400.00</w:t>
            </w:r>
          </w:p>
        </w:tc>
        <w:tc>
          <w:tcPr>
            <w:tcW w:w="2551" w:type="dxa"/>
            <w:vAlign w:val="center"/>
          </w:tcPr>
          <w:p>
            <w:pPr>
              <w:pStyle w:val="13"/>
            </w:pPr>
            <w:r>
              <w:t>137400.00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137400.00</w:t>
            </w:r>
          </w:p>
        </w:tc>
        <w:tc>
          <w:tcPr>
            <w:tcW w:w="2551" w:type="dxa"/>
            <w:vAlign w:val="center"/>
          </w:tcPr>
          <w:p>
            <w:pPr>
              <w:pStyle w:val="13"/>
            </w:pPr>
            <w:r>
              <w:t>137400.00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137400.00</w:t>
            </w:r>
          </w:p>
        </w:tc>
        <w:tc>
          <w:tcPr>
            <w:tcW w:w="2551" w:type="dxa"/>
            <w:vAlign w:val="center"/>
          </w:tcPr>
          <w:p>
            <w:pPr>
              <w:pStyle w:val="13"/>
            </w:pPr>
            <w:r>
              <w:t>137400.00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216001馆陶县政法委员会本级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2114900.00</w:t>
            </w:r>
          </w:p>
        </w:tc>
        <w:tc>
          <w:tcPr>
            <w:tcW w:w="2551" w:type="dxa"/>
            <w:vAlign w:val="center"/>
          </w:tcPr>
          <w:p>
            <w:pPr>
              <w:pStyle w:val="17"/>
            </w:pPr>
            <w:r>
              <w:t>1831300.00</w:t>
            </w:r>
          </w:p>
        </w:tc>
        <w:tc>
          <w:tcPr>
            <w:tcW w:w="2551" w:type="dxa"/>
            <w:vAlign w:val="center"/>
          </w:tcPr>
          <w:p>
            <w:pPr>
              <w:pStyle w:val="17"/>
            </w:pPr>
            <w:r>
              <w:t>283600.00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1751300.00</w:t>
            </w:r>
          </w:p>
        </w:tc>
        <w:tc>
          <w:tcPr>
            <w:tcW w:w="2551" w:type="dxa"/>
            <w:vAlign w:val="center"/>
          </w:tcPr>
          <w:p>
            <w:pPr>
              <w:pStyle w:val="13"/>
            </w:pPr>
            <w:r>
              <w:t>1751300.00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576000.00</w:t>
            </w:r>
          </w:p>
        </w:tc>
        <w:tc>
          <w:tcPr>
            <w:tcW w:w="2551" w:type="dxa"/>
            <w:vAlign w:val="center"/>
          </w:tcPr>
          <w:p>
            <w:pPr>
              <w:pStyle w:val="13"/>
            </w:pPr>
            <w:r>
              <w:t>576000.00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440000.00</w:t>
            </w:r>
          </w:p>
        </w:tc>
        <w:tc>
          <w:tcPr>
            <w:tcW w:w="2551" w:type="dxa"/>
            <w:vAlign w:val="center"/>
          </w:tcPr>
          <w:p>
            <w:pPr>
              <w:pStyle w:val="13"/>
            </w:pPr>
            <w:r>
              <w:t>440000.00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324000.00</w:t>
            </w:r>
          </w:p>
        </w:tc>
        <w:tc>
          <w:tcPr>
            <w:tcW w:w="2551" w:type="dxa"/>
            <w:vAlign w:val="center"/>
          </w:tcPr>
          <w:p>
            <w:pPr>
              <w:pStyle w:val="13"/>
            </w:pPr>
            <w:r>
              <w:t>324000.00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128000.00</w:t>
            </w:r>
          </w:p>
        </w:tc>
        <w:tc>
          <w:tcPr>
            <w:tcW w:w="2551" w:type="dxa"/>
            <w:vAlign w:val="center"/>
          </w:tcPr>
          <w:p>
            <w:pPr>
              <w:pStyle w:val="13"/>
            </w:pPr>
            <w:r>
              <w:t>128000.00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63900.00</w:t>
            </w:r>
          </w:p>
        </w:tc>
        <w:tc>
          <w:tcPr>
            <w:tcW w:w="2551" w:type="dxa"/>
            <w:vAlign w:val="center"/>
          </w:tcPr>
          <w:p>
            <w:pPr>
              <w:pStyle w:val="13"/>
            </w:pPr>
            <w:r>
              <w:t>63900.00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76000.00</w:t>
            </w:r>
          </w:p>
        </w:tc>
        <w:tc>
          <w:tcPr>
            <w:tcW w:w="2551" w:type="dxa"/>
            <w:vAlign w:val="center"/>
          </w:tcPr>
          <w:p>
            <w:pPr>
              <w:pStyle w:val="13"/>
            </w:pPr>
            <w:r>
              <w:t>76000.00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6000.00</w:t>
            </w:r>
          </w:p>
        </w:tc>
        <w:tc>
          <w:tcPr>
            <w:tcW w:w="2551" w:type="dxa"/>
            <w:vAlign w:val="center"/>
          </w:tcPr>
          <w:p>
            <w:pPr>
              <w:pStyle w:val="13"/>
            </w:pPr>
            <w:r>
              <w:t>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137400.00</w:t>
            </w:r>
          </w:p>
        </w:tc>
        <w:tc>
          <w:tcPr>
            <w:tcW w:w="2551" w:type="dxa"/>
            <w:vAlign w:val="center"/>
          </w:tcPr>
          <w:p>
            <w:pPr>
              <w:pStyle w:val="13"/>
            </w:pPr>
            <w:r>
              <w:t>137400.00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283600.00</w:t>
            </w:r>
          </w:p>
        </w:tc>
        <w:tc>
          <w:tcPr>
            <w:tcW w:w="2551" w:type="dxa"/>
            <w:vAlign w:val="center"/>
          </w:tcPr>
          <w:p>
            <w:pPr>
              <w:pStyle w:val="13"/>
            </w:pPr>
          </w:p>
        </w:tc>
        <w:tc>
          <w:tcPr>
            <w:tcW w:w="2551" w:type="dxa"/>
            <w:vAlign w:val="center"/>
          </w:tcPr>
          <w:p>
            <w:pPr>
              <w:pStyle w:val="13"/>
            </w:pPr>
            <w:r>
              <w:t>283600.00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64200.00</w:t>
            </w:r>
          </w:p>
        </w:tc>
        <w:tc>
          <w:tcPr>
            <w:tcW w:w="2551" w:type="dxa"/>
            <w:vAlign w:val="center"/>
          </w:tcPr>
          <w:p>
            <w:pPr>
              <w:pStyle w:val="13"/>
            </w:pPr>
          </w:p>
        </w:tc>
        <w:tc>
          <w:tcPr>
            <w:tcW w:w="2551" w:type="dxa"/>
            <w:vAlign w:val="center"/>
          </w:tcPr>
          <w:p>
            <w:pPr>
              <w:pStyle w:val="13"/>
            </w:pPr>
            <w:r>
              <w:t>64200.00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27000.00</w:t>
            </w:r>
          </w:p>
        </w:tc>
        <w:tc>
          <w:tcPr>
            <w:tcW w:w="2551" w:type="dxa"/>
            <w:vAlign w:val="center"/>
          </w:tcPr>
          <w:p>
            <w:pPr>
              <w:pStyle w:val="13"/>
            </w:pPr>
          </w:p>
        </w:tc>
        <w:tc>
          <w:tcPr>
            <w:tcW w:w="2551" w:type="dxa"/>
            <w:vAlign w:val="center"/>
          </w:tcPr>
          <w:p>
            <w:pPr>
              <w:pStyle w:val="13"/>
            </w:pPr>
            <w:r>
              <w:t>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5200.00</w:t>
            </w:r>
          </w:p>
        </w:tc>
        <w:tc>
          <w:tcPr>
            <w:tcW w:w="2551" w:type="dxa"/>
            <w:vAlign w:val="center"/>
          </w:tcPr>
          <w:p>
            <w:pPr>
              <w:pStyle w:val="13"/>
            </w:pPr>
          </w:p>
        </w:tc>
        <w:tc>
          <w:tcPr>
            <w:tcW w:w="2551" w:type="dxa"/>
            <w:vAlign w:val="center"/>
          </w:tcPr>
          <w:p>
            <w:pPr>
              <w:pStyle w:val="13"/>
            </w:pPr>
            <w:r>
              <w:t>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2200.00</w:t>
            </w:r>
          </w:p>
        </w:tc>
        <w:tc>
          <w:tcPr>
            <w:tcW w:w="2551" w:type="dxa"/>
            <w:vAlign w:val="center"/>
          </w:tcPr>
          <w:p>
            <w:pPr>
              <w:pStyle w:val="13"/>
            </w:pPr>
          </w:p>
        </w:tc>
        <w:tc>
          <w:tcPr>
            <w:tcW w:w="2551" w:type="dxa"/>
            <w:vAlign w:val="center"/>
          </w:tcPr>
          <w:p>
            <w:pPr>
              <w:pStyle w:val="13"/>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80000.00</w:t>
            </w:r>
          </w:p>
        </w:tc>
        <w:tc>
          <w:tcPr>
            <w:tcW w:w="2551" w:type="dxa"/>
            <w:vAlign w:val="center"/>
          </w:tcPr>
          <w:p>
            <w:pPr>
              <w:pStyle w:val="13"/>
            </w:pPr>
            <w:r>
              <w:t>80000.00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80000.00</w:t>
            </w:r>
          </w:p>
        </w:tc>
        <w:tc>
          <w:tcPr>
            <w:tcW w:w="2551" w:type="dxa"/>
            <w:vAlign w:val="center"/>
          </w:tcPr>
          <w:p>
            <w:pPr>
              <w:pStyle w:val="13"/>
            </w:pPr>
            <w:r>
              <w:t>80000.00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216001馆陶县政法委员会本级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216001馆陶县政法委员会本级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216001馆陶县政法委员会本级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3"/>
            </w:pPr>
            <w:r>
              <w:rPr>
                <w:rFonts w:hint="eastAsia"/>
                <w:lang w:eastAsia="zh-CN"/>
              </w:rPr>
              <w:t>17200</w:t>
            </w:r>
          </w:p>
        </w:tc>
        <w:tc>
          <w:tcPr>
            <w:tcW w:w="2381" w:type="dxa"/>
            <w:vAlign w:val="center"/>
          </w:tcPr>
          <w:p>
            <w:pPr>
              <w:pStyle w:val="13"/>
            </w:pPr>
            <w:r>
              <w:rPr>
                <w:rFonts w:hint="eastAsia"/>
                <w:lang w:eastAsia="zh-CN"/>
              </w:rPr>
              <w:t>17200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lang w:eastAsia="zh-CN"/>
              </w:rPr>
              <w:t>3</w:t>
            </w:r>
          </w:p>
        </w:tc>
        <w:tc>
          <w:tcPr>
            <w:tcW w:w="3798" w:type="dxa"/>
            <w:vAlign w:val="center"/>
          </w:tcPr>
          <w:p>
            <w:pPr>
              <w:pStyle w:val="14"/>
            </w:pPr>
            <w:r>
              <w:t>二、公务用车购置及运维费</w:t>
            </w:r>
          </w:p>
        </w:tc>
        <w:tc>
          <w:tcPr>
            <w:tcW w:w="2382" w:type="dxa"/>
            <w:vAlign w:val="center"/>
          </w:tcPr>
          <w:p>
            <w:pPr>
              <w:pStyle w:val="13"/>
            </w:pPr>
            <w:r>
              <w:rPr>
                <w:rFonts w:hint="eastAsia"/>
                <w:lang w:eastAsia="zh-CN"/>
              </w:rPr>
              <w:t>15000</w:t>
            </w:r>
          </w:p>
        </w:tc>
        <w:tc>
          <w:tcPr>
            <w:tcW w:w="2381" w:type="dxa"/>
            <w:vAlign w:val="center"/>
          </w:tcPr>
          <w:p>
            <w:pPr>
              <w:pStyle w:val="13"/>
            </w:pPr>
            <w:r>
              <w:rPr>
                <w:rFonts w:hint="eastAsia"/>
                <w:lang w:eastAsia="zh-CN"/>
              </w:rPr>
              <w:t>15000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lang w:eastAsia="zh-CN"/>
              </w:rPr>
              <w:t>4</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lang w:eastAsia="zh-CN"/>
              </w:rPr>
              <w:t>5</w:t>
            </w:r>
          </w:p>
        </w:tc>
        <w:tc>
          <w:tcPr>
            <w:tcW w:w="3798" w:type="dxa"/>
            <w:vAlign w:val="center"/>
          </w:tcPr>
          <w:p>
            <w:pPr>
              <w:pStyle w:val="14"/>
            </w:pPr>
            <w:r>
              <w:t xml:space="preserve">          公务用车运行维护费</w:t>
            </w:r>
          </w:p>
        </w:tc>
        <w:tc>
          <w:tcPr>
            <w:tcW w:w="2382" w:type="dxa"/>
            <w:vAlign w:val="center"/>
          </w:tcPr>
          <w:p>
            <w:pPr>
              <w:pStyle w:val="13"/>
            </w:pPr>
            <w:r>
              <w:rPr>
                <w:rFonts w:hint="eastAsia"/>
                <w:lang w:eastAsia="zh-CN"/>
              </w:rPr>
              <w:t>15000</w:t>
            </w:r>
          </w:p>
        </w:tc>
        <w:tc>
          <w:tcPr>
            <w:tcW w:w="2381" w:type="dxa"/>
            <w:vAlign w:val="center"/>
          </w:tcPr>
          <w:p>
            <w:pPr>
              <w:pStyle w:val="13"/>
            </w:pPr>
            <w:r>
              <w:rPr>
                <w:rFonts w:hint="eastAsia"/>
                <w:lang w:eastAsia="zh-CN"/>
              </w:rPr>
              <w:t>15000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lang w:eastAsia="zh-CN"/>
              </w:rPr>
              <w:t>6</w:t>
            </w:r>
          </w:p>
        </w:tc>
        <w:tc>
          <w:tcPr>
            <w:tcW w:w="3798" w:type="dxa"/>
            <w:vAlign w:val="center"/>
          </w:tcPr>
          <w:p>
            <w:pPr>
              <w:pStyle w:val="14"/>
            </w:pPr>
            <w:r>
              <w:t>三、公务接待费</w:t>
            </w:r>
          </w:p>
        </w:tc>
        <w:tc>
          <w:tcPr>
            <w:tcW w:w="2382" w:type="dxa"/>
            <w:vAlign w:val="center"/>
          </w:tcPr>
          <w:p>
            <w:pPr>
              <w:pStyle w:val="13"/>
              <w:rPr>
                <w:lang w:eastAsia="zh-CN"/>
              </w:rPr>
            </w:pPr>
            <w:r>
              <w:rPr>
                <w:rFonts w:hint="eastAsia"/>
                <w:lang w:eastAsia="zh-CN"/>
              </w:rPr>
              <w:t>2200</w:t>
            </w:r>
          </w:p>
        </w:tc>
        <w:tc>
          <w:tcPr>
            <w:tcW w:w="2381" w:type="dxa"/>
            <w:vAlign w:val="center"/>
          </w:tcPr>
          <w:p>
            <w:pPr>
              <w:pStyle w:val="13"/>
            </w:pPr>
            <w:r>
              <w:rPr>
                <w:rFonts w:hint="eastAsia"/>
                <w:lang w:eastAsia="zh-CN"/>
              </w:rPr>
              <w:t>2200</w:t>
            </w:r>
          </w:p>
        </w:tc>
        <w:tc>
          <w:tcPr>
            <w:tcW w:w="2381" w:type="dxa"/>
            <w:vAlign w:val="center"/>
          </w:tcPr>
          <w:p>
            <w:pPr>
              <w:pStyle w:val="13"/>
            </w:pPr>
          </w:p>
        </w:tc>
        <w:tc>
          <w:tcPr>
            <w:tcW w:w="2381" w:type="dxa"/>
            <w:vAlign w:val="center"/>
          </w:tcPr>
          <w:p>
            <w:pPr>
              <w:pStyle w:val="13"/>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馆陶县政法委员会本级2022年单位预算信息公开情况说明</w:t>
      </w:r>
    </w:p>
    <w:p>
      <w:pPr>
        <w:spacing w:line="500" w:lineRule="exact"/>
        <w:ind w:firstLine="560"/>
      </w:pPr>
      <w:r>
        <w:rPr>
          <w:rFonts w:ascii="Times New Roman" w:hAnsi="Times New Roman" w:eastAsia="方正仿宋_GBK" w:cs="Times New Roman"/>
          <w:color w:val="000000"/>
          <w:sz w:val="28"/>
        </w:rPr>
        <w:t>按照《</w:t>
      </w:r>
      <w:r>
        <w:rPr>
          <w:rFonts w:hint="eastAsia" w:eastAsia="方正仿宋_GBK"/>
          <w:color w:val="000000"/>
          <w:sz w:val="28"/>
          <w:lang w:eastAsia="zh-CN"/>
        </w:rPr>
        <w:t>中华人民共和国</w:t>
      </w:r>
      <w:bookmarkStart w:id="2" w:name="_GoBack"/>
      <w:bookmarkEnd w:id="2"/>
      <w:r>
        <w:rPr>
          <w:rFonts w:eastAsia="方正仿宋_GBK"/>
          <w:color w:val="000000"/>
          <w:sz w:val="28"/>
        </w:rPr>
        <w:t>预算法</w:t>
      </w:r>
      <w:r>
        <w:rPr>
          <w:rFonts w:ascii="Times New Roman" w:hAnsi="Times New Roman" w:eastAsia="方正仿宋_GBK" w:cs="Times New Roman"/>
          <w:color w:val="000000"/>
          <w:sz w:val="28"/>
        </w:rPr>
        <w:t>》、《地方预决算公开操作规程》和《关于进一步推进预算公开工作的实施意见》规定，现将馆陶县政法委员会本级2022年单位预算公开如下：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根据《中共馆陶县政法委员会机关职能配置、内设机构和人员编制规定》政法委员会的主要职责是：1.根据党中央的路线、方针、政策和县委的部署，统一全县政法各部门的思想和行动。2.研究制定全县政法工作、维护稳定工作和社会治安综合治理工作的具体政策措施，及时向县委提出决策建议；对一定时期内的政法工作、维护稳定工作和社会治安综合治理工作作出全局性部署，并督促贯彻落实。3.研究制定加强全县政法队伍建设和领导班子建设的意见及措施，按照县委规定的干部管理权限，协助党委及其组织部门管理政法部门的领导班子和干部队伍。4.大力支持和严格监督政法各部门依法行使职权；指导和协调政法各部门各负其责、密切配合；督促、推动大案要案的查处工作；研究协调有争议的重大、疑难案件。5.监督、检查政法部门执行法律法规和党的方针政策的情况，结合实际研究推动严肃执法、落实党的方针政策的意见和措施。6.组织、协调和指导全县维护社会稳定工作。7.组织、协调、指导制止非法宗教活动工作。8.组织、协调、指导、检查全县社会治安综合治理工作，推动各项措施的落实。9.组织推动政法工作重大政策法律问题的调查研究，指导政法工作改革。10.办理县委及上级有关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馆陶县政法委员会本级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val="en-US" w:eastAsia="zh-CN"/>
        </w:rPr>
        <w:t>单位</w:t>
      </w:r>
      <w:r>
        <w:rPr>
          <w:rFonts w:eastAsia="方正仿宋_GBK" w:cs="Times New Roman"/>
          <w:color w:val="000000"/>
          <w:sz w:val="28"/>
        </w:rPr>
        <w:t>预算的编制实行综合预算管理，即全部收入和支出都反映在预算中。</w:t>
      </w:r>
    </w:p>
    <w:p>
      <w:pPr>
        <w:pStyle w:val="20"/>
      </w:pPr>
      <w:r>
        <w:t>1、收入说明</w:t>
      </w:r>
    </w:p>
    <w:p>
      <w:pPr>
        <w:pStyle w:val="20"/>
      </w:pPr>
      <w:r>
        <w:t>反映本</w:t>
      </w:r>
      <w:r>
        <w:rPr>
          <w:rFonts w:hint="eastAsia"/>
          <w:lang w:eastAsia="zh-CN"/>
        </w:rPr>
        <w:t>单位</w:t>
      </w:r>
      <w:r>
        <w:t>当年全部收入。2022年预算收入</w:t>
      </w:r>
      <w:r>
        <w:rPr>
          <w:rFonts w:hint="eastAsia"/>
          <w:lang w:eastAsia="zh-CN"/>
        </w:rPr>
        <w:t>279.49</w:t>
      </w:r>
      <w:r>
        <w:t>万元，其中：一般公共预算收入</w:t>
      </w:r>
      <w:r>
        <w:rPr>
          <w:rFonts w:hint="eastAsia"/>
          <w:lang w:eastAsia="zh-CN"/>
        </w:rPr>
        <w:t>279.49</w:t>
      </w:r>
      <w:r>
        <w:t>万元，基金预算收入</w:t>
      </w:r>
      <w:r>
        <w:rPr>
          <w:rFonts w:hint="eastAsia"/>
          <w:lang w:eastAsia="zh-CN"/>
        </w:rPr>
        <w:t>0</w:t>
      </w:r>
      <w:r>
        <w:t>万元，国有资本经营预算收入</w:t>
      </w:r>
      <w:r>
        <w:rPr>
          <w:rFonts w:hint="eastAsia"/>
          <w:lang w:eastAsia="zh-CN"/>
        </w:rPr>
        <w:t>0</w:t>
      </w:r>
      <w:r>
        <w:t>万元，财政专户核拨收入</w:t>
      </w:r>
      <w:r>
        <w:rPr>
          <w:rFonts w:hint="eastAsia"/>
          <w:lang w:eastAsia="zh-CN"/>
        </w:rPr>
        <w:t>0</w:t>
      </w:r>
      <w:r>
        <w:t>万元，单位资金收入</w:t>
      </w:r>
      <w:r>
        <w:rPr>
          <w:rFonts w:hint="eastAsia"/>
          <w:lang w:eastAsia="zh-CN"/>
        </w:rPr>
        <w:t>0</w:t>
      </w:r>
      <w:r>
        <w:t>万元，上年结转结余</w:t>
      </w:r>
      <w:r>
        <w:rPr>
          <w:rFonts w:hint="eastAsia"/>
          <w:lang w:eastAsia="zh-CN"/>
        </w:rPr>
        <w:t>0</w:t>
      </w:r>
      <w:r>
        <w:t>万元。</w:t>
      </w:r>
    </w:p>
    <w:p>
      <w:pPr>
        <w:pStyle w:val="20"/>
      </w:pPr>
      <w:r>
        <w:t>2、支出说明</w:t>
      </w:r>
    </w:p>
    <w:p>
      <w:pPr>
        <w:pStyle w:val="20"/>
      </w:pPr>
      <w:r>
        <w:t>收支预算总表支出栏、基本支出表、项目支出表按经济分类和支出功能分类科目编制，反映</w:t>
      </w:r>
      <w:r>
        <w:rPr>
          <w:rFonts w:hint="eastAsia"/>
          <w:lang w:eastAsia="zh-CN"/>
        </w:rPr>
        <w:t>2022</w:t>
      </w:r>
      <w:r>
        <w:t>年度</w:t>
      </w:r>
      <w:r>
        <w:rPr>
          <w:rFonts w:hint="eastAsia"/>
          <w:lang w:val="en-US" w:eastAsia="zh-CN"/>
        </w:rPr>
        <w:t>单位</w:t>
      </w:r>
      <w:r>
        <w:t>预算中支出预算的总体情况。2022年支出预算</w:t>
      </w:r>
      <w:r>
        <w:rPr>
          <w:rFonts w:hint="eastAsia"/>
          <w:lang w:eastAsia="zh-CN"/>
        </w:rPr>
        <w:t>279.49</w:t>
      </w:r>
      <w:r>
        <w:t>万元，其中基本支出</w:t>
      </w:r>
      <w:r>
        <w:rPr>
          <w:rFonts w:hint="eastAsia"/>
          <w:lang w:eastAsia="zh-CN"/>
        </w:rPr>
        <w:t>211.49</w:t>
      </w:r>
      <w:r>
        <w:t>万元，包括人员经费</w:t>
      </w:r>
      <w:r>
        <w:rPr>
          <w:rFonts w:hint="eastAsia"/>
          <w:lang w:eastAsia="zh-CN"/>
        </w:rPr>
        <w:t>183.13</w:t>
      </w:r>
      <w:r>
        <w:t>万元和日常公用经费</w:t>
      </w:r>
      <w:r>
        <w:rPr>
          <w:rFonts w:hint="eastAsia"/>
          <w:lang w:eastAsia="zh-CN"/>
        </w:rPr>
        <w:t>28.36</w:t>
      </w:r>
      <w:r>
        <w:t>万元；项目支出</w:t>
      </w:r>
      <w:r>
        <w:rPr>
          <w:rFonts w:hint="eastAsia"/>
          <w:lang w:eastAsia="zh-CN"/>
        </w:rPr>
        <w:t>68</w:t>
      </w:r>
      <w:r>
        <w:t>万元，主要为</w:t>
      </w:r>
      <w:r>
        <w:rPr>
          <w:rFonts w:hint="eastAsia"/>
          <w:lang w:eastAsia="zh-CN"/>
        </w:rPr>
        <w:t>综合治理专项经费、维护稳定工作经费、严重精神障碍患者保险及责任人以奖代补资金</w:t>
      </w:r>
      <w:r>
        <w:t>等。</w:t>
      </w:r>
    </w:p>
    <w:p>
      <w:pPr>
        <w:pStyle w:val="20"/>
      </w:pPr>
      <w:r>
        <w:t>3、比上年增减情况</w:t>
      </w:r>
    </w:p>
    <w:p>
      <w:pPr>
        <w:pStyle w:val="20"/>
        <w:rPr>
          <w:lang w:eastAsia="zh-CN"/>
        </w:rPr>
      </w:pPr>
      <w:r>
        <w:t>2022年预算收支安排</w:t>
      </w:r>
      <w:r>
        <w:rPr>
          <w:rFonts w:hint="eastAsia"/>
          <w:lang w:eastAsia="zh-CN"/>
        </w:rPr>
        <w:t>279.49</w:t>
      </w:r>
      <w:r>
        <w:t>万元，较2021年预算</w:t>
      </w:r>
      <w:r>
        <w:rPr>
          <w:rFonts w:hint="eastAsia"/>
          <w:lang w:eastAsia="zh-CN"/>
        </w:rPr>
        <w:t>减少1.05</w:t>
      </w:r>
      <w:r>
        <w:t>万元，其中：基本支出</w:t>
      </w:r>
      <w:r>
        <w:rPr>
          <w:rFonts w:hint="eastAsia"/>
          <w:lang w:eastAsia="zh-CN"/>
        </w:rPr>
        <w:t>减少1.05</w:t>
      </w:r>
      <w:r>
        <w:t>万元，主要为</w:t>
      </w:r>
      <w:r>
        <w:rPr>
          <w:rFonts w:hint="eastAsia"/>
          <w:lang w:eastAsia="zh-CN"/>
        </w:rPr>
        <w:t>减少</w:t>
      </w:r>
      <w:r>
        <w:t>人员经费支出</w:t>
      </w:r>
      <w:r>
        <w:rPr>
          <w:rFonts w:hint="eastAsia"/>
          <w:lang w:eastAsia="zh-CN"/>
        </w:rPr>
        <w:t>。</w:t>
      </w:r>
    </w:p>
    <w:p>
      <w:pPr>
        <w:spacing w:before="10" w:after="10"/>
        <w:ind w:firstLine="640"/>
        <w:outlineLvl w:val="5"/>
      </w:pPr>
      <w:r>
        <w:rPr>
          <w:rFonts w:ascii="黑体" w:hAnsi="黑体" w:eastAsia="黑体" w:cs="黑体"/>
          <w:color w:val="000000"/>
          <w:sz w:val="32"/>
        </w:rPr>
        <w:t>三、机关运行经费安排情况</w:t>
      </w:r>
    </w:p>
    <w:p>
      <w:pPr>
        <w:pStyle w:val="21"/>
      </w:pPr>
      <w:r>
        <w:t>2022年，我</w:t>
      </w:r>
      <w:r>
        <w:rPr>
          <w:rFonts w:hint="eastAsia"/>
          <w:lang w:val="en-US" w:eastAsia="zh-CN"/>
        </w:rPr>
        <w:t>单位</w:t>
      </w:r>
      <w:r>
        <w:t>运行经费共计安排</w:t>
      </w:r>
      <w:r>
        <w:rPr>
          <w:rFonts w:hint="eastAsia"/>
          <w:lang w:eastAsia="zh-CN"/>
        </w:rPr>
        <w:t>28.36</w:t>
      </w:r>
      <w:r>
        <w:t>万元，主要用于</w:t>
      </w:r>
      <w:r>
        <w:rPr>
          <w:rFonts w:hint="eastAsia"/>
          <w:lang w:eastAsia="zh-CN"/>
        </w:rPr>
        <w:t>政法委机关</w:t>
      </w:r>
      <w:r>
        <w:t>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2022年，我</w:t>
      </w:r>
      <w:r>
        <w:rPr>
          <w:rFonts w:hint="eastAsia"/>
          <w:lang w:val="en-US" w:eastAsia="zh-CN"/>
        </w:rPr>
        <w:t>单位</w:t>
      </w:r>
      <w:r>
        <w:t>财政拨款“三公”经费预算安排</w:t>
      </w:r>
      <w:r>
        <w:rPr>
          <w:rFonts w:hint="eastAsia"/>
          <w:lang w:eastAsia="zh-CN"/>
        </w:rPr>
        <w:t>1.72</w:t>
      </w:r>
      <w:r>
        <w:t>万元，其中因公出国（境）费</w:t>
      </w:r>
      <w:r>
        <w:rPr>
          <w:rFonts w:hint="eastAsia"/>
          <w:lang w:eastAsia="zh-CN"/>
        </w:rPr>
        <w:t>0</w:t>
      </w:r>
      <w:r>
        <w:t>万元；公务用车购置及运维费</w:t>
      </w:r>
      <w:r>
        <w:rPr>
          <w:rFonts w:hint="eastAsia"/>
          <w:lang w:eastAsia="zh-CN"/>
        </w:rPr>
        <w:t>1.5</w:t>
      </w:r>
      <w:r>
        <w:t>万元（其中：公务用车购置费为</w:t>
      </w:r>
      <w:r>
        <w:rPr>
          <w:rFonts w:hint="eastAsia"/>
          <w:lang w:eastAsia="zh-CN"/>
        </w:rPr>
        <w:t>0</w:t>
      </w:r>
      <w:r>
        <w:t>万元，公务用车运维费</w:t>
      </w:r>
      <w:r>
        <w:rPr>
          <w:rFonts w:hint="eastAsia"/>
          <w:lang w:eastAsia="zh-CN"/>
        </w:rPr>
        <w:t>1.5</w:t>
      </w:r>
      <w:r>
        <w:t>万元)；公务接待费</w:t>
      </w:r>
      <w:r>
        <w:rPr>
          <w:rFonts w:hint="eastAsia"/>
          <w:lang w:eastAsia="zh-CN"/>
        </w:rPr>
        <w:t>0.22</w:t>
      </w:r>
      <w:r>
        <w:t>万元。与2021年</w:t>
      </w:r>
      <w:r>
        <w:rPr>
          <w:rFonts w:hint="eastAsia"/>
          <w:lang w:eastAsia="zh-CN"/>
        </w:rPr>
        <w:t>持平</w:t>
      </w:r>
      <w:r>
        <w:t>。</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ind w:firstLine="640"/>
        <w:outlineLvl w:val="5"/>
      </w:pPr>
      <w:r>
        <w:rPr>
          <w:rFonts w:ascii="方正仿宋_GBK" w:hAnsi="方正仿宋_GBK" w:eastAsia="方正仿宋_GBK" w:cs="方正仿宋_GBK"/>
          <w:b/>
          <w:color w:val="000000"/>
          <w:sz w:val="28"/>
        </w:rPr>
        <w:t>1、维护稳定工作经费绩效目标表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1.2022年全年重大节日、大型活动等事件期间不出现问题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全县重大节日维护稳定工作数量</w:t>
            </w:r>
          </w:p>
        </w:tc>
        <w:tc>
          <w:tcPr>
            <w:tcW w:w="2835" w:type="dxa"/>
            <w:vAlign w:val="center"/>
          </w:tcPr>
          <w:p>
            <w:pPr>
              <w:pStyle w:val="14"/>
            </w:pPr>
            <w:r>
              <w:t>全县重大节日维护稳定工作数量</w:t>
            </w:r>
          </w:p>
        </w:tc>
        <w:tc>
          <w:tcPr>
            <w:tcW w:w="2551" w:type="dxa"/>
            <w:vAlign w:val="center"/>
          </w:tcPr>
          <w:p>
            <w:pPr>
              <w:pStyle w:val="14"/>
            </w:pPr>
            <w:r>
              <w:t>≥50次</w:t>
            </w:r>
          </w:p>
        </w:tc>
        <w:tc>
          <w:tcPr>
            <w:tcW w:w="2268" w:type="dxa"/>
            <w:vAlign w:val="center"/>
          </w:tcPr>
          <w:p>
            <w:pPr>
              <w:pStyle w:val="14"/>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全县重大节日维稳确保不出现问题率</w:t>
            </w:r>
          </w:p>
        </w:tc>
        <w:tc>
          <w:tcPr>
            <w:tcW w:w="2835" w:type="dxa"/>
            <w:vAlign w:val="center"/>
          </w:tcPr>
          <w:p>
            <w:pPr>
              <w:pStyle w:val="14"/>
            </w:pPr>
            <w:r>
              <w:t>不出现问题率达到100%</w:t>
            </w:r>
          </w:p>
        </w:tc>
        <w:tc>
          <w:tcPr>
            <w:tcW w:w="2551" w:type="dxa"/>
            <w:vAlign w:val="center"/>
          </w:tcPr>
          <w:p>
            <w:pPr>
              <w:pStyle w:val="14"/>
            </w:pPr>
            <w:r>
              <w:t>100%</w:t>
            </w:r>
          </w:p>
        </w:tc>
        <w:tc>
          <w:tcPr>
            <w:tcW w:w="2268" w:type="dxa"/>
            <w:vAlign w:val="center"/>
          </w:tcPr>
          <w:p>
            <w:pPr>
              <w:pStyle w:val="14"/>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维护稳定期间出现问题10分钟内值班人员解决问题</w:t>
            </w:r>
          </w:p>
        </w:tc>
        <w:tc>
          <w:tcPr>
            <w:tcW w:w="2835" w:type="dxa"/>
            <w:vAlign w:val="center"/>
          </w:tcPr>
          <w:p>
            <w:pPr>
              <w:pStyle w:val="14"/>
            </w:pPr>
            <w:r>
              <w:t>出现问题10分钟内值班人员解决问题</w:t>
            </w:r>
          </w:p>
        </w:tc>
        <w:tc>
          <w:tcPr>
            <w:tcW w:w="2551" w:type="dxa"/>
            <w:vAlign w:val="center"/>
          </w:tcPr>
          <w:p>
            <w:pPr>
              <w:pStyle w:val="14"/>
            </w:pPr>
            <w:r>
              <w:t>≤10分钟</w:t>
            </w:r>
          </w:p>
        </w:tc>
        <w:tc>
          <w:tcPr>
            <w:tcW w:w="2268" w:type="dxa"/>
            <w:vAlign w:val="center"/>
          </w:tcPr>
          <w:p>
            <w:pPr>
              <w:pStyle w:val="14"/>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全县维护社会稳定总成本</w:t>
            </w:r>
          </w:p>
        </w:tc>
        <w:tc>
          <w:tcPr>
            <w:tcW w:w="2835" w:type="dxa"/>
            <w:vAlign w:val="center"/>
          </w:tcPr>
          <w:p>
            <w:pPr>
              <w:pStyle w:val="14"/>
            </w:pPr>
            <w:r>
              <w:t>全县维护社会稳定总成本</w:t>
            </w:r>
          </w:p>
        </w:tc>
        <w:tc>
          <w:tcPr>
            <w:tcW w:w="2551" w:type="dxa"/>
            <w:vAlign w:val="center"/>
          </w:tcPr>
          <w:p>
            <w:pPr>
              <w:pStyle w:val="14"/>
            </w:pPr>
            <w:r>
              <w:t>20万</w:t>
            </w:r>
          </w:p>
        </w:tc>
        <w:tc>
          <w:tcPr>
            <w:tcW w:w="2268" w:type="dxa"/>
            <w:vAlign w:val="center"/>
          </w:tcPr>
          <w:p>
            <w:pPr>
              <w:pStyle w:val="14"/>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全年维护稳定不出现重大事故率达到100%</w:t>
            </w:r>
          </w:p>
        </w:tc>
        <w:tc>
          <w:tcPr>
            <w:tcW w:w="2835" w:type="dxa"/>
            <w:vAlign w:val="center"/>
          </w:tcPr>
          <w:p>
            <w:pPr>
              <w:pStyle w:val="14"/>
            </w:pPr>
            <w:r>
              <w:t>全年维护稳定不出现重大事故率达到100%</w:t>
            </w:r>
          </w:p>
        </w:tc>
        <w:tc>
          <w:tcPr>
            <w:tcW w:w="2551" w:type="dxa"/>
            <w:vAlign w:val="center"/>
          </w:tcPr>
          <w:p>
            <w:pPr>
              <w:pStyle w:val="14"/>
            </w:pPr>
            <w:r>
              <w:t>100%</w:t>
            </w:r>
          </w:p>
        </w:tc>
        <w:tc>
          <w:tcPr>
            <w:tcW w:w="2268" w:type="dxa"/>
            <w:vAlign w:val="center"/>
          </w:tcPr>
          <w:p>
            <w:pPr>
              <w:pStyle w:val="14"/>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化解重大风险事件</w:t>
            </w:r>
          </w:p>
        </w:tc>
        <w:tc>
          <w:tcPr>
            <w:tcW w:w="2835" w:type="dxa"/>
            <w:vAlign w:val="center"/>
          </w:tcPr>
          <w:p>
            <w:pPr>
              <w:pStyle w:val="14"/>
            </w:pPr>
            <w:r>
              <w:t>化解上访群众、维护重点工作场所及上访稳定</w:t>
            </w:r>
          </w:p>
        </w:tc>
        <w:tc>
          <w:tcPr>
            <w:tcW w:w="2551" w:type="dxa"/>
            <w:vAlign w:val="center"/>
          </w:tcPr>
          <w:p>
            <w:pPr>
              <w:pStyle w:val="14"/>
            </w:pPr>
            <w:r>
              <w:t>≥65次</w:t>
            </w:r>
          </w:p>
        </w:tc>
        <w:tc>
          <w:tcPr>
            <w:tcW w:w="2268" w:type="dxa"/>
            <w:vAlign w:val="center"/>
          </w:tcPr>
          <w:p>
            <w:pPr>
              <w:pStyle w:val="14"/>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矛盾纠纷群众满意度</w:t>
            </w:r>
          </w:p>
        </w:tc>
        <w:tc>
          <w:tcPr>
            <w:tcW w:w="2835" w:type="dxa"/>
            <w:vAlign w:val="center"/>
          </w:tcPr>
          <w:p>
            <w:pPr>
              <w:pStyle w:val="14"/>
            </w:pPr>
            <w:r>
              <w:t>矛盾纠纷群众满意度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2、综合治理专项经费绩效目标表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1.提升全县人民群众安全感、幸福指数。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全县综治中心建设数量达到9个</w:t>
            </w:r>
          </w:p>
        </w:tc>
        <w:tc>
          <w:tcPr>
            <w:tcW w:w="2835" w:type="dxa"/>
            <w:vAlign w:val="center"/>
          </w:tcPr>
          <w:p>
            <w:pPr>
              <w:pStyle w:val="14"/>
            </w:pPr>
            <w:r>
              <w:t>全县综治中心建设数量达到9个</w:t>
            </w:r>
          </w:p>
        </w:tc>
        <w:tc>
          <w:tcPr>
            <w:tcW w:w="2551" w:type="dxa"/>
            <w:vAlign w:val="center"/>
          </w:tcPr>
          <w:p>
            <w:pPr>
              <w:pStyle w:val="14"/>
            </w:pPr>
            <w:r>
              <w:t>9个</w:t>
            </w:r>
          </w:p>
        </w:tc>
        <w:tc>
          <w:tcPr>
            <w:tcW w:w="2268" w:type="dxa"/>
            <w:vAlign w:val="center"/>
          </w:tcPr>
          <w:p>
            <w:pPr>
              <w:pStyle w:val="14"/>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确保各乡镇建设综治中心质量指标率达到100%</w:t>
            </w:r>
          </w:p>
        </w:tc>
        <w:tc>
          <w:tcPr>
            <w:tcW w:w="2835" w:type="dxa"/>
            <w:vAlign w:val="center"/>
          </w:tcPr>
          <w:p>
            <w:pPr>
              <w:pStyle w:val="14"/>
            </w:pPr>
            <w:r>
              <w:t>确保各乡镇建设综治中心质量指标率达到100%</w:t>
            </w:r>
          </w:p>
        </w:tc>
        <w:tc>
          <w:tcPr>
            <w:tcW w:w="2551" w:type="dxa"/>
            <w:vAlign w:val="center"/>
          </w:tcPr>
          <w:p>
            <w:pPr>
              <w:pStyle w:val="14"/>
            </w:pPr>
            <w:r>
              <w:t>100%</w:t>
            </w:r>
          </w:p>
        </w:tc>
        <w:tc>
          <w:tcPr>
            <w:tcW w:w="2268" w:type="dxa"/>
            <w:vAlign w:val="center"/>
          </w:tcPr>
          <w:p>
            <w:pPr>
              <w:pStyle w:val="14"/>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项目各阶段工作按照时间规定完成</w:t>
            </w:r>
          </w:p>
        </w:tc>
        <w:tc>
          <w:tcPr>
            <w:tcW w:w="2835" w:type="dxa"/>
            <w:vAlign w:val="center"/>
          </w:tcPr>
          <w:p>
            <w:pPr>
              <w:pStyle w:val="14"/>
            </w:pPr>
            <w:r>
              <w:t>2022年10月前完成三个阶段</w:t>
            </w:r>
          </w:p>
        </w:tc>
        <w:tc>
          <w:tcPr>
            <w:tcW w:w="2551" w:type="dxa"/>
            <w:vAlign w:val="center"/>
          </w:tcPr>
          <w:p>
            <w:pPr>
              <w:pStyle w:val="14"/>
            </w:pPr>
            <w:r>
              <w:t>10月</w:t>
            </w:r>
          </w:p>
        </w:tc>
        <w:tc>
          <w:tcPr>
            <w:tcW w:w="2268" w:type="dxa"/>
            <w:vAlign w:val="center"/>
          </w:tcPr>
          <w:p>
            <w:pPr>
              <w:pStyle w:val="14"/>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综合治理总成本</w:t>
            </w:r>
          </w:p>
        </w:tc>
        <w:tc>
          <w:tcPr>
            <w:tcW w:w="2835" w:type="dxa"/>
            <w:vAlign w:val="center"/>
          </w:tcPr>
          <w:p>
            <w:pPr>
              <w:pStyle w:val="14"/>
            </w:pPr>
            <w:r>
              <w:t>全年综合治理工作总体成本</w:t>
            </w:r>
          </w:p>
        </w:tc>
        <w:tc>
          <w:tcPr>
            <w:tcW w:w="2551" w:type="dxa"/>
            <w:vAlign w:val="center"/>
          </w:tcPr>
          <w:p>
            <w:pPr>
              <w:pStyle w:val="14"/>
            </w:pPr>
            <w:r>
              <w:t>20万</w:t>
            </w:r>
          </w:p>
        </w:tc>
        <w:tc>
          <w:tcPr>
            <w:tcW w:w="2268" w:type="dxa"/>
            <w:vAlign w:val="center"/>
          </w:tcPr>
          <w:p>
            <w:pPr>
              <w:pStyle w:val="14"/>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群众安全感指标</w:t>
            </w:r>
          </w:p>
        </w:tc>
        <w:tc>
          <w:tcPr>
            <w:tcW w:w="2835" w:type="dxa"/>
            <w:vAlign w:val="center"/>
          </w:tcPr>
          <w:p>
            <w:pPr>
              <w:pStyle w:val="14"/>
            </w:pPr>
            <w:r>
              <w:t>安全感指数不断提升并稳定在95%以上</w:t>
            </w:r>
          </w:p>
        </w:tc>
        <w:tc>
          <w:tcPr>
            <w:tcW w:w="2551" w:type="dxa"/>
            <w:vAlign w:val="center"/>
          </w:tcPr>
          <w:p>
            <w:pPr>
              <w:pStyle w:val="14"/>
            </w:pPr>
            <w:r>
              <w:t>≥95%</w:t>
            </w:r>
          </w:p>
        </w:tc>
        <w:tc>
          <w:tcPr>
            <w:tcW w:w="2268" w:type="dxa"/>
            <w:vAlign w:val="center"/>
          </w:tcPr>
          <w:p>
            <w:pPr>
              <w:pStyle w:val="14"/>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平安建设工作提升全县人民群众幸福指数达到95%</w:t>
            </w:r>
          </w:p>
        </w:tc>
        <w:tc>
          <w:tcPr>
            <w:tcW w:w="2835" w:type="dxa"/>
            <w:vAlign w:val="center"/>
          </w:tcPr>
          <w:p>
            <w:pPr>
              <w:pStyle w:val="14"/>
            </w:pPr>
            <w:r>
              <w:t>提升全县人民群众幸福指数达到95%</w:t>
            </w:r>
          </w:p>
        </w:tc>
        <w:tc>
          <w:tcPr>
            <w:tcW w:w="2551" w:type="dxa"/>
            <w:vAlign w:val="center"/>
          </w:tcPr>
          <w:p>
            <w:pPr>
              <w:pStyle w:val="14"/>
            </w:pPr>
            <w:r>
              <w:t>≥95%</w:t>
            </w:r>
          </w:p>
        </w:tc>
        <w:tc>
          <w:tcPr>
            <w:tcW w:w="2268" w:type="dxa"/>
            <w:vAlign w:val="center"/>
          </w:tcPr>
          <w:p>
            <w:pPr>
              <w:pStyle w:val="14"/>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tc>
        <w:tc>
          <w:tcPr>
            <w:tcW w:w="2835" w:type="dxa"/>
            <w:vAlign w:val="center"/>
          </w:tcPr>
          <w:p>
            <w:pPr>
              <w:pStyle w:val="14"/>
            </w:pPr>
            <w:r>
              <w:t>全县人民群众满意度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3、严重精神障碍患者保险及责任人以奖代补资金绩效目标表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1.12月底前严重精神障碍患者保险及监护人以奖代补资金发放到位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严重精神障碍患者资金发放人数</w:t>
            </w:r>
          </w:p>
        </w:tc>
        <w:tc>
          <w:tcPr>
            <w:tcW w:w="2835" w:type="dxa"/>
            <w:vAlign w:val="center"/>
          </w:tcPr>
          <w:p>
            <w:pPr>
              <w:pStyle w:val="14"/>
            </w:pPr>
            <w:r>
              <w:t>严重精神障碍患者资金发放人数</w:t>
            </w:r>
          </w:p>
        </w:tc>
        <w:tc>
          <w:tcPr>
            <w:tcW w:w="2551" w:type="dxa"/>
            <w:vAlign w:val="center"/>
          </w:tcPr>
          <w:p>
            <w:pPr>
              <w:pStyle w:val="14"/>
            </w:pPr>
            <w:r>
              <w:t>≥1040人</w:t>
            </w:r>
          </w:p>
        </w:tc>
        <w:tc>
          <w:tcPr>
            <w:tcW w:w="2268" w:type="dxa"/>
            <w:vAlign w:val="center"/>
          </w:tcPr>
          <w:p>
            <w:pPr>
              <w:pStyle w:val="14"/>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严重精神障碍患者监护人以奖代补资金发放率达到</w:t>
            </w:r>
          </w:p>
        </w:tc>
        <w:tc>
          <w:tcPr>
            <w:tcW w:w="2835" w:type="dxa"/>
            <w:vAlign w:val="center"/>
          </w:tcPr>
          <w:p>
            <w:pPr>
              <w:pStyle w:val="14"/>
            </w:pPr>
            <w:r>
              <w:t>严重精神障碍患者监护人以奖代补资金发放率达到100%</w:t>
            </w:r>
          </w:p>
        </w:tc>
        <w:tc>
          <w:tcPr>
            <w:tcW w:w="2551" w:type="dxa"/>
            <w:vAlign w:val="center"/>
          </w:tcPr>
          <w:p>
            <w:pPr>
              <w:pStyle w:val="14"/>
            </w:pPr>
            <w:r>
              <w:t>100%</w:t>
            </w:r>
          </w:p>
        </w:tc>
        <w:tc>
          <w:tcPr>
            <w:tcW w:w="2268" w:type="dxa"/>
            <w:vAlign w:val="center"/>
          </w:tcPr>
          <w:p>
            <w:pPr>
              <w:pStyle w:val="14"/>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按上级要求在规定时间内发放完毕 </w:t>
            </w:r>
          </w:p>
        </w:tc>
        <w:tc>
          <w:tcPr>
            <w:tcW w:w="2835" w:type="dxa"/>
            <w:vAlign w:val="center"/>
          </w:tcPr>
          <w:p>
            <w:pPr>
              <w:pStyle w:val="14"/>
            </w:pPr>
            <w:r>
              <w:t>12月底前</w:t>
            </w:r>
          </w:p>
        </w:tc>
        <w:tc>
          <w:tcPr>
            <w:tcW w:w="2551" w:type="dxa"/>
            <w:vAlign w:val="center"/>
          </w:tcPr>
          <w:p>
            <w:pPr>
              <w:pStyle w:val="14"/>
            </w:pPr>
            <w:r>
              <w:t>≤12月</w:t>
            </w:r>
          </w:p>
        </w:tc>
        <w:tc>
          <w:tcPr>
            <w:tcW w:w="2268" w:type="dxa"/>
            <w:vAlign w:val="center"/>
          </w:tcPr>
          <w:p>
            <w:pPr>
              <w:pStyle w:val="14"/>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全县精神障碍患者1040人，严重精神障碍患者4人</w:t>
            </w:r>
          </w:p>
        </w:tc>
        <w:tc>
          <w:tcPr>
            <w:tcW w:w="2835" w:type="dxa"/>
            <w:vAlign w:val="center"/>
          </w:tcPr>
          <w:p>
            <w:pPr>
              <w:pStyle w:val="14"/>
            </w:pPr>
            <w:r>
              <w:t>总体成本</w:t>
            </w:r>
          </w:p>
        </w:tc>
        <w:tc>
          <w:tcPr>
            <w:tcW w:w="2551" w:type="dxa"/>
            <w:vAlign w:val="center"/>
          </w:tcPr>
          <w:p>
            <w:pPr>
              <w:pStyle w:val="14"/>
            </w:pPr>
            <w:r>
              <w:t>20万</w:t>
            </w:r>
          </w:p>
        </w:tc>
        <w:tc>
          <w:tcPr>
            <w:tcW w:w="2268" w:type="dxa"/>
            <w:vAlign w:val="center"/>
          </w:tcPr>
          <w:p>
            <w:pPr>
              <w:pStyle w:val="14"/>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全年分批次查看严重精神障碍患者率</w:t>
            </w:r>
          </w:p>
        </w:tc>
        <w:tc>
          <w:tcPr>
            <w:tcW w:w="2835" w:type="dxa"/>
            <w:vAlign w:val="center"/>
          </w:tcPr>
          <w:p>
            <w:pPr>
              <w:pStyle w:val="14"/>
            </w:pPr>
            <w:r>
              <w:t>全年分批次查看严重精神障碍患者率达到100%</w:t>
            </w:r>
          </w:p>
        </w:tc>
        <w:tc>
          <w:tcPr>
            <w:tcW w:w="2551" w:type="dxa"/>
            <w:vAlign w:val="center"/>
          </w:tcPr>
          <w:p>
            <w:pPr>
              <w:pStyle w:val="14"/>
            </w:pPr>
            <w:r>
              <w:t>100%</w:t>
            </w:r>
          </w:p>
        </w:tc>
        <w:tc>
          <w:tcPr>
            <w:tcW w:w="2268" w:type="dxa"/>
            <w:vAlign w:val="center"/>
          </w:tcPr>
          <w:p>
            <w:pPr>
              <w:pStyle w:val="14"/>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提升精神障碍患者及监护人安全感、幸福指数率</w:t>
            </w:r>
          </w:p>
        </w:tc>
        <w:tc>
          <w:tcPr>
            <w:tcW w:w="2835" w:type="dxa"/>
            <w:vAlign w:val="center"/>
          </w:tcPr>
          <w:p>
            <w:pPr>
              <w:pStyle w:val="14"/>
            </w:pPr>
            <w:r>
              <w:t>提升精神障碍患者及监护人安全感、幸福指数率达到95%</w:t>
            </w:r>
          </w:p>
        </w:tc>
        <w:tc>
          <w:tcPr>
            <w:tcW w:w="2551" w:type="dxa"/>
            <w:vAlign w:val="center"/>
          </w:tcPr>
          <w:p>
            <w:pPr>
              <w:pStyle w:val="14"/>
            </w:pPr>
            <w:r>
              <w:t>≥95%</w:t>
            </w:r>
          </w:p>
        </w:tc>
        <w:tc>
          <w:tcPr>
            <w:tcW w:w="2268" w:type="dxa"/>
            <w:vAlign w:val="center"/>
          </w:tcPr>
          <w:p>
            <w:pPr>
              <w:pStyle w:val="14"/>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严重精神障碍患者及监护人满意度</w:t>
            </w:r>
          </w:p>
        </w:tc>
        <w:tc>
          <w:tcPr>
            <w:tcW w:w="2835" w:type="dxa"/>
            <w:vAlign w:val="center"/>
          </w:tcPr>
          <w:p>
            <w:pPr>
              <w:pStyle w:val="14"/>
            </w:pPr>
            <w:r>
              <w:t>严重精神障碍患者及监护人满意度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ascii="Times New Roman" w:hAnsi="Times New Roman" w:eastAsia="方正仿宋_GBK" w:cs="Times New Roman"/>
          <w:color w:val="000000"/>
          <w:sz w:val="28"/>
        </w:rPr>
        <w:t>2022年，馆陶县政法委员会本级安排政府采购预算0.00万元。具体内容见下表。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216001馆陶县政法委员会本级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ascii="Times New Roman" w:hAnsi="Times New Roman"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ascii="Times New Roman" w:hAnsi="Times New Roman" w:eastAsia="方正仿宋_GBK" w:cs="Times New Roman"/>
          <w:color w:val="000000"/>
          <w:sz w:val="28"/>
        </w:rPr>
        <w:t>馆陶县政法委员会本级上年末固定资产金额为</w:t>
      </w:r>
      <w:r>
        <w:rPr>
          <w:rFonts w:hint="eastAsia" w:ascii="Times New Roman" w:hAnsi="Times New Roman" w:eastAsia="方正仿宋_GBK" w:cs="Times New Roman"/>
          <w:color w:val="000000"/>
          <w:sz w:val="28"/>
          <w:lang w:val="en-US" w:eastAsia="zh-CN"/>
        </w:rPr>
        <w:t>19.5148</w:t>
      </w:r>
      <w:r>
        <w:rPr>
          <w:rFonts w:ascii="Times New Roman" w:hAnsi="Times New Roman"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216001馆陶县政法委员会本级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jc w:val="center"/>
            </w:pPr>
            <w:r>
              <w:rPr>
                <w:rFonts w:hint="eastAsia"/>
                <w:lang w:val="en-US" w:eastAsia="zh-CN"/>
              </w:rPr>
              <w:t>195148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rPr>
                <w:rFonts w:hint="eastAsia"/>
                <w:lang w:val="en-US" w:eastAsia="zh-CN"/>
              </w:rPr>
              <w:t>1</w:t>
            </w:r>
          </w:p>
        </w:tc>
        <w:tc>
          <w:tcPr>
            <w:tcW w:w="2835" w:type="dxa"/>
            <w:vAlign w:val="center"/>
          </w:tcPr>
          <w:p>
            <w:pPr>
              <w:pStyle w:val="13"/>
              <w:jc w:val="center"/>
            </w:pPr>
            <w:r>
              <w:rPr>
                <w:rFonts w:hint="eastAsia"/>
                <w:lang w:val="en-US" w:eastAsia="zh-CN"/>
              </w:rPr>
              <w:t>152800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rPr>
                <w:rFonts w:hint="eastAsia"/>
                <w:lang w:val="en-US" w:eastAsia="zh-CN"/>
              </w:rPr>
              <w:t>50</w:t>
            </w:r>
          </w:p>
        </w:tc>
        <w:tc>
          <w:tcPr>
            <w:tcW w:w="2835" w:type="dxa"/>
            <w:vAlign w:val="center"/>
          </w:tcPr>
          <w:p>
            <w:pPr>
              <w:pStyle w:val="13"/>
              <w:jc w:val="center"/>
            </w:pPr>
            <w:r>
              <w:rPr>
                <w:rFonts w:hint="eastAsia"/>
                <w:lang w:val="en-US" w:eastAsia="zh-CN"/>
              </w:rPr>
              <w:t>42348</w:t>
            </w:r>
          </w:p>
        </w:tc>
      </w:tr>
    </w:tbl>
    <w:p>
      <w:pPr>
        <w:ind w:firstLine="640"/>
      </w:pPr>
      <w:r>
        <w:rPr>
          <w:rFonts w:ascii="Times New Roman" w:hAnsi="Times New Roman"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pgSz w:w="16840" w:h="11900" w:orient="landscape"/>
          <w:pgMar w:top="1361" w:right="1020" w:bottom="1361" w:left="1020" w:header="720" w:footer="720" w:gutter="0"/>
          <w:cols w:space="720" w:num="1"/>
        </w:sectPr>
      </w:pPr>
      <w:r>
        <w:rPr>
          <w:rFonts w:ascii="Times New Roman" w:hAnsi="Times New Roman" w:eastAsia="方正仿宋_GBK" w:cs="Times New Roman"/>
          <w:color w:val="000000"/>
          <w:sz w:val="28"/>
        </w:rPr>
        <w:t>我单位无其他需要说明的事项</w:t>
      </w:r>
      <w:r>
        <w:rPr>
          <w:rFonts w:hint="eastAsia" w:ascii="Times New Roman" w:hAnsi="Times New Roman" w:eastAsia="方正仿宋_GBK" w:cs="Times New Roman"/>
          <w:color w:val="000000"/>
          <w:sz w:val="28"/>
          <w:lang w:eastAsia="zh-CN"/>
        </w:rPr>
        <w:t>。</w:t>
      </w:r>
    </w:p>
    <w:p>
      <w:pPr>
        <w:jc w:val="center"/>
        <w:outlineLvl w:val="3"/>
      </w:pPr>
      <w:bookmarkStart w:id="1" w:name="_Toc_4_4_0000000021"/>
      <w:r>
        <w:rPr>
          <w:rFonts w:hint="eastAsia" w:ascii="方正小标宋_GBK" w:hAnsi="方正小标宋_GBK" w:eastAsia="方正小标宋_GBK" w:cs="方正小标宋_GBK"/>
          <w:color w:val="000000"/>
          <w:sz w:val="44"/>
        </w:rPr>
        <w:t>二</w:t>
      </w:r>
      <w:r>
        <w:rPr>
          <w:rFonts w:ascii="方正小标宋_GBK" w:hAnsi="方正小标宋_GBK" w:eastAsia="方正小标宋_GBK" w:cs="方正小标宋_GBK"/>
          <w:color w:val="000000"/>
          <w:sz w:val="44"/>
        </w:rPr>
        <w:t>、馆陶县政法委员会机关（事业）收支预算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268100.00</w:t>
            </w:r>
          </w:p>
        </w:tc>
        <w:tc>
          <w:tcPr>
            <w:tcW w:w="4535" w:type="dxa"/>
            <w:vAlign w:val="center"/>
          </w:tcPr>
          <w:p>
            <w:pPr>
              <w:pStyle w:val="14"/>
            </w:pPr>
            <w:r>
              <w:t>一、一般公共服务支出</w:t>
            </w:r>
          </w:p>
        </w:tc>
        <w:tc>
          <w:tcPr>
            <w:tcW w:w="2126" w:type="dxa"/>
            <w:vAlign w:val="center"/>
          </w:tcPr>
          <w:p>
            <w:pPr>
              <w:pStyle w:val="13"/>
            </w:pPr>
            <w:r>
              <w:t>207000.00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268100.00</w:t>
            </w:r>
          </w:p>
        </w:tc>
        <w:tc>
          <w:tcPr>
            <w:tcW w:w="4535" w:type="dxa"/>
            <w:vAlign w:val="center"/>
          </w:tcPr>
          <w:p>
            <w:pPr>
              <w:pStyle w:val="16"/>
            </w:pPr>
            <w:r>
              <w:t>本年支出合计</w:t>
            </w:r>
          </w:p>
        </w:tc>
        <w:tc>
          <w:tcPr>
            <w:tcW w:w="2126" w:type="dxa"/>
            <w:vAlign w:val="center"/>
          </w:tcPr>
          <w:p>
            <w:pPr>
              <w:pStyle w:val="17"/>
            </w:pPr>
            <w:r>
              <w:t>268100.00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268100.00</w:t>
            </w:r>
          </w:p>
        </w:tc>
        <w:tc>
          <w:tcPr>
            <w:tcW w:w="4535" w:type="dxa"/>
            <w:vAlign w:val="center"/>
          </w:tcPr>
          <w:p>
            <w:pPr>
              <w:pStyle w:val="16"/>
            </w:pPr>
            <w:r>
              <w:t>支出总计</w:t>
            </w:r>
          </w:p>
        </w:tc>
        <w:tc>
          <w:tcPr>
            <w:tcW w:w="2126" w:type="dxa"/>
            <w:vAlign w:val="center"/>
          </w:tcPr>
          <w:p>
            <w:pPr>
              <w:pStyle w:val="17"/>
            </w:pPr>
            <w:r>
              <w:t>268100.00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268100.00</w:t>
            </w:r>
          </w:p>
        </w:tc>
        <w:tc>
          <w:tcPr>
            <w:tcW w:w="1134" w:type="dxa"/>
            <w:vAlign w:val="center"/>
          </w:tcPr>
          <w:p>
            <w:pPr>
              <w:pStyle w:val="17"/>
            </w:pPr>
            <w:r>
              <w:t>268100.00</w:t>
            </w:r>
          </w:p>
        </w:tc>
        <w:tc>
          <w:tcPr>
            <w:tcW w:w="1134" w:type="dxa"/>
            <w:vAlign w:val="center"/>
          </w:tcPr>
          <w:p>
            <w:pPr>
              <w:pStyle w:val="17"/>
            </w:pPr>
            <w:r>
              <w:t>268100.00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207000.00</w:t>
            </w:r>
          </w:p>
        </w:tc>
        <w:tc>
          <w:tcPr>
            <w:tcW w:w="1134" w:type="dxa"/>
            <w:vAlign w:val="center"/>
          </w:tcPr>
          <w:p>
            <w:pPr>
              <w:pStyle w:val="13"/>
            </w:pPr>
            <w:r>
              <w:t>207000.00</w:t>
            </w:r>
          </w:p>
        </w:tc>
        <w:tc>
          <w:tcPr>
            <w:tcW w:w="1134" w:type="dxa"/>
            <w:vAlign w:val="center"/>
          </w:tcPr>
          <w:p>
            <w:pPr>
              <w:pStyle w:val="13"/>
            </w:pPr>
            <w:r>
              <w:t>207000.00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20136</w:t>
            </w:r>
          </w:p>
        </w:tc>
        <w:tc>
          <w:tcPr>
            <w:tcW w:w="1559" w:type="dxa"/>
            <w:vAlign w:val="center"/>
          </w:tcPr>
          <w:p>
            <w:pPr>
              <w:pStyle w:val="14"/>
            </w:pPr>
            <w:r>
              <w:t>其他共产党事务支出</w:t>
            </w:r>
          </w:p>
        </w:tc>
        <w:tc>
          <w:tcPr>
            <w:tcW w:w="1134" w:type="dxa"/>
            <w:vAlign w:val="center"/>
          </w:tcPr>
          <w:p>
            <w:pPr>
              <w:pStyle w:val="13"/>
            </w:pPr>
            <w:r>
              <w:t>207000.00</w:t>
            </w:r>
          </w:p>
        </w:tc>
        <w:tc>
          <w:tcPr>
            <w:tcW w:w="1134" w:type="dxa"/>
            <w:vAlign w:val="center"/>
          </w:tcPr>
          <w:p>
            <w:pPr>
              <w:pStyle w:val="13"/>
            </w:pPr>
            <w:r>
              <w:t>207000.00</w:t>
            </w:r>
          </w:p>
        </w:tc>
        <w:tc>
          <w:tcPr>
            <w:tcW w:w="1134" w:type="dxa"/>
            <w:vAlign w:val="center"/>
          </w:tcPr>
          <w:p>
            <w:pPr>
              <w:pStyle w:val="13"/>
            </w:pPr>
            <w:r>
              <w:t>207000.00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2013650</w:t>
            </w:r>
          </w:p>
        </w:tc>
        <w:tc>
          <w:tcPr>
            <w:tcW w:w="1559" w:type="dxa"/>
            <w:vAlign w:val="center"/>
          </w:tcPr>
          <w:p>
            <w:pPr>
              <w:pStyle w:val="14"/>
            </w:pPr>
            <w:r>
              <w:t>事业运行</w:t>
            </w:r>
          </w:p>
        </w:tc>
        <w:tc>
          <w:tcPr>
            <w:tcW w:w="1134" w:type="dxa"/>
            <w:vAlign w:val="center"/>
          </w:tcPr>
          <w:p>
            <w:pPr>
              <w:pStyle w:val="13"/>
            </w:pPr>
            <w:r>
              <w:t>207000.00</w:t>
            </w:r>
          </w:p>
        </w:tc>
        <w:tc>
          <w:tcPr>
            <w:tcW w:w="1134" w:type="dxa"/>
            <w:vAlign w:val="center"/>
          </w:tcPr>
          <w:p>
            <w:pPr>
              <w:pStyle w:val="13"/>
            </w:pPr>
            <w:r>
              <w:t>207000.00</w:t>
            </w:r>
          </w:p>
        </w:tc>
        <w:tc>
          <w:tcPr>
            <w:tcW w:w="1134" w:type="dxa"/>
            <w:vAlign w:val="center"/>
          </w:tcPr>
          <w:p>
            <w:pPr>
              <w:pStyle w:val="13"/>
            </w:pPr>
            <w:r>
              <w:t>207000.00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35900.00</w:t>
            </w:r>
          </w:p>
        </w:tc>
        <w:tc>
          <w:tcPr>
            <w:tcW w:w="1134" w:type="dxa"/>
            <w:vAlign w:val="center"/>
          </w:tcPr>
          <w:p>
            <w:pPr>
              <w:pStyle w:val="13"/>
            </w:pPr>
            <w:r>
              <w:t>35900.00</w:t>
            </w:r>
          </w:p>
        </w:tc>
        <w:tc>
          <w:tcPr>
            <w:tcW w:w="1134" w:type="dxa"/>
            <w:vAlign w:val="center"/>
          </w:tcPr>
          <w:p>
            <w:pPr>
              <w:pStyle w:val="13"/>
            </w:pPr>
            <w:r>
              <w:t>35900.00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35900.00</w:t>
            </w:r>
          </w:p>
        </w:tc>
        <w:tc>
          <w:tcPr>
            <w:tcW w:w="1134" w:type="dxa"/>
            <w:vAlign w:val="center"/>
          </w:tcPr>
          <w:p>
            <w:pPr>
              <w:pStyle w:val="13"/>
            </w:pPr>
            <w:r>
              <w:t>35900.00</w:t>
            </w:r>
          </w:p>
        </w:tc>
        <w:tc>
          <w:tcPr>
            <w:tcW w:w="1134" w:type="dxa"/>
            <w:vAlign w:val="center"/>
          </w:tcPr>
          <w:p>
            <w:pPr>
              <w:pStyle w:val="13"/>
            </w:pPr>
            <w:r>
              <w:t>35900.00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24000.00</w:t>
            </w:r>
          </w:p>
        </w:tc>
        <w:tc>
          <w:tcPr>
            <w:tcW w:w="1134" w:type="dxa"/>
            <w:vAlign w:val="center"/>
          </w:tcPr>
          <w:p>
            <w:pPr>
              <w:pStyle w:val="13"/>
            </w:pPr>
            <w:r>
              <w:t>24000.00</w:t>
            </w:r>
          </w:p>
        </w:tc>
        <w:tc>
          <w:tcPr>
            <w:tcW w:w="1134" w:type="dxa"/>
            <w:vAlign w:val="center"/>
          </w:tcPr>
          <w:p>
            <w:pPr>
              <w:pStyle w:val="13"/>
            </w:pPr>
            <w:r>
              <w:t>24000.00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11900.00</w:t>
            </w:r>
          </w:p>
        </w:tc>
        <w:tc>
          <w:tcPr>
            <w:tcW w:w="1134" w:type="dxa"/>
            <w:vAlign w:val="center"/>
          </w:tcPr>
          <w:p>
            <w:pPr>
              <w:pStyle w:val="13"/>
            </w:pPr>
            <w:r>
              <w:t>11900.00</w:t>
            </w:r>
          </w:p>
        </w:tc>
        <w:tc>
          <w:tcPr>
            <w:tcW w:w="1134" w:type="dxa"/>
            <w:vAlign w:val="center"/>
          </w:tcPr>
          <w:p>
            <w:pPr>
              <w:pStyle w:val="13"/>
            </w:pPr>
            <w:r>
              <w:t>11900.00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15000.00</w:t>
            </w:r>
          </w:p>
        </w:tc>
        <w:tc>
          <w:tcPr>
            <w:tcW w:w="1134" w:type="dxa"/>
            <w:vAlign w:val="center"/>
          </w:tcPr>
          <w:p>
            <w:pPr>
              <w:pStyle w:val="13"/>
            </w:pPr>
            <w:r>
              <w:t>15000.00</w:t>
            </w:r>
          </w:p>
        </w:tc>
        <w:tc>
          <w:tcPr>
            <w:tcW w:w="1134" w:type="dxa"/>
            <w:vAlign w:val="center"/>
          </w:tcPr>
          <w:p>
            <w:pPr>
              <w:pStyle w:val="13"/>
            </w:pPr>
            <w:r>
              <w:t>15000.00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15000.00</w:t>
            </w:r>
          </w:p>
        </w:tc>
        <w:tc>
          <w:tcPr>
            <w:tcW w:w="1134" w:type="dxa"/>
            <w:vAlign w:val="center"/>
          </w:tcPr>
          <w:p>
            <w:pPr>
              <w:pStyle w:val="13"/>
            </w:pPr>
            <w:r>
              <w:t>15000.00</w:t>
            </w:r>
          </w:p>
        </w:tc>
        <w:tc>
          <w:tcPr>
            <w:tcW w:w="1134" w:type="dxa"/>
            <w:vAlign w:val="center"/>
          </w:tcPr>
          <w:p>
            <w:pPr>
              <w:pStyle w:val="13"/>
            </w:pPr>
            <w:r>
              <w:t>15000.00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15000.00</w:t>
            </w:r>
          </w:p>
        </w:tc>
        <w:tc>
          <w:tcPr>
            <w:tcW w:w="1134" w:type="dxa"/>
            <w:vAlign w:val="center"/>
          </w:tcPr>
          <w:p>
            <w:pPr>
              <w:pStyle w:val="13"/>
            </w:pPr>
            <w:r>
              <w:t>15000.00</w:t>
            </w:r>
          </w:p>
        </w:tc>
        <w:tc>
          <w:tcPr>
            <w:tcW w:w="1134" w:type="dxa"/>
            <w:vAlign w:val="center"/>
          </w:tcPr>
          <w:p>
            <w:pPr>
              <w:pStyle w:val="13"/>
            </w:pPr>
            <w:r>
              <w:t>15000.00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268100.00</w:t>
            </w:r>
          </w:p>
        </w:tc>
        <w:tc>
          <w:tcPr>
            <w:tcW w:w="1361" w:type="dxa"/>
            <w:vAlign w:val="center"/>
          </w:tcPr>
          <w:p>
            <w:pPr>
              <w:pStyle w:val="17"/>
            </w:pPr>
            <w:r>
              <w:t>268100.00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207000.00</w:t>
            </w:r>
          </w:p>
        </w:tc>
        <w:tc>
          <w:tcPr>
            <w:tcW w:w="1361" w:type="dxa"/>
            <w:vAlign w:val="center"/>
          </w:tcPr>
          <w:p>
            <w:pPr>
              <w:pStyle w:val="13"/>
            </w:pPr>
            <w:r>
              <w:t>207000.00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20136</w:t>
            </w:r>
          </w:p>
        </w:tc>
        <w:tc>
          <w:tcPr>
            <w:tcW w:w="4535" w:type="dxa"/>
            <w:vAlign w:val="center"/>
          </w:tcPr>
          <w:p>
            <w:pPr>
              <w:pStyle w:val="14"/>
            </w:pPr>
            <w:r>
              <w:t>其他共产党事务支出</w:t>
            </w:r>
          </w:p>
        </w:tc>
        <w:tc>
          <w:tcPr>
            <w:tcW w:w="1361" w:type="dxa"/>
            <w:vAlign w:val="center"/>
          </w:tcPr>
          <w:p>
            <w:pPr>
              <w:pStyle w:val="13"/>
            </w:pPr>
            <w:r>
              <w:t>207000.00</w:t>
            </w:r>
          </w:p>
        </w:tc>
        <w:tc>
          <w:tcPr>
            <w:tcW w:w="1361" w:type="dxa"/>
            <w:vAlign w:val="center"/>
          </w:tcPr>
          <w:p>
            <w:pPr>
              <w:pStyle w:val="13"/>
            </w:pPr>
            <w:r>
              <w:t>207000.00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2013650</w:t>
            </w:r>
          </w:p>
        </w:tc>
        <w:tc>
          <w:tcPr>
            <w:tcW w:w="4535" w:type="dxa"/>
            <w:vAlign w:val="center"/>
          </w:tcPr>
          <w:p>
            <w:pPr>
              <w:pStyle w:val="14"/>
            </w:pPr>
            <w:r>
              <w:t>事业运行</w:t>
            </w:r>
          </w:p>
        </w:tc>
        <w:tc>
          <w:tcPr>
            <w:tcW w:w="1361" w:type="dxa"/>
            <w:vAlign w:val="center"/>
          </w:tcPr>
          <w:p>
            <w:pPr>
              <w:pStyle w:val="13"/>
            </w:pPr>
            <w:r>
              <w:t>207000.00</w:t>
            </w:r>
          </w:p>
        </w:tc>
        <w:tc>
          <w:tcPr>
            <w:tcW w:w="1361" w:type="dxa"/>
            <w:vAlign w:val="center"/>
          </w:tcPr>
          <w:p>
            <w:pPr>
              <w:pStyle w:val="13"/>
            </w:pPr>
            <w:r>
              <w:t>207000.00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35900.00</w:t>
            </w:r>
          </w:p>
        </w:tc>
        <w:tc>
          <w:tcPr>
            <w:tcW w:w="1361" w:type="dxa"/>
            <w:vAlign w:val="center"/>
          </w:tcPr>
          <w:p>
            <w:pPr>
              <w:pStyle w:val="13"/>
            </w:pPr>
            <w:r>
              <w:t>35900.00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35900.00</w:t>
            </w:r>
          </w:p>
        </w:tc>
        <w:tc>
          <w:tcPr>
            <w:tcW w:w="1361" w:type="dxa"/>
            <w:vAlign w:val="center"/>
          </w:tcPr>
          <w:p>
            <w:pPr>
              <w:pStyle w:val="13"/>
            </w:pPr>
            <w:r>
              <w:t>35900.00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24000.00</w:t>
            </w:r>
          </w:p>
        </w:tc>
        <w:tc>
          <w:tcPr>
            <w:tcW w:w="1361" w:type="dxa"/>
            <w:vAlign w:val="center"/>
          </w:tcPr>
          <w:p>
            <w:pPr>
              <w:pStyle w:val="13"/>
            </w:pPr>
            <w:r>
              <w:t>24000.00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11900.00</w:t>
            </w:r>
          </w:p>
        </w:tc>
        <w:tc>
          <w:tcPr>
            <w:tcW w:w="1361" w:type="dxa"/>
            <w:vAlign w:val="center"/>
          </w:tcPr>
          <w:p>
            <w:pPr>
              <w:pStyle w:val="13"/>
            </w:pPr>
            <w:r>
              <w:t>11900.00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10200.00</w:t>
            </w:r>
          </w:p>
        </w:tc>
        <w:tc>
          <w:tcPr>
            <w:tcW w:w="1361" w:type="dxa"/>
            <w:vAlign w:val="center"/>
          </w:tcPr>
          <w:p>
            <w:pPr>
              <w:pStyle w:val="13"/>
            </w:pPr>
            <w:r>
              <w:t>10200.00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10200.00</w:t>
            </w:r>
          </w:p>
        </w:tc>
        <w:tc>
          <w:tcPr>
            <w:tcW w:w="1361" w:type="dxa"/>
            <w:vAlign w:val="center"/>
          </w:tcPr>
          <w:p>
            <w:pPr>
              <w:pStyle w:val="13"/>
            </w:pPr>
            <w:r>
              <w:t>10200.00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10200.00</w:t>
            </w:r>
          </w:p>
        </w:tc>
        <w:tc>
          <w:tcPr>
            <w:tcW w:w="1361" w:type="dxa"/>
            <w:vAlign w:val="center"/>
          </w:tcPr>
          <w:p>
            <w:pPr>
              <w:pStyle w:val="13"/>
            </w:pPr>
            <w:r>
              <w:t>10200.00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15000.00</w:t>
            </w:r>
          </w:p>
        </w:tc>
        <w:tc>
          <w:tcPr>
            <w:tcW w:w="1361" w:type="dxa"/>
            <w:vAlign w:val="center"/>
          </w:tcPr>
          <w:p>
            <w:pPr>
              <w:pStyle w:val="13"/>
            </w:pPr>
            <w:r>
              <w:t>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15000.00</w:t>
            </w:r>
          </w:p>
        </w:tc>
        <w:tc>
          <w:tcPr>
            <w:tcW w:w="1361" w:type="dxa"/>
            <w:vAlign w:val="center"/>
          </w:tcPr>
          <w:p>
            <w:pPr>
              <w:pStyle w:val="13"/>
            </w:pPr>
            <w:r>
              <w:t>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15000.00</w:t>
            </w:r>
          </w:p>
        </w:tc>
        <w:tc>
          <w:tcPr>
            <w:tcW w:w="1361" w:type="dxa"/>
            <w:vAlign w:val="center"/>
          </w:tcPr>
          <w:p>
            <w:pPr>
              <w:pStyle w:val="13"/>
            </w:pPr>
            <w:r>
              <w:t>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268100.00</w:t>
            </w:r>
          </w:p>
        </w:tc>
        <w:tc>
          <w:tcPr>
            <w:tcW w:w="3402" w:type="dxa"/>
            <w:vAlign w:val="center"/>
          </w:tcPr>
          <w:p>
            <w:pPr>
              <w:pStyle w:val="14"/>
            </w:pPr>
            <w:r>
              <w:t>一、一般公共服务支出</w:t>
            </w:r>
          </w:p>
        </w:tc>
        <w:tc>
          <w:tcPr>
            <w:tcW w:w="1474" w:type="dxa"/>
            <w:vAlign w:val="center"/>
          </w:tcPr>
          <w:p>
            <w:pPr>
              <w:pStyle w:val="13"/>
            </w:pPr>
            <w:r>
              <w:t>207000.00</w:t>
            </w:r>
          </w:p>
        </w:tc>
        <w:tc>
          <w:tcPr>
            <w:tcW w:w="1474" w:type="dxa"/>
            <w:vAlign w:val="center"/>
          </w:tcPr>
          <w:p>
            <w:pPr>
              <w:pStyle w:val="13"/>
            </w:pPr>
            <w:r>
              <w:t>207000.00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35900.00</w:t>
            </w:r>
          </w:p>
        </w:tc>
        <w:tc>
          <w:tcPr>
            <w:tcW w:w="1474" w:type="dxa"/>
            <w:vAlign w:val="center"/>
          </w:tcPr>
          <w:p>
            <w:pPr>
              <w:pStyle w:val="13"/>
            </w:pPr>
            <w:r>
              <w:t>35900.00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10200.00</w:t>
            </w:r>
          </w:p>
        </w:tc>
        <w:tc>
          <w:tcPr>
            <w:tcW w:w="1474" w:type="dxa"/>
            <w:vAlign w:val="center"/>
          </w:tcPr>
          <w:p>
            <w:pPr>
              <w:pStyle w:val="13"/>
            </w:pPr>
            <w:r>
              <w:t>10200.00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15000.00</w:t>
            </w:r>
          </w:p>
        </w:tc>
        <w:tc>
          <w:tcPr>
            <w:tcW w:w="1474" w:type="dxa"/>
            <w:vAlign w:val="center"/>
          </w:tcPr>
          <w:p>
            <w:pPr>
              <w:pStyle w:val="13"/>
            </w:pPr>
            <w:r>
              <w:t>15000.00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268100.00</w:t>
            </w:r>
          </w:p>
        </w:tc>
        <w:tc>
          <w:tcPr>
            <w:tcW w:w="3402" w:type="dxa"/>
            <w:vAlign w:val="center"/>
          </w:tcPr>
          <w:p>
            <w:pPr>
              <w:pStyle w:val="16"/>
            </w:pPr>
            <w:r>
              <w:t>本年支出合计</w:t>
            </w:r>
          </w:p>
        </w:tc>
        <w:tc>
          <w:tcPr>
            <w:tcW w:w="1474" w:type="dxa"/>
            <w:vAlign w:val="center"/>
          </w:tcPr>
          <w:p>
            <w:pPr>
              <w:pStyle w:val="17"/>
            </w:pPr>
            <w:r>
              <w:t>268100.00</w:t>
            </w:r>
          </w:p>
        </w:tc>
        <w:tc>
          <w:tcPr>
            <w:tcW w:w="1474" w:type="dxa"/>
            <w:vAlign w:val="center"/>
          </w:tcPr>
          <w:p>
            <w:pPr>
              <w:pStyle w:val="17"/>
            </w:pPr>
            <w:r>
              <w:t>268100.00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268100.00</w:t>
            </w:r>
          </w:p>
        </w:tc>
        <w:tc>
          <w:tcPr>
            <w:tcW w:w="3402" w:type="dxa"/>
            <w:vAlign w:val="center"/>
          </w:tcPr>
          <w:p>
            <w:pPr>
              <w:pStyle w:val="16"/>
            </w:pPr>
            <w:r>
              <w:t>支出总计</w:t>
            </w:r>
          </w:p>
        </w:tc>
        <w:tc>
          <w:tcPr>
            <w:tcW w:w="1474" w:type="dxa"/>
            <w:vAlign w:val="center"/>
          </w:tcPr>
          <w:p>
            <w:pPr>
              <w:pStyle w:val="17"/>
            </w:pPr>
            <w:r>
              <w:t>268100.00</w:t>
            </w:r>
          </w:p>
        </w:tc>
        <w:tc>
          <w:tcPr>
            <w:tcW w:w="1474" w:type="dxa"/>
            <w:vAlign w:val="center"/>
          </w:tcPr>
          <w:p>
            <w:pPr>
              <w:pStyle w:val="17"/>
            </w:pPr>
            <w:r>
              <w:t>268100.00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268100.00</w:t>
            </w:r>
          </w:p>
        </w:tc>
        <w:tc>
          <w:tcPr>
            <w:tcW w:w="2551" w:type="dxa"/>
            <w:vAlign w:val="center"/>
          </w:tcPr>
          <w:p>
            <w:pPr>
              <w:pStyle w:val="17"/>
            </w:pPr>
            <w:r>
              <w:t>268100.00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207000.00</w:t>
            </w:r>
          </w:p>
        </w:tc>
        <w:tc>
          <w:tcPr>
            <w:tcW w:w="2551" w:type="dxa"/>
            <w:vAlign w:val="center"/>
          </w:tcPr>
          <w:p>
            <w:pPr>
              <w:pStyle w:val="13"/>
            </w:pPr>
            <w:r>
              <w:t>207000.00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20136</w:t>
            </w:r>
          </w:p>
        </w:tc>
        <w:tc>
          <w:tcPr>
            <w:tcW w:w="4535" w:type="dxa"/>
            <w:vAlign w:val="center"/>
          </w:tcPr>
          <w:p>
            <w:pPr>
              <w:pStyle w:val="14"/>
            </w:pPr>
            <w:r>
              <w:t>其他共产党事务支出</w:t>
            </w:r>
          </w:p>
        </w:tc>
        <w:tc>
          <w:tcPr>
            <w:tcW w:w="2551" w:type="dxa"/>
            <w:vAlign w:val="center"/>
          </w:tcPr>
          <w:p>
            <w:pPr>
              <w:pStyle w:val="13"/>
            </w:pPr>
            <w:r>
              <w:t>207000.00</w:t>
            </w:r>
          </w:p>
        </w:tc>
        <w:tc>
          <w:tcPr>
            <w:tcW w:w="2551" w:type="dxa"/>
            <w:vAlign w:val="center"/>
          </w:tcPr>
          <w:p>
            <w:pPr>
              <w:pStyle w:val="13"/>
            </w:pPr>
            <w:r>
              <w:t>207000.00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2013650</w:t>
            </w:r>
          </w:p>
        </w:tc>
        <w:tc>
          <w:tcPr>
            <w:tcW w:w="4535" w:type="dxa"/>
            <w:vAlign w:val="center"/>
          </w:tcPr>
          <w:p>
            <w:pPr>
              <w:pStyle w:val="14"/>
            </w:pPr>
            <w:r>
              <w:t>事业运行</w:t>
            </w:r>
          </w:p>
        </w:tc>
        <w:tc>
          <w:tcPr>
            <w:tcW w:w="2551" w:type="dxa"/>
            <w:vAlign w:val="center"/>
          </w:tcPr>
          <w:p>
            <w:pPr>
              <w:pStyle w:val="13"/>
            </w:pPr>
            <w:r>
              <w:t>207000.00</w:t>
            </w:r>
          </w:p>
        </w:tc>
        <w:tc>
          <w:tcPr>
            <w:tcW w:w="2551" w:type="dxa"/>
            <w:vAlign w:val="center"/>
          </w:tcPr>
          <w:p>
            <w:pPr>
              <w:pStyle w:val="13"/>
            </w:pPr>
            <w:r>
              <w:t>207000.00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35900.00</w:t>
            </w:r>
          </w:p>
        </w:tc>
        <w:tc>
          <w:tcPr>
            <w:tcW w:w="2551" w:type="dxa"/>
            <w:vAlign w:val="center"/>
          </w:tcPr>
          <w:p>
            <w:pPr>
              <w:pStyle w:val="13"/>
            </w:pPr>
            <w:r>
              <w:t>35900.00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35900.00</w:t>
            </w:r>
          </w:p>
        </w:tc>
        <w:tc>
          <w:tcPr>
            <w:tcW w:w="2551" w:type="dxa"/>
            <w:vAlign w:val="center"/>
          </w:tcPr>
          <w:p>
            <w:pPr>
              <w:pStyle w:val="13"/>
            </w:pPr>
            <w:r>
              <w:t>35900.00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24000.00</w:t>
            </w:r>
          </w:p>
        </w:tc>
        <w:tc>
          <w:tcPr>
            <w:tcW w:w="2551" w:type="dxa"/>
            <w:vAlign w:val="center"/>
          </w:tcPr>
          <w:p>
            <w:pPr>
              <w:pStyle w:val="13"/>
            </w:pPr>
            <w:r>
              <w:t>24000.00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11900.00</w:t>
            </w:r>
          </w:p>
        </w:tc>
        <w:tc>
          <w:tcPr>
            <w:tcW w:w="2551" w:type="dxa"/>
            <w:vAlign w:val="center"/>
          </w:tcPr>
          <w:p>
            <w:pPr>
              <w:pStyle w:val="13"/>
            </w:pPr>
            <w:r>
              <w:t>11900.00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10200.00</w:t>
            </w:r>
          </w:p>
        </w:tc>
        <w:tc>
          <w:tcPr>
            <w:tcW w:w="2551" w:type="dxa"/>
            <w:vAlign w:val="center"/>
          </w:tcPr>
          <w:p>
            <w:pPr>
              <w:pStyle w:val="13"/>
            </w:pPr>
            <w:r>
              <w:t>10200.00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10200.00</w:t>
            </w:r>
          </w:p>
        </w:tc>
        <w:tc>
          <w:tcPr>
            <w:tcW w:w="2551" w:type="dxa"/>
            <w:vAlign w:val="center"/>
          </w:tcPr>
          <w:p>
            <w:pPr>
              <w:pStyle w:val="13"/>
            </w:pPr>
            <w:r>
              <w:t>10200.00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10200.00</w:t>
            </w:r>
          </w:p>
        </w:tc>
        <w:tc>
          <w:tcPr>
            <w:tcW w:w="2551" w:type="dxa"/>
            <w:vAlign w:val="center"/>
          </w:tcPr>
          <w:p>
            <w:pPr>
              <w:pStyle w:val="13"/>
            </w:pPr>
            <w:r>
              <w:t>10200.00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268100.00</w:t>
            </w:r>
          </w:p>
        </w:tc>
        <w:tc>
          <w:tcPr>
            <w:tcW w:w="2551" w:type="dxa"/>
            <w:vAlign w:val="center"/>
          </w:tcPr>
          <w:p>
            <w:pPr>
              <w:pStyle w:val="17"/>
            </w:pPr>
            <w:r>
              <w:t>268100.00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253100.00</w:t>
            </w:r>
          </w:p>
        </w:tc>
        <w:tc>
          <w:tcPr>
            <w:tcW w:w="2551" w:type="dxa"/>
            <w:vAlign w:val="center"/>
          </w:tcPr>
          <w:p>
            <w:pPr>
              <w:pStyle w:val="13"/>
            </w:pPr>
            <w:r>
              <w:t>253100.00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97000.00</w:t>
            </w:r>
          </w:p>
        </w:tc>
        <w:tc>
          <w:tcPr>
            <w:tcW w:w="2551" w:type="dxa"/>
            <w:vAlign w:val="center"/>
          </w:tcPr>
          <w:p>
            <w:pPr>
              <w:pStyle w:val="13"/>
            </w:pPr>
            <w:r>
              <w:t>97000.00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12000.00</w:t>
            </w:r>
          </w:p>
        </w:tc>
        <w:tc>
          <w:tcPr>
            <w:tcW w:w="2551" w:type="dxa"/>
            <w:vAlign w:val="center"/>
          </w:tcPr>
          <w:p>
            <w:pPr>
              <w:pStyle w:val="13"/>
            </w:pPr>
            <w:r>
              <w:t>12000.00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30000.00</w:t>
            </w:r>
          </w:p>
        </w:tc>
        <w:tc>
          <w:tcPr>
            <w:tcW w:w="2551" w:type="dxa"/>
            <w:vAlign w:val="center"/>
          </w:tcPr>
          <w:p>
            <w:pPr>
              <w:pStyle w:val="13"/>
            </w:pPr>
            <w:r>
              <w:t>30000.00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52000.00</w:t>
            </w:r>
          </w:p>
        </w:tc>
        <w:tc>
          <w:tcPr>
            <w:tcW w:w="2551" w:type="dxa"/>
            <w:vAlign w:val="center"/>
          </w:tcPr>
          <w:p>
            <w:pPr>
              <w:pStyle w:val="13"/>
            </w:pPr>
            <w:r>
              <w:t>52000.00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24000.00</w:t>
            </w:r>
          </w:p>
        </w:tc>
        <w:tc>
          <w:tcPr>
            <w:tcW w:w="2551" w:type="dxa"/>
            <w:vAlign w:val="center"/>
          </w:tcPr>
          <w:p>
            <w:pPr>
              <w:pStyle w:val="13"/>
            </w:pPr>
            <w:r>
              <w:t>24000.00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11900.00</w:t>
            </w:r>
          </w:p>
        </w:tc>
        <w:tc>
          <w:tcPr>
            <w:tcW w:w="2551" w:type="dxa"/>
            <w:vAlign w:val="center"/>
          </w:tcPr>
          <w:p>
            <w:pPr>
              <w:pStyle w:val="13"/>
            </w:pPr>
            <w:r>
              <w:t>11900.00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10000.00</w:t>
            </w:r>
          </w:p>
        </w:tc>
        <w:tc>
          <w:tcPr>
            <w:tcW w:w="2551" w:type="dxa"/>
            <w:vAlign w:val="center"/>
          </w:tcPr>
          <w:p>
            <w:pPr>
              <w:pStyle w:val="13"/>
            </w:pPr>
            <w:r>
              <w:t>10000.00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1200.00</w:t>
            </w:r>
          </w:p>
        </w:tc>
        <w:tc>
          <w:tcPr>
            <w:tcW w:w="2551" w:type="dxa"/>
            <w:vAlign w:val="center"/>
          </w:tcPr>
          <w:p>
            <w:pPr>
              <w:pStyle w:val="13"/>
            </w:pPr>
            <w:r>
              <w:t>1200.00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馆陶县政法委员会机关（事业）2022年单位预算信息公开情况说明</w:t>
      </w:r>
    </w:p>
    <w:p>
      <w:pPr>
        <w:spacing w:line="500" w:lineRule="exact"/>
        <w:ind w:firstLine="560"/>
      </w:pPr>
      <w:r>
        <w:rPr>
          <w:rFonts w:ascii="Times New Roman" w:hAnsi="Times New Roman" w:eastAsia="方正仿宋_GBK" w:cs="Times New Roman"/>
          <w:color w:val="000000"/>
          <w:sz w:val="28"/>
        </w:rPr>
        <w:t>按照《</w:t>
      </w:r>
      <w:r>
        <w:rPr>
          <w:rFonts w:hint="eastAsia" w:eastAsia="方正仿宋_GBK"/>
          <w:color w:val="000000"/>
          <w:sz w:val="28"/>
          <w:lang w:eastAsia="zh-CN"/>
        </w:rPr>
        <w:t>中华人民共和国</w:t>
      </w:r>
      <w:r>
        <w:rPr>
          <w:rFonts w:eastAsia="方正仿宋_GBK"/>
          <w:color w:val="000000"/>
          <w:sz w:val="28"/>
        </w:rPr>
        <w:t>预算法</w:t>
      </w:r>
      <w:r>
        <w:rPr>
          <w:rFonts w:ascii="Times New Roman" w:hAnsi="Times New Roman" w:eastAsia="方正仿宋_GBK" w:cs="Times New Roman"/>
          <w:color w:val="000000"/>
          <w:sz w:val="28"/>
        </w:rPr>
        <w:t>》、《地方预决算公开操作规程》和《关于进一步推进预算公开工作的实施意见》规定，现将馆陶县政法委员会机关（事业）2022年单位预算公开如下：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27"/>
      </w:pPr>
      <w:r>
        <w:rPr>
          <w:rFonts w:ascii="方正楷体_GBK" w:hAnsi="方正楷体_GBK" w:eastAsia="方正楷体_GBK" w:cs="方正楷体_GBK"/>
          <w:b/>
          <w:color w:val="000000"/>
          <w:sz w:val="32"/>
        </w:rPr>
        <w:t>单位职责：</w:t>
      </w:r>
      <w:r>
        <w:t>1.根据党中央的路线、方针、政策和县委的部署，统一全县政法各部门的思想和行动。2.研究制定全县政法工作、维护稳定工作和社会治安综合治理工作的具体政策措施，及时向县委提出决策建议；对一定时期内的政法工作、维护稳定工作和社会治安综合治理工作作出全局性部署，并督促贯彻落实。3.研究制定加强全县政法队伍建设和领导班子建设的意见及措施，按照县委规定的干部管理权限，协助党委及其组织部门管理政法部门的领导班子和干部队伍。4.大力支持和严格监督政法各部门依法行使职权；指导和协调政法各部门各负其责、密切配合；督促、推动大案要案的查处工作；研究协调有争议的重大、疑难案件。5.监督、检查政法部门执行法律法规和党的方针政策的情况，结合实际研究推动严肃执法、落实党的方针政策的意见和措施。6.组织、协调和指导全县维护社会稳定工作。7.组织、协调、指导制止非法宗教活动工作。8.组织、协调、指导、检查全县社会治安综合治理工作，推动各项措施的落实。9.组织推动政法工作重大政策法律问题的调查研究，指导政法工作改革。10.办理县委及上级有关部门交办的其他事项。</w:t>
      </w:r>
    </w:p>
    <w:p>
      <w:pPr>
        <w:ind w:firstLine="640"/>
      </w:pP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馆陶县政法委员会机关（事业）</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hint="eastAsia"/>
        </w:rPr>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val="en-US" w:eastAsia="zh-CN"/>
        </w:rPr>
        <w:t>单位</w:t>
      </w:r>
      <w:r>
        <w:rPr>
          <w:rFonts w:eastAsia="方正仿宋_GBK" w:cs="Times New Roman"/>
          <w:color w:val="000000"/>
          <w:sz w:val="28"/>
        </w:rPr>
        <w:t>预算的编制实行综合预算管理，即全部收入和支出都反映在预算中。</w:t>
      </w:r>
    </w:p>
    <w:p>
      <w:pPr>
        <w:pStyle w:val="20"/>
      </w:pPr>
      <w:r>
        <w:t>1、收入说明</w:t>
      </w:r>
    </w:p>
    <w:p>
      <w:pPr>
        <w:pStyle w:val="20"/>
      </w:pPr>
      <w:r>
        <w:t>反映本</w:t>
      </w:r>
      <w:r>
        <w:rPr>
          <w:rFonts w:hint="eastAsia"/>
          <w:lang w:eastAsia="zh-CN"/>
        </w:rPr>
        <w:t>单位</w:t>
      </w:r>
      <w:r>
        <w:t>当年全部收入。2022年预算收入</w:t>
      </w:r>
      <w:r>
        <w:rPr>
          <w:rFonts w:hint="eastAsia"/>
          <w:lang w:eastAsia="zh-CN"/>
        </w:rPr>
        <w:t>26.81</w:t>
      </w:r>
      <w:r>
        <w:t>万元，其中：一般公共预算收入</w:t>
      </w:r>
      <w:r>
        <w:rPr>
          <w:rFonts w:hint="eastAsia"/>
          <w:lang w:eastAsia="zh-CN"/>
        </w:rPr>
        <w:t>26.81</w:t>
      </w:r>
      <w:r>
        <w:t>万元，基金预算收入</w:t>
      </w:r>
      <w:r>
        <w:rPr>
          <w:rFonts w:hint="eastAsia"/>
          <w:lang w:eastAsia="zh-CN"/>
        </w:rPr>
        <w:t>0</w:t>
      </w:r>
      <w:r>
        <w:t>万元，国有资本经营预算收入</w:t>
      </w:r>
      <w:r>
        <w:rPr>
          <w:rFonts w:hint="eastAsia"/>
          <w:lang w:eastAsia="zh-CN"/>
        </w:rPr>
        <w:t>0</w:t>
      </w:r>
      <w:r>
        <w:t>万元，财政专户核拨收入</w:t>
      </w:r>
      <w:r>
        <w:rPr>
          <w:rFonts w:hint="eastAsia"/>
          <w:lang w:eastAsia="zh-CN"/>
        </w:rPr>
        <w:t>0</w:t>
      </w:r>
      <w:r>
        <w:t>万元，单位资金收入</w:t>
      </w:r>
      <w:r>
        <w:rPr>
          <w:rFonts w:hint="eastAsia"/>
          <w:lang w:eastAsia="zh-CN"/>
        </w:rPr>
        <w:t>0</w:t>
      </w:r>
      <w:r>
        <w:t>万元，上年结转结余</w:t>
      </w:r>
      <w:r>
        <w:rPr>
          <w:rFonts w:hint="eastAsia"/>
          <w:lang w:eastAsia="zh-CN"/>
        </w:rPr>
        <w:t>0</w:t>
      </w:r>
      <w:r>
        <w:t>万元。</w:t>
      </w:r>
    </w:p>
    <w:p>
      <w:pPr>
        <w:pStyle w:val="20"/>
      </w:pPr>
      <w:r>
        <w:t>2、支出说明</w:t>
      </w:r>
    </w:p>
    <w:p>
      <w:pPr>
        <w:pStyle w:val="20"/>
        <w:rPr>
          <w:lang w:eastAsia="zh-CN"/>
        </w:rPr>
      </w:pPr>
      <w:r>
        <w:t>收支预算总表支出栏、基本支出表、项目支出表按经济分类和支出功能分类科目编制，反映</w:t>
      </w:r>
      <w:r>
        <w:rPr>
          <w:rFonts w:hint="eastAsia"/>
          <w:lang w:eastAsia="zh-CN"/>
        </w:rPr>
        <w:t>2022</w:t>
      </w:r>
      <w:r>
        <w:t>年度</w:t>
      </w:r>
      <w:r>
        <w:rPr>
          <w:rFonts w:hint="eastAsia"/>
          <w:lang w:val="en-US" w:eastAsia="zh-CN"/>
        </w:rPr>
        <w:t>单位</w:t>
      </w:r>
      <w:r>
        <w:t>预算中支出预算的总体情况。2022年支出预算</w:t>
      </w:r>
      <w:r>
        <w:rPr>
          <w:rFonts w:hint="eastAsia"/>
          <w:lang w:eastAsia="zh-CN"/>
        </w:rPr>
        <w:t>26.81</w:t>
      </w:r>
      <w:r>
        <w:t>万元，其中基本支</w:t>
      </w:r>
      <w:r>
        <w:rPr>
          <w:rFonts w:hint="eastAsia"/>
          <w:lang w:eastAsia="zh-CN"/>
        </w:rPr>
        <w:t>出26.81</w:t>
      </w:r>
      <w:r>
        <w:t>万元，包括人员经费</w:t>
      </w:r>
      <w:r>
        <w:rPr>
          <w:rFonts w:hint="eastAsia"/>
          <w:lang w:eastAsia="zh-CN"/>
        </w:rPr>
        <w:t>26.81</w:t>
      </w:r>
      <w:r>
        <w:t>万元</w:t>
      </w:r>
      <w:r>
        <w:rPr>
          <w:rFonts w:hint="eastAsia"/>
          <w:lang w:eastAsia="zh-CN"/>
        </w:rPr>
        <w:t>。</w:t>
      </w:r>
    </w:p>
    <w:p>
      <w:pPr>
        <w:pStyle w:val="20"/>
      </w:pPr>
      <w:r>
        <w:t>3、比上年增减情况</w:t>
      </w:r>
    </w:p>
    <w:p>
      <w:pPr>
        <w:pStyle w:val="20"/>
        <w:rPr>
          <w:lang w:eastAsia="zh-CN"/>
        </w:rPr>
      </w:pPr>
      <w:r>
        <w:t>2022年预算收支安排</w:t>
      </w:r>
      <w:r>
        <w:rPr>
          <w:rFonts w:hint="eastAsia"/>
          <w:lang w:eastAsia="zh-CN"/>
        </w:rPr>
        <w:t>26.81</w:t>
      </w:r>
      <w:r>
        <w:t>万元，较2021年预算</w:t>
      </w:r>
      <w:r>
        <w:rPr>
          <w:rFonts w:hint="eastAsia"/>
          <w:lang w:eastAsia="zh-CN"/>
        </w:rPr>
        <w:t>持平。</w:t>
      </w:r>
    </w:p>
    <w:p>
      <w:pPr>
        <w:spacing w:before="10" w:after="10"/>
        <w:ind w:firstLine="640"/>
        <w:outlineLvl w:val="5"/>
      </w:pPr>
      <w:r>
        <w:rPr>
          <w:rFonts w:ascii="黑体" w:hAnsi="黑体" w:eastAsia="黑体" w:cs="黑体"/>
          <w:color w:val="000000"/>
          <w:sz w:val="32"/>
        </w:rPr>
        <w:t>三、机关运行经费安排情况</w:t>
      </w:r>
    </w:p>
    <w:p>
      <w:pPr>
        <w:pStyle w:val="21"/>
      </w:pPr>
      <w:r>
        <w:t>2022年，我</w:t>
      </w:r>
      <w:r>
        <w:rPr>
          <w:rFonts w:hint="eastAsia"/>
          <w:lang w:val="en-US" w:eastAsia="zh-CN"/>
        </w:rPr>
        <w:t>单位</w:t>
      </w:r>
      <w:r>
        <w:t>运行经费共计安排</w:t>
      </w:r>
      <w:r>
        <w:rPr>
          <w:rFonts w:hint="eastAsia"/>
          <w:lang w:eastAsia="zh-CN"/>
        </w:rPr>
        <w:t>0</w:t>
      </w:r>
      <w:r>
        <w:t>万元，</w:t>
      </w:r>
      <w:r>
        <w:rPr>
          <w:rFonts w:hint="eastAsia"/>
          <w:lang w:val="en-US" w:eastAsia="zh-CN"/>
        </w:rPr>
        <w:t>包含在</w:t>
      </w:r>
      <w:r>
        <w:rPr>
          <w:rFonts w:hint="eastAsia"/>
          <w:lang w:eastAsia="zh-CN"/>
        </w:rPr>
        <w:t>政法委</w:t>
      </w:r>
      <w:r>
        <w:rPr>
          <w:rFonts w:hint="eastAsia"/>
          <w:lang w:val="en-US" w:eastAsia="zh-CN"/>
        </w:rPr>
        <w:t>本级中</w:t>
      </w:r>
      <w:r>
        <w:t>。</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2022年，我</w:t>
      </w:r>
      <w:r>
        <w:rPr>
          <w:rFonts w:hint="eastAsia"/>
          <w:lang w:val="en-US" w:eastAsia="zh-CN"/>
        </w:rPr>
        <w:t>单位</w:t>
      </w:r>
      <w:r>
        <w:t>财政拨款“三公”经费预算安排</w:t>
      </w:r>
      <w:r>
        <w:rPr>
          <w:rFonts w:hint="eastAsia"/>
          <w:lang w:eastAsia="zh-CN"/>
        </w:rPr>
        <w:t>0</w:t>
      </w:r>
      <w:r>
        <w:t>万元，其中因公出国（境）费</w:t>
      </w:r>
      <w:r>
        <w:rPr>
          <w:rFonts w:hint="eastAsia"/>
          <w:lang w:eastAsia="zh-CN"/>
        </w:rPr>
        <w:t>0</w:t>
      </w:r>
      <w:r>
        <w:t>万元；公务用车购置及运维费</w:t>
      </w:r>
      <w:r>
        <w:rPr>
          <w:rFonts w:hint="eastAsia"/>
          <w:lang w:eastAsia="zh-CN"/>
        </w:rPr>
        <w:t>0</w:t>
      </w:r>
      <w:r>
        <w:t>万元（其中：公务用车购置费为</w:t>
      </w:r>
      <w:r>
        <w:rPr>
          <w:rFonts w:hint="eastAsia"/>
          <w:lang w:eastAsia="zh-CN"/>
        </w:rPr>
        <w:t>0</w:t>
      </w:r>
      <w:r>
        <w:t>万元，公务用车运维费</w:t>
      </w:r>
      <w:r>
        <w:rPr>
          <w:rFonts w:hint="eastAsia"/>
          <w:lang w:eastAsia="zh-CN"/>
        </w:rPr>
        <w:t>0</w:t>
      </w:r>
      <w:r>
        <w:t>万元)；公务接待费</w:t>
      </w:r>
      <w:r>
        <w:rPr>
          <w:rFonts w:hint="eastAsia"/>
          <w:lang w:eastAsia="zh-CN"/>
        </w:rPr>
        <w:t>0.22</w:t>
      </w:r>
      <w:r>
        <w:t>万元。与2021年</w:t>
      </w:r>
      <w:r>
        <w:rPr>
          <w:rFonts w:hint="eastAsia"/>
          <w:lang w:eastAsia="zh-CN"/>
        </w:rPr>
        <w:t>持平</w:t>
      </w:r>
      <w:r>
        <w:t>。</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政</w:t>
      </w:r>
      <w:r>
        <w:rPr>
          <w:rFonts w:ascii="黑体" w:hAnsi="黑体" w:eastAsia="黑体" w:cs="黑体"/>
          <w:color w:val="000000"/>
          <w:sz w:val="32"/>
        </w:rPr>
        <w:t>府采购预算情况</w:t>
      </w:r>
    </w:p>
    <w:p>
      <w:pPr>
        <w:spacing w:before="10" w:after="10"/>
        <w:outlineLvl w:val="5"/>
        <w:rPr>
          <w:rFonts w:ascii="黑体" w:hAnsi="黑体" w:eastAsia="黑体" w:cs="黑体"/>
          <w:color w:val="000000"/>
          <w:sz w:val="32"/>
        </w:rPr>
      </w:pPr>
    </w:p>
    <w:p>
      <w:pPr>
        <w:spacing w:line="500" w:lineRule="exact"/>
        <w:ind w:firstLine="560"/>
      </w:pPr>
      <w:r>
        <w:rPr>
          <w:rFonts w:ascii="Times New Roman" w:hAnsi="Times New Roman" w:eastAsia="方正仿宋_GBK" w:cs="Times New Roman"/>
          <w:color w:val="000000"/>
          <w:sz w:val="28"/>
        </w:rPr>
        <w:t>2022年，馆陶县政法委员会机关（事业）安排政府采购预算0.00万元。具体内容见下表。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ascii="Times New Roman" w:hAnsi="Times New Roman"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ascii="Times New Roman" w:hAnsi="Times New Roman" w:eastAsia="方正仿宋_GBK" w:cs="Times New Roman"/>
          <w:color w:val="000000"/>
          <w:sz w:val="28"/>
        </w:rPr>
        <w:t>馆陶县政法委员会机关（事业）上年末固定资产金额为0.00万元（详见下表）。本年度拟购置固定资产总额为0.00万元，已按要求列入政府采购预算，详见政府采购预算表。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ascii="Times New Roman" w:hAnsi="Times New Roman"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ascii="Times New Roman" w:hAnsi="Times New Roman" w:eastAsia="方正仿宋_GBK" w:cs="Times New Roman"/>
          <w:color w:val="000000"/>
          <w:sz w:val="28"/>
        </w:rPr>
        <w:t>我单位无其他需要说明的事项。</w:t>
      </w: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仿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226960"/>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22A343"/>
    <w:multiLevelType w:val="singleLevel"/>
    <w:tmpl w:val="3D22A34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D31D50"/>
    <w:rsid w:val="000B59DC"/>
    <w:rsid w:val="001F335D"/>
    <w:rsid w:val="002203BE"/>
    <w:rsid w:val="00223059"/>
    <w:rsid w:val="00226827"/>
    <w:rsid w:val="0024453F"/>
    <w:rsid w:val="00275A95"/>
    <w:rsid w:val="002E7014"/>
    <w:rsid w:val="00313B66"/>
    <w:rsid w:val="00323B43"/>
    <w:rsid w:val="003D37D8"/>
    <w:rsid w:val="00426133"/>
    <w:rsid w:val="004358AB"/>
    <w:rsid w:val="00470DAF"/>
    <w:rsid w:val="007F184D"/>
    <w:rsid w:val="00872374"/>
    <w:rsid w:val="008B7726"/>
    <w:rsid w:val="0095635B"/>
    <w:rsid w:val="00CC27F8"/>
    <w:rsid w:val="00D31D50"/>
    <w:rsid w:val="00FE7867"/>
    <w:rsid w:val="00FF423B"/>
    <w:rsid w:val="07A30BF5"/>
    <w:rsid w:val="0BA2544D"/>
    <w:rsid w:val="0EB3692B"/>
    <w:rsid w:val="11A4370B"/>
    <w:rsid w:val="165744D5"/>
    <w:rsid w:val="16CB112A"/>
    <w:rsid w:val="1D7015B8"/>
    <w:rsid w:val="247449F0"/>
    <w:rsid w:val="2BFB1A90"/>
    <w:rsid w:val="37A30EC6"/>
    <w:rsid w:val="3C4D2B36"/>
    <w:rsid w:val="48B43494"/>
    <w:rsid w:val="49E4271F"/>
    <w:rsid w:val="4A9F7FB5"/>
    <w:rsid w:val="4C1211A5"/>
    <w:rsid w:val="50D81864"/>
    <w:rsid w:val="51144A7E"/>
    <w:rsid w:val="55E44912"/>
    <w:rsid w:val="56072CA9"/>
    <w:rsid w:val="57E91C68"/>
    <w:rsid w:val="5C5B0D7D"/>
    <w:rsid w:val="62574776"/>
    <w:rsid w:val="67904D33"/>
    <w:rsid w:val="68631EFC"/>
    <w:rsid w:val="6B28651E"/>
    <w:rsid w:val="70366C2C"/>
    <w:rsid w:val="719E0290"/>
    <w:rsid w:val="71C0091A"/>
    <w:rsid w:val="7A0F3900"/>
    <w:rsid w:val="7A295207"/>
    <w:rsid w:val="7F6F3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0"/>
    <w:rPr>
      <w:rFonts w:ascii="Times New Roman" w:hAnsi="Times New Roman" w:cs="Times New Roman"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字符"/>
    <w:basedOn w:val="6"/>
    <w:link w:val="3"/>
    <w:semiHidden/>
    <w:qFormat/>
    <w:uiPriority w:val="99"/>
    <w:rPr>
      <w:rFonts w:ascii="Tahoma" w:hAnsi="Tahoma"/>
      <w:sz w:val="18"/>
      <w:szCs w:val="18"/>
    </w:rPr>
  </w:style>
  <w:style w:type="character" w:customStyle="1" w:styleId="8">
    <w:name w:val="页脚 字符"/>
    <w:basedOn w:val="6"/>
    <w:link w:val="2"/>
    <w:qFormat/>
    <w:uiPriority w:val="99"/>
    <w:rPr>
      <w:rFonts w:ascii="Tahoma" w:hAnsi="Tahoma"/>
      <w:sz w:val="18"/>
      <w:szCs w:val="18"/>
    </w:rPr>
  </w:style>
  <w:style w:type="paragraph" w:customStyle="1" w:styleId="9">
    <w:name w:val="单元格样式22"/>
    <w:basedOn w:val="1"/>
    <w:qFormat/>
    <w:uiPriority w:val="0"/>
    <w:pPr>
      <w:adjustRightInd/>
      <w:snapToGrid/>
      <w:spacing w:after="0"/>
      <w:jc w:val="right"/>
    </w:pPr>
    <w:rPr>
      <w:rFonts w:ascii="方正小标宋_GBK" w:hAnsi="方正小标宋_GBK" w:eastAsia="方正小标宋_GBK" w:cs="方正小标宋_GBK"/>
      <w:sz w:val="24"/>
      <w:szCs w:val="24"/>
      <w:lang w:eastAsia="uk-UA"/>
    </w:rPr>
  </w:style>
  <w:style w:type="paragraph" w:customStyle="1" w:styleId="10">
    <w:name w:val="单元格样式21"/>
    <w:basedOn w:val="1"/>
    <w:qFormat/>
    <w:uiPriority w:val="0"/>
    <w:pPr>
      <w:adjustRightInd/>
      <w:snapToGrid/>
      <w:spacing w:after="0"/>
      <w:jc w:val="center"/>
    </w:pPr>
    <w:rPr>
      <w:rFonts w:ascii="方正小标宋_GBK" w:hAnsi="方正小标宋_GBK" w:eastAsia="方正小标宋_GBK" w:cs="方正小标宋_GBK"/>
      <w:sz w:val="24"/>
      <w:szCs w:val="24"/>
      <w:lang w:eastAsia="uk-UA"/>
    </w:rPr>
  </w:style>
  <w:style w:type="paragraph" w:customStyle="1" w:styleId="11">
    <w:name w:val="单元格样式20"/>
    <w:basedOn w:val="1"/>
    <w:qFormat/>
    <w:uiPriority w:val="0"/>
    <w:pPr>
      <w:adjustRightInd/>
      <w:snapToGrid/>
      <w:spacing w:after="0"/>
    </w:pPr>
    <w:rPr>
      <w:rFonts w:ascii="方正小标宋_GBK" w:hAnsi="方正小标宋_GBK" w:eastAsia="方正小标宋_GBK" w:cs="方正小标宋_GBK"/>
      <w:sz w:val="24"/>
      <w:szCs w:val="24"/>
      <w:lang w:eastAsia="uk-UA"/>
    </w:rPr>
  </w:style>
  <w:style w:type="paragraph" w:customStyle="1" w:styleId="12">
    <w:name w:val="单元格样式1"/>
    <w:basedOn w:val="1"/>
    <w:qFormat/>
    <w:uiPriority w:val="0"/>
    <w:pPr>
      <w:adjustRightInd/>
      <w:snapToGrid/>
      <w:spacing w:after="0"/>
      <w:jc w:val="center"/>
    </w:pPr>
    <w:rPr>
      <w:rFonts w:ascii="方正书宋_GBK" w:hAnsi="方正书宋_GBK" w:eastAsia="方正书宋_GBK" w:cs="方正书宋_GBK"/>
      <w:b/>
      <w:sz w:val="21"/>
      <w:szCs w:val="24"/>
      <w:lang w:eastAsia="uk-UA"/>
    </w:rPr>
  </w:style>
  <w:style w:type="paragraph" w:customStyle="1" w:styleId="13">
    <w:name w:val="单元格样式4"/>
    <w:basedOn w:val="1"/>
    <w:qFormat/>
    <w:uiPriority w:val="0"/>
    <w:pPr>
      <w:adjustRightInd/>
      <w:snapToGrid/>
      <w:spacing w:after="0"/>
      <w:jc w:val="right"/>
    </w:pPr>
    <w:rPr>
      <w:rFonts w:ascii="方正书宋_GBK" w:hAnsi="方正书宋_GBK" w:eastAsia="方正书宋_GBK" w:cs="方正书宋_GBK"/>
      <w:sz w:val="21"/>
      <w:szCs w:val="24"/>
      <w:lang w:eastAsia="uk-UA"/>
    </w:rPr>
  </w:style>
  <w:style w:type="paragraph" w:customStyle="1" w:styleId="14">
    <w:name w:val="单元格样式2"/>
    <w:basedOn w:val="1"/>
    <w:qFormat/>
    <w:uiPriority w:val="0"/>
    <w:pPr>
      <w:adjustRightInd/>
      <w:snapToGrid/>
      <w:spacing w:after="0"/>
    </w:pPr>
    <w:rPr>
      <w:rFonts w:ascii="方正书宋_GBK" w:hAnsi="方正书宋_GBK" w:eastAsia="方正书宋_GBK" w:cs="方正书宋_GBK"/>
      <w:sz w:val="21"/>
      <w:szCs w:val="24"/>
      <w:lang w:eastAsia="uk-UA"/>
    </w:rPr>
  </w:style>
  <w:style w:type="paragraph" w:customStyle="1" w:styleId="15">
    <w:name w:val="单元格样式3"/>
    <w:basedOn w:val="1"/>
    <w:qFormat/>
    <w:uiPriority w:val="0"/>
    <w:pPr>
      <w:adjustRightInd/>
      <w:snapToGrid/>
      <w:spacing w:after="0"/>
      <w:jc w:val="center"/>
    </w:pPr>
    <w:rPr>
      <w:rFonts w:ascii="方正书宋_GBK" w:hAnsi="方正书宋_GBK" w:eastAsia="方正书宋_GBK" w:cs="方正书宋_GBK"/>
      <w:sz w:val="21"/>
      <w:szCs w:val="24"/>
      <w:lang w:eastAsia="uk-UA"/>
    </w:rPr>
  </w:style>
  <w:style w:type="paragraph" w:customStyle="1" w:styleId="16">
    <w:name w:val="单元格样式6"/>
    <w:basedOn w:val="1"/>
    <w:qFormat/>
    <w:uiPriority w:val="0"/>
    <w:pPr>
      <w:adjustRightInd/>
      <w:snapToGrid/>
      <w:spacing w:after="0"/>
      <w:jc w:val="center"/>
    </w:pPr>
    <w:rPr>
      <w:rFonts w:ascii="方正书宋_GBK" w:hAnsi="方正书宋_GBK" w:eastAsia="方正书宋_GBK" w:cs="方正书宋_GBK"/>
      <w:b/>
      <w:sz w:val="21"/>
      <w:szCs w:val="24"/>
      <w:lang w:eastAsia="uk-UA"/>
    </w:rPr>
  </w:style>
  <w:style w:type="paragraph" w:customStyle="1" w:styleId="17">
    <w:name w:val="单元格样式7"/>
    <w:basedOn w:val="1"/>
    <w:qFormat/>
    <w:uiPriority w:val="0"/>
    <w:pPr>
      <w:adjustRightInd/>
      <w:snapToGrid/>
      <w:spacing w:after="0"/>
      <w:jc w:val="right"/>
    </w:pPr>
    <w:rPr>
      <w:rFonts w:ascii="方正书宋_GBK" w:hAnsi="方正书宋_GBK" w:eastAsia="方正书宋_GBK" w:cs="方正书宋_GBK"/>
      <w:b/>
      <w:sz w:val="21"/>
      <w:szCs w:val="24"/>
      <w:lang w:eastAsia="uk-UA"/>
    </w:rPr>
  </w:style>
  <w:style w:type="paragraph" w:customStyle="1" w:styleId="18">
    <w:name w:val="单元格样式5"/>
    <w:basedOn w:val="1"/>
    <w:qFormat/>
    <w:uiPriority w:val="0"/>
    <w:pPr>
      <w:adjustRightInd/>
      <w:snapToGrid/>
      <w:spacing w:after="0"/>
    </w:pPr>
    <w:rPr>
      <w:rFonts w:ascii="方正书宋_GBK" w:hAnsi="方正书宋_GBK" w:eastAsia="方正书宋_GBK" w:cs="方正书宋_GBK"/>
      <w:b/>
      <w:sz w:val="21"/>
      <w:szCs w:val="24"/>
      <w:lang w:eastAsia="uk-UA"/>
    </w:rPr>
  </w:style>
  <w:style w:type="paragraph" w:customStyle="1" w:styleId="19">
    <w:name w:val="插入文本样式-插入部门职责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0">
    <w:name w:val="插入文本样式-插入预算公开部门预算安排的总体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1">
    <w:name w:val="插入文本样式-插入预算公开部门机关运行经费安排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2">
    <w:name w:val="插入文本样式-插入预算公开部门财政拨款三公经费预算情况及增减变化原因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3">
    <w:name w:val="插入文本样式-插入总体目标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4">
    <w:name w:val="插入文本样式-插入职责分类绩效目标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5">
    <w:name w:val="插入文本样式-插入实现年度发展规划目标的保障措施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6">
    <w:name w:val="单元格样式23"/>
    <w:basedOn w:val="1"/>
    <w:qFormat/>
    <w:uiPriority w:val="0"/>
    <w:pPr>
      <w:adjustRightInd/>
      <w:snapToGrid/>
      <w:spacing w:after="0"/>
      <w:jc w:val="right"/>
    </w:pPr>
    <w:rPr>
      <w:rFonts w:ascii="方正书宋_GBK" w:hAnsi="方正书宋_GBK" w:eastAsia="方正书宋_GBK" w:cs="方正书宋_GBK"/>
      <w:sz w:val="24"/>
      <w:szCs w:val="24"/>
      <w:lang w:eastAsia="uk-UA"/>
    </w:rPr>
  </w:style>
  <w:style w:type="paragraph" w:customStyle="1" w:styleId="27">
    <w:name w:val="插入文本样式-插入单位职责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8">
    <w:name w:val="插入文本样式-插入预算公开单位预算安排的总体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9">
    <w:name w:val="插入文本样式-插入预算公开单位机关运行经费安排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30">
    <w:name w:val="插入文本样式-插入预算公开单位财政拨款三公经费预算情况及增减变化原因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31">
    <w:name w:val="TOC 21"/>
    <w:basedOn w:val="1"/>
    <w:qFormat/>
    <w:uiPriority w:val="0"/>
    <w:pPr>
      <w:adjustRightInd/>
      <w:snapToGrid/>
      <w:spacing w:after="0"/>
      <w:ind w:left="240"/>
    </w:pPr>
    <w:rPr>
      <w:rFonts w:ascii="Times New Roman" w:hAnsi="Times New Roman" w:eastAsia="Times New Roman" w:cs="Times New Roman"/>
      <w:sz w:val="24"/>
      <w:szCs w:val="24"/>
      <w:lang w:eastAsia="uk-UA"/>
    </w:rPr>
  </w:style>
  <w:style w:type="paragraph" w:customStyle="1" w:styleId="32">
    <w:name w:val="TOC 31"/>
    <w:basedOn w:val="1"/>
    <w:qFormat/>
    <w:uiPriority w:val="0"/>
    <w:pPr>
      <w:adjustRightInd/>
      <w:snapToGrid/>
      <w:spacing w:after="0"/>
      <w:ind w:left="480"/>
    </w:pPr>
    <w:rPr>
      <w:rFonts w:ascii="Times New Roman" w:hAnsi="Times New Roman" w:eastAsia="Times New Roman" w:cs="Times New Roman"/>
      <w:sz w:val="24"/>
      <w:szCs w:val="24"/>
      <w:lang w:eastAsia="uk-UA"/>
    </w:rPr>
  </w:style>
  <w:style w:type="paragraph" w:customStyle="1" w:styleId="33">
    <w:name w:val="TOC 41"/>
    <w:basedOn w:val="1"/>
    <w:qFormat/>
    <w:uiPriority w:val="0"/>
    <w:pPr>
      <w:adjustRightInd/>
      <w:snapToGrid/>
      <w:spacing w:after="0"/>
      <w:ind w:left="720"/>
    </w:pPr>
    <w:rPr>
      <w:rFonts w:ascii="Times New Roman" w:hAnsi="Times New Roman" w:eastAsia="Times New Roman" w:cs="Times New Roman"/>
      <w:sz w:val="24"/>
      <w:szCs w:val="24"/>
      <w:lang w:eastAsia="uk-UA"/>
    </w:rPr>
  </w:style>
  <w:style w:type="paragraph" w:customStyle="1" w:styleId="34">
    <w:name w:val="TOC 11"/>
    <w:basedOn w:val="1"/>
    <w:qFormat/>
    <w:uiPriority w:val="0"/>
    <w:pPr>
      <w:adjustRightInd/>
      <w:snapToGrid/>
      <w:spacing w:before="120" w:after="0"/>
      <w:ind w:firstLine="560"/>
    </w:pPr>
    <w:rPr>
      <w:rFonts w:ascii="Times New Roman" w:hAnsi="Times New Roman" w:eastAsia="方正仿宋_GBK" w:cs="Times New Roman"/>
      <w:color w:val="000000"/>
      <w:sz w:val="28"/>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10646</Words>
  <Characters>14289</Characters>
  <Lines>126</Lines>
  <Paragraphs>35</Paragraphs>
  <TotalTime>0</TotalTime>
  <ScaleCrop>false</ScaleCrop>
  <LinksUpToDate>false</LinksUpToDate>
  <CharactersWithSpaces>14534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1</dc:creator>
  <cp:lastModifiedBy>Sally</cp:lastModifiedBy>
  <dcterms:modified xsi:type="dcterms:W3CDTF">2024-05-28T02:26:12Z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C6A2C20444154911AABA3837F91C18AE_13</vt:lpwstr>
  </property>
</Properties>
</file>