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馆陶县委宣传部</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预算法》、《地方预决算公开操作规程》和《河北省省级预算公开办法》规定，现将馆陶县委宣传</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firstLineChars="200"/>
        <w:rPr>
          <w:rFonts w:ascii="黑体" w:hAnsi="黑体" w:eastAsia="黑体" w:cs="黑体"/>
          <w:sz w:val="32"/>
          <w:szCs w:val="32"/>
        </w:rPr>
      </w:pPr>
      <w:r>
        <w:rPr>
          <w:rFonts w:hint="eastAsia" w:ascii="黑体" w:hAnsi="黑体" w:eastAsia="黑体" w:cs="黑体"/>
          <w:sz w:val="32"/>
          <w:szCs w:val="32"/>
        </w:rPr>
        <w:t>一、部门职责及机构设置情况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部门职责：</w:t>
      </w:r>
    </w:p>
    <w:p>
      <w:pPr>
        <w:ind w:firstLine="640" w:firstLineChars="200"/>
        <w:rPr>
          <w:rFonts w:ascii="仿宋" w:hAnsi="仿宋" w:eastAsia="仿宋"/>
          <w:sz w:val="32"/>
          <w:szCs w:val="32"/>
        </w:rPr>
      </w:pPr>
      <w:r>
        <w:rPr>
          <w:rFonts w:hint="eastAsia" w:ascii="仿宋" w:hAnsi="仿宋" w:eastAsia="仿宋"/>
          <w:sz w:val="32"/>
          <w:szCs w:val="32"/>
        </w:rPr>
        <w:t>根据《中共馆陶县委宣传部职能配置内设机构和人员编制规定》中规定，县委宣传部的主要职责是：</w:t>
      </w:r>
    </w:p>
    <w:p>
      <w:pPr>
        <w:ind w:firstLine="640" w:firstLineChars="200"/>
        <w:rPr>
          <w:rFonts w:ascii="仿宋" w:hAnsi="仿宋" w:eastAsia="仿宋"/>
          <w:sz w:val="32"/>
          <w:szCs w:val="32"/>
        </w:rPr>
      </w:pPr>
      <w:r>
        <w:rPr>
          <w:rFonts w:hint="eastAsia" w:ascii="仿宋" w:hAnsi="仿宋" w:eastAsia="仿宋"/>
          <w:sz w:val="32"/>
          <w:szCs w:val="32"/>
        </w:rPr>
        <w:t>（一）负责指导全县理论研究、理论学习、理论宣传工作。负责县委理论学习中心组理论学习的有关工作。</w:t>
      </w:r>
    </w:p>
    <w:p>
      <w:pPr>
        <w:ind w:firstLine="640" w:firstLineChars="200"/>
        <w:rPr>
          <w:rFonts w:ascii="仿宋" w:hAnsi="仿宋" w:eastAsia="仿宋"/>
          <w:sz w:val="32"/>
          <w:szCs w:val="32"/>
        </w:rPr>
      </w:pPr>
      <w:r>
        <w:rPr>
          <w:rFonts w:hint="eastAsia" w:ascii="仿宋" w:hAnsi="仿宋" w:eastAsia="仿宋"/>
          <w:sz w:val="32"/>
          <w:szCs w:val="32"/>
        </w:rPr>
        <w:t>（二）负责引导社会舆论，指导、协调新闻、出版等部门。对广播电视局、新闻出版单位的工作实施方针、政策的指导；代管县新闻工作者协会。</w:t>
      </w:r>
    </w:p>
    <w:p>
      <w:pPr>
        <w:ind w:firstLine="640" w:firstLineChars="200"/>
        <w:rPr>
          <w:rFonts w:ascii="仿宋" w:hAnsi="仿宋" w:eastAsia="仿宋"/>
          <w:sz w:val="32"/>
          <w:szCs w:val="32"/>
        </w:rPr>
      </w:pPr>
      <w:r>
        <w:rPr>
          <w:rFonts w:hint="eastAsia" w:ascii="仿宋" w:hAnsi="仿宋" w:eastAsia="仿宋"/>
          <w:sz w:val="32"/>
          <w:szCs w:val="32"/>
        </w:rPr>
        <w:t>（三）负责从宏观上指导全县精神产品生产和文化市场的管理。对县文联的工作实施方针、政策的指导。</w:t>
      </w:r>
    </w:p>
    <w:p>
      <w:pPr>
        <w:ind w:firstLine="640" w:firstLineChars="200"/>
        <w:rPr>
          <w:rFonts w:ascii="仿宋" w:hAnsi="仿宋" w:eastAsia="仿宋"/>
          <w:sz w:val="32"/>
          <w:szCs w:val="32"/>
        </w:rPr>
      </w:pPr>
      <w:r>
        <w:rPr>
          <w:rFonts w:hint="eastAsia" w:ascii="仿宋" w:hAnsi="仿宋" w:eastAsia="仿宋"/>
          <w:sz w:val="32"/>
          <w:szCs w:val="32"/>
        </w:rPr>
        <w:t>（四）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pPr>
        <w:ind w:firstLine="640" w:firstLineChars="200"/>
        <w:rPr>
          <w:rFonts w:ascii="仿宋" w:hAnsi="仿宋" w:eastAsia="仿宋"/>
          <w:sz w:val="32"/>
          <w:szCs w:val="32"/>
        </w:rPr>
      </w:pPr>
      <w:r>
        <w:rPr>
          <w:rFonts w:hint="eastAsia" w:ascii="仿宋" w:hAnsi="仿宋" w:eastAsia="仿宋"/>
          <w:sz w:val="32"/>
          <w:szCs w:val="32"/>
        </w:rPr>
        <w:t>（五）受县委委托，会同县委组织部管理新闻、文化、出版部门的领导干部，并负责股级干部管理工作；制定培训规划并组织对各乡镇宣传委员、县对口单位主管副职和宣传文化系统领导和业务骨干的培训；联系宣传文化系统的知识分子，配合有关部门做好知识分子工作。</w:t>
      </w:r>
    </w:p>
    <w:p>
      <w:pPr>
        <w:ind w:firstLine="640" w:firstLineChars="200"/>
        <w:rPr>
          <w:rFonts w:ascii="仿宋" w:hAnsi="仿宋" w:eastAsia="仿宋"/>
          <w:sz w:val="32"/>
          <w:szCs w:val="32"/>
        </w:rPr>
      </w:pPr>
      <w:r>
        <w:rPr>
          <w:rFonts w:hint="eastAsia" w:ascii="仿宋" w:hAnsi="仿宋" w:eastAsia="仿宋"/>
          <w:sz w:val="32"/>
          <w:szCs w:val="32"/>
        </w:rPr>
        <w:t>（六）负责提出全县宣传思想文化事业发展的指导方针；指导宣传文化系统制订有关政策、地方性法规；按照县委的工作部署，协调宣传文化系统各部门之间的关系。</w:t>
      </w:r>
    </w:p>
    <w:p>
      <w:pPr>
        <w:ind w:firstLine="640" w:firstLineChars="200"/>
        <w:rPr>
          <w:rFonts w:ascii="仿宋" w:hAnsi="仿宋" w:eastAsia="仿宋"/>
          <w:sz w:val="32"/>
          <w:szCs w:val="32"/>
        </w:rPr>
      </w:pPr>
      <w:r>
        <w:rPr>
          <w:rFonts w:hint="eastAsia" w:ascii="仿宋" w:hAnsi="仿宋" w:eastAsia="仿宋"/>
          <w:sz w:val="32"/>
          <w:szCs w:val="32"/>
        </w:rPr>
        <w:t>（七）研究、提出全县对外宣传事业发展规划，组织协调我县对外宣传和网上新闻宣传工作，完成市外宣局交办的各项工作。</w:t>
      </w:r>
    </w:p>
    <w:p>
      <w:pPr>
        <w:ind w:firstLine="640" w:firstLineChars="200"/>
        <w:rPr>
          <w:rFonts w:ascii="仿宋" w:hAnsi="仿宋" w:eastAsia="仿宋"/>
          <w:sz w:val="32"/>
          <w:szCs w:val="32"/>
        </w:rPr>
      </w:pPr>
      <w:r>
        <w:rPr>
          <w:rFonts w:hint="eastAsia" w:ascii="仿宋" w:hAnsi="仿宋" w:eastAsia="仿宋"/>
          <w:sz w:val="32"/>
          <w:szCs w:val="32"/>
        </w:rPr>
        <w:t>（八）研究拟定有关全县精神文明建设的方针、政策；规划部署全县精神文明建设工作；组织指导全县群众性精神文明创建活动。</w:t>
      </w:r>
    </w:p>
    <w:p>
      <w:pPr>
        <w:ind w:firstLine="640" w:firstLineChars="200"/>
        <w:rPr>
          <w:rFonts w:ascii="仿宋" w:hAnsi="仿宋" w:eastAsia="仿宋"/>
          <w:sz w:val="32"/>
          <w:szCs w:val="32"/>
        </w:rPr>
      </w:pPr>
      <w:r>
        <w:rPr>
          <w:rFonts w:hint="eastAsia" w:ascii="仿宋" w:hAnsi="仿宋" w:eastAsia="仿宋"/>
          <w:sz w:val="32"/>
          <w:szCs w:val="32"/>
        </w:rPr>
        <w:t>（九）按照县委的规定，管理县国防教育领导小组办公室的工作。</w:t>
      </w:r>
    </w:p>
    <w:p>
      <w:pPr>
        <w:ind w:firstLine="640" w:firstLineChars="200"/>
        <w:rPr>
          <w:rFonts w:ascii="仿宋" w:hAnsi="仿宋" w:eastAsia="仿宋"/>
          <w:sz w:val="32"/>
          <w:szCs w:val="32"/>
        </w:rPr>
      </w:pPr>
      <w:r>
        <w:rPr>
          <w:rFonts w:hint="eastAsia" w:ascii="仿宋" w:hAnsi="仿宋" w:eastAsia="仿宋"/>
          <w:sz w:val="32"/>
          <w:szCs w:val="32"/>
        </w:rPr>
        <w:t>（十）完成市委宣传部和县委交办的其他任务。</w:t>
      </w:r>
    </w:p>
    <w:p>
      <w:pPr>
        <w:ind w:firstLine="640" w:firstLineChars="200"/>
        <w:rPr>
          <w:rFonts w:ascii="黑体" w:hAnsi="黑体" w:eastAsia="黑体" w:cs="黑体"/>
          <w:sz w:val="32"/>
          <w:szCs w:val="32"/>
        </w:rPr>
      </w:pPr>
      <w:r>
        <w:rPr>
          <w:rFonts w:hint="eastAsia" w:ascii="黑体" w:hAnsi="黑体" w:eastAsia="黑体" w:cs="黑体"/>
          <w:sz w:val="32"/>
          <w:szCs w:val="32"/>
        </w:rPr>
        <w:t>机构设置:</w:t>
      </w:r>
    </w:p>
    <w:tbl>
      <w:tblPr>
        <w:tblStyle w:val="7"/>
        <w:tblpPr w:leftFromText="180" w:rightFromText="180" w:vertAnchor="text" w:tblpXSpec="center" w:tblpY="1"/>
        <w:tblOverlap w:val="never"/>
        <w:tblW w:w="87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1701"/>
        <w:gridCol w:w="1559"/>
        <w:gridCol w:w="3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410" w:type="dxa"/>
            <w:vMerge w:val="restart"/>
            <w:vAlign w:val="center"/>
          </w:tcPr>
          <w:p>
            <w:pPr>
              <w:spacing w:line="300" w:lineRule="exact"/>
              <w:jc w:val="center"/>
              <w:rPr>
                <w:rFonts w:ascii="仿宋" w:hAnsi="仿宋" w:eastAsia="仿宋"/>
                <w:b/>
                <w:bCs/>
                <w:sz w:val="28"/>
                <w:szCs w:val="28"/>
              </w:rPr>
            </w:pPr>
            <w:r>
              <w:rPr>
                <w:rFonts w:hint="eastAsia" w:ascii="仿宋" w:hAnsi="仿宋" w:eastAsia="仿宋" w:cs="方正书宋_GBK"/>
                <w:b/>
                <w:bCs/>
                <w:sz w:val="28"/>
                <w:szCs w:val="28"/>
              </w:rPr>
              <w:t>单位名称</w:t>
            </w:r>
          </w:p>
        </w:tc>
        <w:tc>
          <w:tcPr>
            <w:tcW w:w="1701" w:type="dxa"/>
            <w:vMerge w:val="restart"/>
            <w:vAlign w:val="center"/>
          </w:tcPr>
          <w:p>
            <w:pPr>
              <w:spacing w:line="300" w:lineRule="exact"/>
              <w:jc w:val="center"/>
              <w:rPr>
                <w:rFonts w:ascii="仿宋" w:hAnsi="仿宋" w:eastAsia="仿宋"/>
                <w:b/>
                <w:bCs/>
                <w:sz w:val="28"/>
                <w:szCs w:val="28"/>
              </w:rPr>
            </w:pPr>
            <w:r>
              <w:rPr>
                <w:rFonts w:hint="eastAsia" w:ascii="仿宋" w:hAnsi="仿宋" w:eastAsia="仿宋" w:cs="方正书宋_GBK"/>
                <w:b/>
                <w:bCs/>
                <w:sz w:val="28"/>
                <w:szCs w:val="28"/>
              </w:rPr>
              <w:t>单位性质</w:t>
            </w:r>
          </w:p>
        </w:tc>
        <w:tc>
          <w:tcPr>
            <w:tcW w:w="1559" w:type="dxa"/>
            <w:vMerge w:val="restart"/>
            <w:vAlign w:val="center"/>
          </w:tcPr>
          <w:p>
            <w:pPr>
              <w:spacing w:line="300" w:lineRule="exact"/>
              <w:jc w:val="center"/>
              <w:rPr>
                <w:rFonts w:ascii="仿宋" w:hAnsi="仿宋" w:eastAsia="仿宋"/>
                <w:b/>
                <w:bCs/>
                <w:sz w:val="28"/>
                <w:szCs w:val="28"/>
              </w:rPr>
            </w:pPr>
            <w:r>
              <w:rPr>
                <w:rFonts w:hint="eastAsia" w:ascii="仿宋" w:hAnsi="仿宋" w:eastAsia="仿宋" w:cs="方正书宋_GBK"/>
                <w:b/>
                <w:bCs/>
                <w:sz w:val="28"/>
                <w:szCs w:val="28"/>
              </w:rPr>
              <w:t>单位规格</w:t>
            </w:r>
          </w:p>
        </w:tc>
        <w:tc>
          <w:tcPr>
            <w:tcW w:w="3085" w:type="dxa"/>
            <w:vMerge w:val="restart"/>
            <w:vAlign w:val="center"/>
          </w:tcPr>
          <w:p>
            <w:pPr>
              <w:spacing w:line="300" w:lineRule="exact"/>
              <w:jc w:val="center"/>
              <w:rPr>
                <w:rFonts w:ascii="仿宋" w:hAnsi="仿宋" w:eastAsia="仿宋"/>
                <w:b/>
                <w:bCs/>
                <w:sz w:val="28"/>
                <w:szCs w:val="28"/>
              </w:rPr>
            </w:pPr>
            <w:r>
              <w:rPr>
                <w:rFonts w:hint="eastAsia" w:ascii="仿宋" w:hAnsi="仿宋" w:eastAsia="仿宋" w:cs="方正书宋_GBK"/>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410" w:type="dxa"/>
            <w:vMerge w:val="continue"/>
            <w:vAlign w:val="center"/>
          </w:tcPr>
          <w:p>
            <w:pPr>
              <w:spacing w:line="300" w:lineRule="exact"/>
              <w:jc w:val="left"/>
              <w:outlineLvl w:val="0"/>
              <w:rPr>
                <w:rFonts w:ascii="仿宋" w:hAnsi="仿宋" w:eastAsia="仿宋" w:cs="Times New Roman"/>
                <w:sz w:val="28"/>
                <w:szCs w:val="28"/>
              </w:rPr>
            </w:pPr>
          </w:p>
        </w:tc>
        <w:tc>
          <w:tcPr>
            <w:tcW w:w="1701" w:type="dxa"/>
            <w:vMerge w:val="continue"/>
            <w:vAlign w:val="center"/>
          </w:tcPr>
          <w:p>
            <w:pPr>
              <w:spacing w:line="300" w:lineRule="exact"/>
              <w:jc w:val="left"/>
              <w:outlineLvl w:val="0"/>
              <w:rPr>
                <w:rFonts w:ascii="仿宋" w:hAnsi="仿宋" w:eastAsia="仿宋" w:cs="Times New Roman"/>
                <w:sz w:val="28"/>
                <w:szCs w:val="28"/>
              </w:rPr>
            </w:pPr>
          </w:p>
        </w:tc>
        <w:tc>
          <w:tcPr>
            <w:tcW w:w="1559" w:type="dxa"/>
            <w:vMerge w:val="continue"/>
            <w:vAlign w:val="center"/>
          </w:tcPr>
          <w:p>
            <w:pPr>
              <w:spacing w:line="300" w:lineRule="exact"/>
              <w:jc w:val="left"/>
              <w:outlineLvl w:val="0"/>
              <w:rPr>
                <w:rFonts w:ascii="仿宋" w:hAnsi="仿宋" w:eastAsia="仿宋" w:cs="Times New Roman"/>
                <w:sz w:val="28"/>
                <w:szCs w:val="28"/>
              </w:rPr>
            </w:pPr>
          </w:p>
        </w:tc>
        <w:tc>
          <w:tcPr>
            <w:tcW w:w="3085" w:type="dxa"/>
            <w:vMerge w:val="continue"/>
            <w:vAlign w:val="center"/>
          </w:tcPr>
          <w:p>
            <w:pPr>
              <w:spacing w:line="300" w:lineRule="exact"/>
              <w:jc w:val="left"/>
              <w:outlineLvl w:val="0"/>
              <w:rPr>
                <w:rFonts w:ascii="仿宋" w:hAnsi="仿宋" w:eastAsia="仿宋"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10"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馆陶县委宣传部</w:t>
            </w:r>
          </w:p>
        </w:tc>
        <w:tc>
          <w:tcPr>
            <w:tcW w:w="1701"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行政</w:t>
            </w:r>
          </w:p>
        </w:tc>
        <w:tc>
          <w:tcPr>
            <w:tcW w:w="1559"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正科级</w:t>
            </w:r>
          </w:p>
        </w:tc>
        <w:tc>
          <w:tcPr>
            <w:tcW w:w="3085" w:type="dxa"/>
            <w:vAlign w:val="center"/>
          </w:tcPr>
          <w:p>
            <w:pPr>
              <w:spacing w:line="420" w:lineRule="exact"/>
              <w:rPr>
                <w:rFonts w:ascii="仿宋" w:hAnsi="仿宋" w:eastAsia="仿宋" w:cs="Times New Roman"/>
                <w:sz w:val="28"/>
                <w:szCs w:val="28"/>
              </w:rPr>
            </w:pPr>
            <w:r>
              <w:rPr>
                <w:rFonts w:hint="eastAsia" w:ascii="仿宋" w:hAnsi="仿宋" w:eastAsia="仿宋" w:cs="Times New Roman"/>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10"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馆陶县文联</w:t>
            </w:r>
          </w:p>
        </w:tc>
        <w:tc>
          <w:tcPr>
            <w:tcW w:w="1701"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参公事业</w:t>
            </w:r>
          </w:p>
        </w:tc>
        <w:tc>
          <w:tcPr>
            <w:tcW w:w="1559"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副科级</w:t>
            </w:r>
          </w:p>
        </w:tc>
        <w:tc>
          <w:tcPr>
            <w:tcW w:w="3085" w:type="dxa"/>
            <w:vAlign w:val="center"/>
          </w:tcPr>
          <w:p>
            <w:pPr>
              <w:spacing w:line="420" w:lineRule="exact"/>
              <w:rPr>
                <w:rFonts w:ascii="仿宋" w:hAnsi="仿宋" w:eastAsia="仿宋" w:cs="Times New Roman"/>
                <w:sz w:val="28"/>
                <w:szCs w:val="28"/>
              </w:rPr>
            </w:pPr>
            <w:r>
              <w:rPr>
                <w:rFonts w:hint="eastAsia" w:ascii="仿宋" w:hAnsi="仿宋" w:eastAsia="仿宋" w:cs="Times New Roman"/>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10"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馆陶博物馆</w:t>
            </w:r>
          </w:p>
        </w:tc>
        <w:tc>
          <w:tcPr>
            <w:tcW w:w="1701"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1559" w:type="dxa"/>
          </w:tcPr>
          <w:p>
            <w:pPr>
              <w:widowControl/>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085" w:type="dxa"/>
            <w:vAlign w:val="center"/>
          </w:tcPr>
          <w:p>
            <w:pPr>
              <w:spacing w:line="420" w:lineRule="exact"/>
              <w:rPr>
                <w:rFonts w:ascii="仿宋" w:hAnsi="仿宋" w:eastAsia="仿宋" w:cs="Times New Roman"/>
                <w:sz w:val="28"/>
                <w:szCs w:val="28"/>
              </w:rPr>
            </w:pPr>
            <w:r>
              <w:rPr>
                <w:rFonts w:hint="eastAsia" w:ascii="仿宋" w:hAnsi="仿宋" w:eastAsia="仿宋" w:cs="Times New Roman"/>
                <w:sz w:val="28"/>
                <w:szCs w:val="28"/>
              </w:rPr>
              <w:t>财政性资金基本保证</w:t>
            </w:r>
          </w:p>
        </w:tc>
      </w:tr>
    </w:tbl>
    <w:p>
      <w:pPr>
        <w:ind w:firstLine="600" w:firstLineChars="200"/>
        <w:rPr>
          <w:rFonts w:ascii="黑体" w:hAnsi="黑体" w:eastAsia="黑体"/>
          <w:sz w:val="30"/>
          <w:szCs w:val="30"/>
        </w:rPr>
      </w:pPr>
      <w:r>
        <w:rPr>
          <w:rFonts w:hint="eastAsia" w:ascii="黑体" w:hAnsi="黑体" w:eastAsia="黑体" w:cs="黑体"/>
          <w:sz w:val="30"/>
          <w:szCs w:val="30"/>
        </w:rPr>
        <w:t>二、部门预算安排的总体情况</w:t>
      </w:r>
    </w:p>
    <w:p>
      <w:pPr>
        <w:ind w:firstLine="640"/>
        <w:rPr>
          <w:rFonts w:ascii="仿宋_GB2312" w:hAnsi="Times New Roman" w:eastAsia="仿宋_GB2312"/>
          <w:sz w:val="30"/>
          <w:szCs w:val="30"/>
        </w:rPr>
      </w:pPr>
      <w:r>
        <w:rPr>
          <w:rFonts w:hint="eastAsia" w:ascii="仿宋_GB2312" w:hAnsi="Times New Roman" w:eastAsia="仿宋_GB2312"/>
          <w:sz w:val="30"/>
          <w:szCs w:val="30"/>
        </w:rPr>
        <w:t>按照预算管理有关规定，目前我县部门预算的编制实行综合预算制度，即全部收入和支出都反映在预算中。</w:t>
      </w:r>
    </w:p>
    <w:p>
      <w:pPr>
        <w:ind w:firstLine="640"/>
        <w:rPr>
          <w:rFonts w:ascii="仿宋_GB2312" w:hAnsi="Times New Roman" w:eastAsia="仿宋_GB2312"/>
          <w:sz w:val="30"/>
          <w:szCs w:val="30"/>
        </w:rPr>
      </w:pPr>
      <w:r>
        <w:rPr>
          <w:rFonts w:ascii="仿宋_GB2312" w:hAnsi="Times New Roman" w:eastAsia="仿宋_GB2312"/>
          <w:sz w:val="30"/>
          <w:szCs w:val="30"/>
        </w:rPr>
        <w:t>1</w:t>
      </w:r>
      <w:r>
        <w:rPr>
          <w:rFonts w:hint="eastAsia" w:ascii="仿宋_GB2312" w:hAnsi="Times New Roman" w:eastAsia="仿宋_GB2312"/>
          <w:sz w:val="30"/>
          <w:szCs w:val="30"/>
        </w:rPr>
        <w:t>、收入说明</w:t>
      </w:r>
    </w:p>
    <w:p>
      <w:pPr>
        <w:ind w:firstLine="640"/>
        <w:rPr>
          <w:rFonts w:ascii="仿宋_GB2312" w:hAnsi="Times New Roman" w:eastAsia="仿宋_GB2312"/>
          <w:sz w:val="30"/>
          <w:szCs w:val="30"/>
        </w:rPr>
      </w:pPr>
      <w:r>
        <w:rPr>
          <w:rFonts w:hint="eastAsia" w:ascii="仿宋_GB2312" w:hAnsi="Times New Roman" w:eastAsia="仿宋_GB2312"/>
          <w:sz w:val="30"/>
          <w:szCs w:val="30"/>
        </w:rPr>
        <w:t>反映本部门当年全部收入。</w:t>
      </w:r>
      <w:r>
        <w:rPr>
          <w:rFonts w:ascii="仿宋_GB2312" w:hAnsi="Times New Roman" w:eastAsia="仿宋_GB2312"/>
          <w:sz w:val="30"/>
          <w:szCs w:val="30"/>
        </w:rPr>
        <w:t>20</w:t>
      </w:r>
      <w:r>
        <w:rPr>
          <w:rFonts w:hint="eastAsia" w:ascii="仿宋_GB2312" w:hAnsi="Times New Roman" w:eastAsia="仿宋_GB2312"/>
          <w:sz w:val="30"/>
          <w:szCs w:val="30"/>
        </w:rPr>
        <w:t>20年预算收入562.1万元，其中：一般公共预算收入562.1万元。</w:t>
      </w:r>
    </w:p>
    <w:p>
      <w:pPr>
        <w:ind w:firstLine="640"/>
        <w:rPr>
          <w:rFonts w:ascii="仿宋_GB2312" w:hAnsi="Times New Roman" w:eastAsia="仿宋_GB2312"/>
          <w:sz w:val="30"/>
          <w:szCs w:val="30"/>
        </w:rPr>
      </w:pPr>
      <w:r>
        <w:rPr>
          <w:rFonts w:ascii="仿宋_GB2312" w:hAnsi="Times New Roman" w:eastAsia="仿宋_GB2312"/>
          <w:sz w:val="30"/>
          <w:szCs w:val="30"/>
        </w:rPr>
        <w:t>2</w:t>
      </w:r>
      <w:r>
        <w:rPr>
          <w:rFonts w:hint="eastAsia" w:ascii="仿宋_GB2312" w:hAnsi="Times New Roman" w:eastAsia="仿宋_GB2312"/>
          <w:sz w:val="30"/>
          <w:szCs w:val="30"/>
        </w:rPr>
        <w:t>、支出说明</w:t>
      </w:r>
    </w:p>
    <w:p>
      <w:pPr>
        <w:ind w:firstLine="640"/>
        <w:rPr>
          <w:rFonts w:ascii="仿宋_GB2312" w:hAnsi="Times New Roman" w:eastAsia="仿宋_GB2312"/>
          <w:sz w:val="30"/>
          <w:szCs w:val="30"/>
        </w:rPr>
      </w:pPr>
      <w:r>
        <w:rPr>
          <w:rFonts w:hint="eastAsia" w:ascii="仿宋_GB2312" w:hAnsi="Times New Roman" w:eastAsia="仿宋_GB2312"/>
          <w:sz w:val="30"/>
          <w:szCs w:val="30"/>
        </w:rPr>
        <w:t>收支预算总表支出栏、基本支出表、项目支出表按经济分类和支出功能分类科目编制，反映宣传部门预算中支出预算的总体情况。</w:t>
      </w:r>
      <w:r>
        <w:rPr>
          <w:rFonts w:ascii="仿宋_GB2312" w:hAnsi="Times New Roman" w:eastAsia="仿宋_GB2312"/>
          <w:sz w:val="30"/>
          <w:szCs w:val="30"/>
        </w:rPr>
        <w:t>20</w:t>
      </w:r>
      <w:r>
        <w:rPr>
          <w:rFonts w:hint="eastAsia" w:ascii="仿宋_GB2312" w:hAnsi="Times New Roman" w:eastAsia="仿宋_GB2312"/>
          <w:sz w:val="30"/>
          <w:szCs w:val="30"/>
        </w:rPr>
        <w:t>20年支出预算562.1万元，其中基本支出381万元，包括人员经费358.5万元和日常公用经费22.5万元，项目支出181.1万元，主要包括政县委中心组学习、意识形态、理论宣讲、新闻宣传资金、农村放映员生活补助、“不忘初心、牢记使命”主题教育、国家电影事业发展专项支出等项目。</w:t>
      </w:r>
    </w:p>
    <w:p>
      <w:pPr>
        <w:ind w:firstLine="640"/>
        <w:rPr>
          <w:rFonts w:ascii="仿宋_GB2312" w:hAnsi="Times New Roman" w:eastAsia="仿宋_GB2312"/>
          <w:sz w:val="30"/>
          <w:szCs w:val="30"/>
        </w:rPr>
      </w:pPr>
      <w:r>
        <w:rPr>
          <w:rFonts w:ascii="仿宋_GB2312" w:hAnsi="Times New Roman" w:eastAsia="仿宋_GB2312"/>
          <w:sz w:val="30"/>
          <w:szCs w:val="30"/>
        </w:rPr>
        <w:t>3</w:t>
      </w:r>
      <w:r>
        <w:rPr>
          <w:rFonts w:hint="eastAsia" w:ascii="仿宋_GB2312" w:hAnsi="Times New Roman" w:eastAsia="仿宋_GB2312"/>
          <w:sz w:val="30"/>
          <w:szCs w:val="30"/>
        </w:rPr>
        <w:t>、比上年增减情况</w:t>
      </w:r>
    </w:p>
    <w:p>
      <w:pPr>
        <w:ind w:firstLine="640"/>
        <w:rPr>
          <w:rFonts w:ascii="仿宋_GB2312" w:hAnsi="Times New Roman" w:eastAsia="仿宋_GB2312"/>
          <w:sz w:val="30"/>
          <w:szCs w:val="30"/>
        </w:rPr>
      </w:pPr>
      <w:r>
        <w:rPr>
          <w:rFonts w:ascii="仿宋_GB2312" w:hAnsi="Times New Roman" w:eastAsia="仿宋_GB2312"/>
          <w:sz w:val="30"/>
          <w:szCs w:val="30"/>
        </w:rPr>
        <w:t>20</w:t>
      </w:r>
      <w:r>
        <w:rPr>
          <w:rFonts w:hint="eastAsia" w:ascii="仿宋_GB2312" w:hAnsi="Times New Roman" w:eastAsia="仿宋_GB2312"/>
          <w:sz w:val="30"/>
          <w:szCs w:val="30"/>
        </w:rPr>
        <w:t>20年预算收支安排562.1万元，较</w:t>
      </w:r>
      <w:r>
        <w:rPr>
          <w:rFonts w:ascii="仿宋_GB2312" w:hAnsi="Times New Roman" w:eastAsia="仿宋_GB2312"/>
          <w:sz w:val="30"/>
          <w:szCs w:val="30"/>
        </w:rPr>
        <w:t>20</w:t>
      </w:r>
      <w:r>
        <w:rPr>
          <w:rFonts w:hint="eastAsia" w:ascii="仿宋_GB2312" w:hAnsi="Times New Roman" w:eastAsia="仿宋_GB2312"/>
          <w:sz w:val="30"/>
          <w:szCs w:val="30"/>
        </w:rPr>
        <w:t>19年预算减少61.6万元，其中：基本支出减少139.07万元，主要因为人员减少，人员经费减少；项目支出增加78.1万元，主要因为机构改革电影管理职能划入，项目增多。</w:t>
      </w:r>
    </w:p>
    <w:p>
      <w:pPr>
        <w:ind w:firstLine="600" w:firstLineChars="200"/>
        <w:rPr>
          <w:rFonts w:ascii="仿宋" w:hAnsi="仿宋" w:eastAsia="仿宋" w:cs="仿宋"/>
          <w:sz w:val="30"/>
          <w:szCs w:val="30"/>
        </w:rPr>
      </w:pPr>
      <w:r>
        <w:rPr>
          <w:rFonts w:hint="eastAsia" w:ascii="黑体" w:hAnsi="黑体" w:eastAsia="黑体" w:cs="黑体"/>
          <w:sz w:val="30"/>
          <w:szCs w:val="30"/>
        </w:rPr>
        <w:t>三、机关运行经费安排情况</w:t>
      </w:r>
    </w:p>
    <w:p>
      <w:pPr>
        <w:ind w:firstLine="600" w:firstLineChars="200"/>
        <w:rPr>
          <w:rFonts w:ascii="仿宋" w:hAnsi="仿宋" w:eastAsia="仿宋" w:cs="仿宋"/>
          <w:sz w:val="30"/>
          <w:szCs w:val="30"/>
        </w:rPr>
      </w:pPr>
      <w:r>
        <w:rPr>
          <w:rFonts w:hint="eastAsia" w:ascii="仿宋" w:hAnsi="仿宋" w:eastAsia="仿宋" w:cs="仿宋"/>
          <w:sz w:val="30"/>
          <w:szCs w:val="30"/>
        </w:rPr>
        <w:t>2020年，我部机关运行经费共计安排22.5万元，主要用于办公费、印刷费、差旅费、公务用车运行维护费等日常运行支出。</w:t>
      </w:r>
    </w:p>
    <w:p>
      <w:pPr>
        <w:ind w:firstLine="600" w:firstLineChars="200"/>
        <w:rPr>
          <w:rFonts w:ascii="仿宋" w:hAnsi="仿宋" w:eastAsia="仿宋" w:cs="仿宋"/>
          <w:sz w:val="30"/>
          <w:szCs w:val="30"/>
        </w:rPr>
      </w:pPr>
      <w:r>
        <w:rPr>
          <w:rFonts w:hint="eastAsia" w:ascii="黑体" w:hAnsi="黑体" w:eastAsia="黑体" w:cs="黑体"/>
          <w:sz w:val="30"/>
          <w:szCs w:val="30"/>
        </w:rPr>
        <w:t>四、财政拨款“三公”经费预算情况及增减变化原因</w:t>
      </w:r>
    </w:p>
    <w:p>
      <w:pPr>
        <w:ind w:firstLine="600" w:firstLineChars="200"/>
        <w:rPr>
          <w:rFonts w:ascii="仿宋" w:hAnsi="仿宋" w:eastAsia="仿宋" w:cs="仿宋"/>
          <w:sz w:val="30"/>
          <w:szCs w:val="30"/>
        </w:rPr>
      </w:pPr>
      <w:r>
        <w:rPr>
          <w:rFonts w:hint="eastAsia" w:ascii="仿宋" w:hAnsi="仿宋" w:eastAsia="仿宋" w:cs="仿宋"/>
          <w:sz w:val="30"/>
          <w:szCs w:val="30"/>
        </w:rPr>
        <w:t>2020年，我部财政拨款“三公”经费预算安排1.8万元，</w:t>
      </w:r>
      <w:r>
        <w:rPr>
          <w:rFonts w:hint="eastAsia" w:ascii="仿宋_GB2312" w:hAnsi="Times New Roman" w:eastAsia="仿宋_GB2312" w:cs="Times New Roman"/>
          <w:sz w:val="30"/>
          <w:szCs w:val="30"/>
        </w:rPr>
        <w:t>其中因公出国（境）费0万元；公务用车购置及运维费1.8万元（其中：公务用车购置费为0万元，公务用车运维费1.8万元)；公务接待费0万元。</w:t>
      </w:r>
      <w:r>
        <w:rPr>
          <w:rFonts w:hint="eastAsia" w:ascii="仿宋" w:hAnsi="仿宋" w:eastAsia="仿宋" w:cs="仿宋"/>
          <w:sz w:val="30"/>
          <w:szCs w:val="30"/>
        </w:rPr>
        <w:t>与2019年相比减少0.9万元，主要原因是：我单位持续加强公车管理，厉行节约，严禁非正常接待。</w:t>
      </w:r>
    </w:p>
    <w:p>
      <w:pPr>
        <w:autoSpaceDE w:val="0"/>
        <w:autoSpaceDN w:val="0"/>
        <w:adjustRightInd w:val="0"/>
        <w:ind w:firstLine="600" w:firstLineChars="200"/>
        <w:jc w:val="left"/>
        <w:rPr>
          <w:rFonts w:ascii="黑体" w:hAnsi="黑体" w:eastAsia="黑体" w:cs="黑体"/>
          <w:sz w:val="30"/>
          <w:szCs w:val="30"/>
        </w:rPr>
      </w:pPr>
      <w:r>
        <w:rPr>
          <w:rFonts w:hint="eastAsia" w:ascii="黑体" w:hAnsi="黑体" w:eastAsia="黑体" w:cs="黑体"/>
          <w:sz w:val="30"/>
          <w:szCs w:val="30"/>
        </w:rPr>
        <w:t>五、绩效预算信息</w:t>
      </w:r>
    </w:p>
    <w:p>
      <w:pPr>
        <w:autoSpaceDE w:val="0"/>
        <w:autoSpaceDN w:val="0"/>
        <w:adjustRightInd w:val="0"/>
        <w:ind w:left="198" w:firstLine="9" w:firstLineChars="3"/>
        <w:jc w:val="center"/>
        <w:rPr>
          <w:rFonts w:ascii="楷体" w:hAnsi="楷体" w:eastAsia="楷体"/>
          <w:b/>
          <w:bCs/>
          <w:sz w:val="30"/>
          <w:szCs w:val="30"/>
        </w:rPr>
      </w:pPr>
      <w:r>
        <w:rPr>
          <w:rFonts w:hint="eastAsia" w:ascii="楷体" w:hAnsi="楷体" w:eastAsia="楷体" w:cs="仿宋"/>
          <w:b/>
          <w:bCs/>
          <w:sz w:val="30"/>
          <w:szCs w:val="30"/>
        </w:rPr>
        <w:t>第一部分</w:t>
      </w:r>
      <w:r>
        <w:rPr>
          <w:rFonts w:ascii="楷体" w:hAnsi="楷体" w:eastAsia="楷体"/>
          <w:b/>
          <w:bCs/>
          <w:sz w:val="30"/>
          <w:szCs w:val="30"/>
        </w:rPr>
        <w:t xml:space="preserve">  </w:t>
      </w:r>
      <w:r>
        <w:rPr>
          <w:rFonts w:hint="eastAsia" w:ascii="楷体" w:hAnsi="楷体" w:eastAsia="楷体" w:cs="仿宋"/>
          <w:b/>
          <w:bCs/>
          <w:sz w:val="30"/>
          <w:szCs w:val="30"/>
        </w:rPr>
        <w:t>部门整体绩效目标</w:t>
      </w:r>
    </w:p>
    <w:p>
      <w:pPr>
        <w:autoSpaceDE w:val="0"/>
        <w:autoSpaceDN w:val="0"/>
        <w:adjustRightInd w:val="0"/>
        <w:ind w:firstLine="602" w:firstLineChars="200"/>
        <w:jc w:val="left"/>
        <w:rPr>
          <w:rFonts w:ascii="Times New Roman" w:hAnsi="Times New Roman" w:eastAsia="仿宋"/>
          <w:b/>
          <w:bCs/>
          <w:sz w:val="30"/>
          <w:szCs w:val="30"/>
        </w:rPr>
      </w:pPr>
      <w:r>
        <w:rPr>
          <w:rFonts w:hint="eastAsia" w:ascii="Times New Roman" w:hAnsi="Times New Roman" w:eastAsia="仿宋" w:cs="仿宋"/>
          <w:b/>
          <w:bCs/>
          <w:sz w:val="30"/>
          <w:szCs w:val="30"/>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hint="eastAsia" w:ascii="仿宋" w:hAnsi="仿宋" w:eastAsia="仿宋"/>
          <w:sz w:val="30"/>
          <w:szCs w:val="30"/>
        </w:rPr>
      </w:pPr>
      <w:r>
        <w:rPr>
          <w:rFonts w:ascii="仿宋" w:hAnsi="仿宋" w:eastAsia="仿宋"/>
          <w:sz w:val="30"/>
          <w:szCs w:val="30"/>
        </w:rPr>
        <w:t>以习近平新时代中国特色社会主义思想为指导，全面贯彻落实党的十九大精神，不忘初心</w:t>
      </w:r>
      <w:r>
        <w:rPr>
          <w:rFonts w:hint="eastAsia" w:ascii="仿宋" w:hAnsi="仿宋" w:eastAsia="仿宋"/>
          <w:sz w:val="30"/>
          <w:szCs w:val="30"/>
          <w:lang w:eastAsia="zh-CN"/>
        </w:rPr>
        <w:t>、</w:t>
      </w:r>
      <w:r>
        <w:rPr>
          <w:rFonts w:ascii="仿宋" w:hAnsi="仿宋" w:eastAsia="仿宋"/>
          <w:sz w:val="30"/>
          <w:szCs w:val="30"/>
        </w:rPr>
        <w:t>牢记使命，坚持新发展理念，坚持稳中求进总基调，坚持高质量发展和以人民为中心思想，围绕全县中心工作和重点工作，强化宣传，树立我县美好形象，不断深化意识形态、理论学习、思想政治、对外宣传、社会舆情、精神文明、国防教育、文化下乡、新闻出版、电影事务、文学艺术、博物馆建设等方面工作，推动宣传工作再上新台阶，为全面建设</w:t>
      </w:r>
      <w:r>
        <w:rPr>
          <w:rFonts w:hint="eastAsia" w:ascii="仿宋" w:hAnsi="仿宋" w:eastAsia="仿宋"/>
          <w:sz w:val="30"/>
          <w:szCs w:val="30"/>
        </w:rPr>
        <w:t>馆陶</w:t>
      </w:r>
      <w:r>
        <w:rPr>
          <w:rFonts w:ascii="仿宋" w:hAnsi="仿宋" w:eastAsia="仿宋"/>
          <w:sz w:val="30"/>
          <w:szCs w:val="30"/>
        </w:rPr>
        <w:t>作出新的更大的贡献。</w:t>
      </w:r>
    </w:p>
    <w:p>
      <w:pPr>
        <w:autoSpaceDE w:val="0"/>
        <w:autoSpaceDN w:val="0"/>
        <w:adjustRightInd w:val="0"/>
        <w:ind w:firstLine="600" w:firstLineChars="200"/>
        <w:jc w:val="left"/>
        <w:rPr>
          <w:rFonts w:ascii="Times New Roman" w:hAnsi="Times New Roman" w:eastAsia="仿宋"/>
          <w:b/>
          <w:bCs/>
          <w:sz w:val="30"/>
          <w:szCs w:val="30"/>
        </w:rPr>
      </w:pPr>
      <w:r>
        <w:rPr>
          <w:rFonts w:hint="eastAsia" w:ascii="仿宋_GB2312" w:hAnsi="仿宋_GB2312" w:eastAsia="仿宋_GB2312"/>
          <w:sz w:val="30"/>
          <w:szCs w:val="30"/>
        </w:rPr>
        <w:t>（二）</w:t>
      </w:r>
      <w:r>
        <w:rPr>
          <w:rFonts w:hint="eastAsia" w:ascii="Times New Roman" w:hAnsi="Times New Roman" w:eastAsia="仿宋" w:cs="仿宋"/>
          <w:b/>
          <w:bCs/>
          <w:sz w:val="30"/>
          <w:szCs w:val="30"/>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、夯实理论武装工作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目标：制定我县党委（党组）理论学习中心组全年学习安排，并组织好县委理论学习中心组的专题学习工作。做好“学习强国”平台使用工作。多种形式着力宣传习近平新时代中国特色社会主义思想和党的十九</w:t>
      </w:r>
      <w:r>
        <w:rPr>
          <w:rFonts w:hint="eastAsia" w:ascii="仿宋" w:hAnsi="仿宋" w:eastAsia="仿宋"/>
          <w:sz w:val="30"/>
          <w:szCs w:val="30"/>
        </w:rPr>
        <w:t>大</w:t>
      </w:r>
      <w:r>
        <w:rPr>
          <w:rFonts w:ascii="仿宋" w:hAnsi="仿宋" w:eastAsia="仿宋"/>
          <w:sz w:val="30"/>
          <w:szCs w:val="30"/>
        </w:rPr>
        <w:t>精神。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绩效指标：开展县委理论学习中心组专题学习10次以上。确保各部门单位100%使用“学习强国”平台工作学习，进入组织构架人数达到常住人口的20%以上。开展理论宣讲10场以上。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、引导社会舆论工作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目标：做好乡村振兴、民生建设、特色产业等方面重大事件的宣传报道。邀请上级媒体到我县进行深入采访宣传馆陶。选树典型人物、典型事迹展开重点宣传报道。组织参加春节、国庆等系列节点活动，宣传报道各领域成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绩效指标：邀请上级媒体30家以上到我县采访，在上级媒体刊发各种稿件500余篇（条）以上。培树典型人物20人以上，进行宣传报道。不发生重大社会舆情事件。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、开展文明创建工作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目标：开展文明县城、文明村镇创建活动，提升县城文明程度和群众文明素质。加强志愿服务组织管理，开展各类志愿服务活动。深化精神文明建设，开展文明校园、文明窗口等创建活动。深化春节、清明等“我们的节日”活动。扎实做好公益广告宣传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绩效指标：城区创建70个文明点位以上，投放公益广告3000平方米以上，注册志愿者比例达到总人口数10%以上，组织开展志愿服务活动50次以上。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、丰富群众文化生活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绩效目标：开展群众文化大舞台、文化进万家、文化大集、文艺小分队送文化下乡等基层文化活动。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sz w:val="30"/>
          <w:szCs w:val="30"/>
        </w:rPr>
      </w:pPr>
      <w:r>
        <w:rPr>
          <w:rFonts w:ascii="仿宋" w:hAnsi="仿宋" w:eastAsia="仿宋"/>
          <w:sz w:val="30"/>
          <w:szCs w:val="30"/>
        </w:rPr>
        <w:t>绩效指标：开展群众文化大舞台活动8场以上，文艺小分队送文化下乡10次以上。</w:t>
      </w:r>
    </w:p>
    <w:p>
      <w:pPr>
        <w:autoSpaceDE w:val="0"/>
        <w:autoSpaceDN w:val="0"/>
        <w:adjustRightInd w:val="0"/>
        <w:ind w:firstLine="602" w:firstLineChars="200"/>
        <w:jc w:val="left"/>
        <w:rPr>
          <w:rFonts w:ascii="Times New Roman" w:hAnsi="Times New Roman" w:eastAsia="仿宋" w:cs="仿宋"/>
          <w:b/>
          <w:bCs/>
          <w:sz w:val="30"/>
          <w:szCs w:val="30"/>
        </w:rPr>
      </w:pPr>
      <w:r>
        <w:rPr>
          <w:rFonts w:hint="eastAsia" w:ascii="Times New Roman" w:hAnsi="Times New Roman" w:eastAsia="仿宋" w:cs="仿宋"/>
          <w:b/>
          <w:bCs/>
          <w:sz w:val="30"/>
          <w:szCs w:val="30"/>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27"/>
        <w:rPr>
          <w:rFonts w:ascii="仿宋_GB2312" w:hAnsi="仿宋_GB2312" w:eastAsia="仿宋_GB2312"/>
          <w:sz w:val="30"/>
          <w:szCs w:val="30"/>
          <w:shd w:val="clear" w:color="auto" w:fill="FFFFFF"/>
        </w:rPr>
      </w:pPr>
      <w:r>
        <w:rPr>
          <w:rFonts w:hint="eastAsia" w:ascii="仿宋_GB2312" w:hAnsi="仿宋_GB2312" w:eastAsia="仿宋_GB2312"/>
          <w:sz w:val="30"/>
          <w:szCs w:val="30"/>
          <w:shd w:val="clear" w:color="auto" w:fill="FFFFFF"/>
        </w:rPr>
        <w:t>一是</w:t>
      </w:r>
      <w:r>
        <w:rPr>
          <w:rFonts w:ascii="仿宋_GB2312" w:hAnsi="仿宋_GB2312" w:eastAsia="仿宋_GB2312"/>
          <w:sz w:val="30"/>
          <w:szCs w:val="30"/>
          <w:shd w:val="clear" w:color="auto" w:fill="FFFFFF"/>
        </w:rPr>
        <w:t>着力抓好理论武装工作，用习近平新时代中国特色社会主义思想武装头脑、指导实践、推进工作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27"/>
        <w:rPr>
          <w:rFonts w:ascii="仿宋_GB2312" w:hAnsi="仿宋_GB2312" w:eastAsia="仿宋_GB2312"/>
          <w:sz w:val="30"/>
          <w:szCs w:val="30"/>
          <w:shd w:val="clear" w:color="auto" w:fill="FFFFFF"/>
        </w:rPr>
      </w:pPr>
      <w:r>
        <w:rPr>
          <w:rFonts w:hint="eastAsia" w:ascii="仿宋_GB2312" w:hAnsi="仿宋_GB2312" w:eastAsia="仿宋_GB2312"/>
          <w:sz w:val="30"/>
          <w:szCs w:val="30"/>
          <w:shd w:val="clear" w:color="auto" w:fill="FFFFFF"/>
        </w:rPr>
        <w:t>二是</w:t>
      </w:r>
      <w:r>
        <w:rPr>
          <w:rFonts w:ascii="仿宋_GB2312" w:hAnsi="仿宋_GB2312" w:eastAsia="仿宋_GB2312"/>
          <w:sz w:val="30"/>
          <w:szCs w:val="30"/>
          <w:shd w:val="clear" w:color="auto" w:fill="FFFFFF"/>
        </w:rPr>
        <w:t>着力抓好舆论指导，为“馆陶”建设凝聚强大正能量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27"/>
        <w:rPr>
          <w:rFonts w:ascii="仿宋_GB2312" w:hAnsi="仿宋_GB2312" w:eastAsia="仿宋_GB2312"/>
          <w:sz w:val="30"/>
          <w:szCs w:val="30"/>
          <w:shd w:val="clear" w:color="auto" w:fill="FFFFFF"/>
        </w:rPr>
      </w:pPr>
      <w:r>
        <w:rPr>
          <w:rFonts w:hint="eastAsia" w:ascii="仿宋_GB2312" w:hAnsi="仿宋_GB2312" w:eastAsia="仿宋_GB2312"/>
          <w:sz w:val="30"/>
          <w:szCs w:val="30"/>
          <w:shd w:val="clear" w:color="auto" w:fill="FFFFFF"/>
        </w:rPr>
        <w:t>三是</w:t>
      </w:r>
      <w:r>
        <w:rPr>
          <w:rFonts w:ascii="仿宋_GB2312" w:hAnsi="仿宋_GB2312" w:eastAsia="仿宋_GB2312"/>
          <w:sz w:val="30"/>
          <w:szCs w:val="30"/>
          <w:shd w:val="clear" w:color="auto" w:fill="FFFFFF"/>
        </w:rPr>
        <w:t>着力抓好精神文明建设，培育践行社会主义核心价值观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27"/>
        <w:rPr>
          <w:rFonts w:ascii="仿宋_GB2312" w:hAnsi="仿宋_GB2312" w:eastAsia="仿宋_GB2312"/>
          <w:sz w:val="30"/>
          <w:szCs w:val="30"/>
          <w:shd w:val="clear" w:color="auto" w:fill="FFFFFF"/>
        </w:rPr>
      </w:pPr>
      <w:r>
        <w:rPr>
          <w:rFonts w:hint="eastAsia" w:ascii="仿宋_GB2312" w:hAnsi="仿宋_GB2312" w:eastAsia="仿宋_GB2312"/>
          <w:sz w:val="30"/>
          <w:szCs w:val="30"/>
          <w:shd w:val="clear" w:color="auto" w:fill="FFFFFF"/>
        </w:rPr>
        <w:t>四是</w:t>
      </w:r>
      <w:r>
        <w:rPr>
          <w:rFonts w:ascii="仿宋_GB2312" w:hAnsi="仿宋_GB2312" w:eastAsia="仿宋_GB2312"/>
          <w:sz w:val="30"/>
          <w:szCs w:val="30"/>
          <w:shd w:val="clear" w:color="auto" w:fill="FFFFFF"/>
        </w:rPr>
        <w:t>着力抓好文化强县工作，推动文化产业大繁荣大发展</w:t>
      </w:r>
    </w:p>
    <w:p>
      <w:pPr>
        <w:autoSpaceDE w:val="0"/>
        <w:autoSpaceDN w:val="0"/>
        <w:adjustRightInd w:val="0"/>
        <w:jc w:val="center"/>
        <w:rPr>
          <w:rFonts w:ascii="楷体" w:hAnsi="楷体" w:eastAsia="楷体"/>
          <w:b/>
          <w:bCs/>
          <w:sz w:val="32"/>
          <w:szCs w:val="32"/>
        </w:rPr>
      </w:pPr>
      <w:r>
        <w:rPr>
          <w:rFonts w:hint="eastAsia" w:ascii="楷体" w:hAnsi="楷体" w:eastAsia="楷体" w:cs="仿宋_GB2312"/>
          <w:b/>
          <w:bCs/>
          <w:sz w:val="32"/>
          <w:szCs w:val="32"/>
        </w:rPr>
        <w:t>第二部分</w:t>
      </w:r>
      <w:r>
        <w:rPr>
          <w:rFonts w:ascii="楷体" w:hAnsi="楷体" w:eastAsia="楷体" w:cs="仿宋_GB2312"/>
          <w:b/>
          <w:bCs/>
          <w:sz w:val="32"/>
          <w:szCs w:val="32"/>
        </w:rPr>
        <w:t xml:space="preserve">  </w:t>
      </w:r>
      <w:r>
        <w:rPr>
          <w:rFonts w:hint="eastAsia" w:ascii="楷体" w:hAnsi="楷体" w:eastAsia="楷体" w:cs="仿宋_GB2312"/>
          <w:b/>
          <w:bCs/>
          <w:sz w:val="32"/>
          <w:szCs w:val="32"/>
        </w:rPr>
        <w:t>专项资金绩效目标</w:t>
      </w: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1、县委中心组学习项目绩效目标表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绩效目标</w:t>
            </w:r>
          </w:p>
        </w:tc>
        <w:tc>
          <w:tcPr>
            <w:tcW w:w="8278" w:type="dxa"/>
            <w:gridSpan w:val="5"/>
            <w:tcBorders>
              <w:bottom w:val="nil"/>
            </w:tcBorders>
            <w:shd w:val="clear" w:color="auto" w:fill="auto"/>
            <w:vAlign w:val="center"/>
          </w:tcPr>
          <w:p>
            <w:pPr>
              <w:spacing w:line="220" w:lineRule="exact"/>
              <w:jc w:val="left"/>
              <w:rPr>
                <w:rFonts w:hint="eastAsia" w:ascii="仿宋_GB2312" w:eastAsia="仿宋_GB2312"/>
              </w:rPr>
            </w:pPr>
            <w:r>
              <w:rPr>
                <w:rFonts w:hint="eastAsia" w:ascii="仿宋_GB2312" w:eastAsia="仿宋_GB2312"/>
              </w:rPr>
              <w:t>通过专题学习，进一步提升县委理论学习中心组成员理论水平，增强理论联系实际能力。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一级指标</w:t>
            </w:r>
          </w:p>
        </w:tc>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二级指标</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三级指标</w:t>
            </w:r>
          </w:p>
        </w:tc>
        <w:tc>
          <w:tcPr>
            <w:tcW w:w="289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绩效指标描述</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w:t>
            </w:r>
          </w:p>
        </w:tc>
        <w:tc>
          <w:tcPr>
            <w:tcW w:w="170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产出指标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数量指标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学习次数</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反映理论学习中心组学习情况（次）</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≥10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效果指标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生态效益指标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组织集中研讨活动</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县委中心组开展集中研讨活动次数（次）</w:t>
            </w:r>
          </w:p>
        </w:tc>
        <w:tc>
          <w:tcPr>
            <w:tcW w:w="1276" w:type="dxa"/>
            <w:shd w:val="clear" w:color="auto" w:fill="auto"/>
            <w:vAlign w:val="center"/>
          </w:tcPr>
          <w:p>
            <w:pPr>
              <w:rPr>
                <w:rFonts w:hint="eastAsia" w:ascii="仿宋_GB2312" w:eastAsia="仿宋_GB2312"/>
              </w:rPr>
            </w:pPr>
            <w:r>
              <w:rPr>
                <w:rFonts w:hint="eastAsia" w:ascii="仿宋_GB2312" w:eastAsia="仿宋_GB2312"/>
              </w:rPr>
              <w:t>≥2</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满意度指标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参加学习人员的满意程度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≥90%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调查</w:t>
            </w:r>
          </w:p>
        </w:tc>
      </w:tr>
    </w:tbl>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2、意识形态、理论宣讲、新闻宣传项目绩效目标表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绩效目标</w:t>
            </w:r>
          </w:p>
        </w:tc>
        <w:tc>
          <w:tcPr>
            <w:tcW w:w="8278" w:type="dxa"/>
            <w:gridSpan w:val="5"/>
            <w:tcBorders>
              <w:bottom w:val="nil"/>
            </w:tcBorders>
            <w:shd w:val="clear" w:color="auto" w:fill="auto"/>
            <w:vAlign w:val="center"/>
          </w:tcPr>
          <w:p>
            <w:pPr>
              <w:spacing w:line="220" w:lineRule="exact"/>
              <w:jc w:val="left"/>
              <w:rPr>
                <w:rFonts w:hint="eastAsia" w:ascii="仿宋_GB2312" w:eastAsia="仿宋_GB2312"/>
              </w:rPr>
            </w:pPr>
            <w:r>
              <w:rPr>
                <w:rFonts w:hint="eastAsia" w:ascii="仿宋_GB2312" w:eastAsia="仿宋_GB2312"/>
              </w:rPr>
              <w:t>积极开展新闻宣传工作，定期分析研判意识形态领域情况，深入开展理论宣讲工作。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一级指标</w:t>
            </w:r>
          </w:p>
        </w:tc>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二级指标</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三级指标</w:t>
            </w:r>
          </w:p>
        </w:tc>
        <w:tc>
          <w:tcPr>
            <w:tcW w:w="289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绩效指标描述</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w:t>
            </w:r>
          </w:p>
        </w:tc>
        <w:tc>
          <w:tcPr>
            <w:tcW w:w="170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产出指标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数量指标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在市级以上媒体播发宣传本县稿件篇数</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在市级以上媒体播发宣传本县稿件篇数</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≥300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年底统计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效果指标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生态效益指标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年度统计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满意度指标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接受服务的重点人员对所提供服务的满意程度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≥90%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调查</w:t>
            </w:r>
          </w:p>
        </w:tc>
      </w:tr>
    </w:tbl>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3、博物馆文物保养维护、收购以及举办活动项目绩效目标表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收藏和管理保护好博物馆文物和标本，使之久远地留传给子孙后代。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文化传播与社会教育</w:t>
            </w:r>
          </w:p>
        </w:tc>
        <w:tc>
          <w:tcPr>
            <w:tcW w:w="289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受众人次（万人）</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≥1</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年底统计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举办各类活动</w:t>
            </w:r>
          </w:p>
        </w:tc>
        <w:tc>
          <w:tcPr>
            <w:tcW w:w="289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举办各类活动（次）</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≥3</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接受服务的重点人员对所提供服务的满意程度</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rPr>
          <w:rFonts w:hint="eastAsia" w:ascii="方正仿宋_GBK" w:eastAsia="方正仿宋_GBK"/>
          <w:b/>
          <w:sz w:val="28"/>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4、“不忘初心</w:t>
      </w:r>
      <w:r>
        <w:rPr>
          <w:rFonts w:hint="eastAsia" w:ascii="Times New Roman" w:hAnsi="Times New Roman" w:eastAsia="仿宋" w:cs="仿宋"/>
          <w:b/>
          <w:bCs/>
          <w:sz w:val="30"/>
          <w:szCs w:val="30"/>
          <w:lang w:eastAsia="zh-CN"/>
        </w:rPr>
        <w:t>、</w:t>
      </w:r>
      <w:r>
        <w:rPr>
          <w:rFonts w:hint="eastAsia" w:ascii="Times New Roman" w:hAnsi="Times New Roman" w:eastAsia="仿宋" w:cs="仿宋"/>
          <w:b/>
          <w:bCs/>
          <w:sz w:val="30"/>
          <w:szCs w:val="30"/>
        </w:rPr>
        <w:t>牢记使命”主题教育雕塑建设项目绩效目标表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543"/>
        <w:gridCol w:w="262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在全县营造“</w:t>
            </w:r>
            <w:bookmarkStart w:id="1" w:name="_GoBack"/>
            <w:r>
              <w:rPr>
                <w:rFonts w:hint="eastAsia" w:ascii="方正书宋_GBK" w:eastAsia="方正书宋_GBK"/>
              </w:rPr>
              <w:t>不忘初心</w:t>
            </w:r>
            <w:r>
              <w:rPr>
                <w:rFonts w:hint="eastAsia" w:ascii="方正书宋_GBK" w:eastAsia="方正书宋_GBK"/>
                <w:lang w:eastAsia="zh-CN"/>
              </w:rPr>
              <w:t>、</w:t>
            </w:r>
            <w:r>
              <w:rPr>
                <w:rFonts w:hint="eastAsia" w:ascii="方正书宋_GBK" w:eastAsia="方正书宋_GBK"/>
              </w:rPr>
              <w:t>牢记使命</w:t>
            </w:r>
            <w:bookmarkEnd w:id="1"/>
            <w:r>
              <w:rPr>
                <w:rFonts w:hint="eastAsia" w:ascii="方正书宋_GBK" w:eastAsia="方正书宋_GBK"/>
              </w:rPr>
              <w:t>”主题教育深厚氛围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543"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62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543"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安装主题教育雕塑数量</w:t>
            </w:r>
          </w:p>
        </w:tc>
        <w:tc>
          <w:tcPr>
            <w:tcW w:w="262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安装主题教育雕塑数量（个）</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≥4</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生态效益指标</w:t>
            </w:r>
          </w:p>
        </w:tc>
        <w:tc>
          <w:tcPr>
            <w:tcW w:w="1543"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文化传播与社会教育</w:t>
            </w:r>
          </w:p>
        </w:tc>
        <w:tc>
          <w:tcPr>
            <w:tcW w:w="262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受众人次（万人）</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≥10</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543"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调查中满意和较满意的人数占调查总人数的比率</w:t>
            </w:r>
          </w:p>
        </w:tc>
        <w:tc>
          <w:tcPr>
            <w:tcW w:w="262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rPr>
          <w:rFonts w:hint="eastAsia" w:ascii="方正仿宋_GBK" w:eastAsia="方正仿宋_GBK"/>
          <w:b/>
          <w:sz w:val="28"/>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5、《陶山期刊》编撰项目绩效目标表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826"/>
        <w:gridCol w:w="234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繁荣馆陶文学艺术事业、宣传推介馆陶、丰富群众精神文化生活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82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34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82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编撰发行期数</w:t>
            </w:r>
          </w:p>
        </w:tc>
        <w:tc>
          <w:tcPr>
            <w:tcW w:w="234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编撰发行期数</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≥4</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生态效益指标</w:t>
            </w:r>
          </w:p>
        </w:tc>
        <w:tc>
          <w:tcPr>
            <w:tcW w:w="182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社会影响力</w:t>
            </w:r>
          </w:p>
        </w:tc>
        <w:tc>
          <w:tcPr>
            <w:tcW w:w="234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在全县或全国产生的重要影响，得到广大受众的充分认可。</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82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受众对当年期刊的整体满意度</w:t>
            </w:r>
          </w:p>
        </w:tc>
        <w:tc>
          <w:tcPr>
            <w:tcW w:w="234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受众对当年期刊的整体满意度</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ascii="黑体" w:hAnsi="黑体" w:eastAsia="黑体" w:cs="黑体"/>
          <w:sz w:val="32"/>
          <w:szCs w:val="32"/>
        </w:rPr>
      </w:pPr>
      <w:r>
        <w:rPr>
          <w:rFonts w:hint="eastAsia" w:ascii="黑体" w:hAnsi="黑体" w:eastAsia="黑体" w:cs="黑体"/>
          <w:sz w:val="32"/>
          <w:szCs w:val="32"/>
        </w:rPr>
        <w:t>六、政府采购预算情况</w:t>
      </w:r>
    </w:p>
    <w:p>
      <w:pPr>
        <w:ind w:firstLine="640" w:firstLineChars="200"/>
        <w:rPr>
          <w:rFonts w:ascii="仿宋" w:hAnsi="仿宋" w:eastAsia="仿宋" w:cs="仿宋"/>
          <w:sz w:val="32"/>
          <w:szCs w:val="32"/>
        </w:rPr>
      </w:pPr>
      <w:bookmarkStart w:id="0" w:name="_Toc471398468"/>
      <w:r>
        <w:rPr>
          <w:rFonts w:hint="eastAsia" w:ascii="仿宋" w:hAnsi="仿宋" w:eastAsia="仿宋" w:cs="仿宋"/>
          <w:sz w:val="32"/>
          <w:szCs w:val="32"/>
        </w:rPr>
        <w:t>2020年无预算采购项目</w:t>
      </w:r>
    </w:p>
    <w:bookmarkEnd w:id="0"/>
    <w:p>
      <w:pPr>
        <w:ind w:firstLine="630"/>
        <w:outlineLvl w:val="0"/>
        <w:rPr>
          <w:rFonts w:ascii="黑体" w:hAnsi="黑体" w:eastAsia="黑体"/>
          <w:sz w:val="32"/>
          <w:szCs w:val="32"/>
        </w:rPr>
      </w:pPr>
      <w:r>
        <w:rPr>
          <w:rFonts w:hint="eastAsia" w:ascii="黑体" w:hAnsi="黑体" w:eastAsia="黑体" w:cs="黑体"/>
          <w:sz w:val="32"/>
          <w:szCs w:val="32"/>
        </w:rPr>
        <w:t>七、国有资产信息</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馆陶县委宣传部2019年末固定资产金额为23.92万元（详见下表）。</w:t>
      </w:r>
    </w:p>
    <w:tbl>
      <w:tblPr>
        <w:tblStyle w:val="7"/>
        <w:tblW w:w="7938" w:type="dxa"/>
        <w:tblInd w:w="392" w:type="dxa"/>
        <w:tblLayout w:type="fixed"/>
        <w:tblCellMar>
          <w:top w:w="0" w:type="dxa"/>
          <w:left w:w="108" w:type="dxa"/>
          <w:bottom w:w="0" w:type="dxa"/>
          <w:right w:w="108" w:type="dxa"/>
        </w:tblCellMar>
      </w:tblPr>
      <w:tblGrid>
        <w:gridCol w:w="3402"/>
        <w:gridCol w:w="992"/>
        <w:gridCol w:w="3544"/>
      </w:tblGrid>
      <w:tr>
        <w:tblPrEx>
          <w:tblCellMar>
            <w:top w:w="0" w:type="dxa"/>
            <w:left w:w="108" w:type="dxa"/>
            <w:bottom w:w="0" w:type="dxa"/>
            <w:right w:w="108" w:type="dxa"/>
          </w:tblCellMar>
        </w:tblPrEx>
        <w:trPr>
          <w:trHeight w:val="798" w:hRule="atLeast"/>
        </w:trPr>
        <w:tc>
          <w:tcPr>
            <w:tcW w:w="7938" w:type="dxa"/>
            <w:gridSpan w:val="3"/>
            <w:tcBorders>
              <w:top w:val="nil"/>
              <w:left w:val="nil"/>
              <w:bottom w:val="nil"/>
              <w:right w:val="nil"/>
            </w:tcBorders>
            <w:vAlign w:val="center"/>
          </w:tcPr>
          <w:p>
            <w:pPr>
              <w:widowControl/>
              <w:jc w:val="center"/>
              <w:rPr>
                <w:rFonts w:hint="eastAsia" w:ascii="宋体"/>
                <w:b/>
                <w:bCs/>
                <w:kern w:val="0"/>
                <w:sz w:val="32"/>
                <w:szCs w:val="32"/>
              </w:rPr>
            </w:pPr>
            <w:r>
              <w:rPr>
                <w:rFonts w:hint="eastAsia" w:ascii="宋体" w:hAnsi="宋体" w:cs="宋体"/>
                <w:b/>
                <w:bCs/>
                <w:kern w:val="0"/>
                <w:sz w:val="32"/>
                <w:szCs w:val="32"/>
              </w:rPr>
              <w:t>馆陶县县直部门固定资产占用情况表</w:t>
            </w:r>
          </w:p>
        </w:tc>
      </w:tr>
      <w:tr>
        <w:tblPrEx>
          <w:tblCellMar>
            <w:top w:w="0" w:type="dxa"/>
            <w:left w:w="108" w:type="dxa"/>
            <w:bottom w:w="0" w:type="dxa"/>
            <w:right w:w="108" w:type="dxa"/>
          </w:tblCellMar>
        </w:tblPrEx>
        <w:trPr>
          <w:trHeight w:val="577" w:hRule="atLeast"/>
        </w:trPr>
        <w:tc>
          <w:tcPr>
            <w:tcW w:w="4394"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编制部门：馆陶县委宣传部</w:t>
            </w:r>
          </w:p>
        </w:tc>
        <w:tc>
          <w:tcPr>
            <w:tcW w:w="3544"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截止时间：2019年12月31日</w:t>
            </w:r>
          </w:p>
        </w:tc>
      </w:tr>
      <w:tr>
        <w:tblPrEx>
          <w:tblCellMar>
            <w:top w:w="0" w:type="dxa"/>
            <w:left w:w="108" w:type="dxa"/>
            <w:bottom w:w="0" w:type="dxa"/>
            <w:right w:w="108" w:type="dxa"/>
          </w:tblCellMar>
        </w:tblPrEx>
        <w:trPr>
          <w:trHeight w:val="730"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项目</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数量</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23.92</w:t>
            </w: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w:t>
            </w: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18.2</w:t>
            </w: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5.72</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sz w:val="32"/>
          <w:szCs w:val="32"/>
        </w:rPr>
        <w:t>一般公共预算拨款收入：</w:t>
      </w:r>
      <w:r>
        <w:rPr>
          <w:rFonts w:hint="eastAsia" w:ascii="仿宋" w:hAnsi="仿宋" w:eastAsia="仿宋" w:cs="仿宋"/>
          <w:sz w:val="32"/>
          <w:szCs w:val="32"/>
        </w:rPr>
        <w:t>指省级财政当年拨付的资金。</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sz w:val="32"/>
          <w:szCs w:val="32"/>
        </w:rPr>
        <w:t>事业收入：</w:t>
      </w:r>
      <w:r>
        <w:rPr>
          <w:rFonts w:hint="eastAsia" w:ascii="仿宋" w:hAnsi="仿宋" w:eastAsia="仿宋" w:cs="仿宋"/>
          <w:sz w:val="32"/>
          <w:szCs w:val="32"/>
        </w:rPr>
        <w:t>指事业单位开展专业业务活动及辅助活动所取得的收入。</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sz w:val="32"/>
          <w:szCs w:val="32"/>
        </w:rPr>
        <w:t>其他收入：</w:t>
      </w:r>
      <w:r>
        <w:rPr>
          <w:rFonts w:hint="eastAsia" w:ascii="仿宋" w:hAnsi="仿宋" w:eastAsia="仿宋" w:cs="仿宋"/>
          <w:sz w:val="32"/>
          <w:szCs w:val="32"/>
        </w:rPr>
        <w:t>指除“一般公共预算拨款收入”、“事业收入”等以外的收入。主要是按规定动用的租房收入、存款利息收入等。</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sz w:val="32"/>
          <w:szCs w:val="32"/>
        </w:rPr>
        <w:t>基本支出：</w:t>
      </w:r>
      <w:r>
        <w:rPr>
          <w:rFonts w:hint="eastAsia" w:ascii="仿宋" w:hAnsi="仿宋" w:eastAsia="仿宋" w:cs="仿宋"/>
          <w:sz w:val="32"/>
          <w:szCs w:val="32"/>
        </w:rPr>
        <w:t>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sz w:val="32"/>
          <w:szCs w:val="32"/>
        </w:rPr>
        <w:t>项目支出：</w:t>
      </w:r>
      <w:r>
        <w:rPr>
          <w:rFonts w:hint="eastAsia" w:ascii="仿宋" w:hAnsi="仿宋" w:eastAsia="仿宋" w:cs="仿宋"/>
          <w:sz w:val="32"/>
          <w:szCs w:val="32"/>
        </w:rPr>
        <w:t>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
          <w:sz w:val="32"/>
          <w:szCs w:val="32"/>
        </w:rPr>
        <w:t>“三公”经费：</w:t>
      </w:r>
      <w:r>
        <w:rPr>
          <w:rFonts w:hint="eastAsia" w:ascii="仿宋" w:hAnsi="仿宋" w:eastAsia="仿宋" w:cs="仿宋"/>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rPr>
        <w:t>7、机关运行费：是指各部门的公用经费，包括办公及印刷费、邮电费、差旅费、会议费、一般设备购置费、公务用车运行维护费以及其他费用。</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仿宋" w:hAnsi="仿宋" w:eastAsia="仿宋" w:cs="仿宋"/>
          <w:sz w:val="32"/>
          <w:szCs w:val="32"/>
        </w:rPr>
        <w:t>无</w:t>
      </w: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1D37"/>
    <w:rsid w:val="0009251C"/>
    <w:rsid w:val="000961B0"/>
    <w:rsid w:val="000E5AE1"/>
    <w:rsid w:val="0015306D"/>
    <w:rsid w:val="00175D13"/>
    <w:rsid w:val="001E4CD0"/>
    <w:rsid w:val="00273E7D"/>
    <w:rsid w:val="002B4EAB"/>
    <w:rsid w:val="002B7066"/>
    <w:rsid w:val="002C2891"/>
    <w:rsid w:val="002F322A"/>
    <w:rsid w:val="0031109E"/>
    <w:rsid w:val="00331F08"/>
    <w:rsid w:val="0034079A"/>
    <w:rsid w:val="00355582"/>
    <w:rsid w:val="003875C1"/>
    <w:rsid w:val="003962A8"/>
    <w:rsid w:val="003D75C0"/>
    <w:rsid w:val="003E491B"/>
    <w:rsid w:val="003F0952"/>
    <w:rsid w:val="0041106C"/>
    <w:rsid w:val="00447AAA"/>
    <w:rsid w:val="00455B33"/>
    <w:rsid w:val="004740B0"/>
    <w:rsid w:val="0051597D"/>
    <w:rsid w:val="005268DD"/>
    <w:rsid w:val="00556C00"/>
    <w:rsid w:val="0057100F"/>
    <w:rsid w:val="005C4230"/>
    <w:rsid w:val="005D3183"/>
    <w:rsid w:val="005D3BA1"/>
    <w:rsid w:val="005D69FB"/>
    <w:rsid w:val="005D6DD9"/>
    <w:rsid w:val="005E015D"/>
    <w:rsid w:val="00606439"/>
    <w:rsid w:val="00641BF0"/>
    <w:rsid w:val="006D0C4D"/>
    <w:rsid w:val="00720FCB"/>
    <w:rsid w:val="00743E4D"/>
    <w:rsid w:val="0074453E"/>
    <w:rsid w:val="007602E7"/>
    <w:rsid w:val="00782811"/>
    <w:rsid w:val="00795318"/>
    <w:rsid w:val="007B3EC5"/>
    <w:rsid w:val="007B4E99"/>
    <w:rsid w:val="007D0F19"/>
    <w:rsid w:val="007E57D1"/>
    <w:rsid w:val="008020D3"/>
    <w:rsid w:val="008164DC"/>
    <w:rsid w:val="008241FD"/>
    <w:rsid w:val="00825AB4"/>
    <w:rsid w:val="00836ABF"/>
    <w:rsid w:val="00872978"/>
    <w:rsid w:val="008771E8"/>
    <w:rsid w:val="0088640D"/>
    <w:rsid w:val="00892D2A"/>
    <w:rsid w:val="00894C41"/>
    <w:rsid w:val="008B0AD8"/>
    <w:rsid w:val="008E30B2"/>
    <w:rsid w:val="009016FA"/>
    <w:rsid w:val="0091172F"/>
    <w:rsid w:val="00916AB8"/>
    <w:rsid w:val="00924FD2"/>
    <w:rsid w:val="00962CFA"/>
    <w:rsid w:val="00996164"/>
    <w:rsid w:val="009A13BC"/>
    <w:rsid w:val="00A03C5A"/>
    <w:rsid w:val="00A11D46"/>
    <w:rsid w:val="00A5105A"/>
    <w:rsid w:val="00A5157D"/>
    <w:rsid w:val="00AA0BEA"/>
    <w:rsid w:val="00AB1313"/>
    <w:rsid w:val="00AD227F"/>
    <w:rsid w:val="00B24CF2"/>
    <w:rsid w:val="00B3267F"/>
    <w:rsid w:val="00B33B66"/>
    <w:rsid w:val="00B7697B"/>
    <w:rsid w:val="00B94342"/>
    <w:rsid w:val="00BA1ABE"/>
    <w:rsid w:val="00BC77B2"/>
    <w:rsid w:val="00BD076A"/>
    <w:rsid w:val="00C30770"/>
    <w:rsid w:val="00C44047"/>
    <w:rsid w:val="00C62C69"/>
    <w:rsid w:val="00C67CC4"/>
    <w:rsid w:val="00C82A78"/>
    <w:rsid w:val="00C84B54"/>
    <w:rsid w:val="00C96FAB"/>
    <w:rsid w:val="00CA7CB8"/>
    <w:rsid w:val="00CE6CF0"/>
    <w:rsid w:val="00D35276"/>
    <w:rsid w:val="00D36B30"/>
    <w:rsid w:val="00D57139"/>
    <w:rsid w:val="00DA3BBD"/>
    <w:rsid w:val="00DA5A62"/>
    <w:rsid w:val="00E056C6"/>
    <w:rsid w:val="00E0632F"/>
    <w:rsid w:val="00E348C2"/>
    <w:rsid w:val="00E66726"/>
    <w:rsid w:val="00EC3709"/>
    <w:rsid w:val="00ED6FC7"/>
    <w:rsid w:val="00EE442D"/>
    <w:rsid w:val="00EF6BED"/>
    <w:rsid w:val="00F128BE"/>
    <w:rsid w:val="00F7075C"/>
    <w:rsid w:val="00FA2238"/>
    <w:rsid w:val="00FA5AAA"/>
    <w:rsid w:val="00FE789B"/>
    <w:rsid w:val="036D78E1"/>
    <w:rsid w:val="150B71A6"/>
    <w:rsid w:val="18437F9A"/>
    <w:rsid w:val="537816E4"/>
    <w:rsid w:val="6CE82ACE"/>
    <w:rsid w:val="732932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uiPriority w:val="99"/>
    <w:rPr>
      <w:rFonts w:ascii="Times New Roman" w:hAnsi="Times New Roman" w:cs="Times New Roman"/>
    </w:rPr>
  </w:style>
  <w:style w:type="paragraph" w:styleId="5">
    <w:name w:val="footnote text"/>
    <w:basedOn w:val="1"/>
    <w:link w:val="12"/>
    <w:semiHidden/>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uiPriority w:val="99"/>
    <w:rPr>
      <w:vertAlign w:val="superscript"/>
    </w:rPr>
  </w:style>
  <w:style w:type="character" w:customStyle="1" w:styleId="10">
    <w:name w:val="页脚 Char"/>
    <w:basedOn w:val="8"/>
    <w:link w:val="2"/>
    <w:semiHidden/>
    <w:qFormat/>
    <w:locked/>
    <w:uiPriority w:val="99"/>
    <w:rPr>
      <w:rFonts w:ascii="Times New Roman" w:hAnsi="Times New Roman" w:eastAsia="宋体" w:cs="Times New Roman"/>
      <w:sz w:val="18"/>
      <w:szCs w:val="18"/>
    </w:rPr>
  </w:style>
  <w:style w:type="character" w:customStyle="1" w:styleId="11">
    <w:name w:val="页眉 Char"/>
    <w:basedOn w:val="8"/>
    <w:link w:val="3"/>
    <w:semiHidden/>
    <w:locked/>
    <w:uiPriority w:val="99"/>
    <w:rPr>
      <w:rFonts w:ascii="Times New Roman" w:hAnsi="Times New Roman" w:eastAsia="宋体" w:cs="Times New Roman"/>
      <w:sz w:val="18"/>
      <w:szCs w:val="18"/>
    </w:rPr>
  </w:style>
  <w:style w:type="character" w:customStyle="1" w:styleId="12">
    <w:name w:val="脚注文本 Char"/>
    <w:basedOn w:val="8"/>
    <w:link w:val="5"/>
    <w:semiHidden/>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278EBF-A378-4769-8D9E-58927B4B947B}">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4152</Words>
  <Characters>4291</Characters>
  <Lines>32</Lines>
  <Paragraphs>9</Paragraphs>
  <TotalTime>366</TotalTime>
  <ScaleCrop>false</ScaleCrop>
  <LinksUpToDate>false</LinksUpToDate>
  <CharactersWithSpaces>4295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2024-06-25T07:00:55Z</dcterms:modified>
  <dc:title>o</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336ACADA06A04E748990B8C421214531_13</vt:lpwstr>
  </property>
</Properties>
</file>