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宋体"/>
          <w:b/>
          <w:sz w:val="44"/>
          <w:szCs w:val="44"/>
        </w:rPr>
      </w:pPr>
    </w:p>
    <w:p>
      <w:pPr>
        <w:ind w:firstLine="883" w:firstLineChars="200"/>
        <w:jc w:val="center"/>
        <w:rPr>
          <w:rFonts w:hint="eastAsia" w:ascii="宋体"/>
          <w:b/>
          <w:sz w:val="44"/>
          <w:szCs w:val="44"/>
        </w:rPr>
      </w:pPr>
      <w:r>
        <w:rPr>
          <w:rFonts w:hint="eastAsia" w:ascii="宋体" w:hAnsi="宋体"/>
          <w:b/>
          <w:sz w:val="44"/>
          <w:szCs w:val="44"/>
        </w:rPr>
        <w:t>县委宣传部</w:t>
      </w:r>
      <w:r>
        <w:rPr>
          <w:rFonts w:ascii="宋体" w:hAnsi="宋体"/>
          <w:b/>
          <w:sz w:val="44"/>
          <w:szCs w:val="44"/>
        </w:rPr>
        <w:t>201</w:t>
      </w:r>
      <w:r>
        <w:rPr>
          <w:rFonts w:hint="eastAsia" w:ascii="宋体" w:hAnsi="宋体"/>
          <w:b/>
          <w:sz w:val="44"/>
          <w:szCs w:val="44"/>
        </w:rPr>
        <w:t>9年部门预算信息公开</w:t>
      </w:r>
    </w:p>
    <w:p>
      <w:pPr>
        <w:ind w:firstLine="640" w:firstLineChars="200"/>
        <w:rPr>
          <w:rFonts w:ascii="仿宋_GB2312" w:hAnsi="Times New Roman" w:eastAsia="仿宋_GB2312"/>
          <w:sz w:val="32"/>
          <w:szCs w:val="32"/>
        </w:rPr>
      </w:pPr>
    </w:p>
    <w:p>
      <w:pPr>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w:t>
      </w:r>
      <w:bookmarkStart w:id="4" w:name="_GoBack"/>
      <w:bookmarkEnd w:id="4"/>
      <w:r>
        <w:rPr>
          <w:rFonts w:hint="eastAsia" w:ascii="仿宋" w:hAnsi="仿宋" w:eastAsia="仿宋"/>
          <w:sz w:val="32"/>
          <w:szCs w:val="32"/>
        </w:rPr>
        <w:t>预算法》、《地方预决算公开操作规程》和《河北省省级预算公开办法》规定，现将我单位</w:t>
      </w:r>
      <w:r>
        <w:rPr>
          <w:rFonts w:ascii="仿宋" w:hAnsi="仿宋" w:eastAsia="仿宋"/>
          <w:sz w:val="32"/>
          <w:szCs w:val="32"/>
        </w:rPr>
        <w:t>201</w:t>
      </w:r>
      <w:r>
        <w:rPr>
          <w:rFonts w:hint="eastAsia" w:ascii="仿宋" w:hAnsi="仿宋" w:eastAsia="仿宋"/>
          <w:sz w:val="32"/>
          <w:szCs w:val="32"/>
        </w:rPr>
        <w:t>9年部门预算公开如下：</w:t>
      </w:r>
    </w:p>
    <w:p>
      <w:pPr>
        <w:ind w:firstLine="640"/>
        <w:rPr>
          <w:rFonts w:ascii="黑体" w:hAnsi="黑体" w:eastAsia="黑体"/>
          <w:b/>
          <w:sz w:val="32"/>
          <w:szCs w:val="32"/>
        </w:rPr>
      </w:pPr>
      <w:r>
        <w:rPr>
          <w:rFonts w:hint="eastAsia" w:ascii="黑体" w:hAnsi="黑体" w:eastAsia="黑体"/>
          <w:b/>
          <w:sz w:val="32"/>
          <w:szCs w:val="32"/>
        </w:rPr>
        <w:t>一、部门职责及机构设置情况</w:t>
      </w:r>
    </w:p>
    <w:p>
      <w:pPr>
        <w:ind w:firstLine="643" w:firstLineChars="200"/>
        <w:rPr>
          <w:rFonts w:ascii="黑体" w:hAnsi="Times New Roman" w:eastAsia="黑体"/>
          <w:b/>
          <w:sz w:val="32"/>
          <w:szCs w:val="32"/>
        </w:rPr>
      </w:pPr>
      <w:r>
        <w:rPr>
          <w:rFonts w:hint="eastAsia" w:ascii="黑体" w:hAnsi="Times New Roman" w:eastAsia="黑体"/>
          <w:b/>
          <w:sz w:val="32"/>
          <w:szCs w:val="32"/>
        </w:rPr>
        <w:t>部门职责：</w:t>
      </w:r>
    </w:p>
    <w:p>
      <w:pPr>
        <w:ind w:firstLine="640" w:firstLineChars="200"/>
        <w:rPr>
          <w:rFonts w:ascii="仿宋" w:hAnsi="仿宋" w:eastAsia="仿宋"/>
          <w:sz w:val="32"/>
          <w:szCs w:val="32"/>
        </w:rPr>
      </w:pPr>
      <w:r>
        <w:rPr>
          <w:rFonts w:hint="eastAsia" w:ascii="仿宋" w:hAnsi="仿宋" w:eastAsia="仿宋"/>
          <w:sz w:val="32"/>
          <w:szCs w:val="32"/>
        </w:rPr>
        <w:t>根据《中共馆陶县委宣传部职能配置内设机构和人员编制规定》中规定，县委宣传部的主要职责是：</w:t>
      </w:r>
    </w:p>
    <w:p>
      <w:pPr>
        <w:ind w:firstLine="640" w:firstLineChars="200"/>
        <w:rPr>
          <w:rFonts w:ascii="仿宋" w:hAnsi="仿宋" w:eastAsia="仿宋"/>
          <w:sz w:val="32"/>
          <w:szCs w:val="32"/>
        </w:rPr>
      </w:pPr>
      <w:r>
        <w:rPr>
          <w:rFonts w:hint="eastAsia" w:ascii="仿宋" w:hAnsi="仿宋" w:eastAsia="仿宋"/>
          <w:sz w:val="32"/>
          <w:szCs w:val="32"/>
        </w:rPr>
        <w:t>（一）负责指导全县理论研究、理论学习、理论宣传工作。负责县委理论学习中心组理论学习的有关工作。</w:t>
      </w:r>
    </w:p>
    <w:p>
      <w:pPr>
        <w:ind w:firstLine="640" w:firstLineChars="200"/>
        <w:rPr>
          <w:rFonts w:ascii="仿宋" w:hAnsi="仿宋" w:eastAsia="仿宋"/>
          <w:sz w:val="32"/>
          <w:szCs w:val="32"/>
        </w:rPr>
      </w:pPr>
      <w:r>
        <w:rPr>
          <w:rFonts w:hint="eastAsia" w:ascii="仿宋" w:hAnsi="仿宋" w:eastAsia="仿宋"/>
          <w:sz w:val="32"/>
          <w:szCs w:val="32"/>
        </w:rPr>
        <w:t>（二）负责引导社会舆论，指导、协调新闻、出版等部门。对广播电视局、新闻出版单位的工作实施方针、政策的指导；代管县新闻工作者协会。</w:t>
      </w:r>
    </w:p>
    <w:p>
      <w:pPr>
        <w:ind w:firstLine="640" w:firstLineChars="200"/>
        <w:rPr>
          <w:rFonts w:ascii="仿宋" w:hAnsi="仿宋" w:eastAsia="仿宋"/>
          <w:sz w:val="32"/>
          <w:szCs w:val="32"/>
        </w:rPr>
      </w:pPr>
      <w:r>
        <w:rPr>
          <w:rFonts w:hint="eastAsia" w:ascii="仿宋" w:hAnsi="仿宋" w:eastAsia="仿宋"/>
          <w:sz w:val="32"/>
          <w:szCs w:val="32"/>
        </w:rPr>
        <w:t>（三）负责从宏观上指导全县精神产品生产和文化市场的管理。对县文联的工作实施方针、政策的指导。</w:t>
      </w:r>
    </w:p>
    <w:p>
      <w:pPr>
        <w:ind w:firstLine="640" w:firstLineChars="200"/>
        <w:rPr>
          <w:rFonts w:ascii="仿宋" w:hAnsi="仿宋" w:eastAsia="仿宋"/>
          <w:sz w:val="32"/>
          <w:szCs w:val="32"/>
        </w:rPr>
      </w:pPr>
      <w:r>
        <w:rPr>
          <w:rFonts w:hint="eastAsia" w:ascii="仿宋" w:hAnsi="仿宋" w:eastAsia="仿宋"/>
          <w:sz w:val="32"/>
          <w:szCs w:val="32"/>
        </w:rPr>
        <w:t>（四）负责规划、部署全局性的思想政治工作任务；组织对全县性先进典型的学习推广；负责基层党员教育，编写党员教育教材；负责全县爱国主义教育基地建设、管理、使用；负责初级政工专业职称的评审、管理；领导馆陶县职工思想政策工作研究会。</w:t>
      </w:r>
    </w:p>
    <w:p>
      <w:pPr>
        <w:ind w:firstLine="640" w:firstLineChars="200"/>
        <w:rPr>
          <w:rFonts w:ascii="仿宋" w:hAnsi="仿宋" w:eastAsia="仿宋"/>
          <w:sz w:val="32"/>
          <w:szCs w:val="32"/>
        </w:rPr>
      </w:pPr>
      <w:r>
        <w:rPr>
          <w:rFonts w:hint="eastAsia" w:ascii="仿宋" w:hAnsi="仿宋" w:eastAsia="仿宋"/>
          <w:sz w:val="32"/>
          <w:szCs w:val="32"/>
        </w:rPr>
        <w:t>（五）受县委委托，会同县委组织部管理新闻、文化、出版部门的领导干部，并负责股级干部管理工作；对各乡镇宣传委员的任免提出意见；制定培训规划并组织对各乡镇宣传委员、县对口单位主管副职和宣传文化系统领导和业务骨干的培训；联系宣传文化系统的知识分子，配合有关部门做好知识分子工作。</w:t>
      </w:r>
    </w:p>
    <w:p>
      <w:pPr>
        <w:ind w:firstLine="640" w:firstLineChars="200"/>
        <w:rPr>
          <w:rFonts w:ascii="仿宋" w:hAnsi="仿宋" w:eastAsia="仿宋"/>
          <w:sz w:val="32"/>
          <w:szCs w:val="32"/>
        </w:rPr>
      </w:pPr>
      <w:r>
        <w:rPr>
          <w:rFonts w:hint="eastAsia" w:ascii="仿宋" w:hAnsi="仿宋" w:eastAsia="仿宋"/>
          <w:sz w:val="32"/>
          <w:szCs w:val="32"/>
        </w:rPr>
        <w:t>（六）负责提出全县宣传思想文化事业发展的指导方针；指导宣传文化系统制订有关政策、地方性法规；按照县委的工作部署，协调宣传文化系统各部门之间的关系。</w:t>
      </w:r>
    </w:p>
    <w:p>
      <w:pPr>
        <w:ind w:firstLine="640" w:firstLineChars="200"/>
        <w:rPr>
          <w:rFonts w:ascii="仿宋" w:hAnsi="仿宋" w:eastAsia="仿宋"/>
          <w:sz w:val="32"/>
          <w:szCs w:val="32"/>
        </w:rPr>
      </w:pPr>
      <w:r>
        <w:rPr>
          <w:rFonts w:hint="eastAsia" w:ascii="仿宋" w:hAnsi="仿宋" w:eastAsia="仿宋"/>
          <w:sz w:val="32"/>
          <w:szCs w:val="32"/>
        </w:rPr>
        <w:t>（七）研究、提出全县对外宣传事业发展规划，组织协调我县对外宣传和网上新闻宣传工作，完成市外宣局交办的各项工作。</w:t>
      </w:r>
    </w:p>
    <w:p>
      <w:pPr>
        <w:ind w:firstLine="640" w:firstLineChars="200"/>
        <w:rPr>
          <w:rFonts w:ascii="仿宋" w:hAnsi="仿宋" w:eastAsia="仿宋"/>
          <w:sz w:val="32"/>
          <w:szCs w:val="32"/>
        </w:rPr>
      </w:pPr>
      <w:r>
        <w:rPr>
          <w:rFonts w:hint="eastAsia" w:ascii="仿宋" w:hAnsi="仿宋" w:eastAsia="仿宋"/>
          <w:sz w:val="32"/>
          <w:szCs w:val="32"/>
        </w:rPr>
        <w:t>（八）研究拟定有关全县精神文明建设的方针、政策；规划部署全县精神文明建设工作；组织指导全县群众性精神文明创建活动。</w:t>
      </w:r>
    </w:p>
    <w:p>
      <w:pPr>
        <w:ind w:firstLine="640" w:firstLineChars="200"/>
        <w:rPr>
          <w:rFonts w:ascii="仿宋" w:hAnsi="仿宋" w:eastAsia="仿宋"/>
          <w:sz w:val="32"/>
          <w:szCs w:val="32"/>
        </w:rPr>
      </w:pPr>
      <w:r>
        <w:rPr>
          <w:rFonts w:hint="eastAsia" w:ascii="仿宋" w:hAnsi="仿宋" w:eastAsia="仿宋"/>
          <w:sz w:val="32"/>
          <w:szCs w:val="32"/>
        </w:rPr>
        <w:t>（九）按照县委的规定，管理县国防教育领导小组办公室的工作。</w:t>
      </w:r>
    </w:p>
    <w:p>
      <w:pPr>
        <w:ind w:firstLine="640" w:firstLineChars="200"/>
        <w:rPr>
          <w:rFonts w:ascii="仿宋" w:hAnsi="仿宋" w:eastAsia="仿宋"/>
          <w:sz w:val="32"/>
          <w:szCs w:val="32"/>
        </w:rPr>
      </w:pPr>
      <w:r>
        <w:rPr>
          <w:rFonts w:hint="eastAsia" w:ascii="仿宋" w:hAnsi="仿宋" w:eastAsia="仿宋"/>
          <w:sz w:val="32"/>
          <w:szCs w:val="32"/>
        </w:rPr>
        <w:t>（十）完成市委宣传部和县委交办的其他任务。</w:t>
      </w:r>
    </w:p>
    <w:p>
      <w:pPr>
        <w:autoSpaceDE w:val="0"/>
        <w:autoSpaceDN w:val="0"/>
        <w:adjustRightInd w:val="0"/>
        <w:ind w:left="198" w:firstLine="643" w:firstLineChars="200"/>
        <w:jc w:val="left"/>
        <w:rPr>
          <w:rFonts w:ascii="黑体" w:hAnsi="Times New Roman" w:eastAsia="黑体"/>
          <w:b/>
          <w:sz w:val="32"/>
          <w:szCs w:val="32"/>
        </w:rPr>
      </w:pPr>
      <w:r>
        <w:rPr>
          <w:rFonts w:hint="eastAsia" w:ascii="黑体" w:hAnsi="Times New Roman" w:eastAsia="黑体"/>
          <w:b/>
          <w:sz w:val="32"/>
          <w:szCs w:val="32"/>
        </w:rPr>
        <w:t>机构设置：</w:t>
      </w:r>
    </w:p>
    <w:p>
      <w:pPr>
        <w:jc w:val="center"/>
        <w:outlineLvl w:val="0"/>
        <w:rPr>
          <w:rFonts w:ascii="仿宋_GB2312" w:hAnsi="Times New Roman" w:eastAsia="仿宋_GB2312"/>
          <w:sz w:val="32"/>
          <w:szCs w:val="24"/>
        </w:rPr>
      </w:pPr>
      <w:r>
        <w:rPr>
          <w:rFonts w:hint="eastAsia" w:ascii="仿宋_GB2312" w:hAnsi="Times New Roman" w:eastAsia="仿宋_GB2312"/>
          <w:sz w:val="32"/>
          <w:szCs w:val="24"/>
        </w:rPr>
        <w:t>部门机构设置情况</w:t>
      </w:r>
    </w:p>
    <w:tbl>
      <w:tblPr>
        <w:tblStyle w:val="9"/>
        <w:tblW w:w="12742"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7"/>
        <w:gridCol w:w="4333"/>
        <w:gridCol w:w="2708"/>
        <w:gridCol w:w="3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437" w:type="dxa"/>
          </w:tcPr>
          <w:p>
            <w:pPr>
              <w:widowControl/>
              <w:spacing w:line="560" w:lineRule="exact"/>
              <w:rPr>
                <w:rFonts w:ascii="黑体" w:hAnsi="微软雅黑" w:eastAsia="黑体" w:cs="宋体"/>
                <w:color w:val="000000"/>
                <w:kern w:val="0"/>
                <w:sz w:val="30"/>
                <w:szCs w:val="30"/>
              </w:rPr>
            </w:pPr>
            <w:r>
              <w:rPr>
                <w:rFonts w:hint="eastAsia" w:ascii="黑体" w:hAnsi="微软雅黑" w:eastAsia="黑体" w:cs="宋体"/>
                <w:color w:val="000000"/>
                <w:kern w:val="0"/>
                <w:sz w:val="30"/>
                <w:szCs w:val="30"/>
              </w:rPr>
              <w:t>单位编码</w:t>
            </w:r>
          </w:p>
        </w:tc>
        <w:tc>
          <w:tcPr>
            <w:tcW w:w="4333" w:type="dxa"/>
          </w:tcPr>
          <w:p>
            <w:pPr>
              <w:widowControl/>
              <w:spacing w:line="560" w:lineRule="exact"/>
              <w:rPr>
                <w:rFonts w:ascii="黑体" w:hAnsi="微软雅黑" w:eastAsia="黑体" w:cs="宋体"/>
                <w:color w:val="000000"/>
                <w:kern w:val="0"/>
                <w:sz w:val="30"/>
                <w:szCs w:val="30"/>
              </w:rPr>
            </w:pPr>
            <w:r>
              <w:rPr>
                <w:rFonts w:hint="eastAsia" w:ascii="黑体" w:hAnsi="微软雅黑" w:eastAsia="黑体" w:cs="宋体"/>
                <w:color w:val="000000"/>
                <w:kern w:val="0"/>
                <w:sz w:val="30"/>
                <w:szCs w:val="30"/>
              </w:rPr>
              <w:t>单位名称</w:t>
            </w:r>
          </w:p>
        </w:tc>
        <w:tc>
          <w:tcPr>
            <w:tcW w:w="2708" w:type="dxa"/>
          </w:tcPr>
          <w:p>
            <w:pPr>
              <w:widowControl/>
              <w:spacing w:line="560" w:lineRule="exact"/>
              <w:rPr>
                <w:rFonts w:ascii="黑体" w:hAnsi="微软雅黑" w:eastAsia="黑体" w:cs="宋体"/>
                <w:color w:val="000000"/>
                <w:kern w:val="0"/>
                <w:sz w:val="30"/>
                <w:szCs w:val="30"/>
              </w:rPr>
            </w:pPr>
            <w:r>
              <w:rPr>
                <w:rFonts w:hint="eastAsia" w:ascii="黑体" w:hAnsi="微软雅黑" w:eastAsia="黑体" w:cs="宋体"/>
                <w:color w:val="000000"/>
                <w:kern w:val="0"/>
                <w:sz w:val="30"/>
                <w:szCs w:val="30"/>
              </w:rPr>
              <w:t>单位性质</w:t>
            </w:r>
          </w:p>
        </w:tc>
        <w:tc>
          <w:tcPr>
            <w:tcW w:w="3264" w:type="dxa"/>
          </w:tcPr>
          <w:p>
            <w:pPr>
              <w:widowControl/>
              <w:spacing w:line="560" w:lineRule="exact"/>
              <w:rPr>
                <w:rFonts w:ascii="黑体" w:hAnsi="微软雅黑" w:eastAsia="黑体" w:cs="宋体"/>
                <w:color w:val="000000"/>
                <w:kern w:val="0"/>
                <w:sz w:val="30"/>
                <w:szCs w:val="30"/>
              </w:rPr>
            </w:pPr>
            <w:r>
              <w:rPr>
                <w:rFonts w:hint="eastAsia" w:ascii="黑体" w:hAnsi="微软雅黑" w:eastAsia="黑体" w:cs="宋体"/>
                <w:color w:val="000000"/>
                <w:kern w:val="0"/>
                <w:sz w:val="30"/>
                <w:szCs w:val="30"/>
              </w:rPr>
              <w:t>财政供给政策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437" w:type="dxa"/>
          </w:tcPr>
          <w:p>
            <w:pPr>
              <w:widowControl/>
              <w:spacing w:line="560" w:lineRule="exact"/>
              <w:rPr>
                <w:rFonts w:ascii="仿宋" w:hAnsi="仿宋" w:eastAsia="仿宋" w:cs="宋体"/>
                <w:color w:val="000000"/>
                <w:kern w:val="0"/>
                <w:sz w:val="30"/>
                <w:szCs w:val="30"/>
              </w:rPr>
            </w:pPr>
            <w:r>
              <w:rPr>
                <w:rFonts w:hint="eastAsia" w:ascii="仿宋" w:hAnsi="仿宋" w:eastAsia="仿宋" w:cs="宋体"/>
                <w:color w:val="000000"/>
                <w:kern w:val="0"/>
                <w:sz w:val="30"/>
                <w:szCs w:val="30"/>
              </w:rPr>
              <w:t>211</w:t>
            </w:r>
          </w:p>
        </w:tc>
        <w:tc>
          <w:tcPr>
            <w:tcW w:w="4333" w:type="dxa"/>
          </w:tcPr>
          <w:p>
            <w:pPr>
              <w:widowControl/>
              <w:spacing w:line="560" w:lineRule="exact"/>
              <w:rPr>
                <w:rFonts w:ascii="仿宋" w:hAnsi="仿宋" w:eastAsia="仿宋" w:cs="宋体"/>
                <w:color w:val="000000"/>
                <w:kern w:val="0"/>
                <w:sz w:val="30"/>
                <w:szCs w:val="30"/>
              </w:rPr>
            </w:pPr>
            <w:r>
              <w:rPr>
                <w:rFonts w:hint="eastAsia" w:ascii="仿宋" w:hAnsi="仿宋" w:eastAsia="仿宋" w:cs="宋体"/>
                <w:color w:val="000000"/>
                <w:kern w:val="0"/>
                <w:sz w:val="30"/>
                <w:szCs w:val="30"/>
              </w:rPr>
              <w:t>馆陶县委宣传部</w:t>
            </w:r>
          </w:p>
        </w:tc>
        <w:tc>
          <w:tcPr>
            <w:tcW w:w="2708" w:type="dxa"/>
          </w:tcPr>
          <w:p>
            <w:pPr>
              <w:widowControl/>
              <w:spacing w:line="560" w:lineRule="exact"/>
              <w:rPr>
                <w:rFonts w:ascii="仿宋" w:hAnsi="仿宋" w:eastAsia="仿宋" w:cs="宋体"/>
                <w:color w:val="000000"/>
                <w:kern w:val="0"/>
                <w:sz w:val="30"/>
                <w:szCs w:val="30"/>
              </w:rPr>
            </w:pPr>
          </w:p>
        </w:tc>
        <w:tc>
          <w:tcPr>
            <w:tcW w:w="3264" w:type="dxa"/>
          </w:tcPr>
          <w:p>
            <w:pPr>
              <w:widowControl/>
              <w:spacing w:line="560" w:lineRule="exact"/>
              <w:rPr>
                <w:rFonts w:ascii="仿宋" w:hAnsi="仿宋" w:eastAsia="仿宋" w:cs="宋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437" w:type="dxa"/>
          </w:tcPr>
          <w:p>
            <w:pPr>
              <w:widowControl/>
              <w:spacing w:line="560" w:lineRule="exact"/>
              <w:rPr>
                <w:rFonts w:ascii="仿宋" w:hAnsi="仿宋" w:eastAsia="仿宋" w:cs="宋体"/>
                <w:color w:val="000000"/>
                <w:kern w:val="0"/>
                <w:sz w:val="30"/>
                <w:szCs w:val="30"/>
              </w:rPr>
            </w:pPr>
            <w:r>
              <w:rPr>
                <w:rFonts w:hint="eastAsia" w:ascii="仿宋" w:hAnsi="仿宋" w:eastAsia="仿宋" w:cs="宋体"/>
                <w:color w:val="000000"/>
                <w:kern w:val="0"/>
                <w:sz w:val="30"/>
                <w:szCs w:val="30"/>
              </w:rPr>
              <w:t>211002</w:t>
            </w:r>
          </w:p>
        </w:tc>
        <w:tc>
          <w:tcPr>
            <w:tcW w:w="4333" w:type="dxa"/>
          </w:tcPr>
          <w:p>
            <w:pPr>
              <w:widowControl/>
              <w:spacing w:line="560" w:lineRule="exact"/>
              <w:rPr>
                <w:rFonts w:ascii="仿宋" w:hAnsi="仿宋" w:eastAsia="仿宋" w:cs="宋体"/>
                <w:color w:val="000000"/>
                <w:kern w:val="0"/>
                <w:sz w:val="30"/>
                <w:szCs w:val="30"/>
              </w:rPr>
            </w:pPr>
            <w:r>
              <w:rPr>
                <w:rFonts w:hint="eastAsia" w:ascii="仿宋" w:hAnsi="仿宋" w:eastAsia="仿宋" w:cs="宋体"/>
                <w:color w:val="000000"/>
                <w:kern w:val="0"/>
                <w:sz w:val="30"/>
                <w:szCs w:val="30"/>
              </w:rPr>
              <w:t>馆陶县委宣传部机关</w:t>
            </w:r>
          </w:p>
        </w:tc>
        <w:tc>
          <w:tcPr>
            <w:tcW w:w="2708" w:type="dxa"/>
          </w:tcPr>
          <w:p>
            <w:pPr>
              <w:widowControl/>
              <w:spacing w:line="560" w:lineRule="exact"/>
              <w:rPr>
                <w:rFonts w:ascii="仿宋" w:hAnsi="仿宋" w:eastAsia="仿宋" w:cs="宋体"/>
                <w:color w:val="000000"/>
                <w:kern w:val="0"/>
                <w:sz w:val="30"/>
                <w:szCs w:val="30"/>
              </w:rPr>
            </w:pPr>
            <w:r>
              <w:rPr>
                <w:rFonts w:hint="eastAsia" w:ascii="仿宋" w:hAnsi="仿宋" w:eastAsia="仿宋" w:cs="宋体"/>
                <w:color w:val="000000"/>
                <w:kern w:val="0"/>
                <w:sz w:val="30"/>
                <w:szCs w:val="30"/>
              </w:rPr>
              <w:t>行政</w:t>
            </w:r>
          </w:p>
        </w:tc>
        <w:tc>
          <w:tcPr>
            <w:tcW w:w="3264" w:type="dxa"/>
          </w:tcPr>
          <w:p>
            <w:pPr>
              <w:widowControl/>
              <w:spacing w:line="560" w:lineRule="exact"/>
              <w:rPr>
                <w:rFonts w:ascii="仿宋" w:hAnsi="仿宋" w:eastAsia="仿宋" w:cs="宋体"/>
                <w:color w:val="000000"/>
                <w:kern w:val="0"/>
                <w:sz w:val="30"/>
                <w:szCs w:val="30"/>
              </w:rPr>
            </w:pPr>
            <w:r>
              <w:rPr>
                <w:rFonts w:hint="eastAsia" w:ascii="仿宋" w:hAnsi="仿宋" w:eastAsia="仿宋" w:cs="宋体"/>
                <w:color w:val="000000"/>
                <w:kern w:val="0"/>
                <w:sz w:val="30"/>
                <w:szCs w:val="3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437" w:type="dxa"/>
          </w:tcPr>
          <w:p>
            <w:pPr>
              <w:widowControl/>
              <w:spacing w:line="560" w:lineRule="exact"/>
              <w:rPr>
                <w:rFonts w:ascii="仿宋" w:hAnsi="仿宋" w:eastAsia="仿宋" w:cs="宋体"/>
                <w:color w:val="000000"/>
                <w:kern w:val="0"/>
                <w:sz w:val="30"/>
                <w:szCs w:val="30"/>
              </w:rPr>
            </w:pPr>
            <w:r>
              <w:rPr>
                <w:rFonts w:hint="eastAsia" w:ascii="仿宋" w:hAnsi="仿宋" w:eastAsia="仿宋" w:cs="宋体"/>
                <w:color w:val="000000"/>
                <w:kern w:val="0"/>
                <w:sz w:val="30"/>
                <w:szCs w:val="30"/>
              </w:rPr>
              <w:t>211003</w:t>
            </w:r>
          </w:p>
        </w:tc>
        <w:tc>
          <w:tcPr>
            <w:tcW w:w="4333" w:type="dxa"/>
          </w:tcPr>
          <w:p>
            <w:pPr>
              <w:widowControl/>
              <w:spacing w:line="560" w:lineRule="exact"/>
              <w:rPr>
                <w:rFonts w:ascii="仿宋" w:hAnsi="仿宋" w:eastAsia="仿宋" w:cs="宋体"/>
                <w:color w:val="000000"/>
                <w:kern w:val="0"/>
                <w:sz w:val="30"/>
                <w:szCs w:val="30"/>
              </w:rPr>
            </w:pPr>
            <w:r>
              <w:rPr>
                <w:rFonts w:hint="eastAsia" w:ascii="仿宋" w:hAnsi="仿宋" w:eastAsia="仿宋" w:cs="宋体"/>
                <w:color w:val="000000"/>
                <w:kern w:val="0"/>
                <w:sz w:val="30"/>
                <w:szCs w:val="30"/>
              </w:rPr>
              <w:t>馆陶县国教办</w:t>
            </w:r>
          </w:p>
        </w:tc>
        <w:tc>
          <w:tcPr>
            <w:tcW w:w="2708" w:type="dxa"/>
          </w:tcPr>
          <w:p>
            <w:pPr>
              <w:widowControl/>
              <w:spacing w:line="560" w:lineRule="exact"/>
              <w:rPr>
                <w:rFonts w:ascii="仿宋" w:hAnsi="仿宋" w:eastAsia="仿宋" w:cs="宋体"/>
                <w:color w:val="000000"/>
                <w:kern w:val="0"/>
                <w:sz w:val="30"/>
                <w:szCs w:val="30"/>
              </w:rPr>
            </w:pPr>
            <w:r>
              <w:rPr>
                <w:rFonts w:hint="eastAsia" w:ascii="仿宋" w:hAnsi="仿宋" w:eastAsia="仿宋" w:cs="宋体"/>
                <w:color w:val="000000"/>
                <w:kern w:val="0"/>
                <w:sz w:val="30"/>
                <w:szCs w:val="30"/>
              </w:rPr>
              <w:t>行政</w:t>
            </w:r>
          </w:p>
        </w:tc>
        <w:tc>
          <w:tcPr>
            <w:tcW w:w="3264" w:type="dxa"/>
          </w:tcPr>
          <w:p>
            <w:pPr>
              <w:widowControl/>
              <w:spacing w:line="560" w:lineRule="exact"/>
              <w:rPr>
                <w:rFonts w:ascii="仿宋" w:hAnsi="仿宋" w:eastAsia="仿宋" w:cs="宋体"/>
                <w:color w:val="000000"/>
                <w:kern w:val="0"/>
                <w:sz w:val="30"/>
                <w:szCs w:val="30"/>
              </w:rPr>
            </w:pPr>
            <w:r>
              <w:rPr>
                <w:rFonts w:hint="eastAsia" w:ascii="仿宋" w:hAnsi="仿宋" w:eastAsia="仿宋" w:cs="宋体"/>
                <w:color w:val="000000"/>
                <w:kern w:val="0"/>
                <w:sz w:val="30"/>
                <w:szCs w:val="3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437" w:type="dxa"/>
          </w:tcPr>
          <w:p>
            <w:pPr>
              <w:widowControl/>
              <w:spacing w:line="560" w:lineRule="exact"/>
              <w:rPr>
                <w:rFonts w:ascii="仿宋" w:hAnsi="仿宋" w:eastAsia="仿宋" w:cs="宋体"/>
                <w:color w:val="000000"/>
                <w:kern w:val="0"/>
                <w:sz w:val="30"/>
                <w:szCs w:val="30"/>
              </w:rPr>
            </w:pPr>
            <w:r>
              <w:rPr>
                <w:rFonts w:hint="eastAsia" w:ascii="仿宋" w:hAnsi="仿宋" w:eastAsia="仿宋" w:cs="宋体"/>
                <w:color w:val="000000"/>
                <w:kern w:val="0"/>
                <w:sz w:val="30"/>
                <w:szCs w:val="30"/>
              </w:rPr>
              <w:t>211004</w:t>
            </w:r>
          </w:p>
        </w:tc>
        <w:tc>
          <w:tcPr>
            <w:tcW w:w="4333" w:type="dxa"/>
          </w:tcPr>
          <w:p>
            <w:pPr>
              <w:widowControl/>
              <w:spacing w:line="560" w:lineRule="exact"/>
              <w:rPr>
                <w:rFonts w:ascii="仿宋" w:hAnsi="仿宋" w:eastAsia="仿宋" w:cs="宋体"/>
                <w:color w:val="000000"/>
                <w:kern w:val="0"/>
                <w:sz w:val="30"/>
                <w:szCs w:val="30"/>
              </w:rPr>
            </w:pPr>
            <w:r>
              <w:rPr>
                <w:rFonts w:hint="eastAsia" w:ascii="仿宋" w:hAnsi="仿宋" w:eastAsia="仿宋" w:cs="宋体"/>
                <w:color w:val="000000"/>
                <w:kern w:val="0"/>
                <w:sz w:val="30"/>
                <w:szCs w:val="30"/>
              </w:rPr>
              <w:t>馆陶县文明办</w:t>
            </w:r>
            <w:r>
              <w:rPr>
                <w:rFonts w:hint="eastAsia" w:ascii="仿宋" w:hAnsi="仿宋" w:eastAsia="仿宋" w:cs="宋体"/>
                <w:color w:val="000000"/>
                <w:kern w:val="0"/>
                <w:sz w:val="30"/>
                <w:szCs w:val="30"/>
              </w:rPr>
              <w:tab/>
            </w:r>
          </w:p>
        </w:tc>
        <w:tc>
          <w:tcPr>
            <w:tcW w:w="2708" w:type="dxa"/>
          </w:tcPr>
          <w:p>
            <w:pPr>
              <w:widowControl/>
              <w:spacing w:line="560" w:lineRule="exact"/>
              <w:rPr>
                <w:rFonts w:ascii="仿宋" w:hAnsi="仿宋" w:eastAsia="仿宋" w:cs="宋体"/>
                <w:color w:val="000000"/>
                <w:kern w:val="0"/>
                <w:sz w:val="30"/>
                <w:szCs w:val="30"/>
              </w:rPr>
            </w:pPr>
            <w:r>
              <w:rPr>
                <w:rFonts w:hint="eastAsia" w:ascii="仿宋" w:hAnsi="仿宋" w:eastAsia="仿宋" w:cs="宋体"/>
                <w:color w:val="000000"/>
                <w:kern w:val="0"/>
                <w:sz w:val="30"/>
                <w:szCs w:val="30"/>
              </w:rPr>
              <w:t>事业</w:t>
            </w:r>
          </w:p>
        </w:tc>
        <w:tc>
          <w:tcPr>
            <w:tcW w:w="3264" w:type="dxa"/>
          </w:tcPr>
          <w:p>
            <w:pPr>
              <w:widowControl/>
              <w:spacing w:line="560" w:lineRule="exact"/>
              <w:rPr>
                <w:rFonts w:ascii="仿宋" w:hAnsi="仿宋" w:eastAsia="仿宋" w:cs="宋体"/>
                <w:color w:val="000000"/>
                <w:kern w:val="0"/>
                <w:sz w:val="30"/>
                <w:szCs w:val="30"/>
              </w:rPr>
            </w:pPr>
            <w:r>
              <w:rPr>
                <w:rFonts w:hint="eastAsia" w:ascii="仿宋" w:hAnsi="仿宋" w:eastAsia="仿宋" w:cs="宋体"/>
                <w:color w:val="000000"/>
                <w:kern w:val="0"/>
                <w:sz w:val="30"/>
                <w:szCs w:val="3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437" w:type="dxa"/>
          </w:tcPr>
          <w:p>
            <w:pPr>
              <w:widowControl/>
              <w:spacing w:line="560" w:lineRule="exact"/>
              <w:rPr>
                <w:rFonts w:ascii="仿宋" w:hAnsi="仿宋" w:eastAsia="仿宋" w:cs="宋体"/>
                <w:color w:val="000000"/>
                <w:kern w:val="0"/>
                <w:sz w:val="30"/>
                <w:szCs w:val="30"/>
              </w:rPr>
            </w:pPr>
            <w:r>
              <w:rPr>
                <w:rFonts w:hint="eastAsia" w:ascii="仿宋" w:hAnsi="仿宋" w:eastAsia="仿宋" w:cs="宋体"/>
                <w:color w:val="000000"/>
                <w:kern w:val="0"/>
                <w:sz w:val="30"/>
                <w:szCs w:val="30"/>
              </w:rPr>
              <w:t>211005</w:t>
            </w:r>
          </w:p>
        </w:tc>
        <w:tc>
          <w:tcPr>
            <w:tcW w:w="4333" w:type="dxa"/>
          </w:tcPr>
          <w:p>
            <w:pPr>
              <w:widowControl/>
              <w:spacing w:line="560" w:lineRule="exact"/>
              <w:rPr>
                <w:rFonts w:ascii="仿宋" w:hAnsi="仿宋" w:eastAsia="仿宋" w:cs="宋体"/>
                <w:color w:val="000000"/>
                <w:kern w:val="0"/>
                <w:sz w:val="30"/>
                <w:szCs w:val="30"/>
              </w:rPr>
            </w:pPr>
            <w:r>
              <w:rPr>
                <w:rFonts w:hint="eastAsia" w:ascii="仿宋" w:hAnsi="仿宋" w:eastAsia="仿宋" w:cs="宋体"/>
                <w:color w:val="000000"/>
                <w:kern w:val="0"/>
                <w:sz w:val="30"/>
                <w:szCs w:val="30"/>
              </w:rPr>
              <w:t>馆陶县文联</w:t>
            </w:r>
          </w:p>
        </w:tc>
        <w:tc>
          <w:tcPr>
            <w:tcW w:w="2708" w:type="dxa"/>
          </w:tcPr>
          <w:p>
            <w:pPr>
              <w:widowControl/>
              <w:spacing w:line="560" w:lineRule="exact"/>
              <w:rPr>
                <w:rFonts w:ascii="仿宋" w:hAnsi="仿宋" w:eastAsia="仿宋" w:cs="宋体"/>
                <w:color w:val="000000"/>
                <w:kern w:val="0"/>
                <w:sz w:val="30"/>
                <w:szCs w:val="30"/>
              </w:rPr>
            </w:pPr>
            <w:r>
              <w:rPr>
                <w:rFonts w:hint="eastAsia" w:ascii="仿宋" w:hAnsi="仿宋" w:eastAsia="仿宋" w:cs="宋体"/>
                <w:color w:val="000000"/>
                <w:kern w:val="0"/>
                <w:sz w:val="30"/>
                <w:szCs w:val="30"/>
              </w:rPr>
              <w:t>参公事业</w:t>
            </w:r>
          </w:p>
        </w:tc>
        <w:tc>
          <w:tcPr>
            <w:tcW w:w="3264" w:type="dxa"/>
          </w:tcPr>
          <w:p>
            <w:pPr>
              <w:widowControl/>
              <w:spacing w:line="560" w:lineRule="exact"/>
              <w:rPr>
                <w:rFonts w:ascii="仿宋" w:hAnsi="仿宋" w:eastAsia="仿宋" w:cs="宋体"/>
                <w:color w:val="000000"/>
                <w:kern w:val="0"/>
                <w:sz w:val="30"/>
                <w:szCs w:val="30"/>
              </w:rPr>
            </w:pPr>
            <w:r>
              <w:rPr>
                <w:rFonts w:hint="eastAsia" w:ascii="仿宋" w:hAnsi="仿宋" w:eastAsia="仿宋" w:cs="宋体"/>
                <w:color w:val="000000"/>
                <w:kern w:val="0"/>
                <w:sz w:val="30"/>
                <w:szCs w:val="30"/>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437" w:type="dxa"/>
          </w:tcPr>
          <w:p>
            <w:pPr>
              <w:widowControl/>
              <w:spacing w:line="560" w:lineRule="exact"/>
              <w:rPr>
                <w:rFonts w:ascii="仿宋" w:hAnsi="仿宋" w:eastAsia="仿宋" w:cs="宋体"/>
                <w:color w:val="000000"/>
                <w:kern w:val="0"/>
                <w:sz w:val="30"/>
                <w:szCs w:val="30"/>
              </w:rPr>
            </w:pPr>
            <w:r>
              <w:rPr>
                <w:rFonts w:hint="eastAsia" w:ascii="仿宋" w:hAnsi="仿宋" w:eastAsia="仿宋" w:cs="宋体"/>
                <w:color w:val="000000"/>
                <w:kern w:val="0"/>
                <w:sz w:val="30"/>
                <w:szCs w:val="30"/>
              </w:rPr>
              <w:t>211006</w:t>
            </w:r>
          </w:p>
        </w:tc>
        <w:tc>
          <w:tcPr>
            <w:tcW w:w="4333" w:type="dxa"/>
          </w:tcPr>
          <w:p>
            <w:pPr>
              <w:widowControl/>
              <w:spacing w:line="560" w:lineRule="exact"/>
              <w:rPr>
                <w:rFonts w:ascii="仿宋" w:hAnsi="仿宋" w:eastAsia="仿宋" w:cs="宋体"/>
                <w:color w:val="000000"/>
                <w:kern w:val="0"/>
                <w:sz w:val="30"/>
                <w:szCs w:val="30"/>
              </w:rPr>
            </w:pPr>
            <w:r>
              <w:rPr>
                <w:rFonts w:hint="eastAsia" w:ascii="仿宋" w:hAnsi="仿宋" w:eastAsia="仿宋" w:cs="宋体"/>
                <w:color w:val="000000"/>
                <w:kern w:val="0"/>
                <w:sz w:val="30"/>
                <w:szCs w:val="30"/>
              </w:rPr>
              <w:t>馆陶博物馆</w:t>
            </w:r>
          </w:p>
        </w:tc>
        <w:tc>
          <w:tcPr>
            <w:tcW w:w="2708" w:type="dxa"/>
          </w:tcPr>
          <w:p>
            <w:pPr>
              <w:widowControl/>
              <w:spacing w:line="560" w:lineRule="exact"/>
              <w:rPr>
                <w:rFonts w:ascii="仿宋" w:hAnsi="仿宋" w:eastAsia="仿宋" w:cs="宋体"/>
                <w:color w:val="000000"/>
                <w:kern w:val="0"/>
                <w:sz w:val="30"/>
                <w:szCs w:val="30"/>
              </w:rPr>
            </w:pPr>
            <w:r>
              <w:rPr>
                <w:rFonts w:hint="eastAsia" w:ascii="仿宋" w:hAnsi="仿宋" w:eastAsia="仿宋" w:cs="宋体"/>
                <w:color w:val="000000"/>
                <w:kern w:val="0"/>
                <w:sz w:val="30"/>
                <w:szCs w:val="30"/>
              </w:rPr>
              <w:t>事业</w:t>
            </w:r>
          </w:p>
        </w:tc>
        <w:tc>
          <w:tcPr>
            <w:tcW w:w="3264" w:type="dxa"/>
          </w:tcPr>
          <w:p>
            <w:pPr>
              <w:widowControl/>
              <w:spacing w:line="560" w:lineRule="exact"/>
              <w:rPr>
                <w:rFonts w:ascii="仿宋" w:hAnsi="仿宋" w:eastAsia="仿宋" w:cs="宋体"/>
                <w:color w:val="000000"/>
                <w:kern w:val="0"/>
                <w:sz w:val="30"/>
                <w:szCs w:val="30"/>
              </w:rPr>
            </w:pPr>
            <w:r>
              <w:rPr>
                <w:rFonts w:hint="eastAsia" w:ascii="仿宋" w:hAnsi="仿宋" w:eastAsia="仿宋" w:cs="宋体"/>
                <w:color w:val="000000"/>
                <w:kern w:val="0"/>
                <w:sz w:val="30"/>
                <w:szCs w:val="30"/>
              </w:rPr>
              <w:t>财政拨款</w:t>
            </w:r>
          </w:p>
        </w:tc>
      </w:tr>
    </w:tbl>
    <w:p>
      <w:pPr>
        <w:widowControl/>
        <w:spacing w:line="580" w:lineRule="exact"/>
        <w:ind w:firstLine="600" w:firstLineChars="200"/>
        <w:rPr>
          <w:rFonts w:ascii="黑体" w:hAnsi="微软雅黑" w:eastAsia="黑体" w:cs="宋体"/>
          <w:color w:val="000000"/>
          <w:kern w:val="0"/>
          <w:sz w:val="30"/>
          <w:szCs w:val="30"/>
        </w:rPr>
      </w:pPr>
    </w:p>
    <w:p>
      <w:pPr>
        <w:ind w:firstLine="640"/>
        <w:rPr>
          <w:rFonts w:ascii="黑体" w:hAnsi="黑体" w:eastAsia="黑体"/>
          <w:b/>
          <w:sz w:val="32"/>
          <w:szCs w:val="32"/>
        </w:rPr>
      </w:pPr>
      <w:r>
        <w:rPr>
          <w:rFonts w:hint="eastAsia" w:ascii="黑体" w:hAnsi="黑体" w:eastAsia="黑体"/>
          <w:b/>
          <w:sz w:val="32"/>
          <w:szCs w:val="32"/>
        </w:rPr>
        <w:t>二、部门预算安排的总体情况</w:t>
      </w:r>
    </w:p>
    <w:p>
      <w:pPr>
        <w:ind w:firstLine="640"/>
        <w:rPr>
          <w:rFonts w:ascii="仿宋" w:hAnsi="仿宋" w:eastAsia="仿宋"/>
          <w:sz w:val="32"/>
          <w:szCs w:val="32"/>
        </w:rPr>
      </w:pPr>
      <w:r>
        <w:rPr>
          <w:rFonts w:hint="eastAsia" w:ascii="仿宋" w:hAnsi="仿宋" w:eastAsia="仿宋"/>
          <w:sz w:val="32"/>
          <w:szCs w:val="32"/>
        </w:rPr>
        <w:t>按照预算管理有关规定，目前我县部门预算的编制实行综合预算制度，即全部收入和支出都反映在预算中。县委宣传部及所属事业单位的收支包含在部门预算中。</w:t>
      </w:r>
    </w:p>
    <w:p>
      <w:pPr>
        <w:ind w:firstLine="64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、收入说明</w:t>
      </w:r>
    </w:p>
    <w:p>
      <w:pPr>
        <w:ind w:firstLine="640"/>
        <w:rPr>
          <w:rFonts w:ascii="仿宋" w:hAnsi="仿宋" w:eastAsia="仿宋"/>
          <w:sz w:val="32"/>
          <w:szCs w:val="32"/>
        </w:rPr>
      </w:pPr>
      <w:r>
        <w:rPr>
          <w:rFonts w:hint="eastAsia" w:ascii="仿宋" w:hAnsi="仿宋" w:eastAsia="仿宋"/>
          <w:sz w:val="32"/>
          <w:szCs w:val="32"/>
        </w:rPr>
        <w:t>反映本部门当年全部收入。</w:t>
      </w:r>
      <w:r>
        <w:rPr>
          <w:rFonts w:ascii="仿宋" w:hAnsi="仿宋" w:eastAsia="仿宋"/>
          <w:sz w:val="32"/>
          <w:szCs w:val="32"/>
        </w:rPr>
        <w:t>201</w:t>
      </w:r>
      <w:r>
        <w:rPr>
          <w:rFonts w:hint="eastAsia" w:ascii="仿宋" w:hAnsi="仿宋" w:eastAsia="仿宋"/>
          <w:sz w:val="32"/>
          <w:szCs w:val="32"/>
        </w:rPr>
        <w:t>9年预算收入623.7万元，其中：一般公共预算收入623.7万元,包括人员经费398.17万元、日常公用经费121.9万元和项目经费103万元。</w:t>
      </w:r>
    </w:p>
    <w:p>
      <w:pPr>
        <w:ind w:firstLine="64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、支出说明</w:t>
      </w:r>
    </w:p>
    <w:p>
      <w:pPr>
        <w:ind w:firstLine="640"/>
        <w:rPr>
          <w:rFonts w:ascii="仿宋" w:hAnsi="仿宋" w:eastAsia="仿宋"/>
          <w:sz w:val="32"/>
          <w:szCs w:val="32"/>
        </w:rPr>
      </w:pPr>
      <w:r>
        <w:rPr>
          <w:rFonts w:hint="eastAsia" w:ascii="仿宋" w:hAnsi="仿宋" w:eastAsia="仿宋"/>
          <w:sz w:val="32"/>
          <w:szCs w:val="32"/>
        </w:rPr>
        <w:t>收支预算总表支出栏、基本支出表、项目支出表按经济分类和支出功能分类科目编制，反映县委宣传部预算中支出预算的总体情况。</w:t>
      </w:r>
      <w:r>
        <w:rPr>
          <w:rFonts w:ascii="仿宋" w:hAnsi="仿宋" w:eastAsia="仿宋"/>
          <w:sz w:val="32"/>
          <w:szCs w:val="32"/>
        </w:rPr>
        <w:t>201</w:t>
      </w:r>
      <w:r>
        <w:rPr>
          <w:rFonts w:hint="eastAsia" w:ascii="仿宋" w:hAnsi="仿宋" w:eastAsia="仿宋"/>
          <w:sz w:val="32"/>
          <w:szCs w:val="32"/>
        </w:rPr>
        <w:t>9年支出预算623.7万元，其中基本支出520.7万元，包括人员经费398.17万元和日常公用经费121.9万元；项目支出103万元，主要用于博物馆布展等。</w:t>
      </w:r>
    </w:p>
    <w:p>
      <w:pPr>
        <w:ind w:firstLine="64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、比上年增减情况</w:t>
      </w:r>
    </w:p>
    <w:p>
      <w:pPr>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9年预算收支安排623.7万元，较</w:t>
      </w:r>
      <w:r>
        <w:rPr>
          <w:rFonts w:ascii="仿宋" w:hAnsi="仿宋" w:eastAsia="仿宋"/>
          <w:sz w:val="32"/>
          <w:szCs w:val="32"/>
        </w:rPr>
        <w:t>201</w:t>
      </w:r>
      <w:r>
        <w:rPr>
          <w:rFonts w:hint="eastAsia" w:ascii="仿宋" w:hAnsi="仿宋" w:eastAsia="仿宋"/>
          <w:sz w:val="32"/>
          <w:szCs w:val="32"/>
        </w:rPr>
        <w:t>8年预算增加271万元，其中：基本支出增加168万元，主要为人员增加及工资增加，属于正常调整工资；项目支出增加103万元，主要用于博物馆布展等。</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三、机关运行经费安排情况</w:t>
      </w:r>
    </w:p>
    <w:p>
      <w:pPr>
        <w:autoSpaceDE w:val="0"/>
        <w:autoSpaceDN w:val="0"/>
        <w:adjustRightInd w:val="0"/>
        <w:ind w:left="198" w:firstLine="640" w:firstLineChars="200"/>
        <w:jc w:val="left"/>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9年，县委宣传部机关运行经费共计安排29.5万元，主要用于办公费、印刷费、邮电费、差旅费等日常运行支出。</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四、财政拨款“三公”经费预算情况及增减变化原因</w:t>
      </w:r>
    </w:p>
    <w:p>
      <w:pPr>
        <w:autoSpaceDE w:val="0"/>
        <w:autoSpaceDN w:val="0"/>
        <w:adjustRightInd w:val="0"/>
        <w:ind w:left="198" w:firstLine="640" w:firstLineChars="200"/>
        <w:jc w:val="left"/>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9年，县委宣传部财政拨款“三公”经费预算安排2.7万元，其中因公出国（境）费</w:t>
      </w:r>
      <w:r>
        <w:rPr>
          <w:rFonts w:ascii="仿宋" w:hAnsi="仿宋" w:eastAsia="仿宋"/>
          <w:sz w:val="32"/>
          <w:szCs w:val="32"/>
        </w:rPr>
        <w:t>0</w:t>
      </w:r>
      <w:r>
        <w:rPr>
          <w:rFonts w:hint="eastAsia" w:ascii="仿宋" w:hAnsi="仿宋" w:eastAsia="仿宋"/>
          <w:sz w:val="32"/>
          <w:szCs w:val="32"/>
        </w:rPr>
        <w:t>万元，较上年持平；公务用车购置及运维费2.7万元（其中：公务用车购置费为</w:t>
      </w:r>
      <w:r>
        <w:rPr>
          <w:rFonts w:ascii="仿宋" w:hAnsi="仿宋" w:eastAsia="仿宋"/>
          <w:sz w:val="32"/>
          <w:szCs w:val="32"/>
        </w:rPr>
        <w:t>0</w:t>
      </w:r>
      <w:r>
        <w:rPr>
          <w:rFonts w:hint="eastAsia" w:ascii="仿宋" w:hAnsi="仿宋" w:eastAsia="仿宋"/>
          <w:sz w:val="32"/>
          <w:szCs w:val="32"/>
        </w:rPr>
        <w:t>万元，公务用车运维费2.7万元</w:t>
      </w:r>
      <w:r>
        <w:rPr>
          <w:rFonts w:ascii="仿宋" w:hAnsi="仿宋" w:eastAsia="仿宋"/>
          <w:sz w:val="32"/>
          <w:szCs w:val="32"/>
        </w:rPr>
        <w:t>)</w:t>
      </w:r>
      <w:r>
        <w:rPr>
          <w:rFonts w:hint="eastAsia" w:ascii="仿宋" w:hAnsi="仿宋" w:eastAsia="仿宋"/>
          <w:sz w:val="32"/>
          <w:szCs w:val="32"/>
        </w:rPr>
        <w:t>，较上年持平；公务接待费0万元，较上年持平。较</w:t>
      </w:r>
      <w:r>
        <w:rPr>
          <w:rFonts w:ascii="仿宋" w:hAnsi="仿宋" w:eastAsia="仿宋"/>
          <w:sz w:val="32"/>
          <w:szCs w:val="32"/>
        </w:rPr>
        <w:t>201</w:t>
      </w:r>
      <w:r>
        <w:rPr>
          <w:rFonts w:hint="eastAsia" w:ascii="仿宋" w:hAnsi="仿宋" w:eastAsia="仿宋"/>
          <w:sz w:val="32"/>
          <w:szCs w:val="32"/>
        </w:rPr>
        <w:t>8年“三公”经费支出预算持平，主要原因是我单位持续加强公车管理</w:t>
      </w:r>
      <w:r>
        <w:rPr>
          <w:rFonts w:hint="eastAsia" w:ascii="仿宋" w:hAnsi="仿宋" w:eastAsia="仿宋"/>
          <w:sz w:val="32"/>
          <w:szCs w:val="32"/>
          <w:lang w:val="zh-CN"/>
        </w:rPr>
        <w:t>，厉行节约</w:t>
      </w:r>
      <w:r>
        <w:rPr>
          <w:rFonts w:hint="eastAsia" w:ascii="仿宋" w:hAnsi="仿宋" w:eastAsia="仿宋"/>
          <w:sz w:val="32"/>
          <w:szCs w:val="32"/>
        </w:rPr>
        <w:t>，严禁非正常接待。</w:t>
      </w:r>
    </w:p>
    <w:p>
      <w:pPr>
        <w:ind w:firstLine="640"/>
        <w:rPr>
          <w:rFonts w:ascii="黑体" w:hAnsi="黑体" w:eastAsia="黑体"/>
          <w:b/>
          <w:sz w:val="32"/>
          <w:szCs w:val="32"/>
        </w:rPr>
      </w:pPr>
      <w:r>
        <w:rPr>
          <w:rFonts w:hint="eastAsia" w:ascii="黑体" w:hAnsi="黑体" w:eastAsia="黑体"/>
          <w:b/>
          <w:sz w:val="32"/>
          <w:szCs w:val="32"/>
        </w:rPr>
        <w:t>五、绩效预算信息</w:t>
      </w:r>
    </w:p>
    <w:p>
      <w:pPr>
        <w:ind w:firstLine="640"/>
        <w:outlineLvl w:val="1"/>
        <w:rPr>
          <w:rFonts w:ascii="仿宋" w:hAnsi="仿宋" w:eastAsia="仿宋"/>
          <w:sz w:val="32"/>
          <w:szCs w:val="32"/>
        </w:rPr>
      </w:pPr>
      <w:bookmarkStart w:id="0" w:name="_Toc471398463"/>
      <w:r>
        <w:rPr>
          <w:rFonts w:hint="eastAsia" w:ascii="黑体" w:hAnsi="Times New Roman" w:eastAsia="黑体"/>
          <w:b/>
          <w:sz w:val="32"/>
          <w:szCs w:val="32"/>
        </w:rPr>
        <w:t>总体绩效目标</w:t>
      </w:r>
      <w:r>
        <w:rPr>
          <w:rFonts w:hint="eastAsia" w:ascii="Times New Roman" w:hAnsi="Times New Roman" w:eastAsia="方正仿宋_GBK"/>
          <w:b/>
          <w:sz w:val="32"/>
          <w:szCs w:val="32"/>
        </w:rPr>
        <w:t>：</w:t>
      </w:r>
      <w:r>
        <w:rPr>
          <w:rFonts w:hint="eastAsia" w:ascii="仿宋" w:hAnsi="仿宋" w:eastAsia="仿宋"/>
          <w:sz w:val="32"/>
          <w:szCs w:val="32"/>
        </w:rPr>
        <w:t>我单位严格按照县政府《关于深化绩效预算管理改革的实施意见》和县财政部门《关于深化绩效预算管理改革实施方案》的要求，建立了“部门职责----工作活动----预算项目”三个层级的绩效预算管理结构和三级绩效目标指标管理体系，提高了财政资金使用绩效。</w:t>
      </w:r>
    </w:p>
    <w:p>
      <w:pPr>
        <w:ind w:firstLine="640"/>
        <w:outlineLvl w:val="1"/>
        <w:rPr>
          <w:rFonts w:ascii="仿宋" w:hAnsi="仿宋" w:eastAsia="仿宋"/>
          <w:sz w:val="32"/>
          <w:szCs w:val="32"/>
        </w:rPr>
      </w:pPr>
      <w:r>
        <w:rPr>
          <w:rFonts w:hint="eastAsia" w:ascii="仿宋" w:hAnsi="仿宋" w:eastAsia="仿宋"/>
          <w:sz w:val="32"/>
          <w:szCs w:val="32"/>
        </w:rPr>
        <w:t>部门</w:t>
      </w:r>
      <w:r>
        <w:rPr>
          <w:rFonts w:ascii="仿宋" w:hAnsi="仿宋" w:eastAsia="仿宋"/>
          <w:sz w:val="32"/>
          <w:szCs w:val="32"/>
        </w:rPr>
        <w:t>共</w:t>
      </w:r>
      <w:r>
        <w:rPr>
          <w:rFonts w:hint="eastAsia" w:ascii="仿宋" w:hAnsi="仿宋" w:eastAsia="仿宋"/>
          <w:sz w:val="32"/>
          <w:szCs w:val="32"/>
        </w:rPr>
        <w:t>7</w:t>
      </w:r>
      <w:r>
        <w:rPr>
          <w:rFonts w:ascii="仿宋" w:hAnsi="仿宋" w:eastAsia="仿宋"/>
          <w:sz w:val="32"/>
          <w:szCs w:val="32"/>
        </w:rPr>
        <w:t>项职责，</w:t>
      </w:r>
      <w:r>
        <w:rPr>
          <w:rFonts w:hint="eastAsia" w:ascii="仿宋" w:hAnsi="仿宋" w:eastAsia="仿宋"/>
          <w:sz w:val="32"/>
          <w:szCs w:val="32"/>
        </w:rPr>
        <w:t>16</w:t>
      </w:r>
      <w:r>
        <w:rPr>
          <w:rFonts w:ascii="仿宋" w:hAnsi="仿宋" w:eastAsia="仿宋"/>
          <w:sz w:val="32"/>
          <w:szCs w:val="32"/>
        </w:rPr>
        <w:t>项活动。按职责分类的绩效目标如下</w:t>
      </w:r>
      <w:r>
        <w:rPr>
          <w:rFonts w:hint="eastAsia" w:ascii="仿宋" w:hAnsi="仿宋" w:eastAsia="仿宋"/>
          <w:sz w:val="32"/>
          <w:szCs w:val="32"/>
        </w:rPr>
        <w:t>。</w:t>
      </w:r>
    </w:p>
    <w:p>
      <w:pPr>
        <w:ind w:firstLine="640"/>
        <w:outlineLvl w:val="1"/>
        <w:rPr>
          <w:rFonts w:ascii="仿宋" w:hAnsi="仿宋" w:eastAsia="仿宋"/>
          <w:sz w:val="32"/>
          <w:szCs w:val="32"/>
        </w:rPr>
      </w:pPr>
      <w:r>
        <w:rPr>
          <w:rFonts w:hint="eastAsia" w:ascii="黑体" w:eastAsia="黑体"/>
          <w:sz w:val="30"/>
          <w:szCs w:val="30"/>
        </w:rPr>
        <w:t>（一）思想政治工作。</w:t>
      </w:r>
      <w:r>
        <w:rPr>
          <w:rFonts w:hint="eastAsia" w:ascii="仿宋" w:hAnsi="仿宋" w:eastAsia="仿宋"/>
          <w:sz w:val="32"/>
          <w:szCs w:val="32"/>
        </w:rPr>
        <w:t>指导全县理论研究、理论学习、理论宣传工作；宏观指导精神产品创作生产；规划组织思想政治工作；指导协调宣传思想文化事业发展；加强舆论舆情引导管理；宏观指导协调互联网宣传和信息内容管理；加强精神文明建设。</w:t>
      </w:r>
    </w:p>
    <w:p>
      <w:pPr>
        <w:ind w:firstLine="640"/>
        <w:outlineLvl w:val="1"/>
        <w:rPr>
          <w:rFonts w:ascii="仿宋" w:hAnsi="仿宋" w:eastAsia="仿宋"/>
          <w:sz w:val="32"/>
          <w:szCs w:val="32"/>
        </w:rPr>
      </w:pPr>
      <w:r>
        <w:rPr>
          <w:rFonts w:hint="eastAsia" w:ascii="仿宋" w:hAnsi="仿宋" w:eastAsia="仿宋"/>
          <w:sz w:val="32"/>
          <w:szCs w:val="32"/>
        </w:rPr>
        <w:t>主要包括六项活动：</w:t>
      </w:r>
    </w:p>
    <w:p>
      <w:pPr>
        <w:ind w:firstLine="640"/>
        <w:outlineLvl w:val="1"/>
        <w:rPr>
          <w:rFonts w:ascii="仿宋" w:hAnsi="仿宋" w:eastAsia="仿宋"/>
          <w:sz w:val="32"/>
          <w:szCs w:val="32"/>
        </w:rPr>
      </w:pPr>
      <w:r>
        <w:rPr>
          <w:rFonts w:hint="eastAsia" w:ascii="仿宋" w:hAnsi="仿宋" w:eastAsia="仿宋"/>
          <w:sz w:val="32"/>
          <w:szCs w:val="32"/>
        </w:rPr>
        <w:t>1、思想理论建设。深入实施马克思主义理论研究和建设工程，深化中国特色社会主义和中国梦研究；深入学习宣传习近平总书记系列重要讲话；广泛开展理论宣传活动。</w:t>
      </w:r>
    </w:p>
    <w:p>
      <w:pPr>
        <w:ind w:firstLine="640"/>
        <w:outlineLvl w:val="1"/>
        <w:rPr>
          <w:rFonts w:ascii="仿宋" w:hAnsi="仿宋" w:eastAsia="仿宋"/>
          <w:sz w:val="32"/>
          <w:szCs w:val="32"/>
        </w:rPr>
      </w:pPr>
      <w:r>
        <w:rPr>
          <w:rFonts w:hint="eastAsia" w:ascii="仿宋" w:hAnsi="仿宋" w:eastAsia="仿宋"/>
          <w:sz w:val="32"/>
          <w:szCs w:val="32"/>
        </w:rPr>
        <w:t>2、思想政治工作。规划、部署全县思想政治工作任务，培育和践行社会主义核心价值观，宣传推广全县性先进典型，加强爱国主义教育基地建设和全民国防教育，加强基层党员教育，组织开展系列宣传教育活动。</w:t>
      </w:r>
    </w:p>
    <w:p>
      <w:pPr>
        <w:ind w:firstLine="640"/>
        <w:outlineLvl w:val="1"/>
        <w:rPr>
          <w:rFonts w:ascii="仿宋" w:hAnsi="仿宋" w:eastAsia="仿宋"/>
          <w:sz w:val="32"/>
          <w:szCs w:val="32"/>
        </w:rPr>
      </w:pPr>
      <w:r>
        <w:rPr>
          <w:rFonts w:hint="eastAsia" w:ascii="仿宋" w:hAnsi="仿宋" w:eastAsia="仿宋"/>
          <w:sz w:val="32"/>
          <w:szCs w:val="32"/>
        </w:rPr>
        <w:t>3、对外宣传事业。制订对外宣传事业发展规划，加强和改进新闻发布工作，扩大对外宣传，深化文化交流合作，开展多种形式的文化交流活动。</w:t>
      </w:r>
    </w:p>
    <w:p>
      <w:pPr>
        <w:ind w:firstLine="640"/>
        <w:outlineLvl w:val="1"/>
        <w:rPr>
          <w:rFonts w:ascii="仿宋" w:hAnsi="仿宋" w:eastAsia="仿宋"/>
          <w:sz w:val="32"/>
          <w:szCs w:val="32"/>
        </w:rPr>
      </w:pPr>
      <w:r>
        <w:rPr>
          <w:rFonts w:hint="eastAsia" w:ascii="仿宋" w:hAnsi="仿宋" w:eastAsia="仿宋"/>
          <w:sz w:val="32"/>
          <w:szCs w:val="32"/>
        </w:rPr>
        <w:t>4、舆论舆情引导管理。指导协调新闻舆论工作，组织系列主题新闻宣传，开展新闻业务调研评议；抓好新闻管理制度和措施落实；围绕社会热点敏感问题、突发事件，正确引导社会心态；组织开展舆情信息收集、分析、研判。</w:t>
      </w:r>
    </w:p>
    <w:p>
      <w:pPr>
        <w:ind w:firstLine="640"/>
        <w:outlineLvl w:val="1"/>
        <w:rPr>
          <w:rFonts w:ascii="仿宋" w:hAnsi="仿宋" w:eastAsia="仿宋"/>
          <w:sz w:val="32"/>
          <w:szCs w:val="32"/>
        </w:rPr>
      </w:pPr>
      <w:r>
        <w:rPr>
          <w:rFonts w:hint="eastAsia" w:ascii="仿宋" w:hAnsi="仿宋" w:eastAsia="仿宋"/>
          <w:sz w:val="32"/>
          <w:szCs w:val="32"/>
        </w:rPr>
        <w:t>5、互联网宣传和信息内容管理。加强网络安全和信息化工作，加强互联网宣传和信息内容管理，加强网络文化建设。</w:t>
      </w:r>
    </w:p>
    <w:p>
      <w:pPr>
        <w:ind w:firstLine="640"/>
        <w:outlineLvl w:val="1"/>
        <w:rPr>
          <w:rFonts w:ascii="仿宋" w:hAnsi="仿宋" w:eastAsia="仿宋"/>
          <w:sz w:val="32"/>
          <w:szCs w:val="32"/>
        </w:rPr>
      </w:pPr>
      <w:r>
        <w:rPr>
          <w:rFonts w:hint="eastAsia" w:ascii="仿宋" w:hAnsi="仿宋" w:eastAsia="仿宋"/>
          <w:sz w:val="32"/>
          <w:szCs w:val="32"/>
        </w:rPr>
        <w:t>6、精神文明建设。规划部署全县精神文明创建工作，组织指导全县群众性精神文明创建活动。</w:t>
      </w:r>
    </w:p>
    <w:p>
      <w:pPr>
        <w:ind w:firstLine="640"/>
        <w:outlineLvl w:val="1"/>
        <w:rPr>
          <w:rFonts w:ascii="仿宋" w:hAnsi="仿宋" w:eastAsia="仿宋"/>
          <w:sz w:val="32"/>
          <w:szCs w:val="32"/>
        </w:rPr>
      </w:pPr>
      <w:r>
        <w:rPr>
          <w:rFonts w:hint="eastAsia" w:ascii="黑体" w:eastAsia="黑体"/>
          <w:sz w:val="30"/>
          <w:szCs w:val="30"/>
        </w:rPr>
        <w:t>（二）推动文化发展工作。</w:t>
      </w:r>
      <w:r>
        <w:rPr>
          <w:rFonts w:hint="eastAsia" w:ascii="仿宋" w:hAnsi="仿宋" w:eastAsia="仿宋"/>
          <w:sz w:val="32"/>
          <w:szCs w:val="32"/>
        </w:rPr>
        <w:t>深化文化体制改革，构建现代公共文化服务体系；加强精神文化产品创作生产。</w:t>
      </w:r>
    </w:p>
    <w:p>
      <w:pPr>
        <w:ind w:firstLine="640"/>
        <w:outlineLvl w:val="1"/>
        <w:rPr>
          <w:rFonts w:ascii="仿宋" w:hAnsi="仿宋" w:eastAsia="仿宋"/>
          <w:sz w:val="32"/>
          <w:szCs w:val="32"/>
        </w:rPr>
      </w:pPr>
      <w:r>
        <w:rPr>
          <w:rFonts w:hint="eastAsia" w:ascii="仿宋" w:hAnsi="仿宋" w:eastAsia="仿宋"/>
          <w:sz w:val="32"/>
          <w:szCs w:val="32"/>
        </w:rPr>
        <w:t>主要包括两项活动：</w:t>
      </w:r>
    </w:p>
    <w:p>
      <w:pPr>
        <w:ind w:firstLine="640"/>
        <w:outlineLvl w:val="1"/>
        <w:rPr>
          <w:rFonts w:ascii="仿宋" w:hAnsi="仿宋" w:eastAsia="仿宋"/>
          <w:sz w:val="32"/>
          <w:szCs w:val="32"/>
        </w:rPr>
      </w:pPr>
      <w:r>
        <w:rPr>
          <w:rFonts w:hint="eastAsia" w:ascii="仿宋" w:hAnsi="仿宋" w:eastAsia="仿宋"/>
          <w:sz w:val="32"/>
          <w:szCs w:val="32"/>
        </w:rPr>
        <w:t>1、文化事业产业发展。研究制定全县文化发展方针政策，管理县级各类文化发展专项资金和基金，支持重点文化项目建设，加强文化招商，推动文化事业产业健康发展。</w:t>
      </w:r>
    </w:p>
    <w:p>
      <w:pPr>
        <w:ind w:firstLine="640"/>
        <w:outlineLvl w:val="1"/>
        <w:rPr>
          <w:rFonts w:ascii="仿宋" w:hAnsi="仿宋" w:eastAsia="仿宋"/>
          <w:sz w:val="32"/>
          <w:szCs w:val="32"/>
        </w:rPr>
      </w:pPr>
      <w:r>
        <w:rPr>
          <w:rFonts w:hint="eastAsia" w:ascii="仿宋" w:hAnsi="仿宋" w:eastAsia="仿宋"/>
          <w:sz w:val="32"/>
          <w:szCs w:val="32"/>
        </w:rPr>
        <w:t>2、文化艺术发展。研究制定全县文化艺术发展的指导方针，构建现代公共文化服务体系，加强精神文化产品创作生产，传承和保护优秀传统文化，推动文化艺术健康发展。</w:t>
      </w:r>
    </w:p>
    <w:p>
      <w:pPr>
        <w:ind w:firstLine="640"/>
        <w:outlineLvl w:val="1"/>
        <w:rPr>
          <w:rFonts w:ascii="仿宋" w:hAnsi="仿宋" w:eastAsia="仿宋"/>
          <w:sz w:val="32"/>
          <w:szCs w:val="32"/>
        </w:rPr>
      </w:pPr>
      <w:r>
        <w:rPr>
          <w:rFonts w:hint="eastAsia" w:ascii="黑体" w:eastAsia="黑体"/>
          <w:sz w:val="30"/>
          <w:szCs w:val="30"/>
        </w:rPr>
        <w:t>（三）宣传事务管理工作。</w:t>
      </w:r>
      <w:r>
        <w:rPr>
          <w:rFonts w:hint="eastAsia" w:ascii="仿宋" w:hAnsi="仿宋" w:eastAsia="仿宋"/>
          <w:sz w:val="32"/>
          <w:szCs w:val="32"/>
        </w:rPr>
        <w:t>负责系统综合业务管理和机关综合事务管理。</w:t>
      </w:r>
    </w:p>
    <w:p>
      <w:pPr>
        <w:ind w:firstLine="640"/>
        <w:outlineLvl w:val="1"/>
        <w:rPr>
          <w:rFonts w:ascii="仿宋" w:hAnsi="仿宋" w:eastAsia="仿宋"/>
          <w:sz w:val="32"/>
          <w:szCs w:val="32"/>
        </w:rPr>
      </w:pPr>
      <w:r>
        <w:rPr>
          <w:rFonts w:hint="eastAsia" w:ascii="仿宋" w:hAnsi="仿宋" w:eastAsia="仿宋"/>
          <w:sz w:val="32"/>
          <w:szCs w:val="32"/>
        </w:rPr>
        <w:t>主要包括两项活动：</w:t>
      </w:r>
    </w:p>
    <w:p>
      <w:pPr>
        <w:ind w:firstLine="640"/>
        <w:outlineLvl w:val="1"/>
        <w:rPr>
          <w:rFonts w:ascii="仿宋" w:hAnsi="仿宋" w:eastAsia="仿宋"/>
          <w:sz w:val="32"/>
          <w:szCs w:val="32"/>
        </w:rPr>
      </w:pPr>
      <w:r>
        <w:rPr>
          <w:rFonts w:hint="eastAsia" w:ascii="仿宋" w:hAnsi="仿宋" w:eastAsia="仿宋"/>
          <w:sz w:val="32"/>
          <w:szCs w:val="32"/>
        </w:rPr>
        <w:t>1、综合业务管理。制定全县宣传思想文化发展规划和政策制度并组织实施，开展宣传文化业务管理，加强政策业务宣传等。</w:t>
      </w:r>
    </w:p>
    <w:p>
      <w:pPr>
        <w:ind w:firstLine="640"/>
        <w:outlineLvl w:val="1"/>
        <w:rPr>
          <w:rFonts w:ascii="仿宋" w:hAnsi="仿宋" w:eastAsia="仿宋"/>
          <w:sz w:val="32"/>
          <w:szCs w:val="32"/>
        </w:rPr>
      </w:pPr>
      <w:r>
        <w:rPr>
          <w:rFonts w:hint="eastAsia" w:ascii="仿宋" w:hAnsi="仿宋" w:eastAsia="仿宋"/>
          <w:sz w:val="32"/>
          <w:szCs w:val="32"/>
        </w:rPr>
        <w:t>2、综合事务管理。开展会议组织管理、财务资产管理、干部人才队伍建设、机关党建等工作。</w:t>
      </w:r>
    </w:p>
    <w:p>
      <w:pPr>
        <w:ind w:firstLine="640"/>
        <w:outlineLvl w:val="1"/>
        <w:rPr>
          <w:rFonts w:ascii="仿宋" w:hAnsi="仿宋" w:eastAsia="仿宋"/>
          <w:sz w:val="32"/>
          <w:szCs w:val="32"/>
        </w:rPr>
      </w:pPr>
      <w:r>
        <w:rPr>
          <w:rFonts w:hint="eastAsia" w:ascii="黑体" w:eastAsia="黑体"/>
          <w:sz w:val="30"/>
          <w:szCs w:val="30"/>
        </w:rPr>
        <w:t>（四）文艺联络工作。</w:t>
      </w:r>
      <w:r>
        <w:rPr>
          <w:rFonts w:hint="eastAsia" w:ascii="仿宋" w:hAnsi="仿宋" w:eastAsia="仿宋"/>
          <w:sz w:val="32"/>
          <w:szCs w:val="32"/>
        </w:rPr>
        <w:t>组织召开县文联和全县文艺家协会代表大会、文联委员会和主席会议，组织召开全县文联系统的工作会议,开展会员间的联络、协调和服务工作，听取和反映文艺界的情况和意见。</w:t>
      </w:r>
    </w:p>
    <w:p>
      <w:pPr>
        <w:ind w:firstLine="640"/>
        <w:outlineLvl w:val="1"/>
        <w:rPr>
          <w:rFonts w:ascii="仿宋" w:hAnsi="仿宋" w:eastAsia="仿宋"/>
          <w:sz w:val="32"/>
          <w:szCs w:val="32"/>
        </w:rPr>
      </w:pPr>
      <w:r>
        <w:rPr>
          <w:rFonts w:hint="eastAsia" w:ascii="仿宋" w:hAnsi="仿宋" w:eastAsia="仿宋"/>
          <w:sz w:val="32"/>
          <w:szCs w:val="32"/>
        </w:rPr>
        <w:t>主要活动为：</w:t>
      </w:r>
    </w:p>
    <w:p>
      <w:pPr>
        <w:ind w:firstLine="640"/>
        <w:outlineLvl w:val="1"/>
        <w:rPr>
          <w:rFonts w:ascii="仿宋" w:hAnsi="仿宋" w:eastAsia="仿宋"/>
          <w:sz w:val="32"/>
          <w:szCs w:val="32"/>
        </w:rPr>
      </w:pPr>
      <w:r>
        <w:rPr>
          <w:rFonts w:hint="eastAsia" w:ascii="仿宋" w:hAnsi="仿宋" w:eastAsia="仿宋"/>
          <w:sz w:val="32"/>
          <w:szCs w:val="32"/>
        </w:rPr>
        <w:t>文艺联络。召开协会会议，加强会员管理，举办会员活动，维护活动场所，建设文艺人才资源库，组织文艺研修，提高广大文艺工作者的政治、业务素质。保障机关正常运行。</w:t>
      </w:r>
    </w:p>
    <w:p>
      <w:pPr>
        <w:ind w:firstLine="640"/>
        <w:outlineLvl w:val="1"/>
        <w:rPr>
          <w:rFonts w:ascii="仿宋" w:hAnsi="仿宋" w:eastAsia="仿宋"/>
          <w:sz w:val="32"/>
          <w:szCs w:val="32"/>
        </w:rPr>
      </w:pPr>
      <w:r>
        <w:rPr>
          <w:rFonts w:hint="eastAsia" w:ascii="黑体" w:eastAsia="黑体"/>
          <w:sz w:val="30"/>
          <w:szCs w:val="30"/>
        </w:rPr>
        <w:t>（五）文艺创作与推介工作。</w:t>
      </w:r>
      <w:r>
        <w:rPr>
          <w:rFonts w:hint="eastAsia" w:ascii="仿宋" w:hAnsi="仿宋" w:eastAsia="仿宋"/>
          <w:sz w:val="32"/>
          <w:szCs w:val="32"/>
        </w:rPr>
        <w:t>宣传、动员、组织广大文艺工作者致力于繁荣发展艺术事业，组织艺术家深入生活，创作优秀作品。组织文艺理论研讨和学术交流工作。</w:t>
      </w:r>
    </w:p>
    <w:p>
      <w:pPr>
        <w:ind w:firstLine="640"/>
        <w:outlineLvl w:val="1"/>
        <w:rPr>
          <w:rFonts w:ascii="仿宋" w:hAnsi="仿宋" w:eastAsia="仿宋"/>
          <w:sz w:val="32"/>
          <w:szCs w:val="32"/>
        </w:rPr>
      </w:pPr>
      <w:r>
        <w:rPr>
          <w:rFonts w:hint="eastAsia" w:ascii="仿宋" w:hAnsi="仿宋" w:eastAsia="仿宋"/>
          <w:sz w:val="32"/>
          <w:szCs w:val="32"/>
        </w:rPr>
        <w:t>主要包括三项活动：</w:t>
      </w:r>
    </w:p>
    <w:p>
      <w:pPr>
        <w:ind w:firstLine="640"/>
        <w:outlineLvl w:val="1"/>
        <w:rPr>
          <w:rFonts w:ascii="仿宋" w:hAnsi="仿宋" w:eastAsia="仿宋"/>
          <w:sz w:val="32"/>
          <w:szCs w:val="32"/>
        </w:rPr>
      </w:pPr>
      <w:r>
        <w:rPr>
          <w:rFonts w:hint="eastAsia" w:ascii="仿宋" w:hAnsi="仿宋" w:eastAsia="仿宋"/>
          <w:sz w:val="32"/>
          <w:szCs w:val="32"/>
        </w:rPr>
        <w:t>1、研讨推介。组织艺术家深入生活，打造艺术精品。举办文艺活动，积极申报文艺奖项、组织好县内评奖，弘扬优秀传统文化，推动文化强县建设。</w:t>
      </w:r>
    </w:p>
    <w:p>
      <w:pPr>
        <w:ind w:firstLine="640"/>
        <w:outlineLvl w:val="1"/>
        <w:rPr>
          <w:rFonts w:ascii="仿宋" w:hAnsi="仿宋" w:eastAsia="仿宋"/>
          <w:sz w:val="32"/>
          <w:szCs w:val="32"/>
        </w:rPr>
      </w:pPr>
      <w:r>
        <w:rPr>
          <w:rFonts w:hint="eastAsia" w:ascii="仿宋" w:hAnsi="仿宋" w:eastAsia="仿宋"/>
          <w:sz w:val="32"/>
          <w:szCs w:val="32"/>
        </w:rPr>
        <w:t>2、文艺宣传。广泛利用媒体多种形式推介优秀作品。营造积极向上的文化氛围。</w:t>
      </w:r>
    </w:p>
    <w:p>
      <w:pPr>
        <w:ind w:firstLine="640"/>
        <w:outlineLvl w:val="1"/>
        <w:rPr>
          <w:rFonts w:ascii="仿宋" w:hAnsi="仿宋" w:eastAsia="仿宋"/>
          <w:sz w:val="32"/>
          <w:szCs w:val="32"/>
        </w:rPr>
      </w:pPr>
      <w:r>
        <w:rPr>
          <w:rFonts w:hint="eastAsia" w:ascii="仿宋" w:hAnsi="仿宋" w:eastAsia="仿宋"/>
          <w:sz w:val="32"/>
          <w:szCs w:val="32"/>
        </w:rPr>
        <w:t>3、艺术交流。积极参加文化交流活动，提高县域文化凝聚力和影响力。</w:t>
      </w:r>
    </w:p>
    <w:p>
      <w:pPr>
        <w:ind w:firstLine="640"/>
        <w:outlineLvl w:val="1"/>
        <w:rPr>
          <w:rFonts w:ascii="仿宋" w:hAnsi="仿宋" w:eastAsia="仿宋"/>
          <w:sz w:val="32"/>
          <w:szCs w:val="32"/>
        </w:rPr>
      </w:pPr>
      <w:r>
        <w:rPr>
          <w:rFonts w:hint="eastAsia" w:ascii="黑体" w:eastAsia="黑体"/>
          <w:sz w:val="30"/>
          <w:szCs w:val="30"/>
        </w:rPr>
        <w:t>（六）国防教育工作。</w:t>
      </w:r>
      <w:r>
        <w:rPr>
          <w:rFonts w:hint="eastAsia" w:ascii="仿宋" w:hAnsi="仿宋" w:eastAsia="仿宋"/>
          <w:sz w:val="32"/>
          <w:szCs w:val="32"/>
        </w:rPr>
        <w:t>做好全民国防教育工作，发挥各自职能作用，服务中心工作。</w:t>
      </w:r>
    </w:p>
    <w:p>
      <w:pPr>
        <w:ind w:firstLine="640"/>
        <w:outlineLvl w:val="1"/>
        <w:rPr>
          <w:rFonts w:ascii="仿宋" w:hAnsi="仿宋" w:eastAsia="仿宋"/>
          <w:sz w:val="32"/>
          <w:szCs w:val="32"/>
        </w:rPr>
      </w:pPr>
      <w:r>
        <w:rPr>
          <w:rFonts w:hint="eastAsia" w:ascii="仿宋" w:hAnsi="仿宋" w:eastAsia="仿宋"/>
          <w:sz w:val="32"/>
          <w:szCs w:val="32"/>
        </w:rPr>
        <w:t>主要活动为：</w:t>
      </w:r>
    </w:p>
    <w:p>
      <w:pPr>
        <w:ind w:firstLine="640"/>
        <w:outlineLvl w:val="1"/>
        <w:rPr>
          <w:rFonts w:ascii="仿宋" w:hAnsi="仿宋" w:eastAsia="仿宋"/>
          <w:sz w:val="32"/>
          <w:szCs w:val="32"/>
        </w:rPr>
      </w:pPr>
      <w:r>
        <w:rPr>
          <w:rFonts w:hint="eastAsia" w:ascii="仿宋" w:hAnsi="仿宋" w:eastAsia="仿宋"/>
          <w:sz w:val="32"/>
          <w:szCs w:val="32"/>
        </w:rPr>
        <w:t>国防教育队伍、民兵组织建设。教育引导干部职工学习国防知识，增强国防理念，支持国防建设，加强国防教育宣传员培训和民兵组织建设，提高工作能力和民兵组织战斗力。</w:t>
      </w:r>
    </w:p>
    <w:p>
      <w:pPr>
        <w:ind w:firstLine="640"/>
        <w:outlineLvl w:val="1"/>
        <w:rPr>
          <w:rFonts w:ascii="仿宋" w:hAnsi="仿宋" w:eastAsia="仿宋"/>
          <w:sz w:val="32"/>
          <w:szCs w:val="32"/>
        </w:rPr>
      </w:pPr>
      <w:r>
        <w:rPr>
          <w:rFonts w:hint="eastAsia" w:ascii="黑体" w:eastAsia="黑体"/>
          <w:sz w:val="30"/>
          <w:szCs w:val="30"/>
        </w:rPr>
        <w:t>（七）发展博物馆事业工作。</w:t>
      </w:r>
      <w:r>
        <w:rPr>
          <w:rFonts w:hint="eastAsia" w:ascii="仿宋" w:hAnsi="仿宋" w:eastAsia="仿宋"/>
          <w:sz w:val="32"/>
          <w:szCs w:val="32"/>
        </w:rPr>
        <w:t>努力提升展示水平，改善服务设施与环境，拓展服务领域，提高公共服务质量，发挥在践行社会主义核心价值观中的重要作用。</w:t>
      </w:r>
    </w:p>
    <w:p>
      <w:pPr>
        <w:ind w:firstLine="640"/>
        <w:outlineLvl w:val="1"/>
        <w:rPr>
          <w:rFonts w:ascii="仿宋" w:hAnsi="仿宋" w:eastAsia="仿宋"/>
          <w:sz w:val="32"/>
          <w:szCs w:val="32"/>
        </w:rPr>
      </w:pPr>
      <w:r>
        <w:rPr>
          <w:rFonts w:hint="eastAsia" w:ascii="仿宋" w:hAnsi="仿宋" w:eastAsia="仿宋"/>
          <w:sz w:val="32"/>
          <w:szCs w:val="32"/>
        </w:rPr>
        <w:t>主要包括两项活动：</w:t>
      </w:r>
    </w:p>
    <w:p>
      <w:pPr>
        <w:ind w:firstLine="640"/>
        <w:outlineLvl w:val="1"/>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rPr>
        <w:tab/>
      </w:r>
      <w:r>
        <w:rPr>
          <w:rFonts w:hint="eastAsia" w:ascii="仿宋" w:hAnsi="仿宋" w:eastAsia="仿宋"/>
          <w:sz w:val="32"/>
          <w:szCs w:val="32"/>
        </w:rPr>
        <w:t>博物馆免费开放。做好博物馆免费开放的管理运行与安全保证等工作，推进文化传播和社会教育。</w:t>
      </w:r>
    </w:p>
    <w:p>
      <w:pPr>
        <w:ind w:firstLine="640"/>
        <w:outlineLvl w:val="1"/>
        <w:rPr>
          <w:rFonts w:ascii="仿宋" w:hAnsi="仿宋" w:eastAsia="仿宋"/>
          <w:sz w:val="32"/>
          <w:szCs w:val="32"/>
        </w:rPr>
      </w:pPr>
      <w:r>
        <w:rPr>
          <w:rFonts w:hint="eastAsia" w:ascii="仿宋" w:hAnsi="仿宋" w:eastAsia="仿宋"/>
          <w:sz w:val="32"/>
          <w:szCs w:val="32"/>
        </w:rPr>
        <w:t>博物馆展览提升</w:t>
      </w:r>
    </w:p>
    <w:p>
      <w:pPr>
        <w:ind w:firstLine="640"/>
        <w:outlineLvl w:val="1"/>
        <w:rPr>
          <w:rFonts w:ascii="仿宋" w:hAnsi="仿宋" w:eastAsia="仿宋"/>
          <w:sz w:val="32"/>
          <w:szCs w:val="32"/>
        </w:rPr>
      </w:pPr>
      <w:r>
        <w:rPr>
          <w:rFonts w:hint="eastAsia" w:ascii="仿宋" w:hAnsi="仿宋" w:eastAsia="仿宋"/>
          <w:sz w:val="32"/>
          <w:szCs w:val="32"/>
        </w:rPr>
        <w:t>2、抢救征集民间等流散文物、征集近现代及当代名家的名作，开展特色的文化衍生品研究、设计和开发，按照评估及绩效考评有关规定提升基本陈列，举办展览。</w:t>
      </w:r>
    </w:p>
    <w:p>
      <w:pPr>
        <w:pStyle w:val="8"/>
        <w:spacing w:before="0" w:beforeAutospacing="0" w:after="0" w:afterAutospacing="0" w:line="450" w:lineRule="atLeast"/>
        <w:ind w:firstLine="643" w:firstLineChars="200"/>
        <w:rPr>
          <w:rFonts w:ascii="黑体" w:hAnsi="黑体" w:eastAsia="黑体"/>
          <w:b/>
          <w:sz w:val="32"/>
          <w:szCs w:val="32"/>
        </w:rPr>
      </w:pPr>
    </w:p>
    <w:p>
      <w:pPr>
        <w:pStyle w:val="8"/>
        <w:spacing w:before="0" w:beforeAutospacing="0" w:after="0" w:afterAutospacing="0" w:line="450" w:lineRule="atLeast"/>
        <w:ind w:firstLine="643" w:firstLineChars="200"/>
        <w:rPr>
          <w:rFonts w:ascii="黑体" w:hAnsi="黑体" w:eastAsia="黑体"/>
          <w:b/>
          <w:sz w:val="32"/>
          <w:szCs w:val="32"/>
        </w:rPr>
      </w:pPr>
      <w:r>
        <w:rPr>
          <w:rFonts w:hint="eastAsia" w:ascii="黑体" w:hAnsi="黑体" w:eastAsia="黑体"/>
          <w:b/>
          <w:sz w:val="32"/>
          <w:szCs w:val="32"/>
        </w:rPr>
        <w:t>部门职责及工作活动绩效目标指标：</w:t>
      </w:r>
      <w:bookmarkStart w:id="1" w:name="_Toc510096851"/>
    </w:p>
    <w:p>
      <w:pPr>
        <w:jc w:val="center"/>
        <w:outlineLvl w:val="0"/>
        <w:rPr>
          <w:rFonts w:ascii="方正小标宋_GBK" w:eastAsia="方正小标宋_GBK"/>
          <w:sz w:val="32"/>
        </w:rPr>
      </w:pPr>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1"/>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8"/>
        <w:gridCol w:w="1275"/>
        <w:gridCol w:w="3770"/>
        <w:gridCol w:w="3034"/>
        <w:gridCol w:w="1359"/>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211宣传部</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548"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5"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3770"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3034"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359"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548" w:type="dxa"/>
            <w:vMerge w:val="continue"/>
            <w:vAlign w:val="center"/>
          </w:tcPr>
          <w:p>
            <w:pPr>
              <w:spacing w:line="300" w:lineRule="exact"/>
              <w:jc w:val="left"/>
              <w:outlineLvl w:val="0"/>
              <w:rPr>
                <w:rFonts w:hint="eastAsia"/>
              </w:rPr>
            </w:pPr>
          </w:p>
        </w:tc>
        <w:tc>
          <w:tcPr>
            <w:tcW w:w="1275" w:type="dxa"/>
            <w:vMerge w:val="continue"/>
            <w:vAlign w:val="center"/>
          </w:tcPr>
          <w:p>
            <w:pPr>
              <w:spacing w:line="300" w:lineRule="exact"/>
              <w:jc w:val="left"/>
              <w:outlineLvl w:val="0"/>
              <w:rPr>
                <w:rFonts w:hint="eastAsia"/>
              </w:rPr>
            </w:pPr>
          </w:p>
        </w:tc>
        <w:tc>
          <w:tcPr>
            <w:tcW w:w="3770" w:type="dxa"/>
            <w:vMerge w:val="continue"/>
            <w:vAlign w:val="center"/>
          </w:tcPr>
          <w:p>
            <w:pPr>
              <w:spacing w:line="300" w:lineRule="exact"/>
              <w:jc w:val="left"/>
              <w:outlineLvl w:val="0"/>
              <w:rPr>
                <w:rFonts w:hint="eastAsia"/>
              </w:rPr>
            </w:pPr>
          </w:p>
        </w:tc>
        <w:tc>
          <w:tcPr>
            <w:tcW w:w="3034" w:type="dxa"/>
            <w:vMerge w:val="continue"/>
            <w:vAlign w:val="center"/>
          </w:tcPr>
          <w:p>
            <w:pPr>
              <w:spacing w:line="300" w:lineRule="exact"/>
              <w:jc w:val="left"/>
              <w:outlineLvl w:val="0"/>
              <w:rPr>
                <w:rFonts w:hint="eastAsia"/>
              </w:rPr>
            </w:pPr>
          </w:p>
        </w:tc>
        <w:tc>
          <w:tcPr>
            <w:tcW w:w="1359" w:type="dxa"/>
            <w:vMerge w:val="continue"/>
            <w:vAlign w:val="center"/>
          </w:tcPr>
          <w:p>
            <w:pPr>
              <w:spacing w:line="300" w:lineRule="exact"/>
              <w:jc w:val="left"/>
              <w:outlineLvl w:val="0"/>
              <w:rPr>
                <w:rFonts w:hint="eastAsia"/>
              </w:rPr>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548" w:type="dxa"/>
            <w:vAlign w:val="center"/>
          </w:tcPr>
          <w:p>
            <w:pPr>
              <w:rPr>
                <w:rFonts w:ascii="宋体" w:hAnsi="宋体" w:cs="宋体"/>
                <w:sz w:val="18"/>
                <w:szCs w:val="18"/>
              </w:rPr>
            </w:pPr>
            <w:r>
              <w:rPr>
                <w:rFonts w:hint="eastAsia"/>
                <w:sz w:val="18"/>
                <w:szCs w:val="18"/>
              </w:rPr>
              <w:t>宣传思想工作</w:t>
            </w:r>
          </w:p>
        </w:tc>
        <w:tc>
          <w:tcPr>
            <w:tcW w:w="1275" w:type="dxa"/>
            <w:vAlign w:val="center"/>
          </w:tcPr>
          <w:p>
            <w:pPr>
              <w:rPr>
                <w:rFonts w:ascii="宋体" w:hAnsi="宋体" w:cs="宋体"/>
                <w:sz w:val="18"/>
                <w:szCs w:val="18"/>
              </w:rPr>
            </w:pPr>
            <w:r>
              <w:rPr>
                <w:rFonts w:hint="eastAsia" w:ascii="宋体" w:hAnsi="宋体" w:cs="宋体"/>
                <w:sz w:val="18"/>
                <w:szCs w:val="18"/>
              </w:rPr>
              <w:t>150000</w:t>
            </w:r>
          </w:p>
        </w:tc>
        <w:tc>
          <w:tcPr>
            <w:tcW w:w="3770" w:type="dxa"/>
            <w:vAlign w:val="center"/>
          </w:tcPr>
          <w:p>
            <w:pPr>
              <w:rPr>
                <w:rFonts w:ascii="宋体" w:hAnsi="宋体" w:cs="宋体"/>
                <w:sz w:val="18"/>
                <w:szCs w:val="18"/>
              </w:rPr>
            </w:pPr>
            <w:r>
              <w:rPr>
                <w:rFonts w:hint="eastAsia"/>
                <w:sz w:val="18"/>
                <w:szCs w:val="18"/>
              </w:rPr>
              <w:t>指导全县理论研究、理论学习、理论宣传工作；宏观指导精神产品创作生产；规划组织思想政治工作；指导协调宣传思想文化事业发展；加强舆论舆情引导管理；宏观指导协调互联网宣传和信息内容管理；加强精神文明建设。</w:t>
            </w:r>
          </w:p>
        </w:tc>
        <w:tc>
          <w:tcPr>
            <w:tcW w:w="3034" w:type="dxa"/>
            <w:vAlign w:val="center"/>
          </w:tcPr>
          <w:p>
            <w:pPr>
              <w:rPr>
                <w:rFonts w:ascii="宋体" w:hAnsi="宋体" w:cs="宋体"/>
                <w:sz w:val="18"/>
                <w:szCs w:val="18"/>
              </w:rPr>
            </w:pPr>
            <w:r>
              <w:rPr>
                <w:rFonts w:hint="eastAsia"/>
                <w:sz w:val="18"/>
                <w:szCs w:val="18"/>
              </w:rPr>
              <w:t>牢牢掌握意识形态工作领导权、管理权、话语权，弘扬主旋律，汇聚正能量，为全县经济社会发展提供有力的思想保证、精神动力、舆论支持。</w:t>
            </w:r>
          </w:p>
        </w:tc>
        <w:tc>
          <w:tcPr>
            <w:tcW w:w="1359"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548" w:type="dxa"/>
            <w:vAlign w:val="center"/>
          </w:tcPr>
          <w:p>
            <w:pPr>
              <w:rPr>
                <w:rFonts w:ascii="宋体" w:hAnsi="宋体" w:cs="宋体"/>
                <w:sz w:val="18"/>
                <w:szCs w:val="18"/>
              </w:rPr>
            </w:pPr>
            <w:r>
              <w:rPr>
                <w:rFonts w:hint="eastAsia"/>
                <w:sz w:val="18"/>
                <w:szCs w:val="18"/>
              </w:rPr>
              <w:t>推动文化发展</w:t>
            </w:r>
          </w:p>
        </w:tc>
        <w:tc>
          <w:tcPr>
            <w:tcW w:w="1275" w:type="dxa"/>
            <w:vAlign w:val="center"/>
          </w:tcPr>
          <w:p>
            <w:pPr>
              <w:rPr>
                <w:rFonts w:ascii="宋体" w:hAnsi="宋体" w:cs="宋体"/>
                <w:sz w:val="18"/>
                <w:szCs w:val="18"/>
              </w:rPr>
            </w:pPr>
            <w:r>
              <w:rPr>
                <w:rFonts w:hint="eastAsia" w:ascii="宋体" w:hAnsi="宋体" w:cs="宋体"/>
                <w:sz w:val="18"/>
                <w:szCs w:val="18"/>
              </w:rPr>
              <w:t>150000</w:t>
            </w:r>
          </w:p>
        </w:tc>
        <w:tc>
          <w:tcPr>
            <w:tcW w:w="3770" w:type="dxa"/>
            <w:vAlign w:val="center"/>
          </w:tcPr>
          <w:p>
            <w:pPr>
              <w:rPr>
                <w:rFonts w:ascii="宋体" w:hAnsi="宋体" w:cs="宋体"/>
                <w:sz w:val="18"/>
                <w:szCs w:val="18"/>
              </w:rPr>
            </w:pPr>
            <w:r>
              <w:rPr>
                <w:rFonts w:hint="eastAsia"/>
                <w:sz w:val="18"/>
                <w:szCs w:val="18"/>
              </w:rPr>
              <w:t>深化文化体制改革，构建现代公共文化服务体系；加强精神文化产品创作生产。</w:t>
            </w:r>
          </w:p>
        </w:tc>
        <w:tc>
          <w:tcPr>
            <w:tcW w:w="3034" w:type="dxa"/>
            <w:vAlign w:val="center"/>
          </w:tcPr>
          <w:p>
            <w:pPr>
              <w:rPr>
                <w:rFonts w:ascii="宋体" w:hAnsi="宋体" w:cs="宋体"/>
                <w:sz w:val="18"/>
                <w:szCs w:val="18"/>
              </w:rPr>
            </w:pPr>
            <w:r>
              <w:rPr>
                <w:rFonts w:hint="eastAsia"/>
                <w:sz w:val="18"/>
                <w:szCs w:val="18"/>
              </w:rPr>
              <w:t>进一步解放和发展文化生产力，推动全县文化事业和文化产业健康发展。</w:t>
            </w:r>
          </w:p>
        </w:tc>
        <w:tc>
          <w:tcPr>
            <w:tcW w:w="1359"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548" w:type="dxa"/>
            <w:vAlign w:val="center"/>
          </w:tcPr>
          <w:p>
            <w:pPr>
              <w:rPr>
                <w:rFonts w:ascii="宋体" w:hAnsi="宋体" w:cs="宋体"/>
                <w:sz w:val="18"/>
                <w:szCs w:val="18"/>
              </w:rPr>
            </w:pPr>
            <w:r>
              <w:rPr>
                <w:rFonts w:hint="eastAsia"/>
                <w:sz w:val="18"/>
                <w:szCs w:val="18"/>
              </w:rPr>
              <w:t>宣传事务管理</w:t>
            </w:r>
          </w:p>
        </w:tc>
        <w:tc>
          <w:tcPr>
            <w:tcW w:w="1275" w:type="dxa"/>
            <w:vAlign w:val="center"/>
          </w:tcPr>
          <w:p>
            <w:pPr>
              <w:rPr>
                <w:rFonts w:ascii="宋体" w:hAnsi="宋体" w:cs="宋体"/>
                <w:sz w:val="18"/>
                <w:szCs w:val="18"/>
              </w:rPr>
            </w:pPr>
            <w:r>
              <w:rPr>
                <w:rFonts w:hint="eastAsia" w:ascii="宋体" w:hAnsi="宋体" w:cs="宋体"/>
                <w:sz w:val="18"/>
                <w:szCs w:val="18"/>
              </w:rPr>
              <w:t>50000</w:t>
            </w:r>
          </w:p>
        </w:tc>
        <w:tc>
          <w:tcPr>
            <w:tcW w:w="3770" w:type="dxa"/>
            <w:vAlign w:val="center"/>
          </w:tcPr>
          <w:p>
            <w:pPr>
              <w:rPr>
                <w:rFonts w:ascii="宋体" w:hAnsi="宋体" w:cs="宋体"/>
                <w:sz w:val="18"/>
                <w:szCs w:val="18"/>
              </w:rPr>
            </w:pPr>
            <w:r>
              <w:rPr>
                <w:rFonts w:hint="eastAsia"/>
                <w:sz w:val="18"/>
                <w:szCs w:val="18"/>
              </w:rPr>
              <w:t>负责系统综合业务管理和机关综合事务管理。</w:t>
            </w:r>
          </w:p>
        </w:tc>
        <w:tc>
          <w:tcPr>
            <w:tcW w:w="3034" w:type="dxa"/>
            <w:vAlign w:val="center"/>
          </w:tcPr>
          <w:p>
            <w:pPr>
              <w:rPr>
                <w:rFonts w:ascii="宋体" w:hAnsi="宋体" w:cs="宋体"/>
                <w:sz w:val="18"/>
                <w:szCs w:val="18"/>
              </w:rPr>
            </w:pPr>
            <w:r>
              <w:rPr>
                <w:rFonts w:hint="eastAsia"/>
                <w:sz w:val="18"/>
                <w:szCs w:val="18"/>
              </w:rPr>
              <w:t>确保各项业务工作谋划到位、顺利开展。保障机关工作正常高效运转。</w:t>
            </w:r>
          </w:p>
        </w:tc>
        <w:tc>
          <w:tcPr>
            <w:tcW w:w="1359"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548" w:type="dxa"/>
            <w:vAlign w:val="center"/>
          </w:tcPr>
          <w:p>
            <w:pPr>
              <w:rPr>
                <w:rFonts w:ascii="宋体" w:hAnsi="宋体" w:cs="宋体"/>
                <w:sz w:val="18"/>
                <w:szCs w:val="18"/>
              </w:rPr>
            </w:pPr>
            <w:r>
              <w:rPr>
                <w:rFonts w:hint="eastAsia"/>
                <w:sz w:val="18"/>
                <w:szCs w:val="18"/>
              </w:rPr>
              <w:t>文艺联络</w:t>
            </w:r>
          </w:p>
        </w:tc>
        <w:tc>
          <w:tcPr>
            <w:tcW w:w="1275" w:type="dxa"/>
            <w:vAlign w:val="center"/>
          </w:tcPr>
          <w:p>
            <w:pPr>
              <w:rPr>
                <w:rFonts w:ascii="宋体" w:hAnsi="宋体" w:cs="宋体"/>
                <w:sz w:val="18"/>
                <w:szCs w:val="18"/>
              </w:rPr>
            </w:pPr>
            <w:r>
              <w:rPr>
                <w:rFonts w:hint="eastAsia" w:ascii="宋体" w:hAnsi="宋体" w:cs="宋体"/>
                <w:sz w:val="18"/>
                <w:szCs w:val="18"/>
              </w:rPr>
              <w:t>30000</w:t>
            </w:r>
          </w:p>
        </w:tc>
        <w:tc>
          <w:tcPr>
            <w:tcW w:w="3770" w:type="dxa"/>
            <w:vAlign w:val="center"/>
          </w:tcPr>
          <w:p>
            <w:pPr>
              <w:rPr>
                <w:rFonts w:ascii="宋体" w:hAnsi="宋体" w:cs="宋体"/>
                <w:sz w:val="18"/>
                <w:szCs w:val="18"/>
              </w:rPr>
            </w:pPr>
            <w:r>
              <w:rPr>
                <w:rFonts w:hint="eastAsia"/>
                <w:sz w:val="18"/>
                <w:szCs w:val="18"/>
              </w:rPr>
              <w:t>组织召开县文联和全县文艺家协会代表大会、文联委员会和主席会议，组织召开全县文联系统的工作会议,开展会员间的联络、协调和服务工作，听取和反映文艺界的情况和意见。</w:t>
            </w:r>
          </w:p>
        </w:tc>
        <w:tc>
          <w:tcPr>
            <w:tcW w:w="3034" w:type="dxa"/>
            <w:vAlign w:val="center"/>
          </w:tcPr>
          <w:p>
            <w:pPr>
              <w:rPr>
                <w:rFonts w:ascii="宋体" w:hAnsi="宋体" w:cs="宋体"/>
                <w:sz w:val="18"/>
                <w:szCs w:val="18"/>
              </w:rPr>
            </w:pPr>
            <w:r>
              <w:rPr>
                <w:rFonts w:hint="eastAsia"/>
                <w:sz w:val="18"/>
                <w:szCs w:val="18"/>
              </w:rPr>
              <w:t>推进协会管理科学规范，召开联络会议，组织会员活动，加大培训力度，为县域文艺事业健康快速发展提供组织保障。</w:t>
            </w:r>
          </w:p>
        </w:tc>
        <w:tc>
          <w:tcPr>
            <w:tcW w:w="1359"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548" w:type="dxa"/>
            <w:vAlign w:val="center"/>
          </w:tcPr>
          <w:p>
            <w:pPr>
              <w:rPr>
                <w:rFonts w:ascii="宋体" w:hAnsi="宋体" w:cs="宋体"/>
                <w:sz w:val="18"/>
                <w:szCs w:val="18"/>
              </w:rPr>
            </w:pPr>
            <w:r>
              <w:rPr>
                <w:rFonts w:hint="eastAsia"/>
                <w:sz w:val="18"/>
                <w:szCs w:val="18"/>
              </w:rPr>
              <w:t>文艺创作与推介</w:t>
            </w:r>
          </w:p>
        </w:tc>
        <w:tc>
          <w:tcPr>
            <w:tcW w:w="1275" w:type="dxa"/>
            <w:vAlign w:val="center"/>
          </w:tcPr>
          <w:p>
            <w:pPr>
              <w:rPr>
                <w:rFonts w:ascii="宋体" w:hAnsi="宋体" w:cs="宋体"/>
                <w:sz w:val="18"/>
                <w:szCs w:val="18"/>
              </w:rPr>
            </w:pPr>
            <w:r>
              <w:rPr>
                <w:rFonts w:hint="eastAsia" w:ascii="宋体" w:hAnsi="宋体" w:cs="宋体"/>
                <w:sz w:val="18"/>
                <w:szCs w:val="18"/>
              </w:rPr>
              <w:t>120000</w:t>
            </w:r>
          </w:p>
        </w:tc>
        <w:tc>
          <w:tcPr>
            <w:tcW w:w="3770" w:type="dxa"/>
            <w:vAlign w:val="center"/>
          </w:tcPr>
          <w:p>
            <w:pPr>
              <w:rPr>
                <w:rFonts w:ascii="宋体" w:hAnsi="宋体" w:cs="宋体"/>
                <w:sz w:val="18"/>
                <w:szCs w:val="18"/>
              </w:rPr>
            </w:pPr>
            <w:r>
              <w:rPr>
                <w:rFonts w:hint="eastAsia"/>
                <w:sz w:val="18"/>
                <w:szCs w:val="18"/>
              </w:rPr>
              <w:t>宣传、动员、组织广大文艺工作者致力于繁荣发展艺术事业，组织艺术家深入生活，创作优秀作品。组织文艺理论研讨和学术交流工作。</w:t>
            </w:r>
          </w:p>
        </w:tc>
        <w:tc>
          <w:tcPr>
            <w:tcW w:w="3034" w:type="dxa"/>
            <w:vAlign w:val="center"/>
          </w:tcPr>
          <w:p>
            <w:pPr>
              <w:rPr>
                <w:rFonts w:ascii="宋体" w:hAnsi="宋体" w:cs="宋体"/>
                <w:sz w:val="18"/>
                <w:szCs w:val="18"/>
              </w:rPr>
            </w:pPr>
            <w:r>
              <w:rPr>
                <w:rFonts w:hint="eastAsia"/>
                <w:sz w:val="18"/>
                <w:szCs w:val="18"/>
              </w:rPr>
              <w:t>组织县内文艺工作者创作文艺精品，繁荣文化事业，促进本县文化艺术的影响力和美誉度进一步提高。</w:t>
            </w:r>
          </w:p>
        </w:tc>
        <w:tc>
          <w:tcPr>
            <w:tcW w:w="1359"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548" w:type="dxa"/>
            <w:vAlign w:val="center"/>
          </w:tcPr>
          <w:p>
            <w:pPr>
              <w:rPr>
                <w:rFonts w:ascii="宋体" w:hAnsi="宋体" w:cs="宋体"/>
                <w:sz w:val="18"/>
                <w:szCs w:val="18"/>
              </w:rPr>
            </w:pPr>
            <w:r>
              <w:rPr>
                <w:rFonts w:hint="eastAsia"/>
                <w:sz w:val="18"/>
                <w:szCs w:val="18"/>
              </w:rPr>
              <w:t>国防教育工作</w:t>
            </w:r>
          </w:p>
        </w:tc>
        <w:tc>
          <w:tcPr>
            <w:tcW w:w="1275" w:type="dxa"/>
            <w:vAlign w:val="center"/>
          </w:tcPr>
          <w:p>
            <w:pPr>
              <w:rPr>
                <w:rFonts w:ascii="宋体" w:hAnsi="宋体" w:cs="宋体"/>
                <w:sz w:val="18"/>
                <w:szCs w:val="18"/>
              </w:rPr>
            </w:pPr>
            <w:r>
              <w:rPr>
                <w:rFonts w:hint="eastAsia" w:ascii="宋体" w:hAnsi="宋体" w:cs="宋体"/>
                <w:sz w:val="18"/>
                <w:szCs w:val="18"/>
              </w:rPr>
              <w:t>30000</w:t>
            </w:r>
          </w:p>
        </w:tc>
        <w:tc>
          <w:tcPr>
            <w:tcW w:w="3770" w:type="dxa"/>
            <w:vAlign w:val="center"/>
          </w:tcPr>
          <w:p>
            <w:pPr>
              <w:rPr>
                <w:rFonts w:ascii="宋体" w:hAnsi="宋体" w:cs="宋体"/>
                <w:sz w:val="18"/>
                <w:szCs w:val="18"/>
              </w:rPr>
            </w:pPr>
            <w:r>
              <w:rPr>
                <w:rFonts w:hint="eastAsia"/>
                <w:sz w:val="18"/>
                <w:szCs w:val="18"/>
              </w:rPr>
              <w:t>做好全民国防教育工作，发挥各自职能作用，服务中心工作。</w:t>
            </w:r>
          </w:p>
        </w:tc>
        <w:tc>
          <w:tcPr>
            <w:tcW w:w="3034" w:type="dxa"/>
            <w:vAlign w:val="center"/>
          </w:tcPr>
          <w:p>
            <w:pPr>
              <w:rPr>
                <w:rFonts w:ascii="宋体" w:hAnsi="宋体" w:cs="宋体"/>
                <w:sz w:val="18"/>
                <w:szCs w:val="18"/>
              </w:rPr>
            </w:pPr>
            <w:r>
              <w:rPr>
                <w:rFonts w:hint="eastAsia"/>
                <w:sz w:val="18"/>
                <w:szCs w:val="18"/>
              </w:rPr>
              <w:t>组织健全，工作落实，干部职工国防观念进一步增强。</w:t>
            </w:r>
          </w:p>
        </w:tc>
        <w:tc>
          <w:tcPr>
            <w:tcW w:w="1359"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548" w:type="dxa"/>
            <w:vAlign w:val="center"/>
          </w:tcPr>
          <w:tbl>
            <w:tblPr>
              <w:tblStyle w:val="9"/>
              <w:tblW w:w="1960" w:type="dxa"/>
              <w:tblInd w:w="0" w:type="dxa"/>
              <w:tblLayout w:type="fixed"/>
              <w:tblCellMar>
                <w:top w:w="0" w:type="dxa"/>
                <w:left w:w="108" w:type="dxa"/>
                <w:bottom w:w="0" w:type="dxa"/>
                <w:right w:w="108" w:type="dxa"/>
              </w:tblCellMar>
            </w:tblPr>
            <w:tblGrid>
              <w:gridCol w:w="1960"/>
            </w:tblGrid>
            <w:tr>
              <w:tblPrEx>
                <w:tblCellMar>
                  <w:top w:w="0" w:type="dxa"/>
                  <w:left w:w="108" w:type="dxa"/>
                  <w:bottom w:w="0" w:type="dxa"/>
                  <w:right w:w="108" w:type="dxa"/>
                </w:tblCellMar>
              </w:tblPrEx>
              <w:trPr>
                <w:trHeight w:val="312" w:hRule="atLeast"/>
              </w:trPr>
              <w:tc>
                <w:tcPr>
                  <w:tcW w:w="1960" w:type="dxa"/>
                  <w:vMerge w:val="restart"/>
                  <w:tcBorders>
                    <w:top w:val="nil"/>
                    <w:left w:val="nil"/>
                    <w:bottom w:val="nil"/>
                    <w:right w:val="nil"/>
                  </w:tcBorders>
                  <w:shd w:val="clear" w:color="auto" w:fill="auto"/>
                  <w:vAlign w:val="center"/>
                </w:tcPr>
                <w:p>
                  <w:pPr>
                    <w:rPr>
                      <w:rFonts w:ascii="宋体" w:hAnsi="宋体" w:cs="宋体"/>
                      <w:kern w:val="0"/>
                      <w:sz w:val="18"/>
                      <w:szCs w:val="18"/>
                    </w:rPr>
                  </w:pPr>
                  <w:r>
                    <w:rPr>
                      <w:rFonts w:hint="eastAsia"/>
                      <w:sz w:val="18"/>
                      <w:szCs w:val="18"/>
                    </w:rPr>
                    <w:t>发展博物馆事业</w:t>
                  </w:r>
                </w:p>
              </w:tc>
            </w:tr>
            <w:tr>
              <w:tblPrEx>
                <w:tblCellMar>
                  <w:top w:w="0" w:type="dxa"/>
                  <w:left w:w="108" w:type="dxa"/>
                  <w:bottom w:w="0" w:type="dxa"/>
                  <w:right w:w="108" w:type="dxa"/>
                </w:tblCellMar>
              </w:tblPrEx>
              <w:trPr>
                <w:trHeight w:val="312" w:hRule="atLeast"/>
              </w:trPr>
              <w:tc>
                <w:tcPr>
                  <w:tcW w:w="1960" w:type="dxa"/>
                  <w:vMerge w:val="continue"/>
                  <w:tcBorders>
                    <w:top w:val="nil"/>
                    <w:left w:val="nil"/>
                    <w:bottom w:val="nil"/>
                    <w:right w:val="nil"/>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12" w:hRule="atLeast"/>
              </w:trPr>
              <w:tc>
                <w:tcPr>
                  <w:tcW w:w="1960" w:type="dxa"/>
                  <w:vMerge w:val="continue"/>
                  <w:tcBorders>
                    <w:top w:val="nil"/>
                    <w:left w:val="nil"/>
                    <w:bottom w:val="nil"/>
                    <w:right w:val="nil"/>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12" w:hRule="atLeast"/>
              </w:trPr>
              <w:tc>
                <w:tcPr>
                  <w:tcW w:w="1960" w:type="dxa"/>
                  <w:vMerge w:val="continue"/>
                  <w:tcBorders>
                    <w:top w:val="nil"/>
                    <w:left w:val="nil"/>
                    <w:bottom w:val="nil"/>
                    <w:right w:val="nil"/>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12" w:hRule="atLeast"/>
              </w:trPr>
              <w:tc>
                <w:tcPr>
                  <w:tcW w:w="1960" w:type="dxa"/>
                  <w:vMerge w:val="continue"/>
                  <w:tcBorders>
                    <w:top w:val="nil"/>
                    <w:left w:val="nil"/>
                    <w:bottom w:val="nil"/>
                    <w:right w:val="nil"/>
                  </w:tcBorders>
                  <w:vAlign w:val="center"/>
                </w:tcPr>
                <w:p>
                  <w:pPr>
                    <w:widowControl/>
                    <w:jc w:val="left"/>
                    <w:rPr>
                      <w:rFonts w:ascii="宋体" w:hAnsi="宋体" w:cs="宋体"/>
                      <w:kern w:val="0"/>
                      <w:sz w:val="18"/>
                      <w:szCs w:val="18"/>
                    </w:rPr>
                  </w:pPr>
                </w:p>
              </w:tc>
            </w:tr>
          </w:tbl>
          <w:p>
            <w:pPr>
              <w:rPr>
                <w:rFonts w:hint="eastAsia"/>
                <w:sz w:val="18"/>
                <w:szCs w:val="18"/>
              </w:rPr>
            </w:pPr>
          </w:p>
        </w:tc>
        <w:tc>
          <w:tcPr>
            <w:tcW w:w="1275" w:type="dxa"/>
            <w:vAlign w:val="center"/>
          </w:tcPr>
          <w:p>
            <w:pPr>
              <w:rPr>
                <w:rFonts w:ascii="宋体" w:hAnsi="宋体" w:cs="宋体"/>
                <w:sz w:val="18"/>
                <w:szCs w:val="18"/>
              </w:rPr>
            </w:pPr>
            <w:r>
              <w:rPr>
                <w:rFonts w:hint="eastAsia" w:ascii="宋体" w:hAnsi="宋体" w:cs="宋体"/>
                <w:sz w:val="18"/>
                <w:szCs w:val="18"/>
              </w:rPr>
              <w:t>1530000</w:t>
            </w:r>
          </w:p>
        </w:tc>
        <w:tc>
          <w:tcPr>
            <w:tcW w:w="3770" w:type="dxa"/>
            <w:vAlign w:val="center"/>
          </w:tcPr>
          <w:p>
            <w:pPr>
              <w:rPr>
                <w:rFonts w:ascii="宋体" w:hAnsi="宋体" w:cs="宋体"/>
                <w:sz w:val="18"/>
                <w:szCs w:val="18"/>
              </w:rPr>
            </w:pPr>
            <w:r>
              <w:rPr>
                <w:rFonts w:hint="eastAsia"/>
                <w:sz w:val="18"/>
                <w:szCs w:val="18"/>
              </w:rPr>
              <w:t>努力提升展示水平，改善服务设施与环境，拓展服务领域，提高公共服务质量，发挥在践行社会主义核心价值观中的重要作用。</w:t>
            </w:r>
          </w:p>
        </w:tc>
        <w:tc>
          <w:tcPr>
            <w:tcW w:w="3034" w:type="dxa"/>
            <w:vAlign w:val="center"/>
          </w:tcPr>
          <w:p>
            <w:pPr>
              <w:rPr>
                <w:rFonts w:ascii="宋体" w:hAnsi="宋体" w:cs="宋体"/>
                <w:sz w:val="18"/>
                <w:szCs w:val="18"/>
              </w:rPr>
            </w:pPr>
            <w:r>
              <w:rPr>
                <w:rFonts w:hint="eastAsia"/>
                <w:sz w:val="18"/>
                <w:szCs w:val="18"/>
              </w:rPr>
              <w:t>有效提升服务水平，促进博物馆事业发展。</w:t>
            </w:r>
          </w:p>
        </w:tc>
        <w:tc>
          <w:tcPr>
            <w:tcW w:w="1359"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bookmarkEnd w:id="0"/>
    </w:tbl>
    <w:p>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六、政府采购预算情况</w:t>
      </w:r>
    </w:p>
    <w:p>
      <w:pPr>
        <w:outlineLvl w:val="0"/>
        <w:rPr>
          <w:rFonts w:ascii="仿宋_GB2312" w:hAnsi="Times New Roman" w:eastAsia="仿宋_GB2312"/>
          <w:sz w:val="32"/>
          <w:szCs w:val="24"/>
        </w:rPr>
      </w:pPr>
      <w:bookmarkStart w:id="2" w:name="_Toc471398468"/>
      <w:r>
        <w:rPr>
          <w:rFonts w:ascii="方正小标宋_GBK" w:hAnsi="Times New Roman" w:eastAsia="方正小标宋_GBK"/>
          <w:sz w:val="32"/>
          <w:szCs w:val="24"/>
        </w:rPr>
        <w:t xml:space="preserve"> </w:t>
      </w:r>
      <w:r>
        <w:rPr>
          <w:rFonts w:ascii="Times New Roman" w:hAnsi="Times New Roman" w:eastAsia="方正仿宋_GBK"/>
          <w:sz w:val="32"/>
          <w:szCs w:val="24"/>
        </w:rPr>
        <w:t xml:space="preserve">   </w:t>
      </w:r>
      <w:r>
        <w:rPr>
          <w:rFonts w:ascii="仿宋_GB2312" w:hAnsi="Times New Roman" w:eastAsia="仿宋_GB2312"/>
          <w:sz w:val="32"/>
          <w:szCs w:val="24"/>
        </w:rPr>
        <w:t>201</w:t>
      </w:r>
      <w:r>
        <w:rPr>
          <w:rFonts w:hint="eastAsia" w:ascii="仿宋_GB2312" w:hAnsi="Times New Roman" w:eastAsia="仿宋_GB2312"/>
          <w:sz w:val="32"/>
          <w:szCs w:val="24"/>
        </w:rPr>
        <w:t>9年，我单位安排政府采购预算1</w:t>
      </w:r>
      <w:r>
        <w:rPr>
          <w:rFonts w:ascii="仿宋_GB2312" w:hAnsi="Times New Roman" w:eastAsia="仿宋_GB2312"/>
          <w:sz w:val="32"/>
          <w:szCs w:val="24"/>
        </w:rPr>
        <w:t>.5</w:t>
      </w:r>
      <w:r>
        <w:rPr>
          <w:rFonts w:hint="eastAsia" w:ascii="仿宋_GB2312" w:hAnsi="Times New Roman" w:eastAsia="仿宋_GB2312"/>
          <w:sz w:val="32"/>
          <w:szCs w:val="24"/>
        </w:rPr>
        <w:t>万元。具体内容见下表。</w:t>
      </w:r>
    </w:p>
    <w:bookmarkEnd w:id="2"/>
    <w:p>
      <w:pPr>
        <w:jc w:val="center"/>
        <w:outlineLvl w:val="0"/>
        <w:rPr>
          <w:rFonts w:ascii="方正小标宋_GBK" w:eastAsia="方正小标宋_GBK"/>
          <w:sz w:val="32"/>
        </w:rPr>
      </w:pPr>
      <w:bookmarkStart w:id="3" w:name="_Toc504489153"/>
      <w:r>
        <w:rPr>
          <w:rFonts w:hint="eastAsia" w:ascii="方正小标宋_GBK" w:eastAsia="方正小标宋_GBK"/>
          <w:sz w:val="32"/>
        </w:rPr>
        <w:t>部门政府采购预算</w:t>
      </w:r>
      <w:bookmarkEnd w:id="3"/>
    </w:p>
    <w:tbl>
      <w:tblPr>
        <w:tblStyle w:val="9"/>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1060"/>
        <w:gridCol w:w="1100"/>
        <w:gridCol w:w="1233"/>
        <w:gridCol w:w="722"/>
        <w:gridCol w:w="722"/>
        <w:gridCol w:w="893"/>
        <w:gridCol w:w="923"/>
        <w:gridCol w:w="923"/>
        <w:gridCol w:w="923"/>
        <w:gridCol w:w="923"/>
        <w:gridCol w:w="926"/>
        <w:gridCol w:w="927"/>
        <w:gridCol w:w="8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39"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211宣传部</w:t>
            </w:r>
          </w:p>
        </w:tc>
        <w:tc>
          <w:tcPr>
            <w:tcW w:w="6429"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69"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100"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233"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22"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722"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93"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429"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9"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60"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100" w:type="dxa"/>
            <w:vMerge w:val="continue"/>
            <w:vAlign w:val="center"/>
          </w:tcPr>
          <w:p>
            <w:pPr>
              <w:spacing w:line="300" w:lineRule="exact"/>
              <w:jc w:val="left"/>
              <w:outlineLvl w:val="0"/>
              <w:rPr>
                <w:rFonts w:hint="eastAsia"/>
              </w:rPr>
            </w:pPr>
          </w:p>
        </w:tc>
        <w:tc>
          <w:tcPr>
            <w:tcW w:w="1233" w:type="dxa"/>
            <w:vMerge w:val="continue"/>
            <w:vAlign w:val="center"/>
          </w:tcPr>
          <w:p>
            <w:pPr>
              <w:spacing w:line="300" w:lineRule="exact"/>
              <w:jc w:val="left"/>
              <w:outlineLvl w:val="0"/>
              <w:rPr>
                <w:rFonts w:hint="eastAsia"/>
              </w:rPr>
            </w:pPr>
          </w:p>
        </w:tc>
        <w:tc>
          <w:tcPr>
            <w:tcW w:w="722" w:type="dxa"/>
            <w:vMerge w:val="continue"/>
            <w:vAlign w:val="center"/>
          </w:tcPr>
          <w:p>
            <w:pPr>
              <w:spacing w:line="300" w:lineRule="exact"/>
              <w:jc w:val="left"/>
              <w:outlineLvl w:val="0"/>
              <w:rPr>
                <w:rFonts w:hint="eastAsia"/>
              </w:rPr>
            </w:pPr>
          </w:p>
        </w:tc>
        <w:tc>
          <w:tcPr>
            <w:tcW w:w="722" w:type="dxa"/>
            <w:vMerge w:val="continue"/>
            <w:vAlign w:val="center"/>
          </w:tcPr>
          <w:p>
            <w:pPr>
              <w:spacing w:line="300" w:lineRule="exact"/>
              <w:jc w:val="left"/>
              <w:outlineLvl w:val="0"/>
              <w:rPr>
                <w:rFonts w:hint="eastAsia"/>
              </w:rPr>
            </w:pPr>
          </w:p>
        </w:tc>
        <w:tc>
          <w:tcPr>
            <w:tcW w:w="893" w:type="dxa"/>
            <w:vMerge w:val="continue"/>
            <w:vAlign w:val="center"/>
          </w:tcPr>
          <w:p>
            <w:pPr>
              <w:spacing w:line="300" w:lineRule="exact"/>
              <w:jc w:val="left"/>
              <w:outlineLvl w:val="0"/>
              <w:rPr>
                <w:rFonts w:hint="eastAsia"/>
              </w:rPr>
            </w:pPr>
          </w:p>
        </w:tc>
        <w:tc>
          <w:tcPr>
            <w:tcW w:w="923"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622"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884"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9" w:type="dxa"/>
            <w:vMerge w:val="continue"/>
            <w:vAlign w:val="center"/>
          </w:tcPr>
          <w:p>
            <w:pPr>
              <w:spacing w:line="300" w:lineRule="exact"/>
              <w:jc w:val="left"/>
              <w:outlineLvl w:val="0"/>
              <w:rPr>
                <w:rFonts w:hint="eastAsia"/>
              </w:rPr>
            </w:pPr>
          </w:p>
        </w:tc>
        <w:tc>
          <w:tcPr>
            <w:tcW w:w="1060" w:type="dxa"/>
            <w:vMerge w:val="continue"/>
            <w:vAlign w:val="center"/>
          </w:tcPr>
          <w:p>
            <w:pPr>
              <w:spacing w:line="300" w:lineRule="exact"/>
              <w:jc w:val="left"/>
              <w:outlineLvl w:val="0"/>
              <w:rPr>
                <w:rFonts w:hint="eastAsia"/>
              </w:rPr>
            </w:pPr>
          </w:p>
        </w:tc>
        <w:tc>
          <w:tcPr>
            <w:tcW w:w="1100" w:type="dxa"/>
            <w:vMerge w:val="continue"/>
            <w:vAlign w:val="center"/>
          </w:tcPr>
          <w:p>
            <w:pPr>
              <w:spacing w:line="300" w:lineRule="exact"/>
              <w:jc w:val="left"/>
              <w:outlineLvl w:val="0"/>
              <w:rPr>
                <w:rFonts w:hint="eastAsia"/>
              </w:rPr>
            </w:pPr>
          </w:p>
        </w:tc>
        <w:tc>
          <w:tcPr>
            <w:tcW w:w="1233" w:type="dxa"/>
            <w:vMerge w:val="continue"/>
            <w:vAlign w:val="center"/>
          </w:tcPr>
          <w:p>
            <w:pPr>
              <w:spacing w:line="300" w:lineRule="exact"/>
              <w:jc w:val="left"/>
              <w:outlineLvl w:val="0"/>
              <w:rPr>
                <w:rFonts w:hint="eastAsia"/>
              </w:rPr>
            </w:pPr>
          </w:p>
        </w:tc>
        <w:tc>
          <w:tcPr>
            <w:tcW w:w="722" w:type="dxa"/>
            <w:vMerge w:val="continue"/>
            <w:vAlign w:val="center"/>
          </w:tcPr>
          <w:p>
            <w:pPr>
              <w:spacing w:line="300" w:lineRule="exact"/>
              <w:jc w:val="left"/>
              <w:outlineLvl w:val="0"/>
              <w:rPr>
                <w:rFonts w:hint="eastAsia"/>
              </w:rPr>
            </w:pPr>
          </w:p>
        </w:tc>
        <w:tc>
          <w:tcPr>
            <w:tcW w:w="722" w:type="dxa"/>
            <w:vMerge w:val="continue"/>
            <w:vAlign w:val="center"/>
          </w:tcPr>
          <w:p>
            <w:pPr>
              <w:spacing w:line="300" w:lineRule="exact"/>
              <w:jc w:val="left"/>
              <w:outlineLvl w:val="0"/>
              <w:rPr>
                <w:rFonts w:hint="eastAsia"/>
              </w:rPr>
            </w:pPr>
          </w:p>
        </w:tc>
        <w:tc>
          <w:tcPr>
            <w:tcW w:w="893" w:type="dxa"/>
            <w:vMerge w:val="continue"/>
            <w:vAlign w:val="center"/>
          </w:tcPr>
          <w:p>
            <w:pPr>
              <w:spacing w:line="300" w:lineRule="exact"/>
              <w:jc w:val="left"/>
              <w:outlineLvl w:val="0"/>
              <w:rPr>
                <w:rFonts w:hint="eastAsia"/>
              </w:rPr>
            </w:pPr>
          </w:p>
        </w:tc>
        <w:tc>
          <w:tcPr>
            <w:tcW w:w="923" w:type="dxa"/>
            <w:vMerge w:val="continue"/>
            <w:vAlign w:val="center"/>
          </w:tcPr>
          <w:p>
            <w:pPr>
              <w:spacing w:line="300" w:lineRule="exact"/>
              <w:jc w:val="left"/>
              <w:outlineLvl w:val="0"/>
              <w:rPr>
                <w:rFonts w:hint="eastAsia"/>
              </w:rPr>
            </w:pP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26"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27"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884" w:type="dxa"/>
            <w:vMerge w:val="continue"/>
            <w:vAlign w:val="center"/>
          </w:tcPr>
          <w:p>
            <w:pPr>
              <w:spacing w:line="300" w:lineRule="exact"/>
              <w:jc w:val="left"/>
              <w:outlineLvl w:val="0"/>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9"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060" w:type="dxa"/>
            <w:vAlign w:val="center"/>
          </w:tcPr>
          <w:p>
            <w:pPr>
              <w:spacing w:line="300" w:lineRule="exact"/>
              <w:jc w:val="center"/>
              <w:rPr>
                <w:rFonts w:ascii="方正书宋_GBK" w:eastAsia="方正书宋_GBK"/>
                <w:b/>
              </w:rPr>
            </w:pPr>
            <w:r>
              <w:rPr>
                <w:rFonts w:hint="eastAsia" w:ascii="方正书宋_GBK" w:eastAsia="方正书宋_GBK"/>
                <w:b/>
              </w:rPr>
              <w:t>1</w:t>
            </w:r>
            <w:r>
              <w:rPr>
                <w:rFonts w:ascii="方正书宋_GBK" w:eastAsia="方正书宋_GBK"/>
                <w:b/>
              </w:rPr>
              <w:t>.5</w:t>
            </w:r>
          </w:p>
        </w:tc>
        <w:tc>
          <w:tcPr>
            <w:tcW w:w="1100" w:type="dxa"/>
            <w:vAlign w:val="center"/>
          </w:tcPr>
          <w:p>
            <w:pPr>
              <w:spacing w:line="300" w:lineRule="exact"/>
              <w:jc w:val="left"/>
              <w:rPr>
                <w:rFonts w:ascii="方正书宋_GBK" w:eastAsia="方正书宋_GBK"/>
                <w:b/>
              </w:rPr>
            </w:pPr>
          </w:p>
        </w:tc>
        <w:tc>
          <w:tcPr>
            <w:tcW w:w="1233" w:type="dxa"/>
            <w:vAlign w:val="center"/>
          </w:tcPr>
          <w:p>
            <w:pPr>
              <w:spacing w:line="300" w:lineRule="exact"/>
              <w:jc w:val="left"/>
              <w:rPr>
                <w:rFonts w:ascii="方正书宋_GBK" w:eastAsia="方正书宋_GBK"/>
                <w:b/>
              </w:rPr>
            </w:pPr>
          </w:p>
        </w:tc>
        <w:tc>
          <w:tcPr>
            <w:tcW w:w="722" w:type="dxa"/>
            <w:vAlign w:val="center"/>
          </w:tcPr>
          <w:p>
            <w:pPr>
              <w:spacing w:line="300" w:lineRule="exact"/>
              <w:jc w:val="left"/>
              <w:rPr>
                <w:rFonts w:ascii="方正书宋_GBK" w:eastAsia="方正书宋_GBK"/>
                <w:b/>
              </w:rPr>
            </w:pPr>
          </w:p>
        </w:tc>
        <w:tc>
          <w:tcPr>
            <w:tcW w:w="722" w:type="dxa"/>
            <w:vAlign w:val="center"/>
          </w:tcPr>
          <w:p>
            <w:pPr>
              <w:spacing w:line="300" w:lineRule="exact"/>
              <w:jc w:val="right"/>
              <w:rPr>
                <w:rFonts w:ascii="方正书宋_GBK" w:eastAsia="方正书宋_GBK"/>
                <w:b/>
              </w:rPr>
            </w:pPr>
          </w:p>
        </w:tc>
        <w:tc>
          <w:tcPr>
            <w:tcW w:w="893" w:type="dxa"/>
            <w:vAlign w:val="center"/>
          </w:tcPr>
          <w:p>
            <w:pPr>
              <w:spacing w:line="300" w:lineRule="exact"/>
              <w:jc w:val="right"/>
              <w:rPr>
                <w:rFonts w:ascii="方正书宋_GBK" w:eastAsia="方正书宋_GBK"/>
                <w:b/>
              </w:rPr>
            </w:pP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1</w:t>
            </w:r>
            <w:r>
              <w:rPr>
                <w:rFonts w:ascii="方正书宋_GBK" w:eastAsia="方正书宋_GBK"/>
                <w:b/>
              </w:rPr>
              <w:t>.5</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1</w:t>
            </w:r>
            <w:r>
              <w:rPr>
                <w:rFonts w:ascii="方正书宋_GBK" w:eastAsia="方正书宋_GBK"/>
                <w:b/>
              </w:rPr>
              <w:t>.5</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1</w:t>
            </w:r>
            <w:r>
              <w:rPr>
                <w:rFonts w:ascii="方正书宋_GBK" w:eastAsia="方正书宋_GBK"/>
                <w:b/>
              </w:rPr>
              <w:t>.5</w:t>
            </w:r>
          </w:p>
        </w:tc>
        <w:tc>
          <w:tcPr>
            <w:tcW w:w="923" w:type="dxa"/>
            <w:vAlign w:val="center"/>
          </w:tcPr>
          <w:p>
            <w:pPr>
              <w:spacing w:line="300" w:lineRule="exact"/>
              <w:rPr>
                <w:rFonts w:ascii="方正书宋_GBK" w:eastAsia="方正书宋_GBK"/>
                <w:b/>
              </w:rPr>
            </w:pPr>
          </w:p>
        </w:tc>
        <w:tc>
          <w:tcPr>
            <w:tcW w:w="926" w:type="dxa"/>
            <w:vAlign w:val="center"/>
          </w:tcPr>
          <w:p>
            <w:pPr>
              <w:spacing w:line="300" w:lineRule="exact"/>
              <w:rPr>
                <w:rFonts w:ascii="方正书宋_GBK" w:eastAsia="方正书宋_GBK"/>
                <w:b/>
              </w:rPr>
            </w:pPr>
          </w:p>
        </w:tc>
        <w:tc>
          <w:tcPr>
            <w:tcW w:w="927" w:type="dxa"/>
            <w:vAlign w:val="center"/>
          </w:tcPr>
          <w:p>
            <w:pPr>
              <w:spacing w:line="300" w:lineRule="exact"/>
              <w:jc w:val="center"/>
              <w:rPr>
                <w:rFonts w:ascii="方正书宋_GBK" w:eastAsia="方正书宋_GBK"/>
                <w:b/>
              </w:rPr>
            </w:pPr>
          </w:p>
        </w:tc>
        <w:tc>
          <w:tcPr>
            <w:tcW w:w="88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9" w:type="dxa"/>
            <w:vAlign w:val="center"/>
          </w:tcPr>
          <w:p>
            <w:pPr>
              <w:spacing w:line="300" w:lineRule="exact"/>
              <w:jc w:val="center"/>
              <w:rPr>
                <w:rFonts w:ascii="方正书宋_GBK" w:eastAsia="方正书宋_GBK"/>
              </w:rPr>
            </w:pPr>
            <w:r>
              <w:rPr>
                <w:rFonts w:hint="eastAsia" w:ascii="方正书宋_GBK" w:eastAsia="方正书宋_GBK"/>
                <w:b/>
              </w:rPr>
              <w:t>日常公用</w:t>
            </w:r>
          </w:p>
        </w:tc>
        <w:tc>
          <w:tcPr>
            <w:tcW w:w="1060" w:type="dxa"/>
            <w:vAlign w:val="center"/>
          </w:tcPr>
          <w:p>
            <w:pPr>
              <w:spacing w:line="300" w:lineRule="exact"/>
              <w:jc w:val="center"/>
              <w:rPr>
                <w:rFonts w:ascii="方正书宋_GBK" w:eastAsia="方正书宋_GBK"/>
                <w:b/>
              </w:rPr>
            </w:pPr>
            <w:r>
              <w:rPr>
                <w:rFonts w:hint="eastAsia" w:ascii="方正书宋_GBK" w:eastAsia="方正书宋_GBK"/>
                <w:b/>
              </w:rPr>
              <w:t>1</w:t>
            </w:r>
            <w:r>
              <w:rPr>
                <w:rFonts w:ascii="方正书宋_GBK" w:eastAsia="方正书宋_GBK"/>
                <w:b/>
              </w:rPr>
              <w:t>.5</w:t>
            </w:r>
          </w:p>
        </w:tc>
        <w:tc>
          <w:tcPr>
            <w:tcW w:w="1100" w:type="dxa"/>
            <w:vAlign w:val="center"/>
          </w:tcPr>
          <w:p>
            <w:pPr>
              <w:spacing w:line="300" w:lineRule="exact"/>
              <w:jc w:val="left"/>
              <w:rPr>
                <w:rFonts w:ascii="方正书宋_GBK" w:eastAsia="方正书宋_GBK"/>
                <w:b/>
              </w:rPr>
            </w:pPr>
            <w:r>
              <w:rPr>
                <w:rFonts w:hint="eastAsia" w:ascii="方正书宋_GBK" w:eastAsia="方正书宋_GBK"/>
                <w:b/>
              </w:rPr>
              <w:t>办公设备</w:t>
            </w:r>
          </w:p>
        </w:tc>
        <w:tc>
          <w:tcPr>
            <w:tcW w:w="1233" w:type="dxa"/>
            <w:vAlign w:val="center"/>
          </w:tcPr>
          <w:p>
            <w:pPr>
              <w:spacing w:line="300" w:lineRule="exact"/>
              <w:jc w:val="center"/>
              <w:rPr>
                <w:rFonts w:ascii="方正书宋_GBK" w:eastAsia="方正书宋_GBK"/>
                <w:b/>
              </w:rPr>
            </w:pPr>
            <w:r>
              <w:rPr>
                <w:rFonts w:ascii="方正书宋_GBK" w:eastAsia="方正书宋_GBK"/>
                <w:b/>
              </w:rPr>
              <w:t>A020</w:t>
            </w:r>
            <w:r>
              <w:rPr>
                <w:rFonts w:hint="eastAsia" w:ascii="方正书宋_GBK" w:eastAsia="方正书宋_GBK"/>
                <w:b/>
              </w:rPr>
              <w:t>2</w:t>
            </w:r>
          </w:p>
        </w:tc>
        <w:tc>
          <w:tcPr>
            <w:tcW w:w="722" w:type="dxa"/>
            <w:vAlign w:val="center"/>
          </w:tcPr>
          <w:p>
            <w:pPr>
              <w:spacing w:line="300" w:lineRule="exact"/>
              <w:jc w:val="left"/>
              <w:rPr>
                <w:rFonts w:ascii="方正书宋_GBK" w:eastAsia="方正书宋_GBK"/>
                <w:b/>
              </w:rPr>
            </w:pPr>
          </w:p>
        </w:tc>
        <w:tc>
          <w:tcPr>
            <w:tcW w:w="722" w:type="dxa"/>
            <w:vAlign w:val="center"/>
          </w:tcPr>
          <w:p>
            <w:pPr>
              <w:spacing w:line="300" w:lineRule="exact"/>
              <w:jc w:val="left"/>
              <w:rPr>
                <w:rFonts w:ascii="方正书宋_GBK" w:eastAsia="方正书宋_GBK"/>
                <w:b/>
              </w:rPr>
            </w:pPr>
          </w:p>
        </w:tc>
        <w:tc>
          <w:tcPr>
            <w:tcW w:w="893" w:type="dxa"/>
            <w:vAlign w:val="center"/>
          </w:tcPr>
          <w:p>
            <w:pPr>
              <w:spacing w:line="300" w:lineRule="exact"/>
              <w:jc w:val="left"/>
              <w:rPr>
                <w:rFonts w:ascii="方正书宋_GBK" w:eastAsia="方正书宋_GBK"/>
                <w:b/>
              </w:rPr>
            </w:pP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1</w:t>
            </w:r>
            <w:r>
              <w:rPr>
                <w:rFonts w:ascii="方正书宋_GBK" w:eastAsia="方正书宋_GBK"/>
                <w:b/>
              </w:rPr>
              <w:t>.5</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1</w:t>
            </w:r>
            <w:r>
              <w:rPr>
                <w:rFonts w:ascii="方正书宋_GBK" w:eastAsia="方正书宋_GBK"/>
                <w:b/>
              </w:rPr>
              <w:t>.5</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1</w:t>
            </w:r>
            <w:r>
              <w:rPr>
                <w:rFonts w:ascii="方正书宋_GBK" w:eastAsia="方正书宋_GBK"/>
                <w:b/>
              </w:rPr>
              <w:t>.5</w:t>
            </w:r>
          </w:p>
        </w:tc>
        <w:tc>
          <w:tcPr>
            <w:tcW w:w="923" w:type="dxa"/>
            <w:vAlign w:val="center"/>
          </w:tcPr>
          <w:p>
            <w:pPr>
              <w:spacing w:line="300" w:lineRule="exact"/>
              <w:jc w:val="left"/>
              <w:rPr>
                <w:rFonts w:ascii="方正书宋_GBK" w:eastAsia="方正书宋_GBK"/>
                <w:b/>
              </w:rPr>
            </w:pPr>
          </w:p>
        </w:tc>
        <w:tc>
          <w:tcPr>
            <w:tcW w:w="926" w:type="dxa"/>
            <w:vAlign w:val="center"/>
          </w:tcPr>
          <w:p>
            <w:pPr>
              <w:spacing w:line="300" w:lineRule="exact"/>
              <w:jc w:val="right"/>
              <w:rPr>
                <w:rFonts w:ascii="方正书宋_GBK" w:eastAsia="方正书宋_GBK"/>
              </w:rPr>
            </w:pPr>
          </w:p>
        </w:tc>
        <w:tc>
          <w:tcPr>
            <w:tcW w:w="927" w:type="dxa"/>
            <w:vAlign w:val="center"/>
          </w:tcPr>
          <w:p>
            <w:pPr>
              <w:spacing w:line="300" w:lineRule="exact"/>
              <w:jc w:val="right"/>
              <w:rPr>
                <w:rFonts w:ascii="方正书宋_GBK" w:eastAsia="方正书宋_GBK"/>
              </w:rPr>
            </w:pPr>
          </w:p>
        </w:tc>
        <w:tc>
          <w:tcPr>
            <w:tcW w:w="884" w:type="dxa"/>
            <w:vAlign w:val="center"/>
          </w:tcPr>
          <w:p>
            <w:pPr>
              <w:spacing w:line="300" w:lineRule="exact"/>
              <w:jc w:val="right"/>
              <w:rPr>
                <w:rFonts w:ascii="方正书宋_GBK" w:eastAsia="方正书宋_GBK"/>
              </w:rPr>
            </w:pPr>
          </w:p>
        </w:tc>
      </w:tr>
    </w:tbl>
    <w:p>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七、国有资产信息</w:t>
      </w:r>
    </w:p>
    <w:p>
      <w:pPr>
        <w:ind w:firstLine="640"/>
        <w:rPr>
          <w:rFonts w:ascii="仿宋" w:hAnsi="仿宋" w:eastAsia="仿宋"/>
          <w:sz w:val="32"/>
          <w:szCs w:val="32"/>
        </w:rPr>
      </w:pPr>
      <w:r>
        <w:rPr>
          <w:rFonts w:hint="eastAsia" w:ascii="仿宋" w:hAnsi="仿宋" w:eastAsia="仿宋"/>
          <w:sz w:val="32"/>
          <w:szCs w:val="32"/>
        </w:rPr>
        <w:t>县委宣传部上年末固定资产金额为38万元（详见下表），本年度我单位拟购置固定资产总额为1</w:t>
      </w:r>
      <w:r>
        <w:rPr>
          <w:rFonts w:ascii="仿宋" w:hAnsi="仿宋" w:eastAsia="仿宋"/>
          <w:sz w:val="32"/>
          <w:szCs w:val="32"/>
        </w:rPr>
        <w:t>.5</w:t>
      </w:r>
      <w:r>
        <w:rPr>
          <w:rFonts w:hint="eastAsia" w:ascii="仿宋" w:hAnsi="仿宋" w:eastAsia="仿宋"/>
          <w:sz w:val="32"/>
          <w:szCs w:val="32"/>
        </w:rPr>
        <w:t>万元，主要为办公设备，已列入政府采购预算，详见政府采购预算表。</w:t>
      </w:r>
    </w:p>
    <w:tbl>
      <w:tblPr>
        <w:tblStyle w:val="9"/>
        <w:tblW w:w="11295" w:type="dxa"/>
        <w:jc w:val="center"/>
        <w:tblLayout w:type="fixed"/>
        <w:tblCellMar>
          <w:top w:w="15" w:type="dxa"/>
          <w:left w:w="15" w:type="dxa"/>
          <w:bottom w:w="15" w:type="dxa"/>
          <w:right w:w="15" w:type="dxa"/>
        </w:tblCellMar>
      </w:tblPr>
      <w:tblGrid>
        <w:gridCol w:w="4191"/>
        <w:gridCol w:w="1103"/>
        <w:gridCol w:w="1344"/>
        <w:gridCol w:w="1635"/>
        <w:gridCol w:w="3022"/>
      </w:tblGrid>
      <w:tr>
        <w:tblPrEx>
          <w:tblCellMar>
            <w:top w:w="15" w:type="dxa"/>
            <w:left w:w="15" w:type="dxa"/>
            <w:bottom w:w="15" w:type="dxa"/>
            <w:right w:w="15" w:type="dxa"/>
          </w:tblCellMar>
        </w:tblPrEx>
        <w:trPr>
          <w:trHeight w:val="540" w:hRule="atLeast"/>
          <w:jc w:val="center"/>
        </w:trPr>
        <w:tc>
          <w:tcPr>
            <w:tcW w:w="11295" w:type="dxa"/>
            <w:gridSpan w:val="5"/>
            <w:vAlign w:val="bottom"/>
          </w:tcPr>
          <w:p>
            <w:pPr>
              <w:widowControl/>
              <w:jc w:val="center"/>
              <w:textAlignment w:val="bottom"/>
              <w:rPr>
                <w:rFonts w:hint="eastAsia" w:ascii="宋体" w:cs="宋体"/>
                <w:b/>
                <w:color w:val="000000"/>
                <w:sz w:val="32"/>
                <w:szCs w:val="32"/>
              </w:rPr>
            </w:pPr>
            <w:r>
              <w:rPr>
                <w:rFonts w:hint="eastAsia" w:ascii="宋体" w:hAnsi="宋体" w:cs="宋体"/>
                <w:b/>
                <w:color w:val="000000"/>
                <w:kern w:val="0"/>
                <w:sz w:val="32"/>
                <w:szCs w:val="32"/>
              </w:rPr>
              <w:t>部门固定资产占用情况表</w:t>
            </w:r>
          </w:p>
        </w:tc>
      </w:tr>
      <w:tr>
        <w:tblPrEx>
          <w:tblCellMar>
            <w:top w:w="15" w:type="dxa"/>
            <w:left w:w="15" w:type="dxa"/>
            <w:bottom w:w="15" w:type="dxa"/>
            <w:right w:w="15" w:type="dxa"/>
          </w:tblCellMar>
        </w:tblPrEx>
        <w:trPr>
          <w:trHeight w:val="256" w:hRule="atLeast"/>
          <w:jc w:val="center"/>
        </w:trPr>
        <w:tc>
          <w:tcPr>
            <w:tcW w:w="4191" w:type="dxa"/>
            <w:vAlign w:val="bottom"/>
          </w:tcPr>
          <w:p>
            <w:pPr>
              <w:rPr>
                <w:rFonts w:ascii="Arial" w:hAnsi="Arial" w:cs="Arial"/>
                <w:color w:val="000000"/>
                <w:sz w:val="20"/>
                <w:szCs w:val="20"/>
              </w:rPr>
            </w:pPr>
          </w:p>
        </w:tc>
        <w:tc>
          <w:tcPr>
            <w:tcW w:w="1103" w:type="dxa"/>
            <w:vAlign w:val="bottom"/>
          </w:tcPr>
          <w:p>
            <w:pPr>
              <w:rPr>
                <w:rFonts w:ascii="Arial" w:hAnsi="Arial" w:cs="Arial"/>
                <w:color w:val="000000"/>
                <w:sz w:val="20"/>
                <w:szCs w:val="20"/>
              </w:rPr>
            </w:pPr>
          </w:p>
        </w:tc>
        <w:tc>
          <w:tcPr>
            <w:tcW w:w="1344" w:type="dxa"/>
            <w:vAlign w:val="bottom"/>
          </w:tcPr>
          <w:p>
            <w:pPr>
              <w:rPr>
                <w:rFonts w:ascii="Arial" w:hAnsi="Arial" w:cs="Arial"/>
                <w:color w:val="000000"/>
                <w:sz w:val="20"/>
                <w:szCs w:val="20"/>
              </w:rPr>
            </w:pPr>
          </w:p>
        </w:tc>
        <w:tc>
          <w:tcPr>
            <w:tcW w:w="1635" w:type="dxa"/>
            <w:vAlign w:val="bottom"/>
          </w:tcPr>
          <w:p>
            <w:pPr>
              <w:rPr>
                <w:rFonts w:ascii="Arial" w:hAnsi="Arial" w:cs="Arial"/>
                <w:color w:val="000000"/>
                <w:sz w:val="20"/>
                <w:szCs w:val="20"/>
              </w:rPr>
            </w:pPr>
          </w:p>
        </w:tc>
        <w:tc>
          <w:tcPr>
            <w:tcW w:w="3022" w:type="dxa"/>
            <w:vAlign w:val="bottom"/>
          </w:tcPr>
          <w:p>
            <w:pPr>
              <w:rPr>
                <w:rFonts w:ascii="Arial" w:hAnsi="Arial" w:cs="Arial"/>
                <w:color w:val="000000"/>
                <w:sz w:val="20"/>
                <w:szCs w:val="20"/>
              </w:rPr>
            </w:pPr>
          </w:p>
        </w:tc>
      </w:tr>
      <w:tr>
        <w:tblPrEx>
          <w:tblCellMar>
            <w:top w:w="15" w:type="dxa"/>
            <w:left w:w="15" w:type="dxa"/>
            <w:bottom w:w="15" w:type="dxa"/>
            <w:right w:w="15"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cs="宋体"/>
                <w:color w:val="000000"/>
                <w:sz w:val="24"/>
                <w:szCs w:val="24"/>
              </w:rPr>
            </w:pPr>
            <w:r>
              <w:rPr>
                <w:rFonts w:hint="eastAsia" w:ascii="宋体" w:hAnsi="宋体" w:cs="宋体"/>
                <w:color w:val="000000"/>
                <w:kern w:val="0"/>
                <w:sz w:val="24"/>
                <w:szCs w:val="24"/>
              </w:rPr>
              <w:t>编制单位：中共馆陶县委宣传部</w:t>
            </w:r>
          </w:p>
        </w:tc>
        <w:tc>
          <w:tcPr>
            <w:tcW w:w="1103" w:type="dxa"/>
            <w:tcBorders>
              <w:top w:val="single" w:color="000000" w:sz="4" w:space="0"/>
              <w:left w:val="single" w:color="000000" w:sz="4" w:space="0"/>
              <w:bottom w:val="single" w:color="000000" w:sz="4" w:space="0"/>
              <w:right w:val="single" w:color="000000" w:sz="4" w:space="0"/>
            </w:tcBorders>
            <w:vAlign w:val="bottom"/>
          </w:tcPr>
          <w:p>
            <w:pPr>
              <w:rPr>
                <w:rFonts w:ascii="Arial" w:hAnsi="Arial" w:cs="Arial"/>
                <w:color w:val="000000"/>
                <w:sz w:val="20"/>
                <w:szCs w:val="20"/>
              </w:rPr>
            </w:pPr>
          </w:p>
        </w:tc>
        <w:tc>
          <w:tcPr>
            <w:tcW w:w="1344" w:type="dxa"/>
            <w:tcBorders>
              <w:top w:val="single" w:color="000000" w:sz="4" w:space="0"/>
              <w:left w:val="single" w:color="000000" w:sz="4" w:space="0"/>
              <w:bottom w:val="single" w:color="000000" w:sz="4" w:space="0"/>
              <w:right w:val="single" w:color="000000" w:sz="4" w:space="0"/>
            </w:tcBorders>
            <w:vAlign w:val="bottom"/>
          </w:tcPr>
          <w:p>
            <w:pPr>
              <w:rPr>
                <w:rFonts w:ascii="Arial" w:hAnsi="Arial" w:cs="Arial"/>
                <w:color w:val="000000"/>
                <w:sz w:val="20"/>
                <w:szCs w:val="20"/>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cs="宋体"/>
                <w:color w:val="000000"/>
                <w:sz w:val="24"/>
                <w:szCs w:val="24"/>
              </w:rPr>
            </w:pPr>
            <w:r>
              <w:rPr>
                <w:rFonts w:ascii="宋体" w:hAnsi="宋体" w:cs="宋体"/>
                <w:color w:val="000000"/>
                <w:kern w:val="0"/>
                <w:sz w:val="24"/>
                <w:szCs w:val="24"/>
              </w:rPr>
              <w:t>201</w:t>
            </w:r>
            <w:r>
              <w:rPr>
                <w:rFonts w:hint="eastAsia" w:ascii="宋体" w:hAnsi="宋体" w:cs="宋体"/>
                <w:color w:val="000000"/>
                <w:kern w:val="0"/>
                <w:sz w:val="24"/>
                <w:szCs w:val="24"/>
              </w:rPr>
              <w:t>8年度</w:t>
            </w:r>
          </w:p>
        </w:tc>
        <w:tc>
          <w:tcPr>
            <w:tcW w:w="30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eastAsia" w:ascii="宋体" w:cs="宋体"/>
                <w:color w:val="000000"/>
                <w:sz w:val="24"/>
                <w:szCs w:val="24"/>
              </w:rPr>
            </w:pPr>
            <w:r>
              <w:rPr>
                <w:rFonts w:hint="eastAsia" w:ascii="宋体" w:hAnsi="宋体" w:cs="宋体"/>
                <w:color w:val="000000"/>
                <w:kern w:val="0"/>
                <w:sz w:val="24"/>
                <w:szCs w:val="24"/>
              </w:rPr>
              <w:t>金额单位：元</w:t>
            </w:r>
          </w:p>
        </w:tc>
      </w:tr>
      <w:tr>
        <w:tblPrEx>
          <w:tblCellMar>
            <w:top w:w="15" w:type="dxa"/>
            <w:left w:w="15" w:type="dxa"/>
            <w:bottom w:w="15" w:type="dxa"/>
            <w:right w:w="15" w:type="dxa"/>
          </w:tblCellMar>
        </w:tblPrEx>
        <w:trPr>
          <w:trHeight w:val="390" w:hRule="atLeast"/>
          <w:jc w:val="center"/>
        </w:trPr>
        <w:tc>
          <w:tcPr>
            <w:tcW w:w="41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color w:val="000000"/>
                <w:sz w:val="22"/>
              </w:rPr>
            </w:pPr>
            <w:r>
              <w:rPr>
                <w:rFonts w:hint="eastAsia" w:ascii="宋体" w:hAnsi="宋体" w:cs="宋体"/>
                <w:color w:val="000000"/>
                <w:kern w:val="0"/>
                <w:sz w:val="22"/>
              </w:rPr>
              <w:t>项　　目</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color w:val="000000"/>
                <w:sz w:val="22"/>
              </w:rPr>
            </w:pPr>
            <w:r>
              <w:rPr>
                <w:rFonts w:hint="eastAsia" w:ascii="宋体" w:hAnsi="宋体" w:cs="宋体"/>
                <w:color w:val="000000"/>
                <w:kern w:val="0"/>
                <w:sz w:val="22"/>
              </w:rPr>
              <w:t>数量</w:t>
            </w:r>
          </w:p>
        </w:tc>
        <w:tc>
          <w:tcPr>
            <w:tcW w:w="4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color w:val="000000"/>
                <w:sz w:val="22"/>
              </w:rPr>
            </w:pPr>
            <w:r>
              <w:rPr>
                <w:rFonts w:hint="eastAsia" w:ascii="宋体" w:hAnsi="宋体" w:cs="宋体"/>
                <w:color w:val="000000"/>
                <w:kern w:val="0"/>
                <w:sz w:val="22"/>
              </w:rPr>
              <w:t>价值</w:t>
            </w:r>
          </w:p>
        </w:tc>
      </w:tr>
      <w:tr>
        <w:tblPrEx>
          <w:tblCellMar>
            <w:top w:w="15" w:type="dxa"/>
            <w:left w:w="15" w:type="dxa"/>
            <w:bottom w:w="15" w:type="dxa"/>
            <w:right w:w="15" w:type="dxa"/>
          </w:tblCellMar>
        </w:tblPrEx>
        <w:trPr>
          <w:trHeight w:val="300" w:hRule="atLeast"/>
          <w:jc w:val="center"/>
        </w:trPr>
        <w:tc>
          <w:tcPr>
            <w:tcW w:w="41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cs="宋体"/>
                <w:color w:val="000000"/>
                <w:sz w:val="22"/>
              </w:rPr>
            </w:pP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color w:val="000000"/>
                <w:sz w:val="22"/>
              </w:rPr>
            </w:pPr>
            <w:r>
              <w:rPr>
                <w:rFonts w:hint="eastAsia" w:ascii="宋体" w:hAnsi="宋体" w:cs="宋体"/>
                <w:color w:val="000000"/>
                <w:kern w:val="0"/>
                <w:sz w:val="22"/>
              </w:rPr>
              <w:t>年初数</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color w:val="000000"/>
                <w:sz w:val="22"/>
              </w:rPr>
            </w:pPr>
            <w:r>
              <w:rPr>
                <w:rFonts w:hint="eastAsia" w:ascii="宋体" w:hAnsi="宋体" w:cs="宋体"/>
                <w:color w:val="000000"/>
                <w:kern w:val="0"/>
                <w:sz w:val="22"/>
              </w:rPr>
              <w:t>年末数</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color w:val="000000"/>
                <w:sz w:val="22"/>
              </w:rPr>
            </w:pPr>
            <w:r>
              <w:rPr>
                <w:rFonts w:hint="eastAsia" w:ascii="宋体" w:hAnsi="宋体" w:cs="宋体"/>
                <w:color w:val="000000"/>
                <w:kern w:val="0"/>
                <w:sz w:val="22"/>
              </w:rPr>
              <w:t>年初数</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color w:val="000000"/>
                <w:sz w:val="22"/>
              </w:rPr>
            </w:pPr>
            <w:r>
              <w:rPr>
                <w:rFonts w:hint="eastAsia" w:ascii="宋体" w:hAnsi="宋体" w:cs="宋体"/>
                <w:color w:val="000000"/>
                <w:kern w:val="0"/>
                <w:sz w:val="22"/>
              </w:rPr>
              <w:t>年末数</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color w:val="000000"/>
                <w:sz w:val="22"/>
              </w:rPr>
            </w:pPr>
            <w:r>
              <w:rPr>
                <w:rFonts w:hint="eastAsia" w:ascii="宋体" w:hAnsi="宋体" w:cs="宋体"/>
                <w:color w:val="000000"/>
                <w:kern w:val="0"/>
                <w:sz w:val="22"/>
              </w:rPr>
              <w:t>资产总额</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color w:val="000000"/>
                <w:sz w:val="22"/>
              </w:rPr>
            </w:pPr>
            <w:r>
              <w:rPr>
                <w:rFonts w:ascii="宋体" w:hAnsi="宋体" w:cs="宋体"/>
                <w:color w:val="000000"/>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color w:val="000000"/>
                <w:sz w:val="22"/>
              </w:rPr>
            </w:pPr>
            <w:r>
              <w:rPr>
                <w:rFonts w:ascii="宋体" w:hAnsi="宋体" w:cs="宋体"/>
                <w:color w:val="000000"/>
                <w:kern w:val="0"/>
                <w:sz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cs="宋体"/>
                <w:color w:val="000000"/>
                <w:sz w:val="22"/>
              </w:rPr>
            </w:pPr>
            <w:r>
              <w:rPr>
                <w:rFonts w:hint="eastAsia" w:ascii="宋体" w:cs="宋体"/>
                <w:color w:val="000000"/>
                <w:sz w:val="22"/>
              </w:rPr>
              <w:t>380000</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cs="宋体"/>
                <w:color w:val="000000"/>
                <w:sz w:val="22"/>
              </w:rPr>
            </w:pPr>
            <w:r>
              <w:rPr>
                <w:rFonts w:hint="eastAsia" w:ascii="宋体" w:hAnsi="宋体" w:cs="宋体"/>
                <w:color w:val="000000"/>
                <w:kern w:val="0"/>
                <w:sz w:val="22"/>
              </w:rPr>
              <w:t>380000</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cs="宋体"/>
                <w:color w:val="000000"/>
                <w:sz w:val="22"/>
              </w:rPr>
            </w:pPr>
            <w:r>
              <w:rPr>
                <w:rFonts w:ascii="宋体" w:hAnsi="宋体" w:cs="宋体"/>
                <w:color w:val="000000"/>
                <w:kern w:val="0"/>
                <w:sz w:val="22"/>
              </w:rPr>
              <w:t xml:space="preserve">  1</w:t>
            </w:r>
            <w:r>
              <w:rPr>
                <w:rFonts w:hint="eastAsia" w:ascii="宋体" w:hAnsi="宋体" w:cs="宋体"/>
                <w:color w:val="000000"/>
                <w:kern w:val="0"/>
                <w:sz w:val="22"/>
              </w:rPr>
              <w:t>、房屋（平方米）</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cs="宋体"/>
                <w:color w:val="000000"/>
                <w:sz w:val="22"/>
              </w:rPr>
            </w:pPr>
            <w:r>
              <w:rPr>
                <w:rFonts w:ascii="宋体" w:hAnsi="宋体" w:cs="宋体"/>
                <w:color w:val="000000"/>
                <w:kern w:val="0"/>
                <w:sz w:val="22"/>
              </w:rPr>
              <w:t xml:space="preserve">        1.</w:t>
            </w:r>
            <w:r>
              <w:rPr>
                <w:rFonts w:hint="eastAsia" w:ascii="宋体" w:hAnsi="宋体" w:cs="宋体"/>
                <w:color w:val="000000"/>
                <w:kern w:val="0"/>
                <w:sz w:val="22"/>
              </w:rPr>
              <w:t>办公用房</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cs="宋体"/>
                <w:color w:val="000000"/>
                <w:sz w:val="22"/>
              </w:rPr>
            </w:pPr>
            <w:r>
              <w:rPr>
                <w:rFonts w:hint="eastAsia" w:ascii="宋体" w:hAnsi="宋体" w:cs="宋体"/>
                <w:color w:val="000000"/>
                <w:kern w:val="0"/>
                <w:sz w:val="22"/>
              </w:rPr>
              <w:t>　　</w:t>
            </w:r>
            <w:r>
              <w:rPr>
                <w:rFonts w:ascii="宋体" w:hAnsi="宋体" w:cs="宋体"/>
                <w:color w:val="000000"/>
                <w:kern w:val="0"/>
                <w:sz w:val="22"/>
              </w:rPr>
              <w:t xml:space="preserve">    2.</w:t>
            </w:r>
            <w:r>
              <w:rPr>
                <w:rFonts w:hint="eastAsia" w:ascii="宋体" w:hAnsi="宋体" w:cs="宋体"/>
                <w:color w:val="000000"/>
                <w:kern w:val="0"/>
                <w:sz w:val="22"/>
              </w:rPr>
              <w:t>业务用房</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cs="宋体"/>
                <w:color w:val="000000"/>
                <w:sz w:val="22"/>
              </w:rPr>
            </w:pPr>
            <w:r>
              <w:rPr>
                <w:rFonts w:hint="eastAsia" w:ascii="宋体" w:hAnsi="宋体" w:cs="宋体"/>
                <w:color w:val="000000"/>
                <w:kern w:val="0"/>
                <w:sz w:val="22"/>
              </w:rPr>
              <w:t>　</w:t>
            </w:r>
            <w:r>
              <w:rPr>
                <w:rFonts w:ascii="宋体" w:hAnsi="宋体" w:cs="宋体"/>
                <w:color w:val="000000"/>
                <w:kern w:val="0"/>
                <w:sz w:val="22"/>
              </w:rPr>
              <w:t xml:space="preserve"> </w:t>
            </w:r>
            <w:r>
              <w:rPr>
                <w:rFonts w:hint="eastAsia" w:ascii="宋体" w:hAnsi="宋体" w:cs="宋体"/>
                <w:color w:val="000000"/>
                <w:kern w:val="0"/>
                <w:sz w:val="22"/>
              </w:rPr>
              <w:t>　</w:t>
            </w:r>
            <w:r>
              <w:rPr>
                <w:rFonts w:ascii="宋体" w:hAnsi="宋体" w:cs="宋体"/>
                <w:color w:val="000000"/>
                <w:kern w:val="0"/>
                <w:sz w:val="22"/>
              </w:rPr>
              <w:t xml:space="preserve">   3.</w:t>
            </w:r>
            <w:r>
              <w:rPr>
                <w:rFonts w:hint="eastAsia" w:ascii="宋体" w:hAnsi="宋体" w:cs="宋体"/>
                <w:color w:val="000000"/>
                <w:kern w:val="0"/>
                <w:sz w:val="22"/>
              </w:rPr>
              <w:t>其他（不含构筑物）</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cs="宋体"/>
                <w:color w:val="000000"/>
                <w:sz w:val="22"/>
              </w:rPr>
            </w:pPr>
            <w:r>
              <w:rPr>
                <w:rFonts w:ascii="宋体" w:hAnsi="宋体" w:cs="宋体"/>
                <w:color w:val="000000"/>
                <w:kern w:val="0"/>
                <w:sz w:val="22"/>
              </w:rPr>
              <w:t xml:space="preserve">  2</w:t>
            </w:r>
            <w:r>
              <w:rPr>
                <w:rFonts w:hint="eastAsia" w:ascii="宋体" w:hAnsi="宋体" w:cs="宋体"/>
                <w:color w:val="000000"/>
                <w:kern w:val="0"/>
                <w:sz w:val="22"/>
              </w:rPr>
              <w:t>、车辆（台、辆）</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cs="宋体"/>
                <w:color w:val="000000"/>
                <w:sz w:val="22"/>
              </w:rPr>
            </w:pPr>
            <w:r>
              <w:rPr>
                <w:rFonts w:hint="eastAsia" w:ascii="宋体" w:cs="宋体"/>
                <w:color w:val="000000"/>
                <w:sz w:val="22"/>
              </w:rPr>
              <w:t>1</w:t>
            </w: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cs="宋体"/>
                <w:color w:val="000000"/>
                <w:sz w:val="22"/>
              </w:rPr>
            </w:pPr>
            <w:r>
              <w:rPr>
                <w:rFonts w:hint="eastAsia" w:ascii="宋体" w:cs="宋体"/>
                <w:color w:val="000000"/>
                <w:sz w:val="22"/>
              </w:rPr>
              <w:t>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cs="宋体"/>
                <w:color w:val="000000"/>
                <w:sz w:val="22"/>
              </w:rPr>
            </w:pPr>
            <w:r>
              <w:rPr>
                <w:rFonts w:hint="eastAsia" w:ascii="宋体" w:cs="宋体"/>
                <w:color w:val="000000"/>
                <w:sz w:val="22"/>
              </w:rPr>
              <w:t>260000</w:t>
            </w: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cs="宋体"/>
                <w:color w:val="000000"/>
                <w:sz w:val="22"/>
              </w:rPr>
            </w:pPr>
            <w:r>
              <w:rPr>
                <w:rFonts w:hint="eastAsia" w:ascii="宋体" w:cs="宋体"/>
                <w:color w:val="000000"/>
                <w:sz w:val="22"/>
              </w:rPr>
              <w:t>260000</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cs="宋体"/>
                <w:color w:val="000000"/>
                <w:sz w:val="22"/>
              </w:rPr>
            </w:pPr>
            <w:r>
              <w:rPr>
                <w:rFonts w:ascii="宋体" w:hAnsi="宋体" w:cs="宋体"/>
                <w:color w:val="000000"/>
                <w:kern w:val="0"/>
                <w:sz w:val="22"/>
              </w:rPr>
              <w:t xml:space="preserve">  3</w:t>
            </w:r>
            <w:r>
              <w:rPr>
                <w:rFonts w:hint="eastAsia" w:ascii="宋体" w:hAnsi="宋体" w:cs="宋体"/>
                <w:color w:val="000000"/>
                <w:kern w:val="0"/>
                <w:sz w:val="22"/>
              </w:rPr>
              <w:t>、单价</w:t>
            </w:r>
            <w:r>
              <w:rPr>
                <w:rFonts w:ascii="宋体" w:hAnsi="宋体" w:cs="宋体"/>
                <w:color w:val="000000"/>
                <w:kern w:val="0"/>
                <w:sz w:val="22"/>
              </w:rPr>
              <w:t>50</w:t>
            </w:r>
            <w:r>
              <w:rPr>
                <w:rFonts w:hint="eastAsia" w:ascii="宋体" w:hAnsi="宋体" w:cs="宋体"/>
                <w:color w:val="000000"/>
                <w:kern w:val="0"/>
                <w:sz w:val="22"/>
              </w:rPr>
              <w:t>万元（含）以上的通用设备（台、套…）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cs="宋体"/>
                <w:color w:val="000000"/>
                <w:sz w:val="22"/>
              </w:rPr>
            </w:pPr>
            <w:r>
              <w:rPr>
                <w:rFonts w:ascii="宋体" w:hAnsi="宋体" w:cs="宋体"/>
                <w:color w:val="000000"/>
                <w:kern w:val="0"/>
                <w:sz w:val="22"/>
              </w:rPr>
              <w:t xml:space="preserve">  4</w:t>
            </w:r>
            <w:r>
              <w:rPr>
                <w:rFonts w:hint="eastAsia" w:ascii="宋体" w:hAnsi="宋体" w:cs="宋体"/>
                <w:color w:val="000000"/>
                <w:kern w:val="0"/>
                <w:sz w:val="22"/>
              </w:rPr>
              <w:t>、单价</w:t>
            </w:r>
            <w:r>
              <w:rPr>
                <w:rFonts w:ascii="宋体" w:hAnsi="宋体" w:cs="宋体"/>
                <w:color w:val="000000"/>
                <w:kern w:val="0"/>
                <w:sz w:val="22"/>
              </w:rPr>
              <w:t>100</w:t>
            </w:r>
            <w:r>
              <w:rPr>
                <w:rFonts w:hint="eastAsia" w:ascii="宋体" w:hAnsi="宋体" w:cs="宋体"/>
                <w:color w:val="000000"/>
                <w:kern w:val="0"/>
                <w:sz w:val="22"/>
              </w:rPr>
              <w:t>万元（含）以上的专用设备（台、套…）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cs="宋体"/>
                <w:color w:val="000000"/>
                <w:sz w:val="22"/>
              </w:rPr>
            </w:pPr>
            <w:r>
              <w:rPr>
                <w:rFonts w:ascii="宋体" w:hAnsi="宋体" w:cs="宋体"/>
                <w:color w:val="000000"/>
                <w:kern w:val="0"/>
                <w:sz w:val="22"/>
              </w:rPr>
              <w:t xml:space="preserve">  5</w:t>
            </w:r>
            <w:r>
              <w:rPr>
                <w:rFonts w:hint="eastAsia" w:ascii="宋体" w:hAnsi="宋体" w:cs="宋体"/>
                <w:color w:val="000000"/>
                <w:kern w:val="0"/>
                <w:sz w:val="22"/>
              </w:rPr>
              <w:t>、其他固定资产</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color w:val="000000"/>
                <w:sz w:val="22"/>
              </w:rPr>
            </w:pPr>
            <w:r>
              <w:rPr>
                <w:rFonts w:ascii="宋体" w:hAnsi="宋体" w:cs="宋体"/>
                <w:color w:val="000000"/>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cs="宋体"/>
                <w:color w:val="000000"/>
                <w:sz w:val="22"/>
              </w:rPr>
            </w:pPr>
            <w:r>
              <w:rPr>
                <w:rFonts w:ascii="宋体" w:hAnsi="宋体" w:cs="宋体"/>
                <w:color w:val="000000"/>
                <w:kern w:val="0"/>
                <w:sz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cs="宋体"/>
                <w:color w:val="000000"/>
                <w:sz w:val="22"/>
              </w:rPr>
            </w:pPr>
            <w:r>
              <w:rPr>
                <w:rFonts w:hint="eastAsia" w:ascii="宋体" w:cs="宋体"/>
                <w:color w:val="000000"/>
                <w:sz w:val="22"/>
              </w:rPr>
              <w:t>120000</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cs="宋体"/>
                <w:color w:val="000000"/>
                <w:sz w:val="22"/>
              </w:rPr>
            </w:pPr>
            <w:r>
              <w:rPr>
                <w:rFonts w:hint="eastAsia" w:ascii="宋体" w:cs="宋体"/>
                <w:color w:val="000000"/>
                <w:sz w:val="22"/>
              </w:rPr>
              <w:t>120000</w:t>
            </w:r>
          </w:p>
        </w:tc>
      </w:tr>
    </w:tbl>
    <w:p>
      <w:pPr>
        <w:autoSpaceDE w:val="0"/>
        <w:autoSpaceDN w:val="0"/>
        <w:adjustRightInd w:val="0"/>
        <w:ind w:left="198" w:firstLine="640" w:firstLineChars="200"/>
        <w:jc w:val="left"/>
        <w:rPr>
          <w:rFonts w:ascii="黑体" w:hAnsi="黑体" w:eastAsia="黑体"/>
          <w:sz w:val="32"/>
          <w:szCs w:val="32"/>
        </w:rPr>
      </w:pP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八、名词解释</w:t>
      </w:r>
    </w:p>
    <w:p>
      <w:pPr>
        <w:tabs>
          <w:tab w:val="left" w:pos="11490"/>
        </w:tabs>
        <w:ind w:firstLine="643" w:firstLineChars="200"/>
        <w:rPr>
          <w:rFonts w:ascii="仿宋" w:hAnsi="仿宋" w:eastAsia="仿宋"/>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、一般公共预算拨款收入：</w:t>
      </w:r>
      <w:r>
        <w:rPr>
          <w:rFonts w:hint="eastAsia" w:ascii="仿宋" w:hAnsi="仿宋" w:eastAsia="仿宋"/>
          <w:sz w:val="32"/>
          <w:szCs w:val="32"/>
        </w:rPr>
        <w:t>指县级财政当年拨付的资金。</w:t>
      </w:r>
    </w:p>
    <w:p>
      <w:pPr>
        <w:tabs>
          <w:tab w:val="left" w:pos="11490"/>
        </w:tabs>
        <w:ind w:firstLine="643" w:firstLineChars="200"/>
        <w:rPr>
          <w:rFonts w:ascii="仿宋" w:hAnsi="仿宋" w:eastAsia="仿宋"/>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、事业收入：</w:t>
      </w:r>
      <w:r>
        <w:rPr>
          <w:rFonts w:hint="eastAsia" w:ascii="仿宋" w:hAnsi="仿宋" w:eastAsia="仿宋"/>
          <w:sz w:val="32"/>
          <w:szCs w:val="32"/>
        </w:rPr>
        <w:t>指事业单位开展专业业务活动及辅助活动所取得的收入。</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3</w:t>
      </w:r>
      <w:r>
        <w:rPr>
          <w:rFonts w:hint="eastAsia" w:ascii="Times New Roman" w:hAnsi="Times New Roman" w:eastAsia="方正仿宋_GBK"/>
          <w:b/>
          <w:sz w:val="32"/>
          <w:szCs w:val="32"/>
        </w:rPr>
        <w:t>、其他收入：</w:t>
      </w:r>
      <w:r>
        <w:rPr>
          <w:rFonts w:hint="eastAsia" w:ascii="仿宋" w:hAnsi="仿宋" w:eastAsia="仿宋"/>
          <w:sz w:val="32"/>
          <w:szCs w:val="32"/>
        </w:rPr>
        <w:t>指除</w:t>
      </w:r>
      <w:r>
        <w:rPr>
          <w:rFonts w:ascii="仿宋" w:hAnsi="仿宋" w:eastAsia="仿宋"/>
          <w:sz w:val="32"/>
          <w:szCs w:val="32"/>
        </w:rPr>
        <w:t>“</w:t>
      </w:r>
      <w:r>
        <w:rPr>
          <w:rFonts w:hint="eastAsia" w:ascii="仿宋" w:hAnsi="仿宋" w:eastAsia="仿宋"/>
          <w:sz w:val="32"/>
          <w:szCs w:val="32"/>
        </w:rPr>
        <w:t>一般公共预算拨款收入</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事业收入</w:t>
      </w:r>
      <w:r>
        <w:rPr>
          <w:rFonts w:ascii="仿宋" w:hAnsi="仿宋" w:eastAsia="仿宋"/>
          <w:sz w:val="32"/>
          <w:szCs w:val="32"/>
        </w:rPr>
        <w:t>”</w:t>
      </w:r>
      <w:r>
        <w:rPr>
          <w:rFonts w:hint="eastAsia" w:ascii="仿宋" w:hAnsi="仿宋" w:eastAsia="仿宋"/>
          <w:sz w:val="32"/>
          <w:szCs w:val="32"/>
        </w:rPr>
        <w:t>等以外的收入。主要是按规定动用的租房收入、存款利息收入等。</w:t>
      </w:r>
    </w:p>
    <w:p>
      <w:pPr>
        <w:tabs>
          <w:tab w:val="left" w:pos="11490"/>
        </w:tabs>
        <w:ind w:firstLine="643" w:firstLineChars="200"/>
        <w:rPr>
          <w:rFonts w:ascii="仿宋" w:hAnsi="仿宋" w:eastAsia="仿宋"/>
          <w:sz w:val="32"/>
          <w:szCs w:val="32"/>
        </w:rPr>
      </w:pPr>
      <w:r>
        <w:rPr>
          <w:rFonts w:ascii="Times New Roman" w:hAnsi="Times New Roman" w:eastAsia="方正仿宋_GBK"/>
          <w:b/>
          <w:sz w:val="32"/>
          <w:szCs w:val="32"/>
        </w:rPr>
        <w:t>4</w:t>
      </w:r>
      <w:r>
        <w:rPr>
          <w:rFonts w:hint="eastAsia" w:ascii="Times New Roman" w:hAnsi="Times New Roman" w:eastAsia="方正仿宋_GBK"/>
          <w:b/>
          <w:sz w:val="32"/>
          <w:szCs w:val="32"/>
        </w:rPr>
        <w:t>、基本支出：</w:t>
      </w:r>
      <w:r>
        <w:rPr>
          <w:rFonts w:hint="eastAsia" w:ascii="仿宋" w:hAnsi="仿宋" w:eastAsia="仿宋"/>
          <w:sz w:val="32"/>
          <w:szCs w:val="32"/>
        </w:rPr>
        <w:t>指为保障机构正常运转、完成日常工作任务而发生的人员支出和公用支出。</w:t>
      </w:r>
    </w:p>
    <w:p>
      <w:pPr>
        <w:tabs>
          <w:tab w:val="left" w:pos="11490"/>
        </w:tabs>
        <w:ind w:firstLine="643" w:firstLineChars="200"/>
        <w:rPr>
          <w:rFonts w:ascii="仿宋" w:hAnsi="仿宋" w:eastAsia="仿宋"/>
          <w:sz w:val="32"/>
          <w:szCs w:val="32"/>
        </w:rPr>
      </w:pPr>
      <w:r>
        <w:rPr>
          <w:rFonts w:ascii="Times New Roman" w:hAnsi="Times New Roman" w:eastAsia="方正仿宋_GBK"/>
          <w:b/>
          <w:sz w:val="32"/>
          <w:szCs w:val="32"/>
        </w:rPr>
        <w:t>5</w:t>
      </w:r>
      <w:r>
        <w:rPr>
          <w:rFonts w:hint="eastAsia" w:ascii="Times New Roman" w:hAnsi="Times New Roman" w:eastAsia="方正仿宋_GBK"/>
          <w:b/>
          <w:sz w:val="32"/>
          <w:szCs w:val="32"/>
        </w:rPr>
        <w:t>、项目支出：</w:t>
      </w:r>
      <w:r>
        <w:rPr>
          <w:rFonts w:hint="eastAsia" w:ascii="仿宋" w:hAnsi="仿宋" w:eastAsia="仿宋"/>
          <w:sz w:val="32"/>
          <w:szCs w:val="32"/>
        </w:rPr>
        <w:t>指在基本支出之外为完成特定行政任务和事业发展目标所发生的支出。</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6</w:t>
      </w:r>
      <w:r>
        <w:rPr>
          <w:rFonts w:hint="eastAsia" w:ascii="Times New Roman" w:hAnsi="Times New Roman" w:eastAsia="方正仿宋_GBK"/>
          <w:b/>
          <w:sz w:val="32"/>
          <w:szCs w:val="32"/>
        </w:rPr>
        <w:t>、</w:t>
      </w:r>
      <w:r>
        <w:rPr>
          <w:rFonts w:ascii="Times New Roman" w:hAnsi="Times New Roman" w:eastAsia="方正仿宋_GBK"/>
          <w:b/>
          <w:sz w:val="32"/>
          <w:szCs w:val="32"/>
        </w:rPr>
        <w:t>“</w:t>
      </w:r>
      <w:r>
        <w:rPr>
          <w:rFonts w:hint="eastAsia" w:ascii="Times New Roman" w:hAnsi="Times New Roman" w:eastAsia="方正仿宋_GBK"/>
          <w:b/>
          <w:sz w:val="32"/>
          <w:szCs w:val="32"/>
        </w:rPr>
        <w:t>三公</w:t>
      </w:r>
      <w:r>
        <w:rPr>
          <w:rFonts w:ascii="Times New Roman" w:hAnsi="Times New Roman" w:eastAsia="方正仿宋_GBK"/>
          <w:b/>
          <w:sz w:val="32"/>
          <w:szCs w:val="32"/>
        </w:rPr>
        <w:t>”</w:t>
      </w:r>
      <w:r>
        <w:rPr>
          <w:rFonts w:hint="eastAsia" w:ascii="Times New Roman" w:hAnsi="Times New Roman" w:eastAsia="方正仿宋_GBK"/>
          <w:b/>
          <w:sz w:val="32"/>
          <w:szCs w:val="32"/>
        </w:rPr>
        <w:t>经费：</w:t>
      </w:r>
      <w:r>
        <w:rPr>
          <w:rFonts w:hint="eastAsia" w:ascii="仿宋" w:hAnsi="仿宋" w:eastAsia="仿宋"/>
          <w:sz w:val="32"/>
          <w:szCs w:val="32"/>
        </w:rPr>
        <w:t>纳入县级财政预算管理的</w:t>
      </w:r>
      <w:r>
        <w:rPr>
          <w:rFonts w:ascii="仿宋" w:hAnsi="仿宋" w:eastAsia="仿宋"/>
          <w:sz w:val="32"/>
          <w:szCs w:val="32"/>
        </w:rPr>
        <w:t>“</w:t>
      </w:r>
      <w:r>
        <w:rPr>
          <w:rFonts w:hint="eastAsia" w:ascii="仿宋" w:hAnsi="仿宋" w:eastAsia="仿宋"/>
          <w:sz w:val="32"/>
          <w:szCs w:val="32"/>
        </w:rPr>
        <w:t>三公</w:t>
      </w:r>
      <w:r>
        <w:rPr>
          <w:rFonts w:ascii="仿宋" w:hAnsi="仿宋" w:eastAsia="仿宋"/>
          <w:sz w:val="32"/>
          <w:szCs w:val="32"/>
        </w:rPr>
        <w:t>”</w:t>
      </w:r>
      <w:r>
        <w:rPr>
          <w:rFonts w:hint="eastAsia" w:ascii="仿宋" w:hAnsi="仿宋" w:eastAsia="仿宋"/>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仿宋" w:hAnsi="仿宋" w:eastAsia="仿宋"/>
          <w:sz w:val="32"/>
          <w:szCs w:val="32"/>
        </w:rPr>
      </w:pPr>
      <w:r>
        <w:rPr>
          <w:rFonts w:ascii="Times New Roman" w:hAnsi="Times New Roman" w:eastAsia="方正仿宋_GBK"/>
          <w:b/>
          <w:sz w:val="32"/>
          <w:szCs w:val="32"/>
        </w:rPr>
        <w:t>7</w:t>
      </w:r>
      <w:r>
        <w:rPr>
          <w:rFonts w:hint="eastAsia" w:ascii="Times New Roman" w:hAnsi="Times New Roman" w:eastAsia="方正仿宋_GBK"/>
          <w:b/>
          <w:sz w:val="32"/>
          <w:szCs w:val="32"/>
        </w:rPr>
        <w:t>、机关运行费：</w:t>
      </w:r>
      <w:r>
        <w:rPr>
          <w:rFonts w:hint="eastAsia" w:ascii="仿宋" w:hAnsi="仿宋" w:eastAsia="仿宋"/>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3" w:firstLineChars="200"/>
        <w:rPr>
          <w:rFonts w:ascii="仿宋" w:hAnsi="仿宋" w:eastAsia="仿宋"/>
          <w:sz w:val="32"/>
          <w:szCs w:val="32"/>
        </w:rPr>
      </w:pPr>
      <w:r>
        <w:rPr>
          <w:rFonts w:ascii="Times New Roman" w:hAnsi="Times New Roman" w:eastAsia="方正仿宋_GBK"/>
          <w:b/>
          <w:sz w:val="32"/>
          <w:szCs w:val="32"/>
        </w:rPr>
        <w:t>8</w:t>
      </w:r>
      <w:r>
        <w:rPr>
          <w:rFonts w:hint="eastAsia" w:ascii="Times New Roman" w:hAnsi="Times New Roman" w:eastAsia="方正仿宋_GBK"/>
          <w:b/>
          <w:sz w:val="32"/>
          <w:szCs w:val="32"/>
        </w:rPr>
        <w:t>、上年结转：</w:t>
      </w:r>
      <w:r>
        <w:rPr>
          <w:rFonts w:hint="eastAsia" w:ascii="仿宋" w:hAnsi="仿宋" w:eastAsia="仿宋"/>
          <w:sz w:val="32"/>
          <w:szCs w:val="32"/>
        </w:rPr>
        <w:t>指以前年度尚未完成、结转到本年仍按原规定用途继续使用的资金。</w:t>
      </w:r>
    </w:p>
    <w:p>
      <w:pPr>
        <w:tabs>
          <w:tab w:val="left" w:pos="11490"/>
        </w:tabs>
        <w:ind w:firstLine="643" w:firstLineChars="200"/>
        <w:rPr>
          <w:rFonts w:ascii="仿宋" w:hAnsi="仿宋" w:eastAsia="仿宋"/>
          <w:sz w:val="32"/>
          <w:szCs w:val="32"/>
        </w:rPr>
      </w:pPr>
      <w:r>
        <w:rPr>
          <w:rFonts w:ascii="Times New Roman" w:hAnsi="Times New Roman" w:eastAsia="方正仿宋_GBK"/>
          <w:b/>
          <w:sz w:val="32"/>
          <w:szCs w:val="32"/>
        </w:rPr>
        <w:t>9</w:t>
      </w:r>
      <w:r>
        <w:rPr>
          <w:rFonts w:hint="eastAsia" w:ascii="Times New Roman" w:hAnsi="Times New Roman" w:eastAsia="方正仿宋_GBK"/>
          <w:b/>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九、其他需要说明的事项</w:t>
      </w:r>
    </w:p>
    <w:p>
      <w:pPr>
        <w:tabs>
          <w:tab w:val="left" w:pos="11490"/>
        </w:tabs>
        <w:ind w:firstLine="640" w:firstLineChars="200"/>
        <w:rPr>
          <w:rFonts w:ascii="仿宋" w:hAnsi="仿宋" w:eastAsia="仿宋"/>
          <w:sz w:val="32"/>
          <w:szCs w:val="32"/>
        </w:rPr>
      </w:pPr>
      <w:r>
        <w:rPr>
          <w:rFonts w:hint="eastAsia" w:ascii="仿宋" w:hAnsi="仿宋" w:eastAsia="仿宋"/>
          <w:sz w:val="32"/>
          <w:szCs w:val="32"/>
        </w:rPr>
        <w:t>我部门无其他需要说明的事项。</w:t>
      </w:r>
    </w:p>
    <w:sectPr>
      <w:headerReference r:id="rId3" w:type="default"/>
      <w:footerReference r:id="rId4"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rPr>
        <w:lang w:val="en-US"/>
      </w:rPr>
      <w:fldChar w:fldCharType="begin"/>
    </w:r>
    <w:r>
      <w:instrText xml:space="preserve">PAGE   \* MERGEFORMAT</w:instrText>
    </w:r>
    <w:r>
      <w:rPr>
        <w:lang w:val="en-US"/>
      </w:rPr>
      <w:fldChar w:fldCharType="separate"/>
    </w:r>
    <w:r>
      <w:rPr>
        <w:lang w:val="zh-CN"/>
      </w:rPr>
      <w:t>9</w:t>
    </w:r>
    <w:r>
      <w:rPr>
        <w:lang w:val="zh-CN"/>
      </w:rPr>
      <w:fldChar w:fldCharType="end"/>
    </w:r>
    <w: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F66032"/>
    <w:rsid w:val="00002401"/>
    <w:rsid w:val="000053CC"/>
    <w:rsid w:val="00037AF6"/>
    <w:rsid w:val="0004309C"/>
    <w:rsid w:val="0004565F"/>
    <w:rsid w:val="00072187"/>
    <w:rsid w:val="0007450E"/>
    <w:rsid w:val="00075D5F"/>
    <w:rsid w:val="000A7850"/>
    <w:rsid w:val="000B529B"/>
    <w:rsid w:val="000C24E6"/>
    <w:rsid w:val="000C3A19"/>
    <w:rsid w:val="000C620A"/>
    <w:rsid w:val="000D5C0F"/>
    <w:rsid w:val="001245BB"/>
    <w:rsid w:val="001251A3"/>
    <w:rsid w:val="00153E79"/>
    <w:rsid w:val="00155AFA"/>
    <w:rsid w:val="001643E8"/>
    <w:rsid w:val="001679AF"/>
    <w:rsid w:val="001919C4"/>
    <w:rsid w:val="0019723B"/>
    <w:rsid w:val="001E0757"/>
    <w:rsid w:val="001E6DDC"/>
    <w:rsid w:val="001F7873"/>
    <w:rsid w:val="00241E4A"/>
    <w:rsid w:val="00241FD4"/>
    <w:rsid w:val="00251B12"/>
    <w:rsid w:val="002607D2"/>
    <w:rsid w:val="00265318"/>
    <w:rsid w:val="002835D7"/>
    <w:rsid w:val="00290FD6"/>
    <w:rsid w:val="002941A4"/>
    <w:rsid w:val="00296113"/>
    <w:rsid w:val="002A673A"/>
    <w:rsid w:val="002C5E13"/>
    <w:rsid w:val="002C62BC"/>
    <w:rsid w:val="002E0EB8"/>
    <w:rsid w:val="002F3E58"/>
    <w:rsid w:val="0030542C"/>
    <w:rsid w:val="00311B7A"/>
    <w:rsid w:val="00313D9C"/>
    <w:rsid w:val="003669CC"/>
    <w:rsid w:val="00424943"/>
    <w:rsid w:val="0042727E"/>
    <w:rsid w:val="0043175C"/>
    <w:rsid w:val="00437296"/>
    <w:rsid w:val="00451590"/>
    <w:rsid w:val="00451871"/>
    <w:rsid w:val="00457E06"/>
    <w:rsid w:val="004661B0"/>
    <w:rsid w:val="004706DE"/>
    <w:rsid w:val="00472923"/>
    <w:rsid w:val="00486DCD"/>
    <w:rsid w:val="004A33CF"/>
    <w:rsid w:val="004B0C3A"/>
    <w:rsid w:val="004C49A8"/>
    <w:rsid w:val="004D5788"/>
    <w:rsid w:val="004E3066"/>
    <w:rsid w:val="004E419C"/>
    <w:rsid w:val="004E74CD"/>
    <w:rsid w:val="004F304F"/>
    <w:rsid w:val="00505CE9"/>
    <w:rsid w:val="00524EFD"/>
    <w:rsid w:val="00540AFC"/>
    <w:rsid w:val="00572067"/>
    <w:rsid w:val="00573562"/>
    <w:rsid w:val="00590ECE"/>
    <w:rsid w:val="005F5714"/>
    <w:rsid w:val="00600A07"/>
    <w:rsid w:val="00611D03"/>
    <w:rsid w:val="00614A29"/>
    <w:rsid w:val="00673D76"/>
    <w:rsid w:val="006854F0"/>
    <w:rsid w:val="006920B9"/>
    <w:rsid w:val="006B1C4A"/>
    <w:rsid w:val="006B610D"/>
    <w:rsid w:val="006E49F5"/>
    <w:rsid w:val="007013C8"/>
    <w:rsid w:val="00703D2F"/>
    <w:rsid w:val="00753836"/>
    <w:rsid w:val="0075393C"/>
    <w:rsid w:val="00754592"/>
    <w:rsid w:val="00776C08"/>
    <w:rsid w:val="00787EE1"/>
    <w:rsid w:val="007C219A"/>
    <w:rsid w:val="007E1DA8"/>
    <w:rsid w:val="007F6C26"/>
    <w:rsid w:val="00813208"/>
    <w:rsid w:val="00817533"/>
    <w:rsid w:val="008334AE"/>
    <w:rsid w:val="00836FED"/>
    <w:rsid w:val="0083724E"/>
    <w:rsid w:val="00841D53"/>
    <w:rsid w:val="00845CD2"/>
    <w:rsid w:val="00852B0D"/>
    <w:rsid w:val="00864B7F"/>
    <w:rsid w:val="00881692"/>
    <w:rsid w:val="0089092B"/>
    <w:rsid w:val="008A6576"/>
    <w:rsid w:val="008B3CC5"/>
    <w:rsid w:val="008B52CD"/>
    <w:rsid w:val="008C7C4D"/>
    <w:rsid w:val="008E4261"/>
    <w:rsid w:val="008E70D4"/>
    <w:rsid w:val="008F4662"/>
    <w:rsid w:val="00905D08"/>
    <w:rsid w:val="00925753"/>
    <w:rsid w:val="009425F4"/>
    <w:rsid w:val="00943BD8"/>
    <w:rsid w:val="0094457A"/>
    <w:rsid w:val="00954B2C"/>
    <w:rsid w:val="00966C5C"/>
    <w:rsid w:val="00973104"/>
    <w:rsid w:val="00995BF0"/>
    <w:rsid w:val="009A16D5"/>
    <w:rsid w:val="009A353D"/>
    <w:rsid w:val="009B0B77"/>
    <w:rsid w:val="009B2386"/>
    <w:rsid w:val="009B511E"/>
    <w:rsid w:val="009D37D3"/>
    <w:rsid w:val="00A16E6C"/>
    <w:rsid w:val="00A40F60"/>
    <w:rsid w:val="00A44E3D"/>
    <w:rsid w:val="00A72D2E"/>
    <w:rsid w:val="00A74447"/>
    <w:rsid w:val="00A74CE5"/>
    <w:rsid w:val="00A77500"/>
    <w:rsid w:val="00A911E7"/>
    <w:rsid w:val="00A939D9"/>
    <w:rsid w:val="00AA684A"/>
    <w:rsid w:val="00AB3E52"/>
    <w:rsid w:val="00AD5259"/>
    <w:rsid w:val="00B01D36"/>
    <w:rsid w:val="00B078CD"/>
    <w:rsid w:val="00B20712"/>
    <w:rsid w:val="00B3715A"/>
    <w:rsid w:val="00B43238"/>
    <w:rsid w:val="00B45DD3"/>
    <w:rsid w:val="00B73582"/>
    <w:rsid w:val="00B75216"/>
    <w:rsid w:val="00B755A2"/>
    <w:rsid w:val="00B9104C"/>
    <w:rsid w:val="00B91D52"/>
    <w:rsid w:val="00B9490F"/>
    <w:rsid w:val="00BA1ACD"/>
    <w:rsid w:val="00BD09F8"/>
    <w:rsid w:val="00BD7E68"/>
    <w:rsid w:val="00C005B2"/>
    <w:rsid w:val="00C02D57"/>
    <w:rsid w:val="00CA7176"/>
    <w:rsid w:val="00CA71FD"/>
    <w:rsid w:val="00CC75B0"/>
    <w:rsid w:val="00CD2773"/>
    <w:rsid w:val="00CE01BA"/>
    <w:rsid w:val="00CE143B"/>
    <w:rsid w:val="00D07DBA"/>
    <w:rsid w:val="00D27003"/>
    <w:rsid w:val="00D9307A"/>
    <w:rsid w:val="00DC2DE2"/>
    <w:rsid w:val="00E167C7"/>
    <w:rsid w:val="00E55B78"/>
    <w:rsid w:val="00E76361"/>
    <w:rsid w:val="00E81DBE"/>
    <w:rsid w:val="00EC47F6"/>
    <w:rsid w:val="00EF08C9"/>
    <w:rsid w:val="00EF535E"/>
    <w:rsid w:val="00F14A62"/>
    <w:rsid w:val="00F471F7"/>
    <w:rsid w:val="00F66032"/>
    <w:rsid w:val="00F83B96"/>
    <w:rsid w:val="00F8441D"/>
    <w:rsid w:val="00F87C1E"/>
    <w:rsid w:val="00F958C2"/>
    <w:rsid w:val="00FA740E"/>
    <w:rsid w:val="00FC06C7"/>
    <w:rsid w:val="00FD5DB4"/>
    <w:rsid w:val="00FE1724"/>
    <w:rsid w:val="0A2023C6"/>
    <w:rsid w:val="0B331B7E"/>
    <w:rsid w:val="0C044491"/>
    <w:rsid w:val="0DB32BBD"/>
    <w:rsid w:val="0FB56335"/>
    <w:rsid w:val="11C37B1A"/>
    <w:rsid w:val="1FC1447C"/>
    <w:rsid w:val="21613782"/>
    <w:rsid w:val="31907403"/>
    <w:rsid w:val="31E15395"/>
    <w:rsid w:val="3473676B"/>
    <w:rsid w:val="38781EB8"/>
    <w:rsid w:val="43274E58"/>
    <w:rsid w:val="45FE5EEA"/>
    <w:rsid w:val="4A657D63"/>
    <w:rsid w:val="53071741"/>
    <w:rsid w:val="566D32EB"/>
    <w:rsid w:val="56733828"/>
    <w:rsid w:val="5D5A3361"/>
    <w:rsid w:val="60315DEE"/>
    <w:rsid w:val="62AC6848"/>
    <w:rsid w:val="63756E47"/>
    <w:rsid w:val="64FF07E7"/>
    <w:rsid w:val="66047C9F"/>
    <w:rsid w:val="69C822D4"/>
    <w:rsid w:val="6FA90EE9"/>
    <w:rsid w:val="71051481"/>
    <w:rsid w:val="7E242906"/>
    <w:rsid w:val="7FD70B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iPriority w:val="99"/>
    <w:rPr>
      <w:rFonts w:ascii="Times New Roman" w:hAnsi="Times New Roman"/>
      <w:kern w:val="0"/>
      <w:sz w:val="18"/>
      <w:szCs w:val="18"/>
    </w:rPr>
  </w:style>
  <w:style w:type="paragraph" w:styleId="3">
    <w:name w:val="footer"/>
    <w:basedOn w:val="1"/>
    <w:link w:val="13"/>
    <w:uiPriority w:val="99"/>
    <w:pPr>
      <w:tabs>
        <w:tab w:val="center" w:pos="4153"/>
        <w:tab w:val="right" w:pos="8306"/>
      </w:tabs>
      <w:snapToGrid w:val="0"/>
      <w:jc w:val="left"/>
    </w:pPr>
    <w:rPr>
      <w:rFonts w:ascii="Times New Roman" w:hAnsi="Times New Roman"/>
      <w:kern w:val="0"/>
      <w:sz w:val="18"/>
      <w:szCs w:val="18"/>
    </w:rPr>
  </w:style>
  <w:style w:type="paragraph" w:styleId="4">
    <w:name w:val="header"/>
    <w:basedOn w:val="1"/>
    <w:link w:val="14"/>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5"/>
    <w:qFormat/>
    <w:uiPriority w:val="99"/>
    <w:pPr>
      <w:snapToGrid w:val="0"/>
      <w:jc w:val="left"/>
    </w:pPr>
    <w:rPr>
      <w:kern w:val="0"/>
      <w:sz w:val="18"/>
      <w:szCs w:val="18"/>
    </w:rPr>
  </w:style>
  <w:style w:type="paragraph" w:styleId="7">
    <w:name w:val="toc 2"/>
    <w:basedOn w:val="1"/>
    <w:next w:val="1"/>
    <w:qFormat/>
    <w:uiPriority w:val="99"/>
    <w:pPr>
      <w:ind w:left="420" w:leftChars="200"/>
    </w:pPr>
    <w:rPr>
      <w:rFonts w:ascii="Times New Roman" w:hAnsi="Times New Roman"/>
      <w:szCs w:val="24"/>
    </w:rPr>
  </w:style>
  <w:style w:type="paragraph" w:styleId="8">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1">
    <w:name w:val="footnote reference"/>
    <w:uiPriority w:val="99"/>
    <w:rPr>
      <w:rFonts w:cs="Times New Roman"/>
      <w:vertAlign w:val="superscript"/>
    </w:rPr>
  </w:style>
  <w:style w:type="character" w:customStyle="1" w:styleId="12">
    <w:name w:val="批注框文本 Char"/>
    <w:link w:val="2"/>
    <w:semiHidden/>
    <w:locked/>
    <w:uiPriority w:val="99"/>
    <w:rPr>
      <w:rFonts w:cs="Times New Roman"/>
      <w:sz w:val="18"/>
      <w:szCs w:val="18"/>
    </w:rPr>
  </w:style>
  <w:style w:type="character" w:customStyle="1" w:styleId="13">
    <w:name w:val="页脚 Char"/>
    <w:link w:val="3"/>
    <w:locked/>
    <w:uiPriority w:val="99"/>
    <w:rPr>
      <w:rFonts w:ascii="Times New Roman" w:hAnsi="Times New Roman" w:eastAsia="宋体" w:cs="Times New Roman"/>
      <w:sz w:val="18"/>
      <w:szCs w:val="18"/>
    </w:rPr>
  </w:style>
  <w:style w:type="character" w:customStyle="1" w:styleId="14">
    <w:name w:val="页眉 Char"/>
    <w:link w:val="4"/>
    <w:locked/>
    <w:uiPriority w:val="99"/>
    <w:rPr>
      <w:rFonts w:ascii="Times New Roman" w:hAnsi="Times New Roman" w:eastAsia="宋体" w:cs="Times New Roman"/>
      <w:sz w:val="18"/>
      <w:szCs w:val="18"/>
    </w:rPr>
  </w:style>
  <w:style w:type="character" w:customStyle="1" w:styleId="15">
    <w:name w:val="脚注文本 Char"/>
    <w:link w:val="6"/>
    <w:semiHidden/>
    <w:qFormat/>
    <w:locked/>
    <w:uiPriority w:val="99"/>
    <w:rPr>
      <w:rFonts w:ascii="Calibri" w:hAnsi="Calibri" w:eastAsia="宋体" w:cs="Times New Roman"/>
      <w:sz w:val="18"/>
      <w:szCs w:val="18"/>
    </w:rPr>
  </w:style>
  <w:style w:type="paragraph" w:customStyle="1" w:styleId="16">
    <w:name w:val="Defaul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5021</Words>
  <Characters>5243</Characters>
  <Lines>40</Lines>
  <Paragraphs>11</Paragraphs>
  <TotalTime>87</TotalTime>
  <ScaleCrop>false</ScaleCrop>
  <LinksUpToDate>false</LinksUpToDate>
  <CharactersWithSpaces>5284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Sally</cp:lastModifiedBy>
  <cp:lastPrinted>2018-01-30T06:12:00Z</cp:lastPrinted>
  <dcterms:modified xsi:type="dcterms:W3CDTF">2024-06-03T01:41:26Z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C379781AAE8F42D2A37A3D7B96C012CE_13</vt:lpwstr>
  </property>
</Properties>
</file>