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EE9BA">
      <w:pPr>
        <w:ind w:firstLine="883" w:firstLineChars="200"/>
        <w:jc w:val="center"/>
        <w:rPr>
          <w:rFonts w:ascii="宋体"/>
          <w:b/>
          <w:sz w:val="44"/>
          <w:szCs w:val="44"/>
        </w:rPr>
      </w:pPr>
    </w:p>
    <w:p w14:paraId="14795814">
      <w:pPr>
        <w:ind w:firstLine="883" w:firstLineChars="200"/>
        <w:jc w:val="center"/>
        <w:rPr>
          <w:rFonts w:ascii="宋体"/>
          <w:b/>
          <w:sz w:val="44"/>
          <w:szCs w:val="44"/>
        </w:rPr>
      </w:pPr>
      <w:r>
        <w:rPr>
          <w:rFonts w:hint="eastAsia" w:ascii="宋体" w:hAnsi="宋体"/>
          <w:b/>
          <w:sz w:val="44"/>
          <w:szCs w:val="44"/>
        </w:rPr>
        <w:t>馆陶县委统战部</w:t>
      </w:r>
      <w:r>
        <w:rPr>
          <w:rFonts w:ascii="宋体" w:hAnsi="宋体"/>
          <w:b/>
          <w:sz w:val="44"/>
          <w:szCs w:val="44"/>
        </w:rPr>
        <w:t>2018</w:t>
      </w:r>
      <w:r>
        <w:rPr>
          <w:rFonts w:hint="eastAsia" w:ascii="宋体" w:hAnsi="宋体"/>
          <w:b/>
          <w:sz w:val="44"/>
          <w:szCs w:val="44"/>
        </w:rPr>
        <w:t>年部门预算信息公开</w:t>
      </w:r>
    </w:p>
    <w:p w14:paraId="2D3FFB17">
      <w:pPr>
        <w:ind w:firstLine="640" w:firstLineChars="200"/>
        <w:rPr>
          <w:rFonts w:ascii="仿宋_GB2312" w:hAnsi="Times New Roman" w:eastAsia="仿宋_GB2312"/>
          <w:sz w:val="32"/>
          <w:szCs w:val="32"/>
        </w:rPr>
      </w:pPr>
    </w:p>
    <w:p w14:paraId="6BEC90F9">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按照《中华人民共和国预算法》、《地方预决算公开操作规程》和《河北省省级预算公开办法》规定，现将我部</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14:paraId="7B0C4516">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71ADA11B">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1640DD16">
      <w:pPr>
        <w:ind w:firstLine="640" w:firstLineChars="200"/>
        <w:rPr>
          <w:rFonts w:ascii="仿宋_GB2312" w:eastAsia="仿宋_GB2312"/>
          <w:sz w:val="32"/>
          <w:szCs w:val="32"/>
        </w:rPr>
      </w:pPr>
      <w:r>
        <w:rPr>
          <w:rFonts w:hint="eastAsia" w:ascii="仿宋_GB2312" w:eastAsia="仿宋_GB2312"/>
          <w:sz w:val="32"/>
          <w:szCs w:val="32"/>
        </w:rPr>
        <w:t>统战部主要职责是：1、调查研究统一战线的理论和方针政策，组织贯彻执行中央和省委、市委、县委关于统一战线的方针、政策；向县委反映统一战线全面情况，提出开展统战工作的意见和建议；检查统战政策执行情况，协调统一战线各方面关系。2、负责联系各民主党派和无党派人士，及时通报情况，反映他们的意见和建议；研究贯彻党领导的多党合作和政治协商制度以及民主党派的方针、政策；落实中央、省委、市委和县委关于发挥无党派代表人士参政议政和民主监督作用的工作，为县委进行政治协商做好组织联系工作；受县委委托，向无党派代表人士通报中央、省委、市委和县委精神；选拔培养无党派代表人物。 3、负责调查研究，协调检查有关民族和宗教工作的重大方针、政策问题；联系少数民族和宗教界代表人物；协助有关部门做好少数民族干部的培养和举荐工作。4、负责开展以祖国统一为重点的海外统战工作；联系香港、澳门和海外有关社团及代表人士；做好台胞、台属的有关工作。5、负责党外人士的政治安排，会同有关部门做好培养、考察、选拔、推荐、安排党外人士担任政府和司法机关领导职务的工作；做好党外后备干部和新的代表人物队伍的建设工作；协助县工商联和有关统战团体，做好干部管理工作；协助有关部门管理各乡（镇）党委统战委员。6、调查研究党外知识分子的情况，反映意见，协调关系，提出政策建议；联系并培养党外知识分子和出国、归国留学人员的代表人物。7、调查研究并反映我县非公有制经济代表人士的情况，协调关系，提出政策建议；团结、帮助、引导、教育非公有制经济代表人士，积极开展思想政治工作。8、负责全县开展海内外统一战线的宣传和联络工作。9、负责指导各乡（镇）党委统战工作和统战干部的培养工作，协调政府各有关部门的统战工作；受县委委托，负责对台工作；领导县工商联党组，指导工商联工作；联系、协调侨务工作；代管县海外联谊会。</w:t>
      </w:r>
    </w:p>
    <w:p w14:paraId="7E96B1E1">
      <w:pPr>
        <w:rPr>
          <w:rFonts w:ascii="仿宋_GB2312" w:eastAsia="仿宋_GB2312"/>
          <w:sz w:val="32"/>
          <w:szCs w:val="32"/>
        </w:rPr>
      </w:pPr>
      <w:r>
        <w:rPr>
          <w:rFonts w:hint="eastAsia" w:ascii="仿宋_GB2312" w:eastAsia="仿宋_GB2312"/>
          <w:sz w:val="32"/>
          <w:szCs w:val="32"/>
        </w:rPr>
        <w:t>10、完成市委统战部和县委交办的其他任务。</w:t>
      </w:r>
    </w:p>
    <w:p w14:paraId="08E0F1F6">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14:paraId="7C78D0A3">
      <w:pPr>
        <w:widowControl/>
        <w:ind w:firstLine="5342" w:firstLineChars="2226"/>
        <w:jc w:val="left"/>
        <w:rPr>
          <w:rFonts w:ascii="宋体" w:hAnsi="宋体" w:cs="宋体"/>
          <w:color w:val="000000"/>
          <w:kern w:val="0"/>
          <w:sz w:val="24"/>
        </w:rPr>
      </w:pPr>
      <w:r>
        <w:rPr>
          <w:rFonts w:ascii="宋体" w:hAnsi="宋体" w:cs="宋体"/>
          <w:color w:val="000000"/>
          <w:kern w:val="0"/>
          <w:sz w:val="24"/>
        </w:rPr>
        <w:t>部门</w:t>
      </w:r>
      <w:r>
        <w:rPr>
          <w:rFonts w:hint="eastAsia" w:ascii="宋体" w:hAnsi="宋体" w:cs="宋体"/>
          <w:color w:val="000000"/>
          <w:kern w:val="0"/>
          <w:sz w:val="24"/>
        </w:rPr>
        <w:t>机构设置情况</w:t>
      </w:r>
    </w:p>
    <w:tbl>
      <w:tblPr>
        <w:tblStyle w:val="9"/>
        <w:tblW w:w="8346" w:type="dxa"/>
        <w:jc w:val="center"/>
        <w:tblCellSpacing w:w="0" w:type="dxa"/>
        <w:tblLayout w:type="fixed"/>
        <w:tblCellMar>
          <w:top w:w="0" w:type="dxa"/>
          <w:left w:w="0" w:type="dxa"/>
          <w:bottom w:w="0" w:type="dxa"/>
          <w:right w:w="0" w:type="dxa"/>
        </w:tblCellMar>
      </w:tblPr>
      <w:tblGrid>
        <w:gridCol w:w="1963"/>
        <w:gridCol w:w="2118"/>
        <w:gridCol w:w="1817"/>
        <w:gridCol w:w="2448"/>
      </w:tblGrid>
      <w:tr w14:paraId="07ED07A3">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vAlign w:val="center"/>
          </w:tcPr>
          <w:p w14:paraId="38745733">
            <w:pPr>
              <w:widowControl/>
              <w:jc w:val="center"/>
              <w:rPr>
                <w:rFonts w:ascii="宋体" w:hAnsi="宋体" w:cs="宋体"/>
                <w:kern w:val="0"/>
                <w:sz w:val="24"/>
              </w:rPr>
            </w:pPr>
            <w:r>
              <w:rPr>
                <w:rFonts w:hint="eastAsia" w:ascii="黑体" w:hAnsi="宋体" w:eastAsia="黑体" w:cs="宋体"/>
                <w:b/>
                <w:bCs/>
                <w:kern w:val="0"/>
                <w:sz w:val="18"/>
                <w:szCs w:val="18"/>
              </w:rPr>
              <w:t>单位编码</w:t>
            </w:r>
          </w:p>
        </w:tc>
        <w:tc>
          <w:tcPr>
            <w:tcW w:w="2118" w:type="dxa"/>
            <w:tcBorders>
              <w:top w:val="single" w:color="000000" w:sz="8" w:space="0"/>
              <w:left w:val="single" w:color="000000" w:sz="8" w:space="0"/>
              <w:bottom w:val="single" w:color="000000" w:sz="8" w:space="0"/>
              <w:right w:val="single" w:color="000000" w:sz="8" w:space="0"/>
            </w:tcBorders>
            <w:vAlign w:val="center"/>
          </w:tcPr>
          <w:p w14:paraId="0B317494">
            <w:pPr>
              <w:widowControl/>
              <w:jc w:val="center"/>
              <w:rPr>
                <w:rFonts w:ascii="宋体" w:hAnsi="宋体" w:cs="宋体"/>
                <w:kern w:val="0"/>
                <w:sz w:val="24"/>
              </w:rPr>
            </w:pPr>
            <w:r>
              <w:rPr>
                <w:rFonts w:hint="eastAsia" w:ascii="黑体" w:hAnsi="宋体" w:eastAsia="黑体" w:cs="宋体"/>
                <w:b/>
                <w:bCs/>
                <w:kern w:val="0"/>
                <w:sz w:val="18"/>
                <w:szCs w:val="18"/>
              </w:rPr>
              <w:t>单位名称</w:t>
            </w:r>
          </w:p>
        </w:tc>
        <w:tc>
          <w:tcPr>
            <w:tcW w:w="1817" w:type="dxa"/>
            <w:tcBorders>
              <w:top w:val="single" w:color="000000" w:sz="8" w:space="0"/>
              <w:left w:val="single" w:color="000000" w:sz="8" w:space="0"/>
              <w:bottom w:val="single" w:color="000000" w:sz="8" w:space="0"/>
              <w:right w:val="single" w:color="000000" w:sz="8" w:space="0"/>
            </w:tcBorders>
            <w:vAlign w:val="center"/>
          </w:tcPr>
          <w:p w14:paraId="3A52D0C7">
            <w:pPr>
              <w:widowControl/>
              <w:jc w:val="center"/>
              <w:rPr>
                <w:rFonts w:ascii="宋体" w:hAnsi="宋体" w:cs="宋体"/>
                <w:kern w:val="0"/>
                <w:sz w:val="24"/>
              </w:rPr>
            </w:pPr>
            <w:r>
              <w:rPr>
                <w:rFonts w:hint="eastAsia" w:ascii="黑体" w:hAnsi="宋体" w:eastAsia="黑体" w:cs="宋体"/>
                <w:b/>
                <w:bCs/>
                <w:kern w:val="0"/>
                <w:sz w:val="18"/>
                <w:szCs w:val="18"/>
              </w:rPr>
              <w:t>单位性质</w:t>
            </w:r>
          </w:p>
        </w:tc>
        <w:tc>
          <w:tcPr>
            <w:tcW w:w="2448" w:type="dxa"/>
            <w:tcBorders>
              <w:top w:val="single" w:color="000000" w:sz="8" w:space="0"/>
              <w:left w:val="single" w:color="000000" w:sz="8" w:space="0"/>
              <w:bottom w:val="single" w:color="000000" w:sz="8" w:space="0"/>
              <w:right w:val="single" w:color="000000" w:sz="8" w:space="0"/>
            </w:tcBorders>
            <w:vAlign w:val="center"/>
          </w:tcPr>
          <w:p w14:paraId="7820CBD5">
            <w:pPr>
              <w:widowControl/>
              <w:jc w:val="center"/>
              <w:rPr>
                <w:rFonts w:ascii="宋体" w:hAnsi="宋体" w:cs="宋体"/>
                <w:kern w:val="0"/>
                <w:sz w:val="24"/>
              </w:rPr>
            </w:pPr>
            <w:r>
              <w:rPr>
                <w:rFonts w:hint="eastAsia" w:ascii="黑体" w:hAnsi="宋体" w:eastAsia="黑体" w:cs="宋体"/>
                <w:b/>
                <w:bCs/>
                <w:kern w:val="0"/>
                <w:sz w:val="18"/>
                <w:szCs w:val="18"/>
              </w:rPr>
              <w:t>财政供给政策</w:t>
            </w:r>
          </w:p>
        </w:tc>
      </w:tr>
      <w:tr w14:paraId="7D37029B">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tcPr>
          <w:p w14:paraId="3372F17F">
            <w:pPr>
              <w:widowControl/>
              <w:jc w:val="left"/>
              <w:rPr>
                <w:rFonts w:ascii="宋体" w:hAnsi="宋体" w:cs="宋体"/>
                <w:kern w:val="0"/>
                <w:sz w:val="24"/>
              </w:rPr>
            </w:pPr>
            <w:r>
              <w:rPr>
                <w:rFonts w:hint="eastAsia" w:ascii="宋体" w:hAnsi="宋体" w:cs="宋体"/>
                <w:kern w:val="0"/>
                <w:sz w:val="18"/>
                <w:szCs w:val="18"/>
              </w:rPr>
              <w:t>213</w:t>
            </w:r>
          </w:p>
        </w:tc>
        <w:tc>
          <w:tcPr>
            <w:tcW w:w="2118" w:type="dxa"/>
            <w:tcBorders>
              <w:top w:val="single" w:color="000000" w:sz="8" w:space="0"/>
              <w:left w:val="single" w:color="000000" w:sz="8" w:space="0"/>
              <w:bottom w:val="single" w:color="000000" w:sz="8" w:space="0"/>
              <w:right w:val="single" w:color="000000" w:sz="8" w:space="0"/>
            </w:tcBorders>
          </w:tcPr>
          <w:p w14:paraId="06904453">
            <w:pPr>
              <w:widowControl/>
              <w:jc w:val="left"/>
              <w:rPr>
                <w:rFonts w:ascii="宋体" w:hAnsi="宋体" w:cs="宋体"/>
                <w:kern w:val="0"/>
                <w:sz w:val="24"/>
              </w:rPr>
            </w:pPr>
            <w:r>
              <w:rPr>
                <w:rFonts w:hint="eastAsia" w:ascii="宋体" w:hAnsi="宋体" w:cs="宋体"/>
                <w:kern w:val="0"/>
                <w:sz w:val="18"/>
                <w:szCs w:val="18"/>
              </w:rPr>
              <w:t>馆陶县统战部</w:t>
            </w:r>
          </w:p>
        </w:tc>
        <w:tc>
          <w:tcPr>
            <w:tcW w:w="1817" w:type="dxa"/>
            <w:tcBorders>
              <w:top w:val="single" w:color="000000" w:sz="8" w:space="0"/>
              <w:left w:val="single" w:color="000000" w:sz="8" w:space="0"/>
              <w:bottom w:val="single" w:color="000000" w:sz="8" w:space="0"/>
              <w:right w:val="single" w:color="000000" w:sz="8" w:space="0"/>
            </w:tcBorders>
          </w:tcPr>
          <w:p w14:paraId="45ABC146">
            <w:pPr>
              <w:widowControl/>
              <w:jc w:val="left"/>
              <w:rPr>
                <w:rFonts w:ascii="宋体" w:hAnsi="宋体" w:cs="宋体"/>
                <w:kern w:val="0"/>
                <w:sz w:val="24"/>
              </w:rPr>
            </w:pPr>
          </w:p>
        </w:tc>
        <w:tc>
          <w:tcPr>
            <w:tcW w:w="2448" w:type="dxa"/>
            <w:tcBorders>
              <w:top w:val="single" w:color="000000" w:sz="8" w:space="0"/>
              <w:left w:val="single" w:color="000000" w:sz="8" w:space="0"/>
              <w:bottom w:val="single" w:color="000000" w:sz="8" w:space="0"/>
              <w:right w:val="single" w:color="000000" w:sz="8" w:space="0"/>
            </w:tcBorders>
          </w:tcPr>
          <w:p w14:paraId="0409D917">
            <w:pPr>
              <w:widowControl/>
              <w:jc w:val="left"/>
              <w:rPr>
                <w:rFonts w:ascii="宋体" w:hAnsi="宋体" w:cs="宋体"/>
                <w:kern w:val="0"/>
                <w:sz w:val="24"/>
              </w:rPr>
            </w:pPr>
          </w:p>
        </w:tc>
      </w:tr>
      <w:tr w14:paraId="3A6962CF">
        <w:tblPrEx>
          <w:tblCellMar>
            <w:top w:w="0" w:type="dxa"/>
            <w:left w:w="0" w:type="dxa"/>
            <w:bottom w:w="0" w:type="dxa"/>
            <w:right w:w="0" w:type="dxa"/>
          </w:tblCellMar>
        </w:tblPrEx>
        <w:trPr>
          <w:tblCellSpacing w:w="0" w:type="dxa"/>
          <w:jc w:val="center"/>
        </w:trPr>
        <w:tc>
          <w:tcPr>
            <w:tcW w:w="1963" w:type="dxa"/>
            <w:tcBorders>
              <w:top w:val="single" w:color="000000" w:sz="8" w:space="0"/>
              <w:left w:val="single" w:color="000000" w:sz="8" w:space="0"/>
              <w:bottom w:val="single" w:color="000000" w:sz="8" w:space="0"/>
              <w:right w:val="single" w:color="000000" w:sz="8" w:space="0"/>
            </w:tcBorders>
          </w:tcPr>
          <w:p w14:paraId="55368CA3">
            <w:pPr>
              <w:widowControl/>
              <w:jc w:val="left"/>
              <w:rPr>
                <w:rFonts w:ascii="宋体" w:hAnsi="宋体" w:cs="宋体"/>
                <w:kern w:val="0"/>
                <w:sz w:val="24"/>
              </w:rPr>
            </w:pPr>
            <w:r>
              <w:rPr>
                <w:rFonts w:hint="eastAsia" w:ascii="宋体" w:hAnsi="宋体" w:cs="宋体"/>
                <w:kern w:val="0"/>
                <w:sz w:val="18"/>
                <w:szCs w:val="18"/>
              </w:rPr>
              <w:t>213002</w:t>
            </w:r>
          </w:p>
        </w:tc>
        <w:tc>
          <w:tcPr>
            <w:tcW w:w="2118" w:type="dxa"/>
            <w:tcBorders>
              <w:top w:val="single" w:color="000000" w:sz="8" w:space="0"/>
              <w:left w:val="single" w:color="000000" w:sz="8" w:space="0"/>
              <w:bottom w:val="single" w:color="000000" w:sz="8" w:space="0"/>
              <w:right w:val="single" w:color="000000" w:sz="8" w:space="0"/>
            </w:tcBorders>
          </w:tcPr>
          <w:p w14:paraId="54C22BCB">
            <w:pPr>
              <w:widowControl/>
              <w:jc w:val="left"/>
              <w:rPr>
                <w:rFonts w:ascii="宋体" w:hAnsi="宋体" w:cs="宋体"/>
                <w:kern w:val="0"/>
                <w:sz w:val="24"/>
              </w:rPr>
            </w:pPr>
            <w:r>
              <w:rPr>
                <w:rFonts w:hint="eastAsia" w:ascii="宋体" w:hAnsi="宋体" w:cs="宋体"/>
                <w:kern w:val="0"/>
                <w:sz w:val="18"/>
                <w:szCs w:val="18"/>
              </w:rPr>
              <w:t>馆陶县统战部机关</w:t>
            </w:r>
          </w:p>
        </w:tc>
        <w:tc>
          <w:tcPr>
            <w:tcW w:w="1817" w:type="dxa"/>
            <w:tcBorders>
              <w:top w:val="single" w:color="000000" w:sz="8" w:space="0"/>
              <w:left w:val="single" w:color="000000" w:sz="8" w:space="0"/>
              <w:bottom w:val="single" w:color="000000" w:sz="8" w:space="0"/>
              <w:right w:val="single" w:color="000000" w:sz="8" w:space="0"/>
            </w:tcBorders>
          </w:tcPr>
          <w:p w14:paraId="68ED9F3F">
            <w:pPr>
              <w:widowControl/>
              <w:jc w:val="left"/>
              <w:rPr>
                <w:rFonts w:ascii="宋体" w:hAnsi="宋体" w:cs="宋体"/>
                <w:kern w:val="0"/>
                <w:sz w:val="24"/>
              </w:rPr>
            </w:pPr>
            <w:r>
              <w:rPr>
                <w:rFonts w:hint="eastAsia" w:ascii="宋体" w:hAnsi="宋体" w:cs="宋体"/>
                <w:kern w:val="0"/>
                <w:sz w:val="18"/>
                <w:szCs w:val="18"/>
              </w:rPr>
              <w:t>行政</w:t>
            </w:r>
          </w:p>
        </w:tc>
        <w:tc>
          <w:tcPr>
            <w:tcW w:w="2448" w:type="dxa"/>
            <w:tcBorders>
              <w:top w:val="single" w:color="000000" w:sz="8" w:space="0"/>
              <w:left w:val="single" w:color="000000" w:sz="8" w:space="0"/>
              <w:bottom w:val="single" w:color="000000" w:sz="8" w:space="0"/>
              <w:right w:val="single" w:color="000000" w:sz="8" w:space="0"/>
            </w:tcBorders>
          </w:tcPr>
          <w:p w14:paraId="3116F806">
            <w:pPr>
              <w:widowControl/>
              <w:jc w:val="left"/>
              <w:rPr>
                <w:rFonts w:ascii="宋体" w:hAnsi="宋体" w:cs="宋体"/>
                <w:kern w:val="0"/>
                <w:sz w:val="24"/>
              </w:rPr>
            </w:pPr>
            <w:r>
              <w:rPr>
                <w:rFonts w:hint="eastAsia" w:ascii="宋体" w:hAnsi="宋体" w:cs="宋体"/>
                <w:kern w:val="0"/>
                <w:sz w:val="18"/>
                <w:szCs w:val="18"/>
              </w:rPr>
              <w:t>财政拨款</w:t>
            </w:r>
          </w:p>
        </w:tc>
      </w:tr>
    </w:tbl>
    <w:p w14:paraId="678D081E"/>
    <w:p w14:paraId="194F8303">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1A0E2640">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按照预算管理有关规定，目前我县部门预算的编制实行综合预算制度，即全部收入和支出都反映在预算中。馆陶县委统战部的收支包含在部门预算中。</w:t>
      </w:r>
    </w:p>
    <w:p w14:paraId="3FCAC257">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6F76F00E">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年预算收入31.2780万元，其中：人员经费21.2980万元，公用经费9.9800万元。</w:t>
      </w:r>
    </w:p>
    <w:p w14:paraId="15204884">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30E180AB">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收支预算总表支出栏、基本支出表、项目支出表按经济分类和支出功能分类科目编制，反映馆陶县委统战部部门预算中支出预算的总体情况。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年支出预算31.27808万元，其中人员经费支出21.2980万元和日常公用经费9.9800万元。</w:t>
      </w:r>
    </w:p>
    <w:p w14:paraId="41758613">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3AB79512">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年预算收支安排31.2780万元，较</w:t>
      </w:r>
      <w:r>
        <w:rPr>
          <w:rFonts w:ascii="仿宋_GB2312" w:hAnsi="Times New Roman" w:eastAsia="仿宋_GB2312"/>
          <w:sz w:val="32"/>
          <w:szCs w:val="32"/>
        </w:rPr>
        <w:t>2017</w:t>
      </w:r>
      <w:r>
        <w:rPr>
          <w:rFonts w:hint="eastAsia" w:ascii="仿宋_GB2312" w:hAnsi="Times New Roman" w:eastAsia="仿宋_GB2312"/>
          <w:sz w:val="32"/>
          <w:szCs w:val="32"/>
        </w:rPr>
        <w:t>年预算减少5.7220万元，其中：主要为减少人员经费支出，原因是我单位退休人员移交社保。</w:t>
      </w:r>
    </w:p>
    <w:p w14:paraId="272B6B29">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6860B97C">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年，馆陶县委统战部机关运行经费共计安排9.9800万元，主要用于办公费、印刷费、邮电费、公务交通补贴等日常运行支出。</w:t>
      </w:r>
    </w:p>
    <w:p w14:paraId="4A1C9D50">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221E6AF9">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年，馆陶县委统战部财政拨款“三公”经费预算安排1.1万元，其中因公出国（境）费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万元，较上年持平；公务用车购置及运维费1.1万元（其中：公务用车购置费为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万元，公务用车运维费1.1万元</w:t>
      </w:r>
      <w:r>
        <w:rPr>
          <w:rFonts w:ascii="仿宋_GB2312" w:hAnsi="Times New Roman" w:eastAsia="仿宋_GB2312"/>
          <w:sz w:val="32"/>
          <w:szCs w:val="32"/>
        </w:rPr>
        <w:t>)</w:t>
      </w:r>
      <w:r>
        <w:rPr>
          <w:rFonts w:hint="eastAsia" w:ascii="仿宋_GB2312" w:hAnsi="Times New Roman" w:eastAsia="仿宋_GB2312"/>
          <w:sz w:val="32"/>
          <w:szCs w:val="32"/>
        </w:rPr>
        <w:t>，较上年持平；公务接待费0万元，较上年减少0.1万元。较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年“三公”经费支出预算减少0.1万元，主要原因是我单位</w:t>
      </w:r>
      <w:r>
        <w:rPr>
          <w:rFonts w:hint="eastAsia" w:ascii="仿宋_GB2312" w:hAnsi="Times New Roman" w:eastAsia="仿宋_GB2312"/>
          <w:sz w:val="32"/>
          <w:szCs w:val="32"/>
          <w:lang w:val="zh-CN"/>
        </w:rPr>
        <w:t>厉行节约，控制招待费用支出</w:t>
      </w:r>
      <w:r>
        <w:rPr>
          <w:rFonts w:hint="eastAsia" w:ascii="仿宋_GB2312" w:hAnsi="Times New Roman" w:eastAsia="仿宋_GB2312"/>
          <w:sz w:val="32"/>
          <w:szCs w:val="32"/>
        </w:rPr>
        <w:t>。</w:t>
      </w:r>
    </w:p>
    <w:p w14:paraId="0A0E6C51">
      <w:pPr>
        <w:ind w:firstLine="640"/>
        <w:rPr>
          <w:rFonts w:ascii="黑体" w:hAnsi="黑体" w:eastAsia="黑体"/>
          <w:b/>
          <w:sz w:val="32"/>
          <w:szCs w:val="32"/>
        </w:rPr>
      </w:pPr>
      <w:r>
        <w:rPr>
          <w:rFonts w:hint="eastAsia" w:ascii="黑体" w:hAnsi="黑体" w:eastAsia="黑体"/>
          <w:b/>
          <w:sz w:val="32"/>
          <w:szCs w:val="32"/>
        </w:rPr>
        <w:t>五、绩效预算信息</w:t>
      </w:r>
    </w:p>
    <w:p w14:paraId="3E1663CA">
      <w:pPr>
        <w:ind w:firstLine="643" w:firstLineChars="200"/>
        <w:rPr>
          <w:rFonts w:ascii="仿宋_GB2312" w:hAnsi="仿宋_GB2312" w:eastAsia="仿宋_GB2312" w:cs="仿宋_GB2312"/>
          <w:sz w:val="32"/>
          <w:szCs w:val="32"/>
        </w:rPr>
      </w:pPr>
      <w:bookmarkStart w:id="0" w:name="_Toc471398463"/>
      <w:r>
        <w:rPr>
          <w:rFonts w:hint="eastAsia" w:ascii="黑体" w:hAnsi="Times New Roman" w:eastAsia="黑体"/>
          <w:b/>
          <w:sz w:val="32"/>
          <w:szCs w:val="32"/>
        </w:rPr>
        <w:t>总体绩效目标</w:t>
      </w:r>
      <w:r>
        <w:rPr>
          <w:rFonts w:hint="eastAsia" w:ascii="Times New Roman" w:hAnsi="Times New Roman" w:eastAsia="方正仿宋_GBK"/>
          <w:b/>
          <w:sz w:val="32"/>
          <w:szCs w:val="32"/>
        </w:rPr>
        <w:t>：</w:t>
      </w:r>
      <w:r>
        <w:rPr>
          <w:rFonts w:ascii="仿宋_GB2312" w:hAnsi="Arial" w:eastAsia="仿宋_GB2312" w:cs="Arial"/>
          <w:color w:val="000000"/>
          <w:sz w:val="32"/>
          <w:szCs w:val="32"/>
          <w:shd w:val="clear" w:color="auto" w:fill="FFFFFF"/>
        </w:rPr>
        <w:t>2018</w:t>
      </w:r>
      <w:r>
        <w:rPr>
          <w:rFonts w:hint="eastAsia" w:ascii="仿宋_GB2312" w:hAnsi="Arial" w:eastAsia="仿宋_GB2312" w:cs="Arial"/>
          <w:color w:val="000000"/>
          <w:sz w:val="32"/>
          <w:szCs w:val="32"/>
          <w:shd w:val="clear" w:color="auto" w:fill="FFFFFF"/>
        </w:rPr>
        <w:t>年，馆陶县委统战部和全体党员干部要在党的十九大精神引领下，高举习近平新时代中国特色社会主义思想伟大旗帜，以强烈的紧迫感和高度的责任感，进一步统一思想，坚定信心，锐意进取，迎难而上，全力做好以下七个方面的工作：</w:t>
      </w:r>
      <w:r>
        <w:rPr>
          <w:rFonts w:ascii="仿宋_GB2312" w:hAnsi="Arial" w:eastAsia="仿宋_GB2312" w:cs="Arial"/>
          <w:color w:val="000000"/>
          <w:sz w:val="32"/>
          <w:szCs w:val="32"/>
        </w:rPr>
        <w:br w:type="textWrapping"/>
      </w:r>
      <w:r>
        <w:rPr>
          <w:rFonts w:ascii="仿宋_GB2312" w:hAnsi="Arial" w:eastAsia="仿宋_GB2312" w:cs="Arial"/>
          <w:color w:val="000000"/>
          <w:sz w:val="32"/>
          <w:szCs w:val="32"/>
          <w:shd w:val="clear" w:color="auto" w:fill="FFFFFF"/>
        </w:rPr>
        <w:t xml:space="preserve"> </w:t>
      </w:r>
      <w:r>
        <w:rPr>
          <w:rFonts w:ascii="仿宋_GB2312" w:hAnsi="Arial" w:eastAsia="仿宋_GB2312" w:cs="Arial"/>
          <w:bCs/>
          <w:color w:val="000000"/>
          <w:sz w:val="32"/>
          <w:szCs w:val="32"/>
          <w:shd w:val="clear" w:color="auto" w:fill="FFFFFF"/>
        </w:rPr>
        <w:t xml:space="preserve">   </w:t>
      </w:r>
      <w:r>
        <w:rPr>
          <w:rFonts w:hint="eastAsia" w:ascii="仿宋_GB2312" w:hAnsi="仿宋_GB2312" w:eastAsia="仿宋_GB2312" w:cs="仿宋_GB2312"/>
          <w:b/>
          <w:sz w:val="32"/>
          <w:szCs w:val="32"/>
        </w:rPr>
        <w:t>1、深入领会贯彻</w:t>
      </w:r>
      <w:r>
        <w:rPr>
          <w:rFonts w:hint="eastAsia" w:ascii="仿宋_GB2312" w:hAnsi="仿宋_GB2312" w:eastAsia="仿宋_GB2312" w:cs="仿宋_GB2312"/>
          <w:b/>
          <w:sz w:val="32"/>
          <w:szCs w:val="32"/>
          <w:lang w:eastAsia="zh-CN"/>
        </w:rPr>
        <w:t>党的</w:t>
      </w:r>
      <w:r>
        <w:rPr>
          <w:rFonts w:hint="eastAsia" w:ascii="仿宋_GB2312" w:hAnsi="仿宋_GB2312" w:eastAsia="仿宋_GB2312" w:cs="仿宋_GB2312"/>
          <w:b/>
          <w:sz w:val="32"/>
          <w:szCs w:val="32"/>
        </w:rPr>
        <w:t>十九大精神。</w:t>
      </w:r>
      <w:r>
        <w:rPr>
          <w:rFonts w:hint="eastAsia" w:ascii="仿宋_GB2312" w:hAnsi="仿宋_GB2312" w:eastAsia="仿宋_GB2312" w:cs="仿宋_GB2312"/>
          <w:sz w:val="32"/>
          <w:szCs w:val="32"/>
        </w:rPr>
        <w:t>全面深入开展十九大及习近平总书记系列重要讲话学习活动，坚持学深悟透。展开对民营企业、商会、协会、新媒体、宗教等不同阶</w:t>
      </w:r>
      <w:bookmarkStart w:id="4" w:name="_GoBack"/>
      <w:bookmarkEnd w:id="4"/>
      <w:r>
        <w:rPr>
          <w:rFonts w:hint="eastAsia" w:ascii="仿宋_GB2312" w:hAnsi="仿宋_GB2312" w:eastAsia="仿宋_GB2312" w:cs="仿宋_GB2312"/>
          <w:sz w:val="32"/>
          <w:szCs w:val="32"/>
        </w:rPr>
        <w:t>层人士宣讲培训，把</w:t>
      </w:r>
      <w:r>
        <w:rPr>
          <w:rFonts w:hint="eastAsia" w:ascii="仿宋_GB2312" w:hAnsi="仿宋_GB2312" w:eastAsia="仿宋_GB2312" w:cs="仿宋_GB2312"/>
          <w:sz w:val="32"/>
          <w:szCs w:val="32"/>
          <w:lang w:eastAsia="zh-CN"/>
        </w:rPr>
        <w:t>党的</w:t>
      </w:r>
      <w:r>
        <w:rPr>
          <w:rFonts w:hint="eastAsia" w:ascii="仿宋_GB2312" w:hAnsi="仿宋_GB2312" w:eastAsia="仿宋_GB2312" w:cs="仿宋_GB2312"/>
          <w:sz w:val="32"/>
          <w:szCs w:val="32"/>
        </w:rPr>
        <w:t>十九大精神宣讲到每一位统战成员，培训人数达到百人以上，让全县统战成员同心同向，为实现中华民族伟大复兴贡献自己的力量。</w:t>
      </w:r>
    </w:p>
    <w:p w14:paraId="75A4B8EC">
      <w:pPr>
        <w:numPr>
          <w:ilvl w:val="0"/>
          <w:numId w:val="1"/>
        </w:numPr>
        <w:ind w:left="105" w:leftChars="50" w:firstLine="482" w:firstLineChars="15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完善交流沟通机制。</w:t>
      </w:r>
      <w:r>
        <w:rPr>
          <w:rFonts w:hint="eastAsia" w:ascii="仿宋_GB2312" w:hAnsi="仿宋_GB2312" w:eastAsia="仿宋_GB2312" w:cs="仿宋_GB2312"/>
          <w:sz w:val="32"/>
          <w:szCs w:val="32"/>
        </w:rPr>
        <w:t>不断创新交友机制，在县级领导与党外人士交友的基础上，建立各级领导干部与党外人士结对交友机制，探索成立新阶层人士联谊会，逐步聚拢新媒体人员、律师、会计师、评估师、民营学校校长、自由职业者等层面的人士全部纳入交友范畴。</w:t>
      </w:r>
    </w:p>
    <w:p w14:paraId="3B43B334">
      <w:pPr>
        <w:numPr>
          <w:ilvl w:val="0"/>
          <w:numId w:val="0"/>
        </w:num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3、做好光彩扶贫事业。</w:t>
      </w:r>
      <w:r>
        <w:rPr>
          <w:rFonts w:hint="eastAsia" w:ascii="仿宋_GB2312" w:hAnsi="仿宋_GB2312" w:eastAsia="仿宋_GB2312" w:cs="仿宋_GB2312"/>
          <w:sz w:val="32"/>
          <w:szCs w:val="32"/>
        </w:rPr>
        <w:t>扶贫是到2020年，是全面决胜建设小康社会光荣而又艰巨的任务，也是我们广大统战成员义不容辞的责任。我们要动员和鼓励广大非公经济人士积极投身到扶贫攻坚活动中去，继续实施“百企帮百村”、“一企联一户”活动、宗教界人士“捐资助教”、“圆梦助学”活动，其他各界人士立足自身岗位和优势分别参加到扶贫攻坚活动中来，引领全体统战成员奋斗在扶贫攻坚第一线，为全县贫困人口早日奔小康出计献力。</w:t>
      </w:r>
    </w:p>
    <w:p w14:paraId="616A5D5B">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4、抓实宗教工作。</w:t>
      </w:r>
      <w:r>
        <w:rPr>
          <w:rFonts w:hint="eastAsia" w:ascii="仿宋_GB2312" w:hAnsi="仿宋_GB2312" w:eastAsia="仿宋_GB2312" w:cs="仿宋_GB2312"/>
          <w:sz w:val="32"/>
          <w:szCs w:val="32"/>
        </w:rPr>
        <w:t>加强宗教会议精神落实，进一步贯彻落实市委、市政府《关于加强和推进新形势下民族工作的实施意见》。重点搞好宗教界人士的培训教育，年内就新出台的《宗教事务条例》和宗教工作会议精神进行2次培训。继续强化县级领导、统战干部与宗教界人士交友制度，通过交友加强联系沟通，真正帮助解决问题难题，把党的关怀传递到他们心中。</w:t>
      </w:r>
    </w:p>
    <w:p w14:paraId="59F437F8">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5、加大招商引资引才力度。</w:t>
      </w:r>
      <w:r>
        <w:rPr>
          <w:rFonts w:hint="eastAsia" w:ascii="仿宋_GB2312" w:hAnsi="仿宋_GB2312" w:eastAsia="仿宋_GB2312" w:cs="仿宋_GB2312"/>
          <w:sz w:val="32"/>
          <w:szCs w:val="32"/>
        </w:rPr>
        <w:t>人才是引领经济社会发展的排头兵。我们要充分发挥统一战线广泛交友的优势，尤其是商会的互通互联，立足县域经济的产业现状、优势和需求，全方位引进项目和人才，按照全县人才兴县战略，使用人才，建设项目，发展经济。</w:t>
      </w:r>
    </w:p>
    <w:p w14:paraId="2D80C6F3">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6、完善党外干部的培养考察机制。</w:t>
      </w:r>
      <w:r>
        <w:rPr>
          <w:rFonts w:hint="eastAsia" w:ascii="仿宋_GB2312" w:hAnsi="仿宋_GB2312" w:eastAsia="仿宋_GB2312" w:cs="仿宋_GB2312"/>
          <w:sz w:val="32"/>
          <w:szCs w:val="32"/>
        </w:rPr>
        <w:t>会同组织部门共同落实省、市委关于党外干部的培养选拔工作规划，并提出和制定我县《关于培养选拔任用党外干部工作规划和目标》。</w:t>
      </w:r>
    </w:p>
    <w:p w14:paraId="7DEC4C24">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7、建立新阶层人士管理机制。</w:t>
      </w:r>
      <w:r>
        <w:rPr>
          <w:rFonts w:hint="eastAsia" w:ascii="仿宋_GB2312" w:hAnsi="仿宋_GB2312" w:eastAsia="仿宋_GB2312" w:cs="仿宋_GB2312"/>
          <w:sz w:val="32"/>
          <w:szCs w:val="32"/>
        </w:rPr>
        <w:t>建立新社会阶层人士的利益表达机制，成立新阶层人士联谊会，建立联谊会微信群，通过联谊会维护其合法权益，表达正当利益诉求。建立各级领导新阶层人士交友联系制度，灵活沟通方式，运用各种座谈会、谈心会、通报会等，保持与新的社会阶层代表人物的联系，扎实做好新阶层人士的管理引导工作。</w:t>
      </w:r>
    </w:p>
    <w:p w14:paraId="63E1CC2D">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bookmarkEnd w:id="0"/>
    <w:bookmarkEnd w:id="1"/>
    <w:p w14:paraId="45A04313">
      <w:pPr>
        <w:jc w:val="center"/>
        <w:outlineLvl w:val="0"/>
        <w:rPr>
          <w:rFonts w:hint="eastAsia" w:ascii="方正小标宋_GBK" w:eastAsia="方正小标宋_GBK"/>
          <w:sz w:val="32"/>
        </w:rPr>
      </w:pPr>
      <w:bookmarkStart w:id="2" w:name="_Toc510451999"/>
      <w:r>
        <w:rPr>
          <w:rFonts w:hint="eastAsia" w:ascii="方正小标宋_GBK" w:eastAsia="方正小标宋_GBK"/>
          <w:sz w:val="32"/>
        </w:rPr>
        <w:t>部门职责-工作活动绩效目标</w:t>
      </w:r>
      <w:bookmarkEnd w:id="2"/>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B8794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5C7B943B">
            <w:pPr>
              <w:spacing w:line="300" w:lineRule="exact"/>
              <w:jc w:val="left"/>
              <w:rPr>
                <w:rFonts w:ascii="方正小标宋_GBK" w:eastAsia="方正小标宋_GBK"/>
                <w:sz w:val="24"/>
              </w:rPr>
            </w:pPr>
            <w:r>
              <w:rPr>
                <w:rFonts w:ascii="方正小标宋_GBK" w:eastAsia="方正小标宋_GBK"/>
                <w:sz w:val="24"/>
              </w:rPr>
              <w:t>213</w:t>
            </w:r>
            <w:r>
              <w:rPr>
                <w:rFonts w:hint="eastAsia" w:ascii="方正小标宋_GBK" w:eastAsia="方正小标宋_GBK"/>
                <w:sz w:val="24"/>
              </w:rPr>
              <w:t>馆陶县统战部</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6122213F">
            <w:pPr>
              <w:spacing w:line="300" w:lineRule="exact"/>
              <w:jc w:val="right"/>
              <w:rPr>
                <w:rFonts w:ascii="方正书宋_GBK" w:eastAsia="方正书宋_GBK"/>
                <w:sz w:val="24"/>
              </w:rPr>
            </w:pPr>
            <w:r>
              <w:rPr>
                <w:rFonts w:hint="eastAsia" w:ascii="方正书宋_GBK" w:eastAsia="方正书宋_GBK"/>
                <w:sz w:val="24"/>
              </w:rPr>
              <w:t>单位：元</w:t>
            </w:r>
          </w:p>
        </w:tc>
      </w:tr>
      <w:tr w14:paraId="383B4A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641A014C">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5D504F7A">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4E4B555C">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4EE12AF0">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16650219">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20D3F486">
            <w:pPr>
              <w:spacing w:line="300" w:lineRule="exact"/>
              <w:jc w:val="center"/>
              <w:rPr>
                <w:rFonts w:ascii="方正书宋_GBK" w:eastAsia="方正书宋_GBK"/>
                <w:b/>
              </w:rPr>
            </w:pPr>
            <w:r>
              <w:rPr>
                <w:rFonts w:hint="eastAsia" w:ascii="方正书宋_GBK" w:eastAsia="方正书宋_GBK"/>
                <w:b/>
              </w:rPr>
              <w:t>评价标准</w:t>
            </w:r>
          </w:p>
        </w:tc>
      </w:tr>
      <w:tr w14:paraId="3E3F6E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2E9D0E5E">
            <w:pPr>
              <w:spacing w:line="300" w:lineRule="exact"/>
              <w:jc w:val="left"/>
              <w:outlineLvl w:val="0"/>
            </w:pPr>
          </w:p>
        </w:tc>
        <w:tc>
          <w:tcPr>
            <w:tcW w:w="1276" w:type="dxa"/>
            <w:vMerge w:val="continue"/>
            <w:shd w:val="clear" w:color="auto" w:fill="auto"/>
            <w:vAlign w:val="center"/>
          </w:tcPr>
          <w:p w14:paraId="742BA32E">
            <w:pPr>
              <w:spacing w:line="300" w:lineRule="exact"/>
              <w:jc w:val="left"/>
              <w:outlineLvl w:val="0"/>
            </w:pPr>
          </w:p>
        </w:tc>
        <w:tc>
          <w:tcPr>
            <w:tcW w:w="2976" w:type="dxa"/>
            <w:vMerge w:val="continue"/>
            <w:shd w:val="clear" w:color="auto" w:fill="auto"/>
            <w:vAlign w:val="center"/>
          </w:tcPr>
          <w:p w14:paraId="2BE8DFB4">
            <w:pPr>
              <w:spacing w:line="300" w:lineRule="exact"/>
              <w:jc w:val="left"/>
              <w:outlineLvl w:val="0"/>
            </w:pPr>
          </w:p>
        </w:tc>
        <w:tc>
          <w:tcPr>
            <w:tcW w:w="2976" w:type="dxa"/>
            <w:vMerge w:val="continue"/>
            <w:shd w:val="clear" w:color="auto" w:fill="auto"/>
            <w:vAlign w:val="center"/>
          </w:tcPr>
          <w:p w14:paraId="1A719CE0">
            <w:pPr>
              <w:spacing w:line="300" w:lineRule="exact"/>
              <w:jc w:val="left"/>
              <w:outlineLvl w:val="0"/>
            </w:pPr>
          </w:p>
        </w:tc>
        <w:tc>
          <w:tcPr>
            <w:tcW w:w="1417" w:type="dxa"/>
            <w:vMerge w:val="continue"/>
            <w:shd w:val="clear" w:color="auto" w:fill="auto"/>
            <w:vAlign w:val="center"/>
          </w:tcPr>
          <w:p w14:paraId="73A9B1D2">
            <w:pPr>
              <w:spacing w:line="300" w:lineRule="exact"/>
              <w:jc w:val="left"/>
              <w:outlineLvl w:val="0"/>
            </w:pPr>
          </w:p>
        </w:tc>
        <w:tc>
          <w:tcPr>
            <w:tcW w:w="737" w:type="dxa"/>
            <w:shd w:val="clear" w:color="auto" w:fill="auto"/>
            <w:vAlign w:val="center"/>
          </w:tcPr>
          <w:p w14:paraId="5A72C12B">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5F3A4BD9">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2524AA1E">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771B2D8D">
            <w:pPr>
              <w:spacing w:line="300" w:lineRule="exact"/>
              <w:jc w:val="center"/>
              <w:rPr>
                <w:rFonts w:ascii="方正书宋_GBK" w:eastAsia="方正书宋_GBK"/>
                <w:b/>
              </w:rPr>
            </w:pPr>
            <w:r>
              <w:rPr>
                <w:rFonts w:hint="eastAsia" w:ascii="方正书宋_GBK" w:eastAsia="方正书宋_GBK"/>
                <w:b/>
              </w:rPr>
              <w:t>差</w:t>
            </w:r>
          </w:p>
        </w:tc>
      </w:tr>
      <w:tr w14:paraId="3D880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E43EA91">
            <w:pPr>
              <w:spacing w:line="300" w:lineRule="exact"/>
              <w:jc w:val="left"/>
              <w:rPr>
                <w:rFonts w:ascii="方正书宋_GBK" w:eastAsia="方正书宋_GBK"/>
                <w:b/>
              </w:rPr>
            </w:pPr>
            <w:r>
              <w:rPr>
                <w:rFonts w:hint="eastAsia" w:ascii="方正书宋_GBK" w:eastAsia="方正书宋_GBK"/>
                <w:b/>
              </w:rPr>
              <w:t>一、开展统战工作</w:t>
            </w:r>
          </w:p>
        </w:tc>
        <w:tc>
          <w:tcPr>
            <w:tcW w:w="1276" w:type="dxa"/>
            <w:shd w:val="clear" w:color="auto" w:fill="auto"/>
            <w:vAlign w:val="center"/>
          </w:tcPr>
          <w:p w14:paraId="76DA6FE8">
            <w:pPr>
              <w:spacing w:line="300" w:lineRule="exact"/>
              <w:jc w:val="left"/>
              <w:rPr>
                <w:rFonts w:ascii="方正书宋_GBK" w:eastAsia="方正书宋_GBK"/>
              </w:rPr>
            </w:pPr>
          </w:p>
        </w:tc>
        <w:tc>
          <w:tcPr>
            <w:tcW w:w="2976" w:type="dxa"/>
            <w:shd w:val="clear" w:color="auto" w:fill="auto"/>
            <w:vAlign w:val="center"/>
          </w:tcPr>
          <w:p w14:paraId="23026CD8">
            <w:pPr>
              <w:spacing w:line="300" w:lineRule="exact"/>
              <w:jc w:val="left"/>
              <w:rPr>
                <w:rFonts w:ascii="方正书宋_GBK" w:eastAsia="方正书宋_GBK"/>
              </w:rPr>
            </w:pPr>
            <w:r>
              <w:rPr>
                <w:rFonts w:hint="eastAsia" w:ascii="方正书宋_GBK" w:eastAsia="方正书宋_GBK"/>
              </w:rPr>
              <w:t>贯彻落实统一战线的理论、政策和法律法规，向党委全面反映统一战线情况，提出开展统一战线工作的意见和建议，检查执行情况，协调统一战线各方面的关系。</w:t>
            </w:r>
          </w:p>
        </w:tc>
        <w:tc>
          <w:tcPr>
            <w:tcW w:w="2976" w:type="dxa"/>
            <w:shd w:val="clear" w:color="auto" w:fill="auto"/>
            <w:vAlign w:val="center"/>
          </w:tcPr>
          <w:p w14:paraId="311A06A4">
            <w:pPr>
              <w:spacing w:line="300" w:lineRule="exact"/>
              <w:jc w:val="left"/>
              <w:rPr>
                <w:rFonts w:ascii="方正书宋_GBK" w:eastAsia="方正书宋_GBK"/>
              </w:rPr>
            </w:pPr>
            <w:r>
              <w:rPr>
                <w:rFonts w:hint="eastAsia" w:ascii="方正书宋_GBK" w:eastAsia="方正书宋_GBK"/>
              </w:rPr>
              <w:t>了解情况，掌握政策，协调关系，安排人事，增进共识，加强团结</w:t>
            </w:r>
          </w:p>
        </w:tc>
        <w:tc>
          <w:tcPr>
            <w:tcW w:w="1417" w:type="dxa"/>
            <w:shd w:val="clear" w:color="auto" w:fill="auto"/>
            <w:vAlign w:val="center"/>
          </w:tcPr>
          <w:p w14:paraId="5F158D70">
            <w:pPr>
              <w:spacing w:line="300" w:lineRule="exact"/>
              <w:jc w:val="left"/>
              <w:rPr>
                <w:rFonts w:ascii="方正书宋_GBK" w:eastAsia="方正书宋_GBK"/>
              </w:rPr>
            </w:pPr>
          </w:p>
        </w:tc>
        <w:tc>
          <w:tcPr>
            <w:tcW w:w="737" w:type="dxa"/>
            <w:shd w:val="clear" w:color="auto" w:fill="auto"/>
            <w:vAlign w:val="center"/>
          </w:tcPr>
          <w:p w14:paraId="68FD8AD6">
            <w:pPr>
              <w:spacing w:line="300" w:lineRule="exact"/>
              <w:jc w:val="center"/>
              <w:rPr>
                <w:rFonts w:ascii="方正书宋_GBK" w:eastAsia="方正书宋_GBK"/>
              </w:rPr>
            </w:pPr>
          </w:p>
        </w:tc>
        <w:tc>
          <w:tcPr>
            <w:tcW w:w="737" w:type="dxa"/>
            <w:shd w:val="clear" w:color="auto" w:fill="auto"/>
            <w:vAlign w:val="center"/>
          </w:tcPr>
          <w:p w14:paraId="7FE59B11">
            <w:pPr>
              <w:spacing w:line="300" w:lineRule="exact"/>
              <w:jc w:val="center"/>
              <w:rPr>
                <w:rFonts w:ascii="方正书宋_GBK" w:eastAsia="方正书宋_GBK"/>
              </w:rPr>
            </w:pPr>
          </w:p>
        </w:tc>
        <w:tc>
          <w:tcPr>
            <w:tcW w:w="737" w:type="dxa"/>
            <w:shd w:val="clear" w:color="auto" w:fill="auto"/>
            <w:vAlign w:val="center"/>
          </w:tcPr>
          <w:p w14:paraId="79C22FE2">
            <w:pPr>
              <w:spacing w:line="300" w:lineRule="exact"/>
              <w:jc w:val="center"/>
              <w:rPr>
                <w:rFonts w:ascii="方正书宋_GBK" w:eastAsia="方正书宋_GBK"/>
              </w:rPr>
            </w:pPr>
          </w:p>
        </w:tc>
        <w:tc>
          <w:tcPr>
            <w:tcW w:w="737" w:type="dxa"/>
            <w:shd w:val="clear" w:color="auto" w:fill="auto"/>
            <w:vAlign w:val="center"/>
          </w:tcPr>
          <w:p w14:paraId="7600F69A">
            <w:pPr>
              <w:spacing w:line="300" w:lineRule="exact"/>
              <w:jc w:val="center"/>
              <w:rPr>
                <w:rFonts w:ascii="方正书宋_GBK" w:eastAsia="方正书宋_GBK"/>
              </w:rPr>
            </w:pPr>
          </w:p>
        </w:tc>
      </w:tr>
      <w:tr w14:paraId="1F9867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0EDA2E5">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、民主党派和无党派代表人士工作</w:t>
            </w:r>
          </w:p>
        </w:tc>
        <w:tc>
          <w:tcPr>
            <w:tcW w:w="1276" w:type="dxa"/>
            <w:vMerge w:val="restart"/>
            <w:shd w:val="clear" w:color="auto" w:fill="auto"/>
            <w:vAlign w:val="center"/>
          </w:tcPr>
          <w:p w14:paraId="05249882">
            <w:pPr>
              <w:spacing w:line="300" w:lineRule="exact"/>
              <w:jc w:val="left"/>
              <w:rPr>
                <w:rFonts w:ascii="方正书宋_GBK" w:eastAsia="方正书宋_GBK"/>
              </w:rPr>
            </w:pPr>
          </w:p>
        </w:tc>
        <w:tc>
          <w:tcPr>
            <w:tcW w:w="2976" w:type="dxa"/>
            <w:vMerge w:val="restart"/>
            <w:shd w:val="clear" w:color="auto" w:fill="auto"/>
            <w:vAlign w:val="center"/>
          </w:tcPr>
          <w:p w14:paraId="7275EA68">
            <w:pPr>
              <w:spacing w:line="300" w:lineRule="exact"/>
              <w:jc w:val="left"/>
              <w:rPr>
                <w:rFonts w:hint="eastAsia" w:ascii="方正书宋_GBK" w:eastAsia="方正书宋_GBK"/>
              </w:rPr>
            </w:pPr>
            <w:r>
              <w:rPr>
                <w:rFonts w:hint="eastAsia" w:ascii="方正书宋_GBK" w:eastAsia="方正书宋_GBK"/>
              </w:rPr>
              <w:t>联系民主党派、无党派人士，贯彻做好民主党派和无党派人士工作的方针政策，支持民主党派无党派人士履行职责、发挥作用，支持、帮助民主党派和无党派人士加强自身建设。</w:t>
            </w:r>
          </w:p>
        </w:tc>
        <w:tc>
          <w:tcPr>
            <w:tcW w:w="2976" w:type="dxa"/>
            <w:vMerge w:val="restart"/>
            <w:shd w:val="clear" w:color="auto" w:fill="auto"/>
            <w:vAlign w:val="center"/>
          </w:tcPr>
          <w:p w14:paraId="13F66442">
            <w:pPr>
              <w:spacing w:line="300" w:lineRule="exact"/>
              <w:jc w:val="left"/>
              <w:rPr>
                <w:rFonts w:hint="eastAsia" w:ascii="方正书宋_GBK" w:eastAsia="方正书宋_GBK"/>
              </w:rPr>
            </w:pPr>
            <w:r>
              <w:rPr>
                <w:rFonts w:hint="eastAsia" w:ascii="方正书宋_GBK" w:eastAsia="方正书宋_GBK"/>
              </w:rPr>
              <w:t>进一步加强中国共产党领导的多党合作和政治协商制度建设，充分发挥民主党派职能作用，构建和谐政党关系</w:t>
            </w:r>
          </w:p>
        </w:tc>
        <w:tc>
          <w:tcPr>
            <w:tcW w:w="1417" w:type="dxa"/>
            <w:shd w:val="clear" w:color="auto" w:fill="auto"/>
            <w:vAlign w:val="center"/>
          </w:tcPr>
          <w:p w14:paraId="49C8C528">
            <w:pPr>
              <w:spacing w:line="300" w:lineRule="exact"/>
              <w:jc w:val="left"/>
              <w:rPr>
                <w:rFonts w:ascii="方正书宋_GBK" w:eastAsia="方正书宋_GBK"/>
              </w:rPr>
            </w:pPr>
            <w:r>
              <w:rPr>
                <w:rFonts w:hint="eastAsia" w:ascii="方正书宋_GBK" w:eastAsia="方正书宋_GBK"/>
              </w:rPr>
              <w:t>民主党派履行职能有关支持工作完成率</w:t>
            </w:r>
          </w:p>
        </w:tc>
        <w:tc>
          <w:tcPr>
            <w:tcW w:w="737" w:type="dxa"/>
            <w:shd w:val="clear" w:color="auto" w:fill="auto"/>
            <w:vAlign w:val="center"/>
          </w:tcPr>
          <w:p w14:paraId="53877EC9">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BFF4F9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0928C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B0604CF">
            <w:pPr>
              <w:spacing w:line="300" w:lineRule="exact"/>
              <w:jc w:val="center"/>
              <w:rPr>
                <w:rFonts w:ascii="方正书宋_GBK" w:eastAsia="方正书宋_GBK"/>
              </w:rPr>
            </w:pPr>
            <w:r>
              <w:rPr>
                <w:rFonts w:ascii="方正书宋_GBK" w:eastAsia="方正书宋_GBK"/>
              </w:rPr>
              <w:t>&lt;90%</w:t>
            </w:r>
          </w:p>
        </w:tc>
      </w:tr>
      <w:tr w14:paraId="4B84F5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36EF656">
            <w:pPr>
              <w:spacing w:line="300" w:lineRule="exact"/>
              <w:jc w:val="left"/>
              <w:rPr>
                <w:rFonts w:hint="eastAsia" w:ascii="方正书宋_GBK" w:eastAsia="方正书宋_GBK"/>
                <w:b/>
              </w:rPr>
            </w:pPr>
          </w:p>
        </w:tc>
        <w:tc>
          <w:tcPr>
            <w:tcW w:w="1276" w:type="dxa"/>
            <w:vMerge w:val="continue"/>
            <w:shd w:val="clear" w:color="auto" w:fill="auto"/>
            <w:vAlign w:val="center"/>
          </w:tcPr>
          <w:p w14:paraId="722FA7EB">
            <w:pPr>
              <w:spacing w:line="300" w:lineRule="exact"/>
              <w:jc w:val="left"/>
              <w:rPr>
                <w:rFonts w:ascii="方正书宋_GBK" w:eastAsia="方正书宋_GBK"/>
              </w:rPr>
            </w:pPr>
          </w:p>
        </w:tc>
        <w:tc>
          <w:tcPr>
            <w:tcW w:w="2976" w:type="dxa"/>
            <w:vMerge w:val="continue"/>
            <w:shd w:val="clear" w:color="auto" w:fill="auto"/>
            <w:vAlign w:val="center"/>
          </w:tcPr>
          <w:p w14:paraId="0366B19A">
            <w:pPr>
              <w:spacing w:line="300" w:lineRule="exact"/>
              <w:jc w:val="left"/>
              <w:rPr>
                <w:rFonts w:hint="eastAsia" w:ascii="方正书宋_GBK" w:eastAsia="方正书宋_GBK"/>
              </w:rPr>
            </w:pPr>
          </w:p>
        </w:tc>
        <w:tc>
          <w:tcPr>
            <w:tcW w:w="2976" w:type="dxa"/>
            <w:vMerge w:val="continue"/>
            <w:shd w:val="clear" w:color="auto" w:fill="auto"/>
            <w:vAlign w:val="center"/>
          </w:tcPr>
          <w:p w14:paraId="0996B94E">
            <w:pPr>
              <w:spacing w:line="300" w:lineRule="exact"/>
              <w:jc w:val="left"/>
              <w:rPr>
                <w:rFonts w:hint="eastAsia" w:ascii="方正书宋_GBK" w:eastAsia="方正书宋_GBK"/>
              </w:rPr>
            </w:pPr>
          </w:p>
        </w:tc>
        <w:tc>
          <w:tcPr>
            <w:tcW w:w="1417" w:type="dxa"/>
            <w:shd w:val="clear" w:color="auto" w:fill="auto"/>
            <w:vAlign w:val="center"/>
          </w:tcPr>
          <w:p w14:paraId="1ED73319">
            <w:pPr>
              <w:spacing w:line="300" w:lineRule="exact"/>
              <w:jc w:val="left"/>
              <w:rPr>
                <w:rFonts w:hint="eastAsia" w:ascii="方正书宋_GBK" w:eastAsia="方正书宋_GBK"/>
              </w:rPr>
            </w:pPr>
            <w:r>
              <w:rPr>
                <w:rFonts w:hint="eastAsia" w:ascii="方正书宋_GBK" w:eastAsia="方正书宋_GBK"/>
              </w:rPr>
              <w:t>提交政协会议议案数量</w:t>
            </w:r>
          </w:p>
        </w:tc>
        <w:tc>
          <w:tcPr>
            <w:tcW w:w="737" w:type="dxa"/>
            <w:shd w:val="clear" w:color="auto" w:fill="auto"/>
            <w:vAlign w:val="center"/>
          </w:tcPr>
          <w:p w14:paraId="4E10EF5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c>
          <w:tcPr>
            <w:tcW w:w="737" w:type="dxa"/>
            <w:shd w:val="clear" w:color="auto" w:fill="auto"/>
            <w:vAlign w:val="center"/>
          </w:tcPr>
          <w:p w14:paraId="221558AF">
            <w:pPr>
              <w:spacing w:line="300" w:lineRule="exact"/>
              <w:jc w:val="center"/>
              <w:rPr>
                <w:rFonts w:hint="eastAsia" w:ascii="方正书宋_GBK" w:eastAsia="方正书宋_GBK"/>
              </w:rPr>
            </w:pPr>
            <w:r>
              <w:rPr>
                <w:rFonts w:ascii="方正书宋_GBK" w:eastAsia="方正书宋_GBK"/>
              </w:rPr>
              <w:t>3</w:t>
            </w:r>
          </w:p>
        </w:tc>
        <w:tc>
          <w:tcPr>
            <w:tcW w:w="737" w:type="dxa"/>
            <w:shd w:val="clear" w:color="auto" w:fill="auto"/>
            <w:vAlign w:val="center"/>
          </w:tcPr>
          <w:p w14:paraId="54DFA7AD">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14:paraId="5CA63B82">
            <w:pPr>
              <w:spacing w:line="300" w:lineRule="exact"/>
              <w:jc w:val="center"/>
              <w:rPr>
                <w:rFonts w:ascii="方正书宋_GBK" w:eastAsia="方正书宋_GBK"/>
              </w:rPr>
            </w:pPr>
            <w:r>
              <w:rPr>
                <w:rFonts w:ascii="方正书宋_GBK" w:eastAsia="方正书宋_GBK"/>
              </w:rPr>
              <w:t>&lt;2</w:t>
            </w:r>
          </w:p>
        </w:tc>
      </w:tr>
      <w:tr w14:paraId="0505DE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74B63C2">
            <w:pPr>
              <w:spacing w:line="300" w:lineRule="exact"/>
              <w:jc w:val="left"/>
              <w:rPr>
                <w:rFonts w:hint="eastAsia" w:ascii="方正书宋_GBK" w:eastAsia="方正书宋_GBK"/>
                <w:b/>
              </w:rPr>
            </w:pPr>
          </w:p>
        </w:tc>
        <w:tc>
          <w:tcPr>
            <w:tcW w:w="1276" w:type="dxa"/>
            <w:vMerge w:val="continue"/>
            <w:shd w:val="clear" w:color="auto" w:fill="auto"/>
            <w:vAlign w:val="center"/>
          </w:tcPr>
          <w:p w14:paraId="312A56D0">
            <w:pPr>
              <w:spacing w:line="300" w:lineRule="exact"/>
              <w:jc w:val="left"/>
              <w:rPr>
                <w:rFonts w:ascii="方正书宋_GBK" w:eastAsia="方正书宋_GBK"/>
              </w:rPr>
            </w:pPr>
          </w:p>
        </w:tc>
        <w:tc>
          <w:tcPr>
            <w:tcW w:w="2976" w:type="dxa"/>
            <w:vMerge w:val="continue"/>
            <w:shd w:val="clear" w:color="auto" w:fill="auto"/>
            <w:vAlign w:val="center"/>
          </w:tcPr>
          <w:p w14:paraId="549C3E9B">
            <w:pPr>
              <w:spacing w:line="300" w:lineRule="exact"/>
              <w:jc w:val="left"/>
              <w:rPr>
                <w:rFonts w:hint="eastAsia" w:ascii="方正书宋_GBK" w:eastAsia="方正书宋_GBK"/>
              </w:rPr>
            </w:pPr>
          </w:p>
        </w:tc>
        <w:tc>
          <w:tcPr>
            <w:tcW w:w="2976" w:type="dxa"/>
            <w:vMerge w:val="continue"/>
            <w:shd w:val="clear" w:color="auto" w:fill="auto"/>
            <w:vAlign w:val="center"/>
          </w:tcPr>
          <w:p w14:paraId="249FC680">
            <w:pPr>
              <w:spacing w:line="300" w:lineRule="exact"/>
              <w:jc w:val="left"/>
              <w:rPr>
                <w:rFonts w:hint="eastAsia" w:ascii="方正书宋_GBK" w:eastAsia="方正书宋_GBK"/>
              </w:rPr>
            </w:pPr>
          </w:p>
        </w:tc>
        <w:tc>
          <w:tcPr>
            <w:tcW w:w="1417" w:type="dxa"/>
            <w:shd w:val="clear" w:color="auto" w:fill="auto"/>
            <w:vAlign w:val="center"/>
          </w:tcPr>
          <w:p w14:paraId="15E1CD21">
            <w:pPr>
              <w:spacing w:line="300" w:lineRule="exact"/>
              <w:jc w:val="left"/>
              <w:rPr>
                <w:rFonts w:hint="eastAsia" w:ascii="方正书宋_GBK" w:eastAsia="方正书宋_GBK"/>
              </w:rPr>
            </w:pPr>
            <w:r>
              <w:rPr>
                <w:rFonts w:hint="eastAsia" w:ascii="方正书宋_GBK" w:eastAsia="方正书宋_GBK"/>
              </w:rPr>
              <w:t>民主党派加强自身建设协助工作完成率</w:t>
            </w:r>
          </w:p>
        </w:tc>
        <w:tc>
          <w:tcPr>
            <w:tcW w:w="737" w:type="dxa"/>
            <w:shd w:val="clear" w:color="auto" w:fill="auto"/>
            <w:vAlign w:val="center"/>
          </w:tcPr>
          <w:p w14:paraId="79D2873E">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25E1EC7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69C8E44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CD48EA9">
            <w:pPr>
              <w:spacing w:line="300" w:lineRule="exact"/>
              <w:jc w:val="center"/>
              <w:rPr>
                <w:rFonts w:ascii="方正书宋_GBK" w:eastAsia="方正书宋_GBK"/>
              </w:rPr>
            </w:pPr>
            <w:r>
              <w:rPr>
                <w:rFonts w:ascii="方正书宋_GBK" w:eastAsia="方正书宋_GBK"/>
              </w:rPr>
              <w:t>&lt;90%</w:t>
            </w:r>
          </w:p>
        </w:tc>
      </w:tr>
      <w:tr w14:paraId="0FF1BC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142619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、民族宗教统战工作</w:t>
            </w:r>
          </w:p>
        </w:tc>
        <w:tc>
          <w:tcPr>
            <w:tcW w:w="1276" w:type="dxa"/>
            <w:shd w:val="clear" w:color="auto" w:fill="auto"/>
            <w:vAlign w:val="center"/>
          </w:tcPr>
          <w:p w14:paraId="29CBC6CC">
            <w:pPr>
              <w:spacing w:line="300" w:lineRule="exact"/>
              <w:jc w:val="left"/>
              <w:rPr>
                <w:rFonts w:ascii="方正书宋_GBK" w:eastAsia="方正书宋_GBK"/>
              </w:rPr>
            </w:pPr>
          </w:p>
        </w:tc>
        <w:tc>
          <w:tcPr>
            <w:tcW w:w="2976" w:type="dxa"/>
            <w:shd w:val="clear" w:color="auto" w:fill="auto"/>
            <w:vAlign w:val="center"/>
          </w:tcPr>
          <w:p w14:paraId="223D9D44">
            <w:pPr>
              <w:spacing w:line="300" w:lineRule="exact"/>
              <w:jc w:val="left"/>
              <w:rPr>
                <w:rFonts w:hint="eastAsia" w:ascii="方正书宋_GBK" w:eastAsia="方正书宋_GBK"/>
              </w:rPr>
            </w:pPr>
            <w:r>
              <w:rPr>
                <w:rFonts w:hint="eastAsia" w:ascii="方正书宋_GBK" w:eastAsia="方正书宋_GBK"/>
              </w:rPr>
              <w:t>调查研究民族、宗教工作的理论、方针、政策和法律法规，做好重要工作和重大问题的处理，协调开展马克思主义民族观、宗教观和相关理论、政策的宣传教育，联系少数民族和宗教界代表人士，会同有关部门做好少数民族干部的培养和举荐工作。牵头有关部门做好宗教维稳、抵御境外渗透工作。</w:t>
            </w:r>
          </w:p>
        </w:tc>
        <w:tc>
          <w:tcPr>
            <w:tcW w:w="2976" w:type="dxa"/>
            <w:shd w:val="clear" w:color="auto" w:fill="auto"/>
            <w:vAlign w:val="center"/>
          </w:tcPr>
          <w:p w14:paraId="57AC981D">
            <w:pPr>
              <w:spacing w:line="300" w:lineRule="exact"/>
              <w:jc w:val="left"/>
              <w:rPr>
                <w:rFonts w:hint="eastAsia" w:ascii="方正书宋_GBK" w:eastAsia="方正书宋_GBK"/>
              </w:rPr>
            </w:pPr>
            <w:r>
              <w:rPr>
                <w:rFonts w:hint="eastAsia" w:ascii="方正书宋_GBK" w:eastAsia="方正书宋_GBK"/>
              </w:rPr>
              <w:t>涉密</w:t>
            </w:r>
          </w:p>
        </w:tc>
        <w:tc>
          <w:tcPr>
            <w:tcW w:w="1417" w:type="dxa"/>
            <w:shd w:val="clear" w:color="auto" w:fill="auto"/>
            <w:vAlign w:val="center"/>
          </w:tcPr>
          <w:p w14:paraId="6F8789CE">
            <w:pPr>
              <w:spacing w:line="300" w:lineRule="exact"/>
              <w:jc w:val="left"/>
              <w:rPr>
                <w:rFonts w:hint="eastAsia" w:ascii="方正书宋_GBK" w:eastAsia="方正书宋_GBK"/>
              </w:rPr>
            </w:pPr>
            <w:r>
              <w:rPr>
                <w:rFonts w:hint="eastAsia" w:ascii="方正书宋_GBK" w:eastAsia="方正书宋_GBK"/>
              </w:rPr>
              <w:t>涉密</w:t>
            </w:r>
          </w:p>
        </w:tc>
        <w:tc>
          <w:tcPr>
            <w:tcW w:w="737" w:type="dxa"/>
            <w:shd w:val="clear" w:color="auto" w:fill="auto"/>
            <w:vAlign w:val="center"/>
          </w:tcPr>
          <w:p w14:paraId="37E92E76">
            <w:pPr>
              <w:spacing w:line="300" w:lineRule="exact"/>
              <w:jc w:val="center"/>
              <w:rPr>
                <w:rFonts w:ascii="方正书宋_GBK" w:eastAsia="方正书宋_GBK"/>
              </w:rPr>
            </w:pPr>
          </w:p>
        </w:tc>
        <w:tc>
          <w:tcPr>
            <w:tcW w:w="737" w:type="dxa"/>
            <w:shd w:val="clear" w:color="auto" w:fill="auto"/>
            <w:vAlign w:val="center"/>
          </w:tcPr>
          <w:p w14:paraId="0B4EEFE0">
            <w:pPr>
              <w:spacing w:line="300" w:lineRule="exact"/>
              <w:jc w:val="center"/>
              <w:rPr>
                <w:rFonts w:hint="eastAsia" w:ascii="方正书宋_GBK" w:eastAsia="方正书宋_GBK"/>
              </w:rPr>
            </w:pPr>
          </w:p>
        </w:tc>
        <w:tc>
          <w:tcPr>
            <w:tcW w:w="737" w:type="dxa"/>
            <w:shd w:val="clear" w:color="auto" w:fill="auto"/>
            <w:vAlign w:val="center"/>
          </w:tcPr>
          <w:p w14:paraId="14BCD068">
            <w:pPr>
              <w:spacing w:line="300" w:lineRule="exact"/>
              <w:jc w:val="center"/>
              <w:rPr>
                <w:rFonts w:hint="eastAsia" w:ascii="方正书宋_GBK" w:eastAsia="方正书宋_GBK"/>
              </w:rPr>
            </w:pPr>
          </w:p>
        </w:tc>
        <w:tc>
          <w:tcPr>
            <w:tcW w:w="737" w:type="dxa"/>
            <w:shd w:val="clear" w:color="auto" w:fill="auto"/>
            <w:vAlign w:val="center"/>
          </w:tcPr>
          <w:p w14:paraId="5ED4DD8E">
            <w:pPr>
              <w:spacing w:line="300" w:lineRule="exact"/>
              <w:jc w:val="center"/>
              <w:rPr>
                <w:rFonts w:ascii="方正书宋_GBK" w:eastAsia="方正书宋_GBK"/>
              </w:rPr>
            </w:pPr>
          </w:p>
        </w:tc>
      </w:tr>
      <w:tr w14:paraId="3843FD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6E31A6A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、港澳台海外统战工作</w:t>
            </w:r>
          </w:p>
        </w:tc>
        <w:tc>
          <w:tcPr>
            <w:tcW w:w="1276" w:type="dxa"/>
            <w:vMerge w:val="restart"/>
            <w:shd w:val="clear" w:color="auto" w:fill="auto"/>
            <w:vAlign w:val="center"/>
          </w:tcPr>
          <w:p w14:paraId="7AA559E2">
            <w:pPr>
              <w:spacing w:line="300" w:lineRule="exact"/>
              <w:jc w:val="left"/>
              <w:rPr>
                <w:rFonts w:ascii="方正书宋_GBK" w:eastAsia="方正书宋_GBK"/>
              </w:rPr>
            </w:pPr>
          </w:p>
        </w:tc>
        <w:tc>
          <w:tcPr>
            <w:tcW w:w="2976" w:type="dxa"/>
            <w:vMerge w:val="restart"/>
            <w:shd w:val="clear" w:color="auto" w:fill="auto"/>
            <w:vAlign w:val="center"/>
          </w:tcPr>
          <w:p w14:paraId="08B77815">
            <w:pPr>
              <w:spacing w:line="300" w:lineRule="exact"/>
              <w:jc w:val="left"/>
              <w:rPr>
                <w:rFonts w:hint="eastAsia" w:ascii="方正书宋_GBK" w:eastAsia="方正书宋_GBK"/>
              </w:rPr>
            </w:pPr>
            <w:r>
              <w:rPr>
                <w:rFonts w:hint="eastAsia" w:ascii="方正书宋_GBK" w:eastAsia="方正书宋_GBK"/>
              </w:rPr>
              <w:t>开展港澳台海外统一战线工作，联系香港、澳门、台湾和海外有关党派、团体及代表人士，会同有关部门对香港、澳门地区统一战线工作方针政策和法律法规进行调查研究，做好台胞、台属工作，负责党委交办的其他港澳、对台工作。</w:t>
            </w:r>
          </w:p>
        </w:tc>
        <w:tc>
          <w:tcPr>
            <w:tcW w:w="2976" w:type="dxa"/>
            <w:vMerge w:val="restart"/>
            <w:shd w:val="clear" w:color="auto" w:fill="auto"/>
            <w:vAlign w:val="center"/>
          </w:tcPr>
          <w:p w14:paraId="0AB0AAD3">
            <w:pPr>
              <w:spacing w:line="300" w:lineRule="exact"/>
              <w:jc w:val="left"/>
              <w:rPr>
                <w:rFonts w:hint="eastAsia" w:ascii="方正书宋_GBK" w:eastAsia="方正书宋_GBK"/>
              </w:rPr>
            </w:pPr>
            <w:r>
              <w:rPr>
                <w:rFonts w:hint="eastAsia" w:ascii="方正书宋_GBK" w:eastAsia="方正书宋_GBK"/>
              </w:rPr>
              <w:t>争取人心，凝聚、壮大爱国力量，为河北的对外开放和经济社会发展做贡献，为实现祖国统一大业服务。</w:t>
            </w:r>
          </w:p>
        </w:tc>
        <w:tc>
          <w:tcPr>
            <w:tcW w:w="1417" w:type="dxa"/>
            <w:shd w:val="clear" w:color="auto" w:fill="auto"/>
            <w:vAlign w:val="center"/>
          </w:tcPr>
          <w:p w14:paraId="7A02D352">
            <w:pPr>
              <w:spacing w:line="300" w:lineRule="exact"/>
              <w:jc w:val="left"/>
              <w:rPr>
                <w:rFonts w:hint="eastAsia" w:ascii="方正书宋_GBK" w:eastAsia="方正书宋_GBK"/>
              </w:rPr>
            </w:pPr>
            <w:r>
              <w:rPr>
                <w:rFonts w:hint="eastAsia" w:ascii="方正书宋_GBK" w:eastAsia="方正书宋_GBK"/>
              </w:rPr>
              <w:t>开展港澳台海外统一战线工作完成率</w:t>
            </w:r>
          </w:p>
        </w:tc>
        <w:tc>
          <w:tcPr>
            <w:tcW w:w="737" w:type="dxa"/>
            <w:shd w:val="clear" w:color="auto" w:fill="auto"/>
            <w:vAlign w:val="center"/>
          </w:tcPr>
          <w:p w14:paraId="6BA3253D">
            <w:pPr>
              <w:spacing w:line="300" w:lineRule="exact"/>
              <w:jc w:val="center"/>
              <w:rPr>
                <w:rFonts w:ascii="方正书宋_GBK" w:eastAsia="方正书宋_GBK"/>
              </w:rPr>
            </w:pPr>
          </w:p>
        </w:tc>
        <w:tc>
          <w:tcPr>
            <w:tcW w:w="737" w:type="dxa"/>
            <w:shd w:val="clear" w:color="auto" w:fill="auto"/>
            <w:vAlign w:val="center"/>
          </w:tcPr>
          <w:p w14:paraId="0364B33C">
            <w:pPr>
              <w:spacing w:line="300" w:lineRule="exact"/>
              <w:jc w:val="center"/>
              <w:rPr>
                <w:rFonts w:hint="eastAsia" w:ascii="方正书宋_GBK" w:eastAsia="方正书宋_GBK"/>
              </w:rPr>
            </w:pPr>
          </w:p>
        </w:tc>
        <w:tc>
          <w:tcPr>
            <w:tcW w:w="737" w:type="dxa"/>
            <w:shd w:val="clear" w:color="auto" w:fill="auto"/>
            <w:vAlign w:val="center"/>
          </w:tcPr>
          <w:p w14:paraId="722494CD">
            <w:pPr>
              <w:spacing w:line="300" w:lineRule="exact"/>
              <w:jc w:val="center"/>
              <w:rPr>
                <w:rFonts w:hint="eastAsia" w:ascii="方正书宋_GBK" w:eastAsia="方正书宋_GBK"/>
              </w:rPr>
            </w:pPr>
          </w:p>
        </w:tc>
        <w:tc>
          <w:tcPr>
            <w:tcW w:w="737" w:type="dxa"/>
            <w:shd w:val="clear" w:color="auto" w:fill="auto"/>
            <w:vAlign w:val="center"/>
          </w:tcPr>
          <w:p w14:paraId="3A380C14">
            <w:pPr>
              <w:spacing w:line="300" w:lineRule="exact"/>
              <w:jc w:val="center"/>
              <w:rPr>
                <w:rFonts w:ascii="方正书宋_GBK" w:eastAsia="方正书宋_GBK"/>
              </w:rPr>
            </w:pPr>
          </w:p>
        </w:tc>
      </w:tr>
      <w:tr w14:paraId="78784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968A03A">
            <w:pPr>
              <w:spacing w:line="300" w:lineRule="exact"/>
              <w:jc w:val="left"/>
              <w:rPr>
                <w:rFonts w:hint="eastAsia" w:ascii="方正书宋_GBK" w:eastAsia="方正书宋_GBK"/>
                <w:b/>
              </w:rPr>
            </w:pPr>
          </w:p>
        </w:tc>
        <w:tc>
          <w:tcPr>
            <w:tcW w:w="1276" w:type="dxa"/>
            <w:vMerge w:val="continue"/>
            <w:shd w:val="clear" w:color="auto" w:fill="auto"/>
            <w:vAlign w:val="center"/>
          </w:tcPr>
          <w:p w14:paraId="1131372C">
            <w:pPr>
              <w:spacing w:line="300" w:lineRule="exact"/>
              <w:jc w:val="left"/>
              <w:rPr>
                <w:rFonts w:ascii="方正书宋_GBK" w:eastAsia="方正书宋_GBK"/>
              </w:rPr>
            </w:pPr>
          </w:p>
        </w:tc>
        <w:tc>
          <w:tcPr>
            <w:tcW w:w="2976" w:type="dxa"/>
            <w:vMerge w:val="continue"/>
            <w:shd w:val="clear" w:color="auto" w:fill="auto"/>
            <w:vAlign w:val="center"/>
          </w:tcPr>
          <w:p w14:paraId="13D0379E">
            <w:pPr>
              <w:spacing w:line="300" w:lineRule="exact"/>
              <w:jc w:val="left"/>
              <w:rPr>
                <w:rFonts w:hint="eastAsia" w:ascii="方正书宋_GBK" w:eastAsia="方正书宋_GBK"/>
              </w:rPr>
            </w:pPr>
          </w:p>
        </w:tc>
        <w:tc>
          <w:tcPr>
            <w:tcW w:w="2976" w:type="dxa"/>
            <w:vMerge w:val="continue"/>
            <w:shd w:val="clear" w:color="auto" w:fill="auto"/>
            <w:vAlign w:val="center"/>
          </w:tcPr>
          <w:p w14:paraId="4BEA76BA">
            <w:pPr>
              <w:spacing w:line="300" w:lineRule="exact"/>
              <w:jc w:val="left"/>
              <w:rPr>
                <w:rFonts w:hint="eastAsia" w:ascii="方正书宋_GBK" w:eastAsia="方正书宋_GBK"/>
              </w:rPr>
            </w:pPr>
          </w:p>
        </w:tc>
        <w:tc>
          <w:tcPr>
            <w:tcW w:w="1417" w:type="dxa"/>
            <w:shd w:val="clear" w:color="auto" w:fill="auto"/>
            <w:vAlign w:val="center"/>
          </w:tcPr>
          <w:p w14:paraId="63AEE4CC">
            <w:pPr>
              <w:spacing w:line="300" w:lineRule="exact"/>
              <w:jc w:val="left"/>
              <w:rPr>
                <w:rFonts w:hint="eastAsia" w:ascii="方正书宋_GBK" w:eastAsia="方正书宋_GBK"/>
              </w:rPr>
            </w:pPr>
            <w:r>
              <w:rPr>
                <w:rFonts w:hint="eastAsia" w:ascii="方正书宋_GBK" w:eastAsia="方正书宋_GBK"/>
              </w:rPr>
              <w:t>联系重点社团及代表人士工作完成率</w:t>
            </w:r>
          </w:p>
        </w:tc>
        <w:tc>
          <w:tcPr>
            <w:tcW w:w="737" w:type="dxa"/>
            <w:shd w:val="clear" w:color="auto" w:fill="auto"/>
            <w:vAlign w:val="center"/>
          </w:tcPr>
          <w:p w14:paraId="17C76F80">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BDC91C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C49660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0DB52E7">
            <w:pPr>
              <w:spacing w:line="300" w:lineRule="exact"/>
              <w:jc w:val="center"/>
              <w:rPr>
                <w:rFonts w:ascii="方正书宋_GBK" w:eastAsia="方正书宋_GBK"/>
              </w:rPr>
            </w:pPr>
            <w:r>
              <w:rPr>
                <w:rFonts w:ascii="方正书宋_GBK" w:eastAsia="方正书宋_GBK"/>
              </w:rPr>
              <w:t>&lt;90%</w:t>
            </w:r>
          </w:p>
        </w:tc>
      </w:tr>
      <w:tr w14:paraId="06930E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6BF0B35">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、非公经济统战工作</w:t>
            </w:r>
          </w:p>
        </w:tc>
        <w:tc>
          <w:tcPr>
            <w:tcW w:w="1276" w:type="dxa"/>
            <w:shd w:val="clear" w:color="auto" w:fill="auto"/>
            <w:vAlign w:val="center"/>
          </w:tcPr>
          <w:p w14:paraId="093D7243">
            <w:pPr>
              <w:spacing w:line="300" w:lineRule="exact"/>
              <w:jc w:val="left"/>
              <w:rPr>
                <w:rFonts w:ascii="方正书宋_GBK" w:eastAsia="方正书宋_GBK"/>
              </w:rPr>
            </w:pPr>
          </w:p>
        </w:tc>
        <w:tc>
          <w:tcPr>
            <w:tcW w:w="2976" w:type="dxa"/>
            <w:shd w:val="clear" w:color="auto" w:fill="auto"/>
            <w:vAlign w:val="center"/>
          </w:tcPr>
          <w:p w14:paraId="7CBFBFE0">
            <w:pPr>
              <w:spacing w:line="300" w:lineRule="exact"/>
              <w:jc w:val="left"/>
              <w:rPr>
                <w:rFonts w:hint="eastAsia" w:ascii="方正书宋_GBK" w:eastAsia="方正书宋_GBK"/>
              </w:rPr>
            </w:pPr>
            <w:r>
              <w:rPr>
                <w:rFonts w:hint="eastAsia" w:ascii="方正书宋_GBK" w:eastAsia="方正书宋_GBK"/>
              </w:rPr>
              <w:t>调查研究非公有制经济人士的情况，协调关系，提出政策建议，团结、服务、引导、教育非公有制经济人士，开展思想政治工作。</w:t>
            </w:r>
          </w:p>
        </w:tc>
        <w:tc>
          <w:tcPr>
            <w:tcW w:w="2976" w:type="dxa"/>
            <w:shd w:val="clear" w:color="auto" w:fill="auto"/>
            <w:vAlign w:val="center"/>
          </w:tcPr>
          <w:p w14:paraId="313270FF">
            <w:pPr>
              <w:spacing w:line="300" w:lineRule="exact"/>
              <w:jc w:val="left"/>
              <w:rPr>
                <w:rFonts w:hint="eastAsia" w:ascii="方正书宋_GBK" w:eastAsia="方正书宋_GBK"/>
              </w:rPr>
            </w:pPr>
            <w:r>
              <w:rPr>
                <w:rFonts w:hint="eastAsia" w:ascii="方正书宋_GBK" w:eastAsia="方正书宋_GBK"/>
              </w:rPr>
              <w:t>促进非公有制经济健康发展和非公有制经济人士健康成长。</w:t>
            </w:r>
          </w:p>
        </w:tc>
        <w:tc>
          <w:tcPr>
            <w:tcW w:w="1417" w:type="dxa"/>
            <w:shd w:val="clear" w:color="auto" w:fill="auto"/>
            <w:vAlign w:val="center"/>
          </w:tcPr>
          <w:p w14:paraId="6C0D59C0">
            <w:pPr>
              <w:spacing w:line="300" w:lineRule="exact"/>
              <w:jc w:val="left"/>
              <w:rPr>
                <w:rFonts w:hint="eastAsia" w:ascii="方正书宋_GBK" w:eastAsia="方正书宋_GBK"/>
              </w:rPr>
            </w:pPr>
            <w:r>
              <w:rPr>
                <w:rFonts w:hint="eastAsia" w:ascii="方正书宋_GBK" w:eastAsia="方正书宋_GBK"/>
              </w:rPr>
              <w:t>活动开展次数</w:t>
            </w:r>
          </w:p>
        </w:tc>
        <w:tc>
          <w:tcPr>
            <w:tcW w:w="737" w:type="dxa"/>
            <w:shd w:val="clear" w:color="auto" w:fill="auto"/>
            <w:vAlign w:val="center"/>
          </w:tcPr>
          <w:p w14:paraId="711EBE5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c>
          <w:tcPr>
            <w:tcW w:w="737" w:type="dxa"/>
            <w:shd w:val="clear" w:color="auto" w:fill="auto"/>
            <w:vAlign w:val="center"/>
          </w:tcPr>
          <w:p w14:paraId="7F6C07A8">
            <w:pPr>
              <w:spacing w:line="300" w:lineRule="exact"/>
              <w:jc w:val="center"/>
              <w:rPr>
                <w:rFonts w:hint="eastAsia" w:ascii="方正书宋_GBK" w:eastAsia="方正书宋_GBK"/>
              </w:rPr>
            </w:pPr>
            <w:r>
              <w:rPr>
                <w:rFonts w:ascii="方正书宋_GBK" w:eastAsia="方正书宋_GBK"/>
              </w:rPr>
              <w:t>3</w:t>
            </w:r>
          </w:p>
        </w:tc>
        <w:tc>
          <w:tcPr>
            <w:tcW w:w="737" w:type="dxa"/>
            <w:shd w:val="clear" w:color="auto" w:fill="auto"/>
            <w:vAlign w:val="center"/>
          </w:tcPr>
          <w:p w14:paraId="492A8306">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14:paraId="52E91B85">
            <w:pPr>
              <w:spacing w:line="300" w:lineRule="exact"/>
              <w:jc w:val="center"/>
              <w:rPr>
                <w:rFonts w:ascii="方正书宋_GBK" w:eastAsia="方正书宋_GBK"/>
              </w:rPr>
            </w:pPr>
            <w:r>
              <w:rPr>
                <w:rFonts w:ascii="方正书宋_GBK" w:eastAsia="方正书宋_GBK"/>
              </w:rPr>
              <w:t>&lt;2</w:t>
            </w:r>
          </w:p>
        </w:tc>
      </w:tr>
      <w:tr w14:paraId="0ABAC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41884CB">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、党外知识分子统战工作</w:t>
            </w:r>
          </w:p>
        </w:tc>
        <w:tc>
          <w:tcPr>
            <w:tcW w:w="1276" w:type="dxa"/>
            <w:vMerge w:val="restart"/>
            <w:shd w:val="clear" w:color="auto" w:fill="auto"/>
            <w:vAlign w:val="center"/>
          </w:tcPr>
          <w:p w14:paraId="51C455AA">
            <w:pPr>
              <w:spacing w:line="300" w:lineRule="exact"/>
              <w:jc w:val="left"/>
              <w:rPr>
                <w:rFonts w:ascii="方正书宋_GBK" w:eastAsia="方正书宋_GBK"/>
              </w:rPr>
            </w:pPr>
          </w:p>
        </w:tc>
        <w:tc>
          <w:tcPr>
            <w:tcW w:w="2976" w:type="dxa"/>
            <w:vMerge w:val="restart"/>
            <w:shd w:val="clear" w:color="auto" w:fill="auto"/>
            <w:vAlign w:val="center"/>
          </w:tcPr>
          <w:p w14:paraId="4FA9E4E2">
            <w:pPr>
              <w:spacing w:line="300" w:lineRule="exact"/>
              <w:jc w:val="left"/>
              <w:rPr>
                <w:rFonts w:hint="eastAsia" w:ascii="方正书宋_GBK" w:eastAsia="方正书宋_GBK"/>
              </w:rPr>
            </w:pPr>
            <w:r>
              <w:rPr>
                <w:rFonts w:hint="eastAsia" w:ascii="方正书宋_GBK" w:eastAsia="方正书宋_GBK"/>
              </w:rPr>
              <w:t>调查研究党外知识分子的情况，反映意见，协调关系，提出政策建议，联系党外知识分子代表人士。</w:t>
            </w:r>
          </w:p>
        </w:tc>
        <w:tc>
          <w:tcPr>
            <w:tcW w:w="2976" w:type="dxa"/>
            <w:vMerge w:val="restart"/>
            <w:shd w:val="clear" w:color="auto" w:fill="auto"/>
            <w:vAlign w:val="center"/>
          </w:tcPr>
          <w:p w14:paraId="1A7E1D9A">
            <w:pPr>
              <w:spacing w:line="300" w:lineRule="exact"/>
              <w:jc w:val="left"/>
              <w:rPr>
                <w:rFonts w:hint="eastAsia" w:ascii="方正书宋_GBK" w:eastAsia="方正书宋_GBK"/>
              </w:rPr>
            </w:pPr>
            <w:r>
              <w:rPr>
                <w:rFonts w:hint="eastAsia" w:ascii="方正书宋_GBK" w:eastAsia="方正书宋_GBK"/>
              </w:rPr>
              <w:t>政治引领，培养人才，建言献策，服务社会，联谊交友</w:t>
            </w:r>
          </w:p>
        </w:tc>
        <w:tc>
          <w:tcPr>
            <w:tcW w:w="1417" w:type="dxa"/>
            <w:shd w:val="clear" w:color="auto" w:fill="auto"/>
            <w:vAlign w:val="center"/>
          </w:tcPr>
          <w:p w14:paraId="088D04F9">
            <w:pPr>
              <w:spacing w:line="300" w:lineRule="exact"/>
              <w:jc w:val="left"/>
              <w:rPr>
                <w:rFonts w:hint="eastAsia" w:ascii="方正书宋_GBK" w:eastAsia="方正书宋_GBK"/>
              </w:rPr>
            </w:pPr>
            <w:r>
              <w:rPr>
                <w:rFonts w:hint="eastAsia" w:ascii="方正书宋_GBK" w:eastAsia="方正书宋_GBK"/>
              </w:rPr>
              <w:t>组织新社会阶层代表人士和留学人员中代表人士开展统战工作的完成率</w:t>
            </w:r>
          </w:p>
        </w:tc>
        <w:tc>
          <w:tcPr>
            <w:tcW w:w="737" w:type="dxa"/>
            <w:shd w:val="clear" w:color="auto" w:fill="auto"/>
            <w:vAlign w:val="center"/>
          </w:tcPr>
          <w:p w14:paraId="02FB0A9F">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05FE107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9F5DC2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37651EC">
            <w:pPr>
              <w:spacing w:line="300" w:lineRule="exact"/>
              <w:jc w:val="center"/>
              <w:rPr>
                <w:rFonts w:ascii="方正书宋_GBK" w:eastAsia="方正书宋_GBK"/>
              </w:rPr>
            </w:pPr>
            <w:r>
              <w:rPr>
                <w:rFonts w:ascii="方正书宋_GBK" w:eastAsia="方正书宋_GBK"/>
              </w:rPr>
              <w:t>&lt;90%</w:t>
            </w:r>
          </w:p>
        </w:tc>
      </w:tr>
      <w:tr w14:paraId="15AE7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DB489C9">
            <w:pPr>
              <w:spacing w:line="300" w:lineRule="exact"/>
              <w:jc w:val="left"/>
              <w:rPr>
                <w:rFonts w:hint="eastAsia" w:ascii="方正书宋_GBK" w:eastAsia="方正书宋_GBK"/>
                <w:b/>
              </w:rPr>
            </w:pPr>
          </w:p>
        </w:tc>
        <w:tc>
          <w:tcPr>
            <w:tcW w:w="1276" w:type="dxa"/>
            <w:vMerge w:val="continue"/>
            <w:shd w:val="clear" w:color="auto" w:fill="auto"/>
            <w:vAlign w:val="center"/>
          </w:tcPr>
          <w:p w14:paraId="67A91F24">
            <w:pPr>
              <w:spacing w:line="300" w:lineRule="exact"/>
              <w:jc w:val="left"/>
              <w:rPr>
                <w:rFonts w:ascii="方正书宋_GBK" w:eastAsia="方正书宋_GBK"/>
              </w:rPr>
            </w:pPr>
          </w:p>
        </w:tc>
        <w:tc>
          <w:tcPr>
            <w:tcW w:w="2976" w:type="dxa"/>
            <w:vMerge w:val="continue"/>
            <w:shd w:val="clear" w:color="auto" w:fill="auto"/>
            <w:vAlign w:val="center"/>
          </w:tcPr>
          <w:p w14:paraId="525A01A2">
            <w:pPr>
              <w:spacing w:line="300" w:lineRule="exact"/>
              <w:jc w:val="left"/>
              <w:rPr>
                <w:rFonts w:hint="eastAsia" w:ascii="方正书宋_GBK" w:eastAsia="方正书宋_GBK"/>
              </w:rPr>
            </w:pPr>
          </w:p>
        </w:tc>
        <w:tc>
          <w:tcPr>
            <w:tcW w:w="2976" w:type="dxa"/>
            <w:vMerge w:val="continue"/>
            <w:shd w:val="clear" w:color="auto" w:fill="auto"/>
            <w:vAlign w:val="center"/>
          </w:tcPr>
          <w:p w14:paraId="699D5845">
            <w:pPr>
              <w:spacing w:line="300" w:lineRule="exact"/>
              <w:jc w:val="left"/>
              <w:rPr>
                <w:rFonts w:hint="eastAsia" w:ascii="方正书宋_GBK" w:eastAsia="方正书宋_GBK"/>
              </w:rPr>
            </w:pPr>
          </w:p>
        </w:tc>
        <w:tc>
          <w:tcPr>
            <w:tcW w:w="1417" w:type="dxa"/>
            <w:shd w:val="clear" w:color="auto" w:fill="auto"/>
            <w:vAlign w:val="center"/>
          </w:tcPr>
          <w:p w14:paraId="44808C8F">
            <w:pPr>
              <w:spacing w:line="300" w:lineRule="exact"/>
              <w:jc w:val="left"/>
              <w:rPr>
                <w:rFonts w:hint="eastAsia" w:ascii="方正书宋_GBK" w:eastAsia="方正书宋_GBK"/>
              </w:rPr>
            </w:pPr>
            <w:r>
              <w:rPr>
                <w:rFonts w:hint="eastAsia" w:ascii="方正书宋_GBK" w:eastAsia="方正书宋_GBK"/>
              </w:rPr>
              <w:t>传统领域统战工作完成率</w:t>
            </w:r>
          </w:p>
        </w:tc>
        <w:tc>
          <w:tcPr>
            <w:tcW w:w="737" w:type="dxa"/>
            <w:shd w:val="clear" w:color="auto" w:fill="auto"/>
            <w:vAlign w:val="center"/>
          </w:tcPr>
          <w:p w14:paraId="4235AC10">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39E6FE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6A33918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889F928">
            <w:pPr>
              <w:spacing w:line="300" w:lineRule="exact"/>
              <w:jc w:val="center"/>
              <w:rPr>
                <w:rFonts w:ascii="方正书宋_GBK" w:eastAsia="方正书宋_GBK"/>
              </w:rPr>
            </w:pPr>
            <w:r>
              <w:rPr>
                <w:rFonts w:ascii="方正书宋_GBK" w:eastAsia="方正书宋_GBK"/>
              </w:rPr>
              <w:t>&lt;90%</w:t>
            </w:r>
          </w:p>
        </w:tc>
      </w:tr>
      <w:tr w14:paraId="5B007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ED11694">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、党外代表人士队伍建设工作</w:t>
            </w:r>
          </w:p>
        </w:tc>
        <w:tc>
          <w:tcPr>
            <w:tcW w:w="1276" w:type="dxa"/>
            <w:vMerge w:val="restart"/>
            <w:shd w:val="clear" w:color="auto" w:fill="auto"/>
            <w:vAlign w:val="center"/>
          </w:tcPr>
          <w:p w14:paraId="2FEC43DC">
            <w:pPr>
              <w:spacing w:line="300" w:lineRule="exact"/>
              <w:jc w:val="left"/>
              <w:rPr>
                <w:rFonts w:ascii="方正书宋_GBK" w:eastAsia="方正书宋_GBK"/>
              </w:rPr>
            </w:pPr>
          </w:p>
        </w:tc>
        <w:tc>
          <w:tcPr>
            <w:tcW w:w="2976" w:type="dxa"/>
            <w:vMerge w:val="restart"/>
            <w:shd w:val="clear" w:color="auto" w:fill="auto"/>
            <w:vAlign w:val="center"/>
          </w:tcPr>
          <w:p w14:paraId="0CEA726F">
            <w:pPr>
              <w:spacing w:line="300" w:lineRule="exact"/>
              <w:jc w:val="left"/>
              <w:rPr>
                <w:rFonts w:hint="eastAsia" w:ascii="方正书宋_GBK" w:eastAsia="方正书宋_GBK"/>
              </w:rPr>
            </w:pPr>
            <w:r>
              <w:rPr>
                <w:rFonts w:hint="eastAsia" w:ascii="方正书宋_GBK" w:eastAsia="方正书宋_GBK"/>
              </w:rPr>
              <w:t>负责党外代表人士在人大、政协安排的有关工作，会同有关部门做好安排党外代表人士担任政府和司法机关等领导职务的工作，做好党外代表人士和后备干部队伍建设工作，协助民主党派做好干部管理工作，反映和解决党外代表人士工作生活中的实际困难。</w:t>
            </w:r>
          </w:p>
        </w:tc>
        <w:tc>
          <w:tcPr>
            <w:tcW w:w="2976" w:type="dxa"/>
            <w:vMerge w:val="restart"/>
            <w:shd w:val="clear" w:color="auto" w:fill="auto"/>
            <w:vAlign w:val="center"/>
          </w:tcPr>
          <w:p w14:paraId="330222D3">
            <w:pPr>
              <w:spacing w:line="300" w:lineRule="exact"/>
              <w:jc w:val="left"/>
              <w:rPr>
                <w:rFonts w:hint="eastAsia" w:ascii="方正书宋_GBK" w:eastAsia="方正书宋_GBK"/>
              </w:rPr>
            </w:pPr>
            <w:r>
              <w:rPr>
                <w:rFonts w:hint="eastAsia" w:ascii="方正书宋_GBK" w:eastAsia="方正书宋_GBK"/>
              </w:rPr>
              <w:t>以政治坚定、业绩突出、群众认同为标准，建设一支数量充足、结构合理、素质优良、作用突出的党外代表人士队伍。增强党外干部政治把握能力、参政议政能力、组织领导能力、合作共事能力和解决自身问题能力。</w:t>
            </w:r>
          </w:p>
        </w:tc>
        <w:tc>
          <w:tcPr>
            <w:tcW w:w="1417" w:type="dxa"/>
            <w:shd w:val="clear" w:color="auto" w:fill="auto"/>
            <w:vAlign w:val="center"/>
          </w:tcPr>
          <w:p w14:paraId="331CF29A">
            <w:pPr>
              <w:spacing w:line="300" w:lineRule="exact"/>
              <w:jc w:val="left"/>
              <w:rPr>
                <w:rFonts w:hint="eastAsia" w:ascii="方正书宋_GBK" w:eastAsia="方正书宋_GBK"/>
              </w:rPr>
            </w:pPr>
            <w:r>
              <w:rPr>
                <w:rFonts w:hint="eastAsia" w:ascii="方正书宋_GBK" w:eastAsia="方正书宋_GBK"/>
              </w:rPr>
              <w:t>培训人员数量</w:t>
            </w:r>
          </w:p>
        </w:tc>
        <w:tc>
          <w:tcPr>
            <w:tcW w:w="737" w:type="dxa"/>
            <w:shd w:val="clear" w:color="auto" w:fill="auto"/>
            <w:vAlign w:val="center"/>
          </w:tcPr>
          <w:p w14:paraId="3BE4BF9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133C40F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1C57094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53FFB887">
            <w:pPr>
              <w:spacing w:line="300" w:lineRule="exact"/>
              <w:jc w:val="center"/>
              <w:rPr>
                <w:rFonts w:ascii="方正书宋_GBK" w:eastAsia="方正书宋_GBK"/>
              </w:rPr>
            </w:pPr>
            <w:r>
              <w:rPr>
                <w:rFonts w:ascii="方正书宋_GBK" w:eastAsia="方正书宋_GBK"/>
              </w:rPr>
              <w:t>&lt;30</w:t>
            </w:r>
          </w:p>
        </w:tc>
      </w:tr>
      <w:tr w14:paraId="0CB5B9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DBFC4E0">
            <w:pPr>
              <w:spacing w:line="300" w:lineRule="exact"/>
              <w:jc w:val="left"/>
              <w:rPr>
                <w:rFonts w:hint="eastAsia" w:ascii="方正书宋_GBK" w:eastAsia="方正书宋_GBK"/>
                <w:b/>
              </w:rPr>
            </w:pPr>
          </w:p>
        </w:tc>
        <w:tc>
          <w:tcPr>
            <w:tcW w:w="1276" w:type="dxa"/>
            <w:vMerge w:val="continue"/>
            <w:shd w:val="clear" w:color="auto" w:fill="auto"/>
            <w:vAlign w:val="center"/>
          </w:tcPr>
          <w:p w14:paraId="2C21ABAA">
            <w:pPr>
              <w:spacing w:line="300" w:lineRule="exact"/>
              <w:jc w:val="left"/>
              <w:rPr>
                <w:rFonts w:ascii="方正书宋_GBK" w:eastAsia="方正书宋_GBK"/>
              </w:rPr>
            </w:pPr>
          </w:p>
        </w:tc>
        <w:tc>
          <w:tcPr>
            <w:tcW w:w="2976" w:type="dxa"/>
            <w:vMerge w:val="continue"/>
            <w:shd w:val="clear" w:color="auto" w:fill="auto"/>
            <w:vAlign w:val="center"/>
          </w:tcPr>
          <w:p w14:paraId="164CAF13">
            <w:pPr>
              <w:spacing w:line="300" w:lineRule="exact"/>
              <w:jc w:val="left"/>
              <w:rPr>
                <w:rFonts w:hint="eastAsia" w:ascii="方正书宋_GBK" w:eastAsia="方正书宋_GBK"/>
              </w:rPr>
            </w:pPr>
          </w:p>
        </w:tc>
        <w:tc>
          <w:tcPr>
            <w:tcW w:w="2976" w:type="dxa"/>
            <w:vMerge w:val="continue"/>
            <w:shd w:val="clear" w:color="auto" w:fill="auto"/>
            <w:vAlign w:val="center"/>
          </w:tcPr>
          <w:p w14:paraId="5E7A00BE">
            <w:pPr>
              <w:spacing w:line="300" w:lineRule="exact"/>
              <w:jc w:val="left"/>
              <w:rPr>
                <w:rFonts w:hint="eastAsia" w:ascii="方正书宋_GBK" w:eastAsia="方正书宋_GBK"/>
              </w:rPr>
            </w:pPr>
          </w:p>
        </w:tc>
        <w:tc>
          <w:tcPr>
            <w:tcW w:w="1417" w:type="dxa"/>
            <w:shd w:val="clear" w:color="auto" w:fill="auto"/>
            <w:vAlign w:val="center"/>
          </w:tcPr>
          <w:p w14:paraId="02976594">
            <w:pPr>
              <w:spacing w:line="300" w:lineRule="exact"/>
              <w:jc w:val="left"/>
              <w:rPr>
                <w:rFonts w:hint="eastAsia" w:ascii="方正书宋_GBK" w:eastAsia="方正书宋_GBK"/>
              </w:rPr>
            </w:pPr>
            <w:r>
              <w:rPr>
                <w:rFonts w:hint="eastAsia" w:ascii="方正书宋_GBK" w:eastAsia="方正书宋_GBK"/>
              </w:rPr>
              <w:t>党外后备干部队伍建设工作完成率</w:t>
            </w:r>
          </w:p>
        </w:tc>
        <w:tc>
          <w:tcPr>
            <w:tcW w:w="737" w:type="dxa"/>
            <w:shd w:val="clear" w:color="auto" w:fill="auto"/>
            <w:vAlign w:val="center"/>
          </w:tcPr>
          <w:p w14:paraId="6C4729B4">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185E990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CBFF56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FD64D75">
            <w:pPr>
              <w:spacing w:line="300" w:lineRule="exact"/>
              <w:jc w:val="center"/>
              <w:rPr>
                <w:rFonts w:ascii="方正书宋_GBK" w:eastAsia="方正书宋_GBK"/>
              </w:rPr>
            </w:pPr>
            <w:r>
              <w:rPr>
                <w:rFonts w:ascii="方正书宋_GBK" w:eastAsia="方正书宋_GBK"/>
              </w:rPr>
              <w:t>&lt;90%</w:t>
            </w:r>
          </w:p>
        </w:tc>
      </w:tr>
      <w:tr w14:paraId="5CF0D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C6011C5">
            <w:pPr>
              <w:spacing w:line="300" w:lineRule="exact"/>
              <w:jc w:val="left"/>
              <w:rPr>
                <w:rFonts w:hint="eastAsia" w:ascii="方正书宋_GBK" w:eastAsia="方正书宋_GBK"/>
                <w:b/>
              </w:rPr>
            </w:pPr>
          </w:p>
        </w:tc>
        <w:tc>
          <w:tcPr>
            <w:tcW w:w="1276" w:type="dxa"/>
            <w:vMerge w:val="continue"/>
            <w:shd w:val="clear" w:color="auto" w:fill="auto"/>
            <w:vAlign w:val="center"/>
          </w:tcPr>
          <w:p w14:paraId="478D878D">
            <w:pPr>
              <w:spacing w:line="300" w:lineRule="exact"/>
              <w:jc w:val="left"/>
              <w:rPr>
                <w:rFonts w:ascii="方正书宋_GBK" w:eastAsia="方正书宋_GBK"/>
              </w:rPr>
            </w:pPr>
          </w:p>
        </w:tc>
        <w:tc>
          <w:tcPr>
            <w:tcW w:w="2976" w:type="dxa"/>
            <w:vMerge w:val="continue"/>
            <w:shd w:val="clear" w:color="auto" w:fill="auto"/>
            <w:vAlign w:val="center"/>
          </w:tcPr>
          <w:p w14:paraId="1777D0E3">
            <w:pPr>
              <w:spacing w:line="300" w:lineRule="exact"/>
              <w:jc w:val="left"/>
              <w:rPr>
                <w:rFonts w:hint="eastAsia" w:ascii="方正书宋_GBK" w:eastAsia="方正书宋_GBK"/>
              </w:rPr>
            </w:pPr>
          </w:p>
        </w:tc>
        <w:tc>
          <w:tcPr>
            <w:tcW w:w="2976" w:type="dxa"/>
            <w:vMerge w:val="continue"/>
            <w:shd w:val="clear" w:color="auto" w:fill="auto"/>
            <w:vAlign w:val="center"/>
          </w:tcPr>
          <w:p w14:paraId="73C52348">
            <w:pPr>
              <w:spacing w:line="300" w:lineRule="exact"/>
              <w:jc w:val="left"/>
              <w:rPr>
                <w:rFonts w:hint="eastAsia" w:ascii="方正书宋_GBK" w:eastAsia="方正书宋_GBK"/>
              </w:rPr>
            </w:pPr>
          </w:p>
        </w:tc>
        <w:tc>
          <w:tcPr>
            <w:tcW w:w="1417" w:type="dxa"/>
            <w:shd w:val="clear" w:color="auto" w:fill="auto"/>
            <w:vAlign w:val="center"/>
          </w:tcPr>
          <w:p w14:paraId="7F7B8573">
            <w:pPr>
              <w:spacing w:line="300" w:lineRule="exact"/>
              <w:jc w:val="left"/>
              <w:rPr>
                <w:rFonts w:hint="eastAsia" w:ascii="方正书宋_GBK" w:eastAsia="方正书宋_GBK"/>
              </w:rPr>
            </w:pPr>
            <w:r>
              <w:rPr>
                <w:rFonts w:hint="eastAsia" w:ascii="方正书宋_GBK" w:eastAsia="方正书宋_GBK"/>
              </w:rPr>
              <w:t>党外代表人士政治安排工作完成率</w:t>
            </w:r>
          </w:p>
        </w:tc>
        <w:tc>
          <w:tcPr>
            <w:tcW w:w="737" w:type="dxa"/>
            <w:shd w:val="clear" w:color="auto" w:fill="auto"/>
            <w:vAlign w:val="center"/>
          </w:tcPr>
          <w:p w14:paraId="0C26EFEA">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BA305D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6B1F74E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6130106">
            <w:pPr>
              <w:spacing w:line="300" w:lineRule="exact"/>
              <w:jc w:val="center"/>
              <w:rPr>
                <w:rFonts w:ascii="方正书宋_GBK" w:eastAsia="方正书宋_GBK"/>
              </w:rPr>
            </w:pPr>
            <w:r>
              <w:rPr>
                <w:rFonts w:ascii="方正书宋_GBK" w:eastAsia="方正书宋_GBK"/>
              </w:rPr>
              <w:t>&lt;90%</w:t>
            </w:r>
          </w:p>
        </w:tc>
      </w:tr>
      <w:tr w14:paraId="2064F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86E91C4">
            <w:pPr>
              <w:spacing w:line="300" w:lineRule="exact"/>
              <w:jc w:val="left"/>
              <w:rPr>
                <w:rFonts w:hint="eastAsia" w:ascii="方正书宋_GBK" w:eastAsia="方正书宋_GBK"/>
                <w:b/>
              </w:rPr>
            </w:pPr>
            <w:r>
              <w:rPr>
                <w:rFonts w:hint="eastAsia" w:ascii="方正书宋_GBK" w:eastAsia="方正书宋_GBK"/>
                <w:b/>
              </w:rPr>
              <w:t>二、统战事务管理</w:t>
            </w:r>
          </w:p>
        </w:tc>
        <w:tc>
          <w:tcPr>
            <w:tcW w:w="1276" w:type="dxa"/>
            <w:shd w:val="clear" w:color="auto" w:fill="auto"/>
            <w:vAlign w:val="center"/>
          </w:tcPr>
          <w:p w14:paraId="4840BFE5">
            <w:pPr>
              <w:spacing w:line="300" w:lineRule="exact"/>
              <w:jc w:val="left"/>
              <w:rPr>
                <w:rFonts w:ascii="方正书宋_GBK" w:eastAsia="方正书宋_GBK"/>
              </w:rPr>
            </w:pPr>
          </w:p>
        </w:tc>
        <w:tc>
          <w:tcPr>
            <w:tcW w:w="2976" w:type="dxa"/>
            <w:shd w:val="clear" w:color="auto" w:fill="auto"/>
            <w:vAlign w:val="center"/>
          </w:tcPr>
          <w:p w14:paraId="79CA91EE">
            <w:pPr>
              <w:spacing w:line="300" w:lineRule="exact"/>
              <w:jc w:val="left"/>
              <w:rPr>
                <w:rFonts w:hint="eastAsia" w:ascii="方正书宋_GBK" w:eastAsia="方正书宋_GBK"/>
              </w:rPr>
            </w:pPr>
            <w:r>
              <w:rPr>
                <w:rFonts w:hint="eastAsia" w:ascii="方正书宋_GBK" w:eastAsia="方正书宋_GBK"/>
              </w:rPr>
              <w:t>负责统战业务管理</w:t>
            </w:r>
          </w:p>
        </w:tc>
        <w:tc>
          <w:tcPr>
            <w:tcW w:w="2976" w:type="dxa"/>
            <w:shd w:val="clear" w:color="auto" w:fill="auto"/>
            <w:vAlign w:val="center"/>
          </w:tcPr>
          <w:p w14:paraId="3B3FBF24">
            <w:pPr>
              <w:spacing w:line="300" w:lineRule="exact"/>
              <w:jc w:val="left"/>
              <w:rPr>
                <w:rFonts w:hint="eastAsia" w:ascii="方正书宋_GBK" w:eastAsia="方正书宋_GBK"/>
              </w:rPr>
            </w:pPr>
            <w:r>
              <w:rPr>
                <w:rFonts w:hint="eastAsia" w:ascii="方正书宋_GBK" w:eastAsia="方正书宋_GBK"/>
              </w:rPr>
              <w:t>年度各项工作任务圆满完成</w:t>
            </w:r>
          </w:p>
        </w:tc>
        <w:tc>
          <w:tcPr>
            <w:tcW w:w="1417" w:type="dxa"/>
            <w:shd w:val="clear" w:color="auto" w:fill="auto"/>
            <w:vAlign w:val="center"/>
          </w:tcPr>
          <w:p w14:paraId="0DB2B8F0">
            <w:pPr>
              <w:spacing w:line="300" w:lineRule="exact"/>
              <w:jc w:val="left"/>
              <w:rPr>
                <w:rFonts w:hint="eastAsia" w:ascii="方正书宋_GBK" w:eastAsia="方正书宋_GBK"/>
              </w:rPr>
            </w:pPr>
          </w:p>
        </w:tc>
        <w:tc>
          <w:tcPr>
            <w:tcW w:w="737" w:type="dxa"/>
            <w:shd w:val="clear" w:color="auto" w:fill="auto"/>
            <w:vAlign w:val="center"/>
          </w:tcPr>
          <w:p w14:paraId="1790FF43">
            <w:pPr>
              <w:spacing w:line="300" w:lineRule="exact"/>
              <w:jc w:val="center"/>
              <w:rPr>
                <w:rFonts w:ascii="方正书宋_GBK" w:eastAsia="方正书宋_GBK"/>
              </w:rPr>
            </w:pPr>
          </w:p>
        </w:tc>
        <w:tc>
          <w:tcPr>
            <w:tcW w:w="737" w:type="dxa"/>
            <w:shd w:val="clear" w:color="auto" w:fill="auto"/>
            <w:vAlign w:val="center"/>
          </w:tcPr>
          <w:p w14:paraId="2A3B9183">
            <w:pPr>
              <w:spacing w:line="300" w:lineRule="exact"/>
              <w:jc w:val="center"/>
              <w:rPr>
                <w:rFonts w:hint="eastAsia" w:ascii="方正书宋_GBK" w:eastAsia="方正书宋_GBK"/>
              </w:rPr>
            </w:pPr>
          </w:p>
        </w:tc>
        <w:tc>
          <w:tcPr>
            <w:tcW w:w="737" w:type="dxa"/>
            <w:shd w:val="clear" w:color="auto" w:fill="auto"/>
            <w:vAlign w:val="center"/>
          </w:tcPr>
          <w:p w14:paraId="7D253065">
            <w:pPr>
              <w:spacing w:line="300" w:lineRule="exact"/>
              <w:jc w:val="center"/>
              <w:rPr>
                <w:rFonts w:hint="eastAsia" w:ascii="方正书宋_GBK" w:eastAsia="方正书宋_GBK"/>
              </w:rPr>
            </w:pPr>
          </w:p>
        </w:tc>
        <w:tc>
          <w:tcPr>
            <w:tcW w:w="737" w:type="dxa"/>
            <w:shd w:val="clear" w:color="auto" w:fill="auto"/>
            <w:vAlign w:val="center"/>
          </w:tcPr>
          <w:p w14:paraId="44EA2B65">
            <w:pPr>
              <w:spacing w:line="300" w:lineRule="exact"/>
              <w:jc w:val="center"/>
              <w:rPr>
                <w:rFonts w:ascii="方正书宋_GBK" w:eastAsia="方正书宋_GBK"/>
              </w:rPr>
            </w:pPr>
          </w:p>
        </w:tc>
      </w:tr>
      <w:tr w14:paraId="791E3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9AF6DB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shd w:val="clear" w:color="auto" w:fill="auto"/>
            <w:vAlign w:val="center"/>
          </w:tcPr>
          <w:p w14:paraId="645B9259">
            <w:pPr>
              <w:spacing w:line="300" w:lineRule="exact"/>
              <w:jc w:val="left"/>
              <w:rPr>
                <w:rFonts w:ascii="方正书宋_GBK" w:eastAsia="方正书宋_GBK"/>
              </w:rPr>
            </w:pPr>
          </w:p>
        </w:tc>
        <w:tc>
          <w:tcPr>
            <w:tcW w:w="2976" w:type="dxa"/>
            <w:shd w:val="clear" w:color="auto" w:fill="auto"/>
            <w:vAlign w:val="center"/>
          </w:tcPr>
          <w:p w14:paraId="56A62665">
            <w:pPr>
              <w:spacing w:line="300" w:lineRule="exact"/>
              <w:jc w:val="left"/>
              <w:rPr>
                <w:rFonts w:hint="eastAsia" w:ascii="方正书宋_GBK" w:eastAsia="方正书宋_GBK"/>
              </w:rPr>
            </w:pPr>
            <w:r>
              <w:rPr>
                <w:rFonts w:hint="eastAsia" w:ascii="方正书宋_GBK" w:eastAsia="方正书宋_GBK"/>
              </w:rPr>
              <w:t>综合调研统战理论政策；负责全县统战宣传和联络工作以及涉及统战各界人士的综合性工作；领导、指导、联系、代管相关统战单位；完成省市统战部和县委交办的其他任务。</w:t>
            </w:r>
          </w:p>
        </w:tc>
        <w:tc>
          <w:tcPr>
            <w:tcW w:w="2976" w:type="dxa"/>
            <w:shd w:val="clear" w:color="auto" w:fill="auto"/>
            <w:vAlign w:val="center"/>
          </w:tcPr>
          <w:p w14:paraId="2B73702B">
            <w:pPr>
              <w:spacing w:line="300" w:lineRule="exact"/>
              <w:jc w:val="left"/>
              <w:rPr>
                <w:rFonts w:hint="eastAsia" w:ascii="方正书宋_GBK" w:eastAsia="方正书宋_GBK"/>
              </w:rPr>
            </w:pPr>
            <w:r>
              <w:rPr>
                <w:rFonts w:hint="eastAsia" w:ascii="方正书宋_GBK" w:eastAsia="方正书宋_GBK"/>
              </w:rPr>
              <w:t>做好统战宣传培训考察调研工作，提高统战工作科学化水平，扩大统一战线社会影响；密切联系统一战线各界人士，认真做好党外人士统战工作；完成省市统战部和县委交办的其他事项。</w:t>
            </w:r>
          </w:p>
        </w:tc>
        <w:tc>
          <w:tcPr>
            <w:tcW w:w="1417" w:type="dxa"/>
            <w:shd w:val="clear" w:color="auto" w:fill="auto"/>
            <w:vAlign w:val="center"/>
          </w:tcPr>
          <w:p w14:paraId="0C3C005E">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14:paraId="3A90D0C4">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7E3985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A30BDE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CFCF44C">
            <w:pPr>
              <w:spacing w:line="300" w:lineRule="exact"/>
              <w:jc w:val="center"/>
              <w:rPr>
                <w:rFonts w:ascii="方正书宋_GBK" w:eastAsia="方正书宋_GBK"/>
              </w:rPr>
            </w:pPr>
            <w:r>
              <w:rPr>
                <w:rFonts w:ascii="方正书宋_GBK" w:eastAsia="方正书宋_GBK"/>
              </w:rPr>
              <w:t>&lt;90%</w:t>
            </w:r>
          </w:p>
        </w:tc>
      </w:tr>
    </w:tbl>
    <w:p w14:paraId="6CE42B37">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49FBD2D0">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50908CA2">
      <w:pPr>
        <w:autoSpaceDE w:val="0"/>
        <w:autoSpaceDN w:val="0"/>
        <w:adjustRightInd w:val="0"/>
        <w:ind w:firstLine="640" w:firstLineChars="200"/>
        <w:jc w:val="left"/>
        <w:rPr>
          <w:rFonts w:ascii="仿宋_GB2312" w:hAnsi="Times New Roman" w:eastAsia="仿宋_GB2312"/>
          <w:sz w:val="32"/>
          <w:szCs w:val="24"/>
        </w:rPr>
      </w:pPr>
      <w:bookmarkStart w:id="3"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年，我单位没有安排政府采购预算。</w:t>
      </w:r>
      <w:bookmarkEnd w:id="3"/>
    </w:p>
    <w:p w14:paraId="389B40B9">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46C968D2">
      <w:pPr>
        <w:ind w:firstLine="640"/>
        <w:rPr>
          <w:rFonts w:ascii="仿宋_GB2312" w:hAnsi="黑体" w:eastAsia="仿宋_GB2312"/>
          <w:sz w:val="32"/>
          <w:szCs w:val="32"/>
        </w:rPr>
      </w:pPr>
      <w:r>
        <w:rPr>
          <w:rFonts w:hint="eastAsia" w:ascii="仿宋_GB2312" w:hAnsi="黑体" w:eastAsia="仿宋_GB2312"/>
          <w:sz w:val="32"/>
          <w:szCs w:val="32"/>
        </w:rPr>
        <w:t>馆陶县委统战部上年末固定资产金额为</w:t>
      </w:r>
      <w:r>
        <w:rPr>
          <w:rFonts w:hint="eastAsia" w:ascii="仿宋_GB2312" w:hAnsi="黑体" w:eastAsia="仿宋_GB2312"/>
          <w:sz w:val="32"/>
          <w:szCs w:val="32"/>
          <w:lang w:val="en-US" w:eastAsia="zh-CN"/>
        </w:rPr>
        <w:t>15.3</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本年度我单位无购置固定资产预算。</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14:paraId="3E5DEE87">
        <w:tblPrEx>
          <w:tblCellMar>
            <w:top w:w="15" w:type="dxa"/>
            <w:left w:w="15" w:type="dxa"/>
            <w:bottom w:w="15" w:type="dxa"/>
            <w:right w:w="15" w:type="dxa"/>
          </w:tblCellMar>
        </w:tblPrEx>
        <w:trPr>
          <w:trHeight w:val="540" w:hRule="atLeast"/>
          <w:jc w:val="center"/>
        </w:trPr>
        <w:tc>
          <w:tcPr>
            <w:tcW w:w="11295" w:type="dxa"/>
            <w:gridSpan w:val="5"/>
            <w:vAlign w:val="bottom"/>
          </w:tcPr>
          <w:p w14:paraId="2ECFB892">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46536184">
        <w:tblPrEx>
          <w:tblCellMar>
            <w:top w:w="15" w:type="dxa"/>
            <w:left w:w="15" w:type="dxa"/>
            <w:bottom w:w="15" w:type="dxa"/>
            <w:right w:w="15" w:type="dxa"/>
          </w:tblCellMar>
        </w:tblPrEx>
        <w:trPr>
          <w:trHeight w:val="256" w:hRule="atLeast"/>
          <w:jc w:val="center"/>
        </w:trPr>
        <w:tc>
          <w:tcPr>
            <w:tcW w:w="4191" w:type="dxa"/>
            <w:vAlign w:val="bottom"/>
          </w:tcPr>
          <w:p w14:paraId="2D691974">
            <w:pPr>
              <w:rPr>
                <w:rFonts w:ascii="Arial" w:hAnsi="Arial" w:cs="Arial"/>
                <w:color w:val="000000"/>
                <w:sz w:val="20"/>
                <w:szCs w:val="20"/>
              </w:rPr>
            </w:pPr>
          </w:p>
        </w:tc>
        <w:tc>
          <w:tcPr>
            <w:tcW w:w="1103" w:type="dxa"/>
            <w:vAlign w:val="bottom"/>
          </w:tcPr>
          <w:p w14:paraId="20C1A607">
            <w:pPr>
              <w:rPr>
                <w:rFonts w:ascii="Arial" w:hAnsi="Arial" w:cs="Arial"/>
                <w:color w:val="000000"/>
                <w:sz w:val="20"/>
                <w:szCs w:val="20"/>
              </w:rPr>
            </w:pPr>
          </w:p>
        </w:tc>
        <w:tc>
          <w:tcPr>
            <w:tcW w:w="1344" w:type="dxa"/>
            <w:vAlign w:val="bottom"/>
          </w:tcPr>
          <w:p w14:paraId="72CCA5EE">
            <w:pPr>
              <w:rPr>
                <w:rFonts w:ascii="Arial" w:hAnsi="Arial" w:cs="Arial"/>
                <w:color w:val="000000"/>
                <w:sz w:val="20"/>
                <w:szCs w:val="20"/>
              </w:rPr>
            </w:pPr>
          </w:p>
        </w:tc>
        <w:tc>
          <w:tcPr>
            <w:tcW w:w="1635" w:type="dxa"/>
            <w:vAlign w:val="bottom"/>
          </w:tcPr>
          <w:p w14:paraId="03581902">
            <w:pPr>
              <w:rPr>
                <w:rFonts w:ascii="Arial" w:hAnsi="Arial" w:cs="Arial"/>
                <w:color w:val="000000"/>
                <w:sz w:val="20"/>
                <w:szCs w:val="20"/>
              </w:rPr>
            </w:pPr>
          </w:p>
        </w:tc>
        <w:tc>
          <w:tcPr>
            <w:tcW w:w="3022" w:type="dxa"/>
            <w:vAlign w:val="bottom"/>
          </w:tcPr>
          <w:p w14:paraId="5708D4EA">
            <w:pPr>
              <w:rPr>
                <w:rFonts w:ascii="Arial" w:hAnsi="Arial" w:cs="Arial"/>
                <w:color w:val="000000"/>
                <w:sz w:val="20"/>
                <w:szCs w:val="20"/>
              </w:rPr>
            </w:pPr>
          </w:p>
        </w:tc>
      </w:tr>
      <w:tr w14:paraId="47F8BB77">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14:paraId="6324A654">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编制单位：馆陶县委统战部</w:t>
            </w:r>
          </w:p>
        </w:tc>
        <w:tc>
          <w:tcPr>
            <w:tcW w:w="1103" w:type="dxa"/>
            <w:tcBorders>
              <w:top w:val="single" w:color="000000" w:sz="4" w:space="0"/>
              <w:left w:val="single" w:color="000000" w:sz="4" w:space="0"/>
              <w:bottom w:val="single" w:color="000000" w:sz="4" w:space="0"/>
              <w:right w:val="single" w:color="000000" w:sz="4" w:space="0"/>
            </w:tcBorders>
            <w:vAlign w:val="bottom"/>
          </w:tcPr>
          <w:p w14:paraId="213AFD32">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14:paraId="57355D31">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14:paraId="3C571C24">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14:paraId="658E2591">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14:paraId="274CCA43">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14:paraId="316BF6E3">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14:paraId="486A4B17">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14:paraId="60A126A8">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7308EDDA">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14:paraId="72BBBD7F">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444B9A7A">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14:paraId="1E3701F7">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14:paraId="4392E798">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14:paraId="6EB5279D">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39E7FFA4">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7B5EF402">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14:paraId="037A3325">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7626B16B">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5B107609">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153000</w:t>
            </w:r>
          </w:p>
        </w:tc>
        <w:tc>
          <w:tcPr>
            <w:tcW w:w="3022" w:type="dxa"/>
            <w:tcBorders>
              <w:top w:val="single" w:color="000000" w:sz="4" w:space="0"/>
              <w:left w:val="single" w:color="000000" w:sz="4" w:space="0"/>
              <w:bottom w:val="single" w:color="000000" w:sz="4" w:space="0"/>
              <w:right w:val="single" w:color="000000" w:sz="4" w:space="0"/>
            </w:tcBorders>
            <w:vAlign w:val="center"/>
          </w:tcPr>
          <w:p w14:paraId="61D184B2">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153000</w:t>
            </w:r>
          </w:p>
        </w:tc>
      </w:tr>
      <w:tr w14:paraId="3BA6C03C">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4BA2CC48">
            <w:pPr>
              <w:widowControl/>
              <w:jc w:val="left"/>
              <w:textAlignment w:val="center"/>
              <w:rPr>
                <w:rFonts w:ascii="宋体" w:cs="宋体"/>
                <w:color w:val="000000"/>
                <w:sz w:val="22"/>
              </w:rPr>
            </w:pPr>
            <w:r>
              <w:rPr>
                <w:rFonts w:ascii="宋体" w:hAnsi="宋体" w:cs="宋体"/>
                <w:color w:val="000000"/>
                <w:kern w:val="0"/>
                <w:sz w:val="22"/>
              </w:rPr>
              <w:t xml:space="preserve">  </w:t>
            </w:r>
            <w:r>
              <w:rPr>
                <w:rFonts w:hint="eastAsia" w:ascii="宋体" w:hAnsi="宋体" w:cs="宋体"/>
                <w:color w:val="000000"/>
                <w:kern w:val="0"/>
                <w:sz w:val="22"/>
              </w:rPr>
              <w:t>1、车辆（台、辆）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14:paraId="0DED6F06">
            <w:pPr>
              <w:jc w:val="right"/>
              <w:rPr>
                <w:rFonts w:ascii="宋体" w:cs="宋体"/>
                <w:color w:val="000000"/>
                <w:sz w:val="22"/>
              </w:rPr>
            </w:pPr>
            <w:r>
              <w:rPr>
                <w:rFonts w:hint="eastAsia" w:ascii="宋体" w:cs="宋体"/>
                <w:color w:val="000000"/>
                <w:sz w:val="22"/>
              </w:rPr>
              <w:t>1</w:t>
            </w:r>
          </w:p>
        </w:tc>
        <w:tc>
          <w:tcPr>
            <w:tcW w:w="1344" w:type="dxa"/>
            <w:tcBorders>
              <w:top w:val="single" w:color="000000" w:sz="4" w:space="0"/>
              <w:left w:val="single" w:color="000000" w:sz="4" w:space="0"/>
              <w:bottom w:val="single" w:color="000000" w:sz="4" w:space="0"/>
              <w:right w:val="single" w:color="000000" w:sz="4" w:space="0"/>
            </w:tcBorders>
            <w:vAlign w:val="center"/>
          </w:tcPr>
          <w:p w14:paraId="25D24BA6">
            <w:pPr>
              <w:jc w:val="right"/>
              <w:rPr>
                <w:rFonts w:ascii="宋体" w:cs="宋体"/>
                <w:color w:val="000000"/>
                <w:sz w:val="22"/>
              </w:rPr>
            </w:pPr>
            <w:r>
              <w:rPr>
                <w:rFonts w:hint="eastAsia" w:ascii="宋体" w:cs="宋体"/>
                <w:color w:val="000000"/>
                <w:sz w:val="22"/>
              </w:rPr>
              <w:t>1</w:t>
            </w:r>
          </w:p>
        </w:tc>
        <w:tc>
          <w:tcPr>
            <w:tcW w:w="1635" w:type="dxa"/>
            <w:tcBorders>
              <w:top w:val="single" w:color="000000" w:sz="4" w:space="0"/>
              <w:left w:val="single" w:color="000000" w:sz="4" w:space="0"/>
              <w:bottom w:val="single" w:color="000000" w:sz="4" w:space="0"/>
              <w:right w:val="single" w:color="000000" w:sz="4" w:space="0"/>
            </w:tcBorders>
            <w:vAlign w:val="center"/>
          </w:tcPr>
          <w:p w14:paraId="21B6B170">
            <w:pPr>
              <w:jc w:val="right"/>
              <w:rPr>
                <w:rFonts w:ascii="宋体" w:cs="宋体"/>
                <w:color w:val="000000"/>
                <w:sz w:val="22"/>
              </w:rPr>
            </w:pPr>
            <w:r>
              <w:rPr>
                <w:rFonts w:hint="eastAsia" w:ascii="宋体" w:cs="宋体"/>
                <w:color w:val="000000"/>
                <w:sz w:val="22"/>
                <w:lang w:val="en-US" w:eastAsia="zh-CN"/>
              </w:rPr>
              <w:t>153000</w:t>
            </w:r>
          </w:p>
        </w:tc>
        <w:tc>
          <w:tcPr>
            <w:tcW w:w="3022" w:type="dxa"/>
            <w:tcBorders>
              <w:top w:val="single" w:color="000000" w:sz="4" w:space="0"/>
              <w:left w:val="single" w:color="000000" w:sz="4" w:space="0"/>
              <w:bottom w:val="single" w:color="000000" w:sz="4" w:space="0"/>
              <w:right w:val="single" w:color="000000" w:sz="4" w:space="0"/>
            </w:tcBorders>
            <w:vAlign w:val="center"/>
          </w:tcPr>
          <w:p w14:paraId="7201918B">
            <w:pPr>
              <w:jc w:val="right"/>
              <w:rPr>
                <w:rFonts w:hint="eastAsia" w:ascii="宋体" w:eastAsia="宋体" w:cs="宋体"/>
                <w:color w:val="000000"/>
                <w:sz w:val="22"/>
                <w:lang w:eastAsia="zh-CN"/>
              </w:rPr>
            </w:pPr>
            <w:r>
              <w:rPr>
                <w:rFonts w:hint="eastAsia" w:ascii="宋体" w:cs="宋体"/>
                <w:color w:val="000000"/>
                <w:sz w:val="22"/>
                <w:lang w:val="en-US" w:eastAsia="zh-CN"/>
              </w:rPr>
              <w:t>153000</w:t>
            </w:r>
          </w:p>
        </w:tc>
      </w:tr>
    </w:tbl>
    <w:p w14:paraId="6D0B65C8">
      <w:pPr>
        <w:autoSpaceDE w:val="0"/>
        <w:autoSpaceDN w:val="0"/>
        <w:adjustRightInd w:val="0"/>
        <w:ind w:left="198" w:firstLine="640" w:firstLineChars="200"/>
        <w:jc w:val="left"/>
        <w:rPr>
          <w:rFonts w:ascii="黑体" w:hAnsi="黑体" w:eastAsia="黑体"/>
          <w:sz w:val="32"/>
          <w:szCs w:val="32"/>
        </w:rPr>
      </w:pPr>
    </w:p>
    <w:p w14:paraId="02E20B11">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73B845FB">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14:paraId="4D36EE1D">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14:paraId="0E91B360">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206D62A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50DB200A">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00DCF0B6">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351A163">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9DFC062">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0A832227">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3E5E02B7">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4C440FF2">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64367A9-5488-48CA-8BE5-C22792BBB2F6}"/>
  </w:font>
  <w:font w:name="黑体">
    <w:panose1 w:val="02010609060101010101"/>
    <w:charset w:val="86"/>
    <w:family w:val="auto"/>
    <w:pitch w:val="default"/>
    <w:sig w:usb0="800002BF" w:usb1="38CF7CFA" w:usb2="00000016" w:usb3="00000000" w:csb0="00040001" w:csb1="00000000"/>
    <w:embedRegular r:id="rId2" w:fontKey="{75121D06-93B3-47A9-AC5C-F9F20EE3C51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AFA6A020-3B7F-456C-B7EA-306358E908D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00000001" w:usb1="080E0000" w:usb2="00000000" w:usb3="00000000" w:csb0="00040000" w:csb1="00000000"/>
    <w:embedRegular r:id="rId4" w:fontKey="{A56188DC-CB40-4742-A91F-C07EC007047C}"/>
  </w:font>
  <w:font w:name="方正小标宋_GBK">
    <w:panose1 w:val="02000000000000000000"/>
    <w:charset w:val="86"/>
    <w:family w:val="script"/>
    <w:pitch w:val="default"/>
    <w:sig w:usb0="A00002BF" w:usb1="38CF7CFA" w:usb2="00082016" w:usb3="00000000" w:csb0="00040001" w:csb1="00000000"/>
    <w:embedRegular r:id="rId5" w:fontKey="{2BC48CCD-C48D-4C77-B9B6-A349683144B8}"/>
  </w:font>
  <w:font w:name="方正书宋_GBK">
    <w:panose1 w:val="02000000000000000000"/>
    <w:charset w:val="86"/>
    <w:family w:val="script"/>
    <w:pitch w:val="default"/>
    <w:sig w:usb0="A00002BF" w:usb1="38CF7CFA" w:usb2="00082016" w:usb3="00000000" w:csb0="00040001" w:csb1="00000000"/>
    <w:embedRegular r:id="rId6" w:fontKey="{3FED1807-C0B3-4E29-94A3-2B340034ABF4}"/>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83AEA">
    <w:pPr>
      <w:pStyle w:val="3"/>
      <w:jc w:val="center"/>
    </w:pPr>
    <w:r>
      <w:t>-</w:t>
    </w:r>
    <w:r>
      <w:fldChar w:fldCharType="begin"/>
    </w:r>
    <w:r>
      <w:instrText xml:space="preserve">PAGE   \* MERGEFORMAT</w:instrText>
    </w:r>
    <w:r>
      <w:fldChar w:fldCharType="separate"/>
    </w:r>
    <w:r>
      <w:rPr>
        <w:lang w:val="zh-CN"/>
      </w:rPr>
      <w:t>12</w:t>
    </w:r>
    <w:r>
      <w:rPr>
        <w:lang w:val="zh-CN"/>
      </w:rPr>
      <w:fldChar w:fldCharType="end"/>
    </w:r>
    <w:r>
      <w:t>-</w:t>
    </w:r>
  </w:p>
  <w:p w14:paraId="76FDA07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6D060">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AE30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9F9E2">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3C51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FE37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04A40"/>
    <w:multiLevelType w:val="singleLevel"/>
    <w:tmpl w:val="44D04A4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25524"/>
    <w:rsid w:val="00241FD4"/>
    <w:rsid w:val="00251B12"/>
    <w:rsid w:val="00265318"/>
    <w:rsid w:val="002835D7"/>
    <w:rsid w:val="00290FD6"/>
    <w:rsid w:val="00296113"/>
    <w:rsid w:val="002A673A"/>
    <w:rsid w:val="002C5E13"/>
    <w:rsid w:val="002C62BC"/>
    <w:rsid w:val="002E0EB8"/>
    <w:rsid w:val="002E5236"/>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C75E3"/>
    <w:rsid w:val="004D5788"/>
    <w:rsid w:val="004E3066"/>
    <w:rsid w:val="004E419C"/>
    <w:rsid w:val="004E74CD"/>
    <w:rsid w:val="00524EFD"/>
    <w:rsid w:val="005334FB"/>
    <w:rsid w:val="00572067"/>
    <w:rsid w:val="00573562"/>
    <w:rsid w:val="00590ECE"/>
    <w:rsid w:val="005F5714"/>
    <w:rsid w:val="00600A07"/>
    <w:rsid w:val="0060167F"/>
    <w:rsid w:val="00611D03"/>
    <w:rsid w:val="00614A29"/>
    <w:rsid w:val="00673D76"/>
    <w:rsid w:val="006854F0"/>
    <w:rsid w:val="006920B9"/>
    <w:rsid w:val="006B1C4A"/>
    <w:rsid w:val="006B610D"/>
    <w:rsid w:val="006C4F0B"/>
    <w:rsid w:val="006E49F5"/>
    <w:rsid w:val="007013C8"/>
    <w:rsid w:val="00753836"/>
    <w:rsid w:val="0075393C"/>
    <w:rsid w:val="00754592"/>
    <w:rsid w:val="00776C08"/>
    <w:rsid w:val="007B2C9E"/>
    <w:rsid w:val="007C219A"/>
    <w:rsid w:val="007E1DA8"/>
    <w:rsid w:val="007E452D"/>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23DC4"/>
    <w:rsid w:val="00A40F60"/>
    <w:rsid w:val="00A44E3D"/>
    <w:rsid w:val="00A72D2E"/>
    <w:rsid w:val="00A74447"/>
    <w:rsid w:val="00A74CE5"/>
    <w:rsid w:val="00A77500"/>
    <w:rsid w:val="00A911E7"/>
    <w:rsid w:val="00A939D9"/>
    <w:rsid w:val="00AD5259"/>
    <w:rsid w:val="00B01D36"/>
    <w:rsid w:val="00B078CD"/>
    <w:rsid w:val="00B20712"/>
    <w:rsid w:val="00B21CA0"/>
    <w:rsid w:val="00B3715A"/>
    <w:rsid w:val="00B43238"/>
    <w:rsid w:val="00B45DD3"/>
    <w:rsid w:val="00B73582"/>
    <w:rsid w:val="00B75216"/>
    <w:rsid w:val="00B755A2"/>
    <w:rsid w:val="00B9104C"/>
    <w:rsid w:val="00B91D52"/>
    <w:rsid w:val="00B9490F"/>
    <w:rsid w:val="00BA1ACD"/>
    <w:rsid w:val="00BD09F8"/>
    <w:rsid w:val="00C005B2"/>
    <w:rsid w:val="00CA7176"/>
    <w:rsid w:val="00CB66C2"/>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A2023C6"/>
    <w:rsid w:val="0B331B7E"/>
    <w:rsid w:val="0C044491"/>
    <w:rsid w:val="0DB32BBD"/>
    <w:rsid w:val="0E1A39A5"/>
    <w:rsid w:val="0FB56335"/>
    <w:rsid w:val="11C37B1A"/>
    <w:rsid w:val="18D70F9E"/>
    <w:rsid w:val="19070EC4"/>
    <w:rsid w:val="1B5310F8"/>
    <w:rsid w:val="1BBD4DC0"/>
    <w:rsid w:val="1FC1447C"/>
    <w:rsid w:val="2083604D"/>
    <w:rsid w:val="20A54953"/>
    <w:rsid w:val="21613782"/>
    <w:rsid w:val="23B96457"/>
    <w:rsid w:val="249C6F44"/>
    <w:rsid w:val="25937AF6"/>
    <w:rsid w:val="28CC3A66"/>
    <w:rsid w:val="2BDC56ED"/>
    <w:rsid w:val="31907403"/>
    <w:rsid w:val="31E15395"/>
    <w:rsid w:val="3473676B"/>
    <w:rsid w:val="34920ED7"/>
    <w:rsid w:val="36B31797"/>
    <w:rsid w:val="38781EB8"/>
    <w:rsid w:val="41117046"/>
    <w:rsid w:val="43274E58"/>
    <w:rsid w:val="44BD4C3D"/>
    <w:rsid w:val="45FE5EEA"/>
    <w:rsid w:val="466D24DD"/>
    <w:rsid w:val="4A657D63"/>
    <w:rsid w:val="4E4E44F2"/>
    <w:rsid w:val="4F20340F"/>
    <w:rsid w:val="507263DC"/>
    <w:rsid w:val="510902E3"/>
    <w:rsid w:val="511155E4"/>
    <w:rsid w:val="53071741"/>
    <w:rsid w:val="54012E80"/>
    <w:rsid w:val="56421DC0"/>
    <w:rsid w:val="56733828"/>
    <w:rsid w:val="582E6826"/>
    <w:rsid w:val="5836323E"/>
    <w:rsid w:val="59383F1B"/>
    <w:rsid w:val="5D5A3361"/>
    <w:rsid w:val="5F772DD0"/>
    <w:rsid w:val="60315DEE"/>
    <w:rsid w:val="60C65089"/>
    <w:rsid w:val="62AC6848"/>
    <w:rsid w:val="62F66760"/>
    <w:rsid w:val="635902C8"/>
    <w:rsid w:val="63756E47"/>
    <w:rsid w:val="64FF07E7"/>
    <w:rsid w:val="65764E7A"/>
    <w:rsid w:val="66047C9F"/>
    <w:rsid w:val="68880F3A"/>
    <w:rsid w:val="693803F8"/>
    <w:rsid w:val="69901205"/>
    <w:rsid w:val="69C822D4"/>
    <w:rsid w:val="69D5010B"/>
    <w:rsid w:val="6F426DA4"/>
    <w:rsid w:val="6FA90EE9"/>
    <w:rsid w:val="71051481"/>
    <w:rsid w:val="72A76520"/>
    <w:rsid w:val="730C2ABA"/>
    <w:rsid w:val="78D52469"/>
    <w:rsid w:val="7C4F3705"/>
    <w:rsid w:val="7D927298"/>
    <w:rsid w:val="7E242906"/>
    <w:rsid w:val="7E6A3C50"/>
    <w:rsid w:val="7F1A3CC1"/>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99"/>
    <w:rPr>
      <w:sz w:val="18"/>
      <w:szCs w:val="18"/>
    </w:rPr>
  </w:style>
  <w:style w:type="paragraph" w:styleId="3">
    <w:name w:val="footer"/>
    <w:basedOn w:val="1"/>
    <w:link w:val="14"/>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6"/>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semiHidden/>
    <w:unhideWhenUsed/>
    <w:qFormat/>
    <w:uiPriority w:val="99"/>
  </w:style>
  <w:style w:type="character" w:styleId="12">
    <w:name w:val="footnote reference"/>
    <w:basedOn w:val="10"/>
    <w:qFormat/>
    <w:uiPriority w:val="99"/>
    <w:rPr>
      <w:rFonts w:cs="Times New Roman"/>
      <w:vertAlign w:val="superscript"/>
    </w:rPr>
  </w:style>
  <w:style w:type="character" w:customStyle="1" w:styleId="13">
    <w:name w:val="批注框文本 Char"/>
    <w:basedOn w:val="10"/>
    <w:link w:val="2"/>
    <w:semiHidden/>
    <w:qFormat/>
    <w:locked/>
    <w:uiPriority w:val="99"/>
    <w:rPr>
      <w:rFonts w:cs="Times New Roman"/>
      <w:sz w:val="18"/>
      <w:szCs w:val="18"/>
    </w:rPr>
  </w:style>
  <w:style w:type="character" w:customStyle="1" w:styleId="14">
    <w:name w:val="页脚 Char"/>
    <w:basedOn w:val="10"/>
    <w:link w:val="3"/>
    <w:qFormat/>
    <w:locked/>
    <w:uiPriority w:val="99"/>
    <w:rPr>
      <w:rFonts w:ascii="Times New Roman" w:hAnsi="Times New Roman" w:eastAsia="宋体" w:cs="Times New Roman"/>
      <w:sz w:val="18"/>
      <w:szCs w:val="18"/>
    </w:rPr>
  </w:style>
  <w:style w:type="character" w:customStyle="1" w:styleId="15">
    <w:name w:val="页眉 Char"/>
    <w:basedOn w:val="10"/>
    <w:link w:val="4"/>
    <w:qFormat/>
    <w:locked/>
    <w:uiPriority w:val="99"/>
    <w:rPr>
      <w:rFonts w:ascii="Times New Roman" w:hAnsi="Times New Roman" w:eastAsia="宋体" w:cs="Times New Roman"/>
      <w:sz w:val="18"/>
      <w:szCs w:val="18"/>
    </w:rPr>
  </w:style>
  <w:style w:type="character" w:customStyle="1" w:styleId="16">
    <w:name w:val="脚注文本 Char"/>
    <w:basedOn w:val="10"/>
    <w:link w:val="6"/>
    <w:semiHidden/>
    <w:qFormat/>
    <w:locked/>
    <w:uiPriority w:val="99"/>
    <w:rPr>
      <w:rFonts w:ascii="Calibri" w:hAnsi="Calibri" w:eastAsia="宋体" w:cs="Times New Roman"/>
      <w:sz w:val="18"/>
      <w:szCs w:val="18"/>
    </w:rPr>
  </w:style>
  <w:style w:type="paragraph" w:customStyle="1" w:styleId="17">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4765</Words>
  <Characters>4985</Characters>
  <Lines>3</Lines>
  <Paragraphs>11</Paragraphs>
  <TotalTime>1</TotalTime>
  <ScaleCrop>false</ScaleCrop>
  <LinksUpToDate>false</LinksUpToDate>
  <CharactersWithSpaces>5012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闫林雪</cp:lastModifiedBy>
  <cp:lastPrinted>2018-01-30T06:12:00Z</cp:lastPrinted>
  <dcterms:modified xsi:type="dcterms:W3CDTF">2026-03-10T02:37:34Z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90ADDE733B0E440A9801F75CEBB14CCE_12</vt:lpwstr>
  </property>
  <property fmtid="{D5CDD505-2E9C-101B-9397-08002B2CF9AE}" pid="4" name="KSOTemplateDocerSaveRecord">
    <vt:lpwstr>eyJoZGlkIjoiNzc2OGQ3NmYxZjgyN2IyOTYxZjdjOTgwZDQzYWM0ZTciLCJ1c2VySWQiOiIxNjc0NDYyOTMwIn0=</vt:lpwstr>
  </property>
</Properties>
</file>