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00C73">
      <w:pPr>
        <w:ind w:firstLine="883" w:firstLineChars="200"/>
        <w:jc w:val="center"/>
        <w:rPr>
          <w:rFonts w:ascii="宋体"/>
          <w:b/>
          <w:sz w:val="44"/>
          <w:szCs w:val="44"/>
        </w:rPr>
      </w:pPr>
    </w:p>
    <w:p w14:paraId="3ECEC94A">
      <w:pPr>
        <w:ind w:firstLine="883" w:firstLineChars="200"/>
        <w:jc w:val="center"/>
        <w:rPr>
          <w:rFonts w:ascii="宋体"/>
          <w:b/>
          <w:sz w:val="44"/>
          <w:szCs w:val="44"/>
        </w:rPr>
      </w:pPr>
      <w:r>
        <w:rPr>
          <w:rFonts w:hint="eastAsia" w:ascii="宋体" w:hAnsi="宋体"/>
          <w:b/>
          <w:sz w:val="44"/>
          <w:szCs w:val="44"/>
        </w:rPr>
        <w:t>馆陶</w:t>
      </w:r>
      <w:r>
        <w:rPr>
          <w:rFonts w:hint="eastAsia" w:ascii="宋体" w:hAnsi="宋体"/>
          <w:b/>
          <w:sz w:val="44"/>
          <w:szCs w:val="44"/>
          <w:lang w:eastAsia="zh-CN"/>
        </w:rPr>
        <w:t>县委党校</w:t>
      </w:r>
      <w:r>
        <w:rPr>
          <w:rFonts w:ascii="宋体" w:hAnsi="宋体"/>
          <w:b/>
          <w:sz w:val="44"/>
          <w:szCs w:val="44"/>
        </w:rPr>
        <w:t>2018</w:t>
      </w:r>
      <w:r>
        <w:rPr>
          <w:rFonts w:hint="eastAsia" w:ascii="宋体" w:hAnsi="宋体"/>
          <w:b/>
          <w:sz w:val="44"/>
          <w:szCs w:val="44"/>
        </w:rPr>
        <w:t>年部门预算信息公开</w:t>
      </w:r>
    </w:p>
    <w:p w14:paraId="3C0F46D4">
      <w:pPr>
        <w:ind w:firstLine="640" w:firstLineChars="200"/>
        <w:rPr>
          <w:rFonts w:ascii="仿宋_GB2312" w:hAnsi="Times New Roman" w:eastAsia="仿宋_GB2312"/>
          <w:sz w:val="32"/>
          <w:szCs w:val="32"/>
        </w:rPr>
      </w:pPr>
    </w:p>
    <w:p w14:paraId="157D455A">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r>
        <w:rPr>
          <w:rFonts w:hint="eastAsia" w:ascii="仿宋_GB2312" w:hAnsi="Times New Roman" w:eastAsia="仿宋_GB2312"/>
          <w:sz w:val="32"/>
          <w:szCs w:val="32"/>
        </w:rPr>
        <w:t>预算法》、《地方预决算公开操作规程》和《河北省省级预算公开办法》规定，现将我</w:t>
      </w:r>
      <w:r>
        <w:rPr>
          <w:rFonts w:hint="eastAsia" w:ascii="仿宋_GB2312" w:hAnsi="Times New Roman" w:eastAsia="仿宋_GB2312"/>
          <w:sz w:val="32"/>
          <w:szCs w:val="32"/>
          <w:lang w:eastAsia="zh-CN"/>
        </w:rPr>
        <w:t>单位</w:t>
      </w:r>
      <w:r>
        <w:rPr>
          <w:rFonts w:ascii="仿宋_GB2312" w:hAnsi="Times New Roman" w:eastAsia="仿宋_GB2312"/>
          <w:sz w:val="32"/>
          <w:szCs w:val="32"/>
        </w:rPr>
        <w:t>2018</w:t>
      </w:r>
      <w:r>
        <w:rPr>
          <w:rFonts w:hint="eastAsia" w:ascii="仿宋_GB2312" w:hAnsi="Times New Roman" w:eastAsia="仿宋_GB2312"/>
          <w:sz w:val="32"/>
          <w:szCs w:val="32"/>
        </w:rPr>
        <w:t>年部门预算公开如下：</w:t>
      </w:r>
    </w:p>
    <w:p w14:paraId="59590FEE">
      <w:pPr>
        <w:ind w:firstLine="640"/>
        <w:rPr>
          <w:rFonts w:ascii="黑体" w:hAnsi="黑体" w:eastAsia="黑体"/>
          <w:b/>
          <w:sz w:val="32"/>
          <w:szCs w:val="32"/>
        </w:rPr>
      </w:pPr>
      <w:r>
        <w:rPr>
          <w:rFonts w:hint="eastAsia" w:ascii="黑体" w:hAnsi="黑体" w:eastAsia="黑体"/>
          <w:b/>
          <w:sz w:val="32"/>
          <w:szCs w:val="32"/>
        </w:rPr>
        <w:t>一、部门职责及机构设置情况</w:t>
      </w:r>
    </w:p>
    <w:p w14:paraId="0E44D5FE">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14:paraId="04E4A791">
      <w:pPr>
        <w:spacing w:after="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县委党校</w:t>
      </w:r>
      <w:r>
        <w:rPr>
          <w:rFonts w:hint="eastAsia" w:ascii="仿宋_GB2312" w:hAnsi="仿宋_GB2312" w:eastAsia="仿宋_GB2312" w:cs="仿宋_GB2312"/>
          <w:sz w:val="32"/>
          <w:szCs w:val="32"/>
        </w:rPr>
        <w:t>的主要职能是：党校作为党的理论路线方针政策宣传的主阵地，作为党性锻炼的“熔炉”，肩负着教育培训全县党员干部的重任。根据县委、县政府有关要求，有计划地轮训和培训全县各级党政领导干部和理论骨干，负责对学员在党校学习期间的表现进行考核；受县委委托，举办乡局级领导干部进修班、轮训班和专题研讨班，优秀青年干部培训班，入党积极分子培训班等。深刻领会党的重大决策与部署，宣传好党的路线方针政策。</w:t>
      </w:r>
      <w:r>
        <w:rPr>
          <w:rFonts w:ascii="仿宋_GB2312" w:hAnsi="仿宋_GB2312" w:eastAsia="仿宋_GB2312" w:cs="仿宋_GB2312"/>
          <w:sz w:val="32"/>
          <w:szCs w:val="32"/>
        </w:rPr>
        <w:t xml:space="preserve"> </w:t>
      </w:r>
    </w:p>
    <w:p w14:paraId="47741653">
      <w:pPr>
        <w:autoSpaceDE w:val="0"/>
        <w:autoSpaceDN w:val="0"/>
        <w:adjustRightInd w:val="0"/>
        <w:ind w:left="198" w:firstLine="643" w:firstLineChars="200"/>
        <w:jc w:val="left"/>
        <w:rPr>
          <w:rFonts w:ascii="黑体" w:hAnsi="Times New Roman" w:eastAsia="黑体"/>
          <w:b/>
          <w:sz w:val="32"/>
          <w:szCs w:val="32"/>
        </w:rPr>
      </w:pPr>
      <w:r>
        <w:rPr>
          <w:rFonts w:hint="eastAsia" w:ascii="黑体" w:hAnsi="Times New Roman" w:eastAsia="黑体"/>
          <w:b/>
          <w:sz w:val="32"/>
          <w:szCs w:val="32"/>
        </w:rPr>
        <w:t>机构设置：</w:t>
      </w:r>
    </w:p>
    <w:p w14:paraId="267F81F3">
      <w:pPr>
        <w:jc w:val="center"/>
        <w:outlineLvl w:val="0"/>
        <w:rPr>
          <w:rFonts w:ascii="仿宋_GB2312" w:hAnsi="Times New Roman" w:eastAsia="仿宋_GB2312"/>
          <w:sz w:val="32"/>
          <w:szCs w:val="24"/>
        </w:rPr>
      </w:pPr>
      <w:r>
        <w:rPr>
          <w:rFonts w:hint="eastAsia" w:ascii="仿宋_GB2312" w:hAnsi="Times New Roman" w:eastAsia="仿宋_GB2312"/>
          <w:sz w:val="32"/>
          <w:szCs w:val="24"/>
        </w:rPr>
        <w:t>部门机构设置情况</w:t>
      </w:r>
    </w:p>
    <w:tbl>
      <w:tblPr>
        <w:tblStyle w:val="9"/>
        <w:tblW w:w="136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219"/>
        <w:gridCol w:w="1588"/>
        <w:gridCol w:w="1787"/>
        <w:gridCol w:w="4063"/>
      </w:tblGrid>
      <w:tr w14:paraId="1DA8A9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51" w:hRule="atLeast"/>
          <w:tblHeader/>
          <w:jc w:val="center"/>
        </w:trPr>
        <w:tc>
          <w:tcPr>
            <w:tcW w:w="6219" w:type="dxa"/>
            <w:vMerge w:val="restart"/>
            <w:vAlign w:val="center"/>
          </w:tcPr>
          <w:p w14:paraId="5FC94AB3">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单位名称</w:t>
            </w:r>
          </w:p>
        </w:tc>
        <w:tc>
          <w:tcPr>
            <w:tcW w:w="1588" w:type="dxa"/>
            <w:vMerge w:val="restart"/>
            <w:vAlign w:val="center"/>
          </w:tcPr>
          <w:p w14:paraId="0BCC8DB2">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单位性质</w:t>
            </w:r>
          </w:p>
        </w:tc>
        <w:tc>
          <w:tcPr>
            <w:tcW w:w="1787" w:type="dxa"/>
            <w:vMerge w:val="restart"/>
            <w:vAlign w:val="center"/>
          </w:tcPr>
          <w:p w14:paraId="1773AC67">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单位规格</w:t>
            </w:r>
          </w:p>
        </w:tc>
        <w:tc>
          <w:tcPr>
            <w:tcW w:w="4063" w:type="dxa"/>
            <w:vMerge w:val="restart"/>
            <w:vAlign w:val="center"/>
          </w:tcPr>
          <w:p w14:paraId="67A728CD">
            <w:pPr>
              <w:spacing w:line="300" w:lineRule="exact"/>
              <w:jc w:val="center"/>
              <w:rPr>
                <w:rFonts w:ascii="Times New Roman" w:hAnsi="Times New Roman" w:eastAsia="方正书宋_GBK"/>
                <w:b/>
                <w:sz w:val="32"/>
                <w:szCs w:val="32"/>
              </w:rPr>
            </w:pPr>
            <w:r>
              <w:rPr>
                <w:rFonts w:hint="eastAsia" w:ascii="Times New Roman" w:hAnsi="Times New Roman" w:eastAsia="方正书宋_GBK"/>
                <w:b/>
                <w:sz w:val="32"/>
                <w:szCs w:val="32"/>
              </w:rPr>
              <w:t>经费保障形式</w:t>
            </w:r>
          </w:p>
        </w:tc>
      </w:tr>
      <w:tr w14:paraId="13052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20" w:hRule="atLeast"/>
          <w:tblHeader/>
          <w:jc w:val="center"/>
        </w:trPr>
        <w:tc>
          <w:tcPr>
            <w:tcW w:w="6219" w:type="dxa"/>
            <w:vMerge w:val="continue"/>
            <w:vAlign w:val="center"/>
          </w:tcPr>
          <w:p w14:paraId="2417669F">
            <w:pPr>
              <w:spacing w:line="300" w:lineRule="exact"/>
              <w:jc w:val="left"/>
              <w:outlineLvl w:val="0"/>
              <w:rPr>
                <w:rFonts w:ascii="Times New Roman" w:hAnsi="Times New Roman"/>
                <w:sz w:val="32"/>
                <w:szCs w:val="32"/>
              </w:rPr>
            </w:pPr>
          </w:p>
        </w:tc>
        <w:tc>
          <w:tcPr>
            <w:tcW w:w="1588" w:type="dxa"/>
            <w:vMerge w:val="continue"/>
            <w:vAlign w:val="center"/>
          </w:tcPr>
          <w:p w14:paraId="64C372CA">
            <w:pPr>
              <w:spacing w:line="300" w:lineRule="exact"/>
              <w:jc w:val="left"/>
              <w:outlineLvl w:val="0"/>
              <w:rPr>
                <w:rFonts w:ascii="Times New Roman" w:hAnsi="Times New Roman"/>
                <w:sz w:val="32"/>
                <w:szCs w:val="32"/>
              </w:rPr>
            </w:pPr>
          </w:p>
        </w:tc>
        <w:tc>
          <w:tcPr>
            <w:tcW w:w="1787" w:type="dxa"/>
            <w:vMerge w:val="continue"/>
            <w:vAlign w:val="center"/>
          </w:tcPr>
          <w:p w14:paraId="54FA7BE3">
            <w:pPr>
              <w:spacing w:line="300" w:lineRule="exact"/>
              <w:jc w:val="left"/>
              <w:outlineLvl w:val="0"/>
              <w:rPr>
                <w:rFonts w:ascii="Times New Roman" w:hAnsi="Times New Roman"/>
                <w:sz w:val="32"/>
                <w:szCs w:val="32"/>
              </w:rPr>
            </w:pPr>
          </w:p>
        </w:tc>
        <w:tc>
          <w:tcPr>
            <w:tcW w:w="4063" w:type="dxa"/>
            <w:vMerge w:val="continue"/>
            <w:vAlign w:val="center"/>
          </w:tcPr>
          <w:p w14:paraId="0C8FCC31">
            <w:pPr>
              <w:spacing w:line="300" w:lineRule="exact"/>
              <w:jc w:val="left"/>
              <w:outlineLvl w:val="0"/>
              <w:rPr>
                <w:rFonts w:ascii="Times New Roman" w:hAnsi="Times New Roman"/>
                <w:sz w:val="32"/>
                <w:szCs w:val="32"/>
              </w:rPr>
            </w:pPr>
          </w:p>
        </w:tc>
      </w:tr>
      <w:tr w14:paraId="2F4C1D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vAlign w:val="center"/>
          </w:tcPr>
          <w:p w14:paraId="5784E963">
            <w:pPr>
              <w:spacing w:line="300" w:lineRule="exact"/>
              <w:ind w:firstLine="1280" w:firstLineChars="400"/>
              <w:jc w:val="both"/>
              <w:rPr>
                <w:rFonts w:hint="eastAsia" w:ascii="仿宋_GB2312" w:eastAsia="仿宋_GB2312"/>
                <w:sz w:val="32"/>
                <w:szCs w:val="32"/>
                <w:lang w:eastAsia="zh-CN"/>
              </w:rPr>
            </w:pPr>
            <w:r>
              <w:rPr>
                <w:rFonts w:hint="eastAsia" w:ascii="仿宋_GB2312" w:eastAsia="仿宋_GB2312"/>
                <w:sz w:val="32"/>
                <w:szCs w:val="32"/>
                <w:lang w:eastAsia="zh-CN"/>
              </w:rPr>
              <w:t>中共馆陶县委党校</w:t>
            </w:r>
          </w:p>
        </w:tc>
        <w:tc>
          <w:tcPr>
            <w:tcW w:w="1588" w:type="dxa"/>
            <w:vAlign w:val="center"/>
          </w:tcPr>
          <w:p w14:paraId="481BD84C">
            <w:pPr>
              <w:spacing w:line="3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事业</w:t>
            </w:r>
          </w:p>
        </w:tc>
        <w:tc>
          <w:tcPr>
            <w:tcW w:w="1787" w:type="dxa"/>
            <w:vAlign w:val="center"/>
          </w:tcPr>
          <w:p w14:paraId="0FB0F046">
            <w:pPr>
              <w:spacing w:line="300" w:lineRule="exact"/>
              <w:jc w:val="center"/>
              <w:rPr>
                <w:rFonts w:ascii="仿宋_GB2312" w:eastAsia="仿宋_GB2312"/>
                <w:sz w:val="32"/>
                <w:szCs w:val="32"/>
              </w:rPr>
            </w:pPr>
            <w:r>
              <w:rPr>
                <w:rFonts w:hint="eastAsia" w:ascii="仿宋_GB2312" w:eastAsia="仿宋_GB2312"/>
                <w:sz w:val="32"/>
                <w:szCs w:val="32"/>
              </w:rPr>
              <w:t>正科级</w:t>
            </w:r>
          </w:p>
        </w:tc>
        <w:tc>
          <w:tcPr>
            <w:tcW w:w="4063" w:type="dxa"/>
            <w:vAlign w:val="center"/>
          </w:tcPr>
          <w:p w14:paraId="650A8945">
            <w:pPr>
              <w:spacing w:line="300" w:lineRule="exact"/>
              <w:jc w:val="center"/>
              <w:rPr>
                <w:rFonts w:ascii="仿宋_GB2312" w:eastAsia="仿宋_GB2312"/>
                <w:sz w:val="32"/>
                <w:szCs w:val="32"/>
              </w:rPr>
            </w:pPr>
            <w:r>
              <w:rPr>
                <w:rFonts w:hint="eastAsia" w:ascii="仿宋_GB2312" w:eastAsia="仿宋_GB2312"/>
                <w:sz w:val="32"/>
                <w:szCs w:val="32"/>
                <w:lang w:eastAsia="zh-CN"/>
              </w:rPr>
              <w:t>财政性资金基本保证</w:t>
            </w:r>
          </w:p>
        </w:tc>
      </w:tr>
      <w:tr w14:paraId="48C38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jc w:val="center"/>
        </w:trPr>
        <w:tc>
          <w:tcPr>
            <w:tcW w:w="6219" w:type="dxa"/>
            <w:shd w:val="clear" w:color="auto" w:fill="auto"/>
            <w:vAlign w:val="center"/>
          </w:tcPr>
          <w:p w14:paraId="19D4B40C">
            <w:pPr>
              <w:spacing w:line="3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中共馆陶县委党校（事业）</w:t>
            </w:r>
          </w:p>
        </w:tc>
        <w:tc>
          <w:tcPr>
            <w:tcW w:w="1588" w:type="dxa"/>
            <w:shd w:val="clear" w:color="auto" w:fill="auto"/>
            <w:vAlign w:val="center"/>
          </w:tcPr>
          <w:p w14:paraId="211BA19F">
            <w:pPr>
              <w:spacing w:line="3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事业</w:t>
            </w:r>
          </w:p>
        </w:tc>
        <w:tc>
          <w:tcPr>
            <w:tcW w:w="1787" w:type="dxa"/>
            <w:shd w:val="clear" w:color="auto" w:fill="auto"/>
            <w:vAlign w:val="center"/>
          </w:tcPr>
          <w:p w14:paraId="04B8F431">
            <w:pPr>
              <w:spacing w:line="3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正科级</w:t>
            </w:r>
          </w:p>
        </w:tc>
        <w:tc>
          <w:tcPr>
            <w:tcW w:w="4063" w:type="dxa"/>
            <w:shd w:val="clear" w:color="auto" w:fill="auto"/>
            <w:vAlign w:val="center"/>
          </w:tcPr>
          <w:p w14:paraId="029C6D1F">
            <w:pPr>
              <w:spacing w:line="3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财政性资金基本保证</w:t>
            </w:r>
          </w:p>
        </w:tc>
      </w:tr>
    </w:tbl>
    <w:p w14:paraId="7B9F6475"/>
    <w:p w14:paraId="44577B65">
      <w:pPr>
        <w:ind w:firstLine="640"/>
        <w:rPr>
          <w:rFonts w:ascii="黑体" w:hAnsi="黑体" w:eastAsia="黑体"/>
          <w:b/>
          <w:sz w:val="32"/>
          <w:szCs w:val="32"/>
        </w:rPr>
      </w:pPr>
      <w:r>
        <w:rPr>
          <w:rFonts w:hint="eastAsia" w:ascii="黑体" w:hAnsi="黑体" w:eastAsia="黑体"/>
          <w:b/>
          <w:sz w:val="32"/>
          <w:szCs w:val="32"/>
        </w:rPr>
        <w:t>二、部门预算安排的总体情况</w:t>
      </w:r>
    </w:p>
    <w:p w14:paraId="78F606D5">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按照预算管理有关规定，目前我县部门预算的编制实行综合预算制度，即全部收入和支出都反映在预算中。馆陶县</w:t>
      </w:r>
      <w:r>
        <w:rPr>
          <w:rFonts w:hint="eastAsia" w:ascii="仿宋_GB2312" w:hAnsi="Times New Roman" w:eastAsia="仿宋_GB2312"/>
          <w:sz w:val="32"/>
          <w:szCs w:val="32"/>
          <w:lang w:eastAsia="zh-CN"/>
        </w:rPr>
        <w:t>委党校</w:t>
      </w:r>
      <w:r>
        <w:rPr>
          <w:rFonts w:hint="eastAsia" w:ascii="仿宋_GB2312" w:hAnsi="Times New Roman" w:eastAsia="仿宋_GB2312"/>
          <w:sz w:val="32"/>
          <w:szCs w:val="32"/>
        </w:rPr>
        <w:t>的收支包含在部门预算中。</w:t>
      </w:r>
    </w:p>
    <w:p w14:paraId="65008F14">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14:paraId="50827CB5">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2018</w:t>
      </w:r>
      <w:r>
        <w:rPr>
          <w:rFonts w:hint="eastAsia" w:ascii="仿宋_GB2312" w:hAnsi="Times New Roman" w:eastAsia="仿宋_GB2312"/>
          <w:sz w:val="32"/>
          <w:szCs w:val="32"/>
        </w:rPr>
        <w:t>年预算收入</w:t>
      </w:r>
      <w:r>
        <w:rPr>
          <w:rFonts w:hint="eastAsia" w:ascii="仿宋_GB2312" w:hAnsi="Times New Roman" w:eastAsia="仿宋_GB2312"/>
          <w:sz w:val="32"/>
          <w:szCs w:val="32"/>
          <w:lang w:val="en-US" w:eastAsia="zh-CN"/>
        </w:rPr>
        <w:t>145.88</w:t>
      </w:r>
      <w:r>
        <w:rPr>
          <w:rFonts w:hint="eastAsia" w:ascii="仿宋_GB2312" w:hAnsi="Times New Roman" w:eastAsia="仿宋_GB2312"/>
          <w:sz w:val="32"/>
          <w:szCs w:val="32"/>
        </w:rPr>
        <w:t>万元，其中：一般公共预算收入</w:t>
      </w:r>
      <w:r>
        <w:rPr>
          <w:rFonts w:hint="eastAsia" w:ascii="仿宋_GB2312" w:hAnsi="Times New Roman" w:eastAsia="仿宋_GB2312"/>
          <w:sz w:val="32"/>
          <w:szCs w:val="32"/>
          <w:lang w:val="en-US" w:eastAsia="zh-CN"/>
        </w:rPr>
        <w:t>145.88</w:t>
      </w:r>
      <w:r>
        <w:rPr>
          <w:rFonts w:hint="eastAsia" w:ascii="仿宋_GB2312" w:hAnsi="Times New Roman" w:eastAsia="仿宋_GB2312"/>
          <w:sz w:val="32"/>
          <w:szCs w:val="32"/>
        </w:rPr>
        <w:t>万元，基金预算收入</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w:t>
      </w:r>
    </w:p>
    <w:p w14:paraId="66643A16">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14:paraId="02E0D76C">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收支预算总表支出栏、基本支出表、项目支出表按经济分类和支出功能分类科目编制，反映省财馆陶县</w:t>
      </w:r>
      <w:r>
        <w:rPr>
          <w:rFonts w:hint="eastAsia" w:ascii="仿宋_GB2312" w:hAnsi="Times New Roman" w:eastAsia="仿宋_GB2312"/>
          <w:sz w:val="32"/>
          <w:szCs w:val="32"/>
          <w:lang w:eastAsia="zh-CN"/>
        </w:rPr>
        <w:t>委党校</w:t>
      </w:r>
      <w:r>
        <w:rPr>
          <w:rFonts w:hint="eastAsia" w:ascii="仿宋_GB2312" w:hAnsi="Times New Roman" w:eastAsia="仿宋_GB2312"/>
          <w:sz w:val="32"/>
          <w:szCs w:val="32"/>
        </w:rPr>
        <w:t>部门预算中支出预算的总体情况。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w:t>
      </w:r>
      <w:r>
        <w:rPr>
          <w:rFonts w:hint="eastAsia" w:ascii="仿宋_GB2312" w:hAnsi="Times New Roman" w:eastAsia="仿宋_GB2312"/>
          <w:sz w:val="32"/>
          <w:szCs w:val="32"/>
          <w:lang w:val="en-US" w:eastAsia="zh-CN"/>
        </w:rPr>
        <w:t>145.88</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val="en-US" w:eastAsia="zh-CN"/>
        </w:rPr>
        <w:t>115.88</w:t>
      </w:r>
      <w:r>
        <w:rPr>
          <w:rFonts w:hint="eastAsia" w:ascii="仿宋_GB2312" w:hAnsi="Times New Roman" w:eastAsia="仿宋_GB2312"/>
          <w:sz w:val="32"/>
          <w:szCs w:val="32"/>
        </w:rPr>
        <w:t>万元，包括人员经费</w:t>
      </w:r>
      <w:r>
        <w:rPr>
          <w:rFonts w:hint="eastAsia" w:ascii="仿宋_GB2312" w:hAnsi="Times New Roman" w:eastAsia="仿宋_GB2312"/>
          <w:sz w:val="32"/>
          <w:szCs w:val="32"/>
          <w:lang w:val="en-US" w:eastAsia="zh-CN"/>
        </w:rPr>
        <w:t>106.14</w:t>
      </w:r>
      <w:r>
        <w:rPr>
          <w:rFonts w:hint="eastAsia" w:ascii="仿宋_GB2312" w:hAnsi="Times New Roman" w:eastAsia="仿宋_GB2312"/>
          <w:sz w:val="32"/>
          <w:szCs w:val="32"/>
        </w:rPr>
        <w:t>万元和日常公用经费</w:t>
      </w:r>
      <w:r>
        <w:rPr>
          <w:rFonts w:hint="eastAsia" w:ascii="仿宋_GB2312" w:hAnsi="Times New Roman" w:eastAsia="仿宋_GB2312"/>
          <w:sz w:val="32"/>
          <w:szCs w:val="32"/>
          <w:lang w:val="en-US" w:eastAsia="zh-CN"/>
        </w:rPr>
        <w:t>9.74</w:t>
      </w:r>
      <w:r>
        <w:rPr>
          <w:rFonts w:hint="eastAsia" w:ascii="仿宋_GB2312" w:hAnsi="Times New Roman" w:eastAsia="仿宋_GB2312"/>
          <w:sz w:val="32"/>
          <w:szCs w:val="32"/>
        </w:rPr>
        <w:t>万元；项目支出</w:t>
      </w:r>
      <w:r>
        <w:rPr>
          <w:rFonts w:hint="eastAsia" w:ascii="仿宋_GB2312" w:hAnsi="Times New Roman" w:eastAsia="仿宋_GB2312"/>
          <w:sz w:val="32"/>
          <w:szCs w:val="32"/>
          <w:lang w:val="en-US" w:eastAsia="zh-CN"/>
        </w:rPr>
        <w:t>30</w:t>
      </w:r>
      <w:r>
        <w:rPr>
          <w:rFonts w:hint="eastAsia" w:ascii="仿宋_GB2312" w:hAnsi="Times New Roman" w:eastAsia="仿宋_GB2312"/>
          <w:sz w:val="32"/>
          <w:szCs w:val="32"/>
        </w:rPr>
        <w:t>万元，主要为</w:t>
      </w:r>
      <w:r>
        <w:rPr>
          <w:rFonts w:hint="eastAsia" w:ascii="仿宋_GB2312" w:hAnsi="Times New Roman" w:eastAsia="仿宋_GB2312"/>
          <w:sz w:val="32"/>
          <w:szCs w:val="32"/>
          <w:lang w:eastAsia="zh-CN"/>
        </w:rPr>
        <w:t>小镇党校日常维护费用和培训班费用支出</w:t>
      </w:r>
      <w:r>
        <w:rPr>
          <w:rFonts w:hint="eastAsia" w:ascii="仿宋_GB2312" w:hAnsi="Times New Roman" w:eastAsia="仿宋_GB2312"/>
          <w:sz w:val="32"/>
          <w:szCs w:val="32"/>
        </w:rPr>
        <w:t>。</w:t>
      </w:r>
    </w:p>
    <w:p w14:paraId="20C0A789">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14:paraId="11DBB6FA">
      <w:pPr>
        <w:ind w:firstLine="640"/>
        <w:rPr>
          <w:rFonts w:ascii="仿宋_GB2312" w:hAnsi="黑体"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w:t>
      </w:r>
      <w:r>
        <w:rPr>
          <w:rFonts w:hint="eastAsia" w:ascii="仿宋_GB2312" w:hAnsi="Times New Roman" w:eastAsia="仿宋_GB2312"/>
          <w:sz w:val="32"/>
          <w:szCs w:val="32"/>
          <w:lang w:val="en-US" w:eastAsia="zh-CN"/>
        </w:rPr>
        <w:t>145.88</w:t>
      </w:r>
      <w:r>
        <w:rPr>
          <w:rFonts w:hint="eastAsia" w:ascii="仿宋_GB2312" w:hAnsi="Times New Roman" w:eastAsia="仿宋_GB2312"/>
          <w:sz w:val="32"/>
          <w:szCs w:val="32"/>
        </w:rPr>
        <w:t>万元，较</w:t>
      </w:r>
      <w:r>
        <w:rPr>
          <w:rFonts w:ascii="仿宋_GB2312" w:hAnsi="Times New Roman" w:eastAsia="仿宋_GB2312"/>
          <w:sz w:val="32"/>
          <w:szCs w:val="32"/>
        </w:rPr>
        <w:t>2017</w:t>
      </w:r>
      <w:r>
        <w:rPr>
          <w:rFonts w:hint="eastAsia" w:ascii="仿宋_GB2312" w:hAnsi="Times New Roman" w:eastAsia="仿宋_GB2312"/>
          <w:sz w:val="32"/>
          <w:szCs w:val="32"/>
        </w:rPr>
        <w:t>年预算</w:t>
      </w:r>
      <w:r>
        <w:rPr>
          <w:rFonts w:hint="eastAsia" w:ascii="仿宋_GB2312" w:hAnsi="Times New Roman" w:eastAsia="仿宋_GB2312"/>
          <w:sz w:val="32"/>
          <w:szCs w:val="32"/>
          <w:lang w:eastAsia="zh-CN"/>
        </w:rPr>
        <w:t>减少</w:t>
      </w:r>
      <w:r>
        <w:rPr>
          <w:rFonts w:hint="eastAsia" w:ascii="仿宋_GB2312" w:hAnsi="Times New Roman" w:eastAsia="仿宋_GB2312"/>
          <w:sz w:val="32"/>
          <w:szCs w:val="32"/>
          <w:lang w:val="en-US" w:eastAsia="zh-CN"/>
        </w:rPr>
        <w:t>0.96</w:t>
      </w:r>
      <w:r>
        <w:rPr>
          <w:rFonts w:hint="eastAsia" w:ascii="仿宋_GB2312" w:hAnsi="Times New Roman" w:eastAsia="仿宋_GB2312"/>
          <w:sz w:val="32"/>
          <w:szCs w:val="32"/>
        </w:rPr>
        <w:t>万元，其中：基本支出减少</w:t>
      </w:r>
      <w:r>
        <w:rPr>
          <w:rFonts w:hint="eastAsia" w:ascii="仿宋_GB2312" w:hAnsi="Times New Roman" w:eastAsia="仿宋_GB2312"/>
          <w:sz w:val="32"/>
          <w:szCs w:val="32"/>
          <w:lang w:val="en-US" w:eastAsia="zh-CN"/>
        </w:rPr>
        <w:t>20.93</w:t>
      </w:r>
      <w:r>
        <w:rPr>
          <w:rFonts w:hint="eastAsia" w:ascii="仿宋_GB2312" w:hAnsi="Times New Roman" w:eastAsia="仿宋_GB2312"/>
          <w:sz w:val="32"/>
          <w:szCs w:val="32"/>
        </w:rPr>
        <w:t>万元，主要为减少人员经费支出，原因是我单位退休人员移交社保，固我单位未编制退休人员退休费，增加日常公用经费，原因是公用经费增加了公务人员交通补贴；项目支出增加</w:t>
      </w:r>
      <w:r>
        <w:rPr>
          <w:rFonts w:hint="eastAsia" w:ascii="仿宋_GB2312" w:hAnsi="Times New Roman" w:eastAsia="仿宋_GB2312"/>
          <w:sz w:val="32"/>
          <w:szCs w:val="32"/>
          <w:lang w:val="en-US" w:eastAsia="zh-CN"/>
        </w:rPr>
        <w:t>20</w:t>
      </w:r>
      <w:r>
        <w:rPr>
          <w:rFonts w:hint="eastAsia" w:ascii="仿宋_GB2312" w:hAnsi="Times New Roman" w:eastAsia="仿宋_GB2312"/>
          <w:sz w:val="32"/>
          <w:szCs w:val="32"/>
        </w:rPr>
        <w:t>万元，主要</w:t>
      </w:r>
      <w:r>
        <w:rPr>
          <w:rFonts w:hint="eastAsia" w:ascii="仿宋_GB2312" w:hAnsi="Times New Roman" w:eastAsia="仿宋_GB2312"/>
          <w:sz w:val="32"/>
          <w:szCs w:val="32"/>
          <w:lang w:eastAsia="zh-CN"/>
        </w:rPr>
        <w:t>是因为我单位今年将安排十九大精神培训班和主体班培训，增加了专项办学经费和培训经费</w:t>
      </w:r>
      <w:r>
        <w:rPr>
          <w:rFonts w:hint="eastAsia" w:ascii="仿宋_GB2312" w:hAnsi="Times New Roman" w:eastAsia="仿宋_GB2312"/>
          <w:sz w:val="32"/>
          <w:szCs w:val="32"/>
        </w:rPr>
        <w:t>。</w:t>
      </w:r>
    </w:p>
    <w:p w14:paraId="0604A8FF">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14:paraId="057225C9">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w:t>
      </w:r>
      <w:r>
        <w:rPr>
          <w:rFonts w:hint="eastAsia" w:ascii="仿宋_GB2312" w:hAnsi="Times New Roman" w:eastAsia="仿宋_GB2312"/>
          <w:sz w:val="32"/>
          <w:szCs w:val="32"/>
          <w:lang w:eastAsia="zh-CN"/>
        </w:rPr>
        <w:t>委党校</w:t>
      </w:r>
      <w:r>
        <w:rPr>
          <w:rFonts w:hint="eastAsia" w:ascii="仿宋_GB2312" w:hAnsi="Times New Roman" w:eastAsia="仿宋_GB2312"/>
          <w:sz w:val="32"/>
          <w:szCs w:val="32"/>
        </w:rPr>
        <w:t>机关运行经费共计安排</w:t>
      </w:r>
      <w:r>
        <w:rPr>
          <w:rFonts w:hint="eastAsia" w:ascii="仿宋_GB2312" w:hAnsi="Times New Roman" w:eastAsia="仿宋_GB2312"/>
          <w:sz w:val="32"/>
          <w:szCs w:val="32"/>
          <w:lang w:val="en-US" w:eastAsia="zh-CN"/>
        </w:rPr>
        <w:t>9.74</w:t>
      </w:r>
      <w:r>
        <w:rPr>
          <w:rFonts w:hint="eastAsia" w:ascii="仿宋_GB2312" w:hAnsi="Times New Roman" w:eastAsia="仿宋_GB2312"/>
          <w:sz w:val="32"/>
          <w:szCs w:val="32"/>
        </w:rPr>
        <w:t>万元，主要用于办公费、印刷费、邮电费、</w:t>
      </w:r>
      <w:r>
        <w:rPr>
          <w:rFonts w:hint="eastAsia" w:ascii="仿宋_GB2312" w:hAnsi="Times New Roman" w:eastAsia="仿宋_GB2312"/>
          <w:sz w:val="32"/>
          <w:szCs w:val="32"/>
          <w:lang w:eastAsia="zh-CN"/>
        </w:rPr>
        <w:t>维修费、</w:t>
      </w:r>
      <w:r>
        <w:rPr>
          <w:rFonts w:hint="eastAsia" w:ascii="仿宋_GB2312" w:hAnsi="Times New Roman" w:eastAsia="仿宋_GB2312"/>
          <w:sz w:val="32"/>
          <w:szCs w:val="32"/>
        </w:rPr>
        <w:t>公务交通补贴等日常运行支出。</w:t>
      </w:r>
    </w:p>
    <w:p w14:paraId="4B8D846F">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14:paraId="4F733877">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w:t>
      </w:r>
      <w:r>
        <w:rPr>
          <w:rFonts w:hint="eastAsia" w:ascii="仿宋_GB2312" w:hAnsi="Times New Roman" w:eastAsia="仿宋_GB2312"/>
          <w:sz w:val="32"/>
          <w:szCs w:val="32"/>
          <w:lang w:eastAsia="zh-CN"/>
        </w:rPr>
        <w:t>委党校</w:t>
      </w:r>
      <w:r>
        <w:rPr>
          <w:rFonts w:hint="eastAsia" w:ascii="仿宋_GB2312" w:hAnsi="Times New Roman" w:eastAsia="仿宋_GB2312"/>
          <w:sz w:val="32"/>
          <w:szCs w:val="32"/>
        </w:rPr>
        <w:t>财政拨款“三公”经费预算安排</w:t>
      </w:r>
      <w:r>
        <w:rPr>
          <w:rFonts w:ascii="仿宋_GB2312" w:hAnsi="Times New Roman" w:eastAsia="仿宋_GB2312"/>
          <w:sz w:val="32"/>
          <w:szCs w:val="32"/>
        </w:rPr>
        <w:t>0</w:t>
      </w:r>
      <w:r>
        <w:rPr>
          <w:rFonts w:hint="eastAsia" w:ascii="仿宋_GB2312" w:hAnsi="Times New Roman" w:eastAsia="仿宋_GB2312"/>
          <w:sz w:val="32"/>
          <w:szCs w:val="32"/>
        </w:rPr>
        <w:t>万元，较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年“三公”经费支出预算减少</w:t>
      </w:r>
      <w:r>
        <w:rPr>
          <w:rFonts w:hint="eastAsia" w:ascii="仿宋_GB2312" w:hAnsi="Times New Roman" w:eastAsia="仿宋_GB2312"/>
          <w:sz w:val="32"/>
          <w:szCs w:val="32"/>
          <w:lang w:val="en-US" w:eastAsia="zh-CN"/>
        </w:rPr>
        <w:t>0.1万</w:t>
      </w:r>
      <w:r>
        <w:rPr>
          <w:rFonts w:hint="eastAsia" w:ascii="仿宋_GB2312" w:hAnsi="Times New Roman" w:eastAsia="仿宋_GB2312"/>
          <w:sz w:val="32"/>
          <w:szCs w:val="32"/>
        </w:rPr>
        <w:t>元，主要原因是我单位</w:t>
      </w:r>
      <w:r>
        <w:rPr>
          <w:rFonts w:hint="eastAsia" w:ascii="仿宋_GB2312" w:hAnsi="Times New Roman" w:eastAsia="仿宋_GB2312"/>
          <w:sz w:val="32"/>
          <w:szCs w:val="32"/>
          <w:lang w:val="zh-CN"/>
        </w:rPr>
        <w:t>厉行节约，削减了“三公”费用支出</w:t>
      </w:r>
      <w:r>
        <w:rPr>
          <w:rFonts w:hint="eastAsia" w:ascii="仿宋_GB2312" w:hAnsi="Times New Roman" w:eastAsia="仿宋_GB2312"/>
          <w:sz w:val="32"/>
          <w:szCs w:val="32"/>
        </w:rPr>
        <w:t>。</w:t>
      </w:r>
    </w:p>
    <w:p w14:paraId="10040A81">
      <w:pPr>
        <w:ind w:firstLine="640"/>
        <w:rPr>
          <w:rFonts w:ascii="黑体" w:hAnsi="黑体" w:eastAsia="黑体"/>
          <w:b/>
          <w:sz w:val="32"/>
          <w:szCs w:val="32"/>
        </w:rPr>
      </w:pPr>
      <w:r>
        <w:rPr>
          <w:rFonts w:hint="eastAsia" w:ascii="黑体" w:hAnsi="黑体" w:eastAsia="黑体"/>
          <w:b/>
          <w:sz w:val="32"/>
          <w:szCs w:val="32"/>
        </w:rPr>
        <w:t>五、绩效预算信息</w:t>
      </w:r>
    </w:p>
    <w:p w14:paraId="2460A1BD">
      <w:pPr>
        <w:pStyle w:val="8"/>
        <w:spacing w:before="0" w:beforeAutospacing="0" w:after="0" w:afterAutospacing="0" w:line="450" w:lineRule="atLeast"/>
        <w:ind w:firstLine="640" w:firstLineChars="200"/>
        <w:rPr>
          <w:rFonts w:hint="eastAsia" w:ascii="仿宋_GB2312" w:hAnsi="Times New Roman" w:eastAsia="仿宋_GB2312" w:cs="Times New Roman"/>
          <w:kern w:val="2"/>
          <w:sz w:val="32"/>
          <w:szCs w:val="32"/>
          <w:lang w:val="en-US" w:eastAsia="zh-CN" w:bidi="ar-SA"/>
        </w:rPr>
      </w:pPr>
      <w:bookmarkStart w:id="0" w:name="_Toc471398463"/>
      <w:r>
        <w:rPr>
          <w:rFonts w:hint="eastAsia" w:ascii="仿宋_GB2312" w:hAnsi="Times New Roman" w:eastAsia="仿宋_GB2312" w:cs="Times New Roman"/>
          <w:kern w:val="2"/>
          <w:sz w:val="32"/>
          <w:szCs w:val="32"/>
          <w:lang w:val="en-US" w:eastAsia="zh-CN" w:bidi="ar-SA"/>
        </w:rPr>
        <w:t>总体绩效目标：2018年，我单位将在县委、县政府的正确领导下，认真贯彻落实党的十九大精神和省、市、县会议精神，坚持以马克思主义、毛泽东思想、邓小平理论、科学发展观和习近平新时代中国特色社会主义思想为指导，按照《中国共产党党校工作条例》的要求，根据本单位的职责任务，以党的十九大精神为契机，充分发挥党的培训阵地作用，把十九大精神传达到我县每一名党员。拟安排以下发展规划目标：</w:t>
      </w:r>
    </w:p>
    <w:p w14:paraId="4F4CD422">
      <w:pPr>
        <w:pStyle w:val="8"/>
        <w:spacing w:before="0" w:beforeAutospacing="0" w:after="0" w:afterAutospacing="0" w:line="450" w:lineRule="atLeas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１　培训全县党员领导干部；</w:t>
      </w:r>
    </w:p>
    <w:p w14:paraId="76AE8E12">
      <w:pPr>
        <w:pStyle w:val="8"/>
        <w:spacing w:before="0" w:beforeAutospacing="0" w:after="0" w:afterAutospacing="0" w:line="450" w:lineRule="atLeas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２　培训中青年后备干部；</w:t>
      </w:r>
    </w:p>
    <w:p w14:paraId="1C0E9F4B">
      <w:pPr>
        <w:pStyle w:val="8"/>
        <w:spacing w:before="0" w:beforeAutospacing="0" w:after="0" w:afterAutospacing="0" w:line="450" w:lineRule="atLeas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３　协同组织人事部门对全县公务员进行培训；</w:t>
      </w:r>
    </w:p>
    <w:p w14:paraId="1736CA92">
      <w:pPr>
        <w:pStyle w:val="8"/>
        <w:spacing w:before="0" w:beforeAutospacing="0" w:after="0" w:afterAutospacing="0" w:line="450" w:lineRule="atLeas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４　培训全县的入党积极分子；</w:t>
      </w:r>
    </w:p>
    <w:p w14:paraId="64AB72B0">
      <w:pPr>
        <w:pStyle w:val="8"/>
        <w:spacing w:before="0" w:beforeAutospacing="0" w:after="0" w:afterAutospacing="0" w:line="450" w:lineRule="atLeas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５　培训全县农村两委成员；</w:t>
      </w:r>
    </w:p>
    <w:p w14:paraId="75574236">
      <w:pPr>
        <w:pStyle w:val="8"/>
        <w:spacing w:before="0" w:beforeAutospacing="0" w:after="0" w:afterAutospacing="0" w:line="450" w:lineRule="atLeas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６　围绕国内外出现的新情况、新问题，开展调查研究；围绕县委县</w:t>
      </w:r>
      <w:bookmarkStart w:id="4" w:name="_GoBack"/>
      <w:bookmarkEnd w:id="4"/>
      <w:r>
        <w:rPr>
          <w:rFonts w:hint="eastAsia" w:ascii="仿宋_GB2312" w:hAnsi="Times New Roman" w:eastAsia="仿宋_GB2312" w:cs="Times New Roman"/>
          <w:kern w:val="2"/>
          <w:sz w:val="32"/>
          <w:szCs w:val="32"/>
          <w:lang w:val="en-US" w:eastAsia="zh-CN" w:bidi="ar-SA"/>
        </w:rPr>
        <w:t>政府的中心工作开展调研，为全县两大文明建设服务；</w:t>
      </w:r>
    </w:p>
    <w:p w14:paraId="4AF106B0">
      <w:pPr>
        <w:pStyle w:val="8"/>
        <w:spacing w:before="0" w:beforeAutospacing="0" w:after="0" w:afterAutospacing="0" w:line="450" w:lineRule="atLeast"/>
        <w:ind w:firstLine="640" w:firstLineChars="200"/>
        <w:rPr>
          <w:rFonts w:ascii="仿宋_GB2312" w:eastAsia="仿宋_GB2312"/>
          <w:color w:val="333333"/>
          <w:sz w:val="32"/>
          <w:szCs w:val="32"/>
        </w:rPr>
      </w:pPr>
      <w:r>
        <w:rPr>
          <w:rFonts w:ascii="仿宋_GB2312" w:hAnsi="Arial" w:eastAsia="仿宋_GB2312" w:cs="Arial"/>
          <w:color w:val="000000"/>
          <w:sz w:val="32"/>
          <w:szCs w:val="32"/>
          <w:shd w:val="clear" w:color="auto" w:fill="FFFFFF"/>
        </w:rPr>
        <w:t xml:space="preserve">    </w:t>
      </w:r>
    </w:p>
    <w:p w14:paraId="2B011780">
      <w:pPr>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p w14:paraId="476F422E">
      <w:pPr>
        <w:jc w:val="center"/>
        <w:outlineLvl w:val="0"/>
        <w:rPr>
          <w:rFonts w:ascii="方正小标宋_GBK" w:eastAsia="方正小标宋_GBK"/>
          <w:sz w:val="32"/>
        </w:rPr>
      </w:pPr>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1"/>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442A8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3934" w:type="dxa"/>
            <w:gridSpan w:val="9"/>
            <w:tcBorders>
              <w:top w:val="single" w:color="FFFFFF" w:sz="6" w:space="0"/>
              <w:left w:val="single" w:color="FFFFFF" w:sz="6" w:space="0"/>
              <w:right w:val="single" w:color="FFFFFF" w:sz="6" w:space="0"/>
            </w:tcBorders>
            <w:vAlign w:val="center"/>
          </w:tcPr>
          <w:p w14:paraId="204C2976">
            <w:pPr>
              <w:spacing w:line="300" w:lineRule="exact"/>
              <w:rPr>
                <w:rFonts w:hint="eastAsia" w:ascii="方正小标宋_GBK" w:eastAsia="方正小标宋_GBK"/>
                <w:sz w:val="24"/>
                <w:lang w:eastAsia="zh-CN"/>
              </w:rPr>
            </w:pPr>
            <w:r>
              <w:rPr>
                <w:rFonts w:hint="eastAsia" w:ascii="方正小标宋_GBK" w:eastAsia="方正小标宋_GBK"/>
                <w:sz w:val="24"/>
                <w:lang w:eastAsia="zh-CN"/>
              </w:rPr>
              <w:t>馆陶县委党校</w:t>
            </w:r>
          </w:p>
        </w:tc>
      </w:tr>
      <w:tr w14:paraId="6A908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69FF707B">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029AB026">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5F15F1BD">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7519A1FE">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185331C9">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120FD348">
            <w:pPr>
              <w:spacing w:line="300" w:lineRule="exact"/>
              <w:jc w:val="center"/>
              <w:rPr>
                <w:rFonts w:ascii="方正书宋_GBK" w:eastAsia="方正书宋_GBK"/>
                <w:b/>
              </w:rPr>
            </w:pPr>
            <w:r>
              <w:rPr>
                <w:rFonts w:hint="eastAsia" w:ascii="方正书宋_GBK" w:eastAsia="方正书宋_GBK"/>
                <w:b/>
              </w:rPr>
              <w:t>评价标准</w:t>
            </w:r>
          </w:p>
        </w:tc>
      </w:tr>
      <w:tr w14:paraId="0E4DC0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302C3ED2">
            <w:pPr>
              <w:spacing w:line="300" w:lineRule="exact"/>
              <w:outlineLvl w:val="0"/>
            </w:pPr>
          </w:p>
        </w:tc>
        <w:tc>
          <w:tcPr>
            <w:tcW w:w="1276" w:type="dxa"/>
            <w:vMerge w:val="continue"/>
            <w:vAlign w:val="center"/>
          </w:tcPr>
          <w:p w14:paraId="03D17A61">
            <w:pPr>
              <w:spacing w:line="300" w:lineRule="exact"/>
              <w:outlineLvl w:val="0"/>
            </w:pPr>
          </w:p>
        </w:tc>
        <w:tc>
          <w:tcPr>
            <w:tcW w:w="2976" w:type="dxa"/>
            <w:vMerge w:val="continue"/>
            <w:vAlign w:val="center"/>
          </w:tcPr>
          <w:p w14:paraId="2C7296C2">
            <w:pPr>
              <w:spacing w:line="300" w:lineRule="exact"/>
              <w:outlineLvl w:val="0"/>
            </w:pPr>
          </w:p>
        </w:tc>
        <w:tc>
          <w:tcPr>
            <w:tcW w:w="2976" w:type="dxa"/>
            <w:vMerge w:val="continue"/>
            <w:vAlign w:val="center"/>
          </w:tcPr>
          <w:p w14:paraId="108D1F32">
            <w:pPr>
              <w:spacing w:line="300" w:lineRule="exact"/>
              <w:outlineLvl w:val="0"/>
            </w:pPr>
          </w:p>
        </w:tc>
        <w:tc>
          <w:tcPr>
            <w:tcW w:w="1417" w:type="dxa"/>
            <w:vMerge w:val="continue"/>
            <w:vAlign w:val="center"/>
          </w:tcPr>
          <w:p w14:paraId="76F7215A">
            <w:pPr>
              <w:spacing w:line="300" w:lineRule="exact"/>
              <w:outlineLvl w:val="0"/>
            </w:pPr>
          </w:p>
        </w:tc>
        <w:tc>
          <w:tcPr>
            <w:tcW w:w="737" w:type="dxa"/>
            <w:vAlign w:val="center"/>
          </w:tcPr>
          <w:p w14:paraId="1D475A9B">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59042672">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78CE283D">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39B62A75">
            <w:pPr>
              <w:spacing w:line="300" w:lineRule="exact"/>
              <w:jc w:val="center"/>
              <w:rPr>
                <w:rFonts w:ascii="方正书宋_GBK" w:eastAsia="方正书宋_GBK"/>
                <w:b/>
              </w:rPr>
            </w:pPr>
            <w:r>
              <w:rPr>
                <w:rFonts w:hint="eastAsia" w:ascii="方正书宋_GBK" w:eastAsia="方正书宋_GBK"/>
                <w:b/>
              </w:rPr>
              <w:t>差</w:t>
            </w:r>
          </w:p>
        </w:tc>
      </w:tr>
      <w:tr w14:paraId="4BF1F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FDF64EC">
            <w:pPr>
              <w:spacing w:line="300" w:lineRule="exact"/>
              <w:rPr>
                <w:rFonts w:ascii="方正书宋_GBK" w:eastAsia="方正书宋_GBK"/>
                <w:b/>
              </w:rPr>
            </w:pPr>
            <w:r>
              <w:rPr>
                <w:rFonts w:hint="eastAsia" w:ascii="方正书宋_GBK" w:eastAsia="方正书宋_GBK"/>
                <w:b/>
              </w:rPr>
              <w:t>培训教育</w:t>
            </w:r>
          </w:p>
        </w:tc>
        <w:tc>
          <w:tcPr>
            <w:tcW w:w="1276" w:type="dxa"/>
            <w:vAlign w:val="center"/>
          </w:tcPr>
          <w:p w14:paraId="3296DBCB">
            <w:pPr>
              <w:spacing w:line="300" w:lineRule="exact"/>
              <w:rPr>
                <w:rFonts w:ascii="方正书宋_GBK" w:eastAsia="方正书宋_GBK"/>
              </w:rPr>
            </w:pPr>
          </w:p>
        </w:tc>
        <w:tc>
          <w:tcPr>
            <w:tcW w:w="2976" w:type="dxa"/>
            <w:vAlign w:val="center"/>
          </w:tcPr>
          <w:p w14:paraId="14F1FBD8">
            <w:pPr>
              <w:spacing w:line="300" w:lineRule="exact"/>
              <w:rPr>
                <w:rFonts w:ascii="方正书宋_GBK" w:eastAsia="方正书宋_GBK"/>
              </w:rPr>
            </w:pPr>
            <w:r>
              <w:rPr>
                <w:rFonts w:hint="eastAsia" w:ascii="方正书宋_GBK" w:eastAsia="方正书宋_GBK"/>
              </w:rPr>
              <w:t>根据县委、县政府有关要求，有计划地轮训和培训全县各级党政领导干部和理论骨干，负责对学员在党校学习期间的表现进行考核；受县委委托，举办地厅级、县处级领导干部进修班、轮训班和专题研讨班，深刻领会党的重大决策与部署；</w:t>
            </w:r>
          </w:p>
        </w:tc>
        <w:tc>
          <w:tcPr>
            <w:tcW w:w="2976" w:type="dxa"/>
            <w:vAlign w:val="center"/>
          </w:tcPr>
          <w:p w14:paraId="7E4FEC74">
            <w:pPr>
              <w:spacing w:line="300" w:lineRule="exact"/>
              <w:rPr>
                <w:rFonts w:ascii="方正书宋_GBK" w:eastAsia="方正书宋_GBK"/>
              </w:rPr>
            </w:pPr>
            <w:r>
              <w:rPr>
                <w:rFonts w:hint="eastAsia" w:ascii="方正书宋_GBK" w:eastAsia="方正书宋_GBK"/>
              </w:rPr>
              <w:t>通过不断提高教学水平、完善教学设施、优化教学布局、丰富教学手段，围绕党和国家工作大局，按照实事求是、与时俱进、艰苦奋斗、执政为民的要求，培养忠诚于中国特色社会主义事业、德才兼备的党员领导干部和理论干部，有效提高干部的政策理论水平、思想觉悟和执政能力。</w:t>
            </w:r>
          </w:p>
        </w:tc>
        <w:tc>
          <w:tcPr>
            <w:tcW w:w="1417" w:type="dxa"/>
            <w:vAlign w:val="center"/>
          </w:tcPr>
          <w:p w14:paraId="3CC41848">
            <w:pPr>
              <w:spacing w:line="300" w:lineRule="exact"/>
              <w:rPr>
                <w:rFonts w:ascii="方正书宋_GBK" w:eastAsia="方正书宋_GBK"/>
              </w:rPr>
            </w:pPr>
          </w:p>
        </w:tc>
        <w:tc>
          <w:tcPr>
            <w:tcW w:w="737" w:type="dxa"/>
            <w:vAlign w:val="center"/>
          </w:tcPr>
          <w:p w14:paraId="2C9C6EDC">
            <w:pPr>
              <w:spacing w:line="300" w:lineRule="exact"/>
              <w:jc w:val="center"/>
              <w:rPr>
                <w:rFonts w:ascii="方正书宋_GBK" w:eastAsia="方正书宋_GBK"/>
              </w:rPr>
            </w:pPr>
          </w:p>
        </w:tc>
        <w:tc>
          <w:tcPr>
            <w:tcW w:w="737" w:type="dxa"/>
            <w:vAlign w:val="center"/>
          </w:tcPr>
          <w:p w14:paraId="4BC74F3F">
            <w:pPr>
              <w:spacing w:line="300" w:lineRule="exact"/>
              <w:jc w:val="center"/>
              <w:rPr>
                <w:rFonts w:ascii="方正书宋_GBK" w:eastAsia="方正书宋_GBK"/>
              </w:rPr>
            </w:pPr>
          </w:p>
        </w:tc>
        <w:tc>
          <w:tcPr>
            <w:tcW w:w="737" w:type="dxa"/>
            <w:vAlign w:val="center"/>
          </w:tcPr>
          <w:p w14:paraId="2CA2CAE3">
            <w:pPr>
              <w:spacing w:line="300" w:lineRule="exact"/>
              <w:jc w:val="center"/>
              <w:rPr>
                <w:rFonts w:ascii="方正书宋_GBK" w:eastAsia="方正书宋_GBK"/>
              </w:rPr>
            </w:pPr>
          </w:p>
        </w:tc>
        <w:tc>
          <w:tcPr>
            <w:tcW w:w="737" w:type="dxa"/>
            <w:vAlign w:val="center"/>
          </w:tcPr>
          <w:p w14:paraId="55179F0B">
            <w:pPr>
              <w:spacing w:line="300" w:lineRule="exact"/>
              <w:jc w:val="center"/>
              <w:rPr>
                <w:rFonts w:ascii="方正书宋_GBK" w:eastAsia="方正书宋_GBK"/>
              </w:rPr>
            </w:pPr>
          </w:p>
        </w:tc>
      </w:tr>
      <w:tr w14:paraId="086F32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04805E8C">
            <w:pPr>
              <w:spacing w:line="300" w:lineRule="exact"/>
              <w:rPr>
                <w:rFonts w:ascii="方正书宋_GBK" w:eastAsia="方正书宋_GBK"/>
                <w:b/>
              </w:rPr>
            </w:pPr>
            <w:r>
              <w:rPr>
                <w:rFonts w:hint="eastAsia" w:ascii="方正书宋_GBK" w:eastAsia="方正书宋_GBK"/>
                <w:b/>
              </w:rPr>
              <w:t>　　组织培训班</w:t>
            </w:r>
          </w:p>
        </w:tc>
        <w:tc>
          <w:tcPr>
            <w:tcW w:w="1276" w:type="dxa"/>
            <w:vMerge w:val="restart"/>
            <w:vAlign w:val="center"/>
          </w:tcPr>
          <w:p w14:paraId="1F6DDBAE">
            <w:pPr>
              <w:spacing w:line="300" w:lineRule="exact"/>
              <w:rPr>
                <w:rFonts w:ascii="方正书宋_GBK" w:eastAsia="方正书宋_GBK"/>
              </w:rPr>
            </w:pPr>
          </w:p>
        </w:tc>
        <w:tc>
          <w:tcPr>
            <w:tcW w:w="2976" w:type="dxa"/>
            <w:vMerge w:val="restart"/>
            <w:vAlign w:val="center"/>
          </w:tcPr>
          <w:p w14:paraId="640E396B">
            <w:pPr>
              <w:spacing w:line="300" w:lineRule="exact"/>
              <w:rPr>
                <w:rFonts w:ascii="方正书宋_GBK" w:eastAsia="方正书宋_GBK"/>
              </w:rPr>
            </w:pPr>
            <w:r>
              <w:rPr>
                <w:rFonts w:hint="eastAsia" w:ascii="方正书宋_GBK" w:eastAsia="方正书宋_GBK"/>
              </w:rPr>
              <w:t>根据县委组织部的干训计划，培训、轮训领导干部和理论骨干；受县委、县政府及有关职能部门委托，举办各种专题培训、研讨班。</w:t>
            </w:r>
          </w:p>
        </w:tc>
        <w:tc>
          <w:tcPr>
            <w:tcW w:w="2976" w:type="dxa"/>
            <w:vMerge w:val="restart"/>
            <w:vAlign w:val="center"/>
          </w:tcPr>
          <w:p w14:paraId="21A1287A">
            <w:pPr>
              <w:spacing w:line="300" w:lineRule="exact"/>
              <w:rPr>
                <w:rFonts w:ascii="方正书宋_GBK" w:eastAsia="方正书宋_GBK"/>
              </w:rPr>
            </w:pPr>
            <w:r>
              <w:rPr>
                <w:rFonts w:hint="eastAsia" w:ascii="方正书宋_GBK" w:eastAsia="方正书宋_GBK"/>
              </w:rPr>
              <w:t>学员教学满意率</w:t>
            </w:r>
            <w:r>
              <w:rPr>
                <w:rFonts w:ascii="方正书宋_GBK" w:eastAsia="方正书宋_GBK"/>
              </w:rPr>
              <w:t>%;</w:t>
            </w:r>
          </w:p>
        </w:tc>
        <w:tc>
          <w:tcPr>
            <w:tcW w:w="1417" w:type="dxa"/>
            <w:vAlign w:val="center"/>
          </w:tcPr>
          <w:p w14:paraId="15349CAF">
            <w:pPr>
              <w:spacing w:line="300" w:lineRule="exact"/>
              <w:rPr>
                <w:rFonts w:ascii="方正书宋_GBK" w:eastAsia="方正书宋_GBK"/>
              </w:rPr>
            </w:pPr>
            <w:r>
              <w:rPr>
                <w:rFonts w:hint="eastAsia" w:ascii="方正书宋_GBK" w:eastAsia="方正书宋_GBK"/>
              </w:rPr>
              <w:t>根据县委组织部的干训计划，培训、轮训领导干部和理论骨干或受当地党委、政府及有关职能部门委托，结合我县发展实际，以研讨中央重大理论和方针、政策问题为目的，举办各种专题研讨班</w:t>
            </w:r>
          </w:p>
        </w:tc>
        <w:tc>
          <w:tcPr>
            <w:tcW w:w="737" w:type="dxa"/>
            <w:vAlign w:val="center"/>
          </w:tcPr>
          <w:p w14:paraId="431F287E">
            <w:pPr>
              <w:spacing w:line="300" w:lineRule="exact"/>
              <w:jc w:val="center"/>
              <w:rPr>
                <w:rFonts w:ascii="方正书宋_GBK" w:eastAsia="方正书宋_GBK"/>
              </w:rPr>
            </w:pPr>
            <w:r>
              <w:rPr>
                <w:rFonts w:ascii="方正书宋_GBK" w:eastAsia="方正书宋_GBK"/>
              </w:rPr>
              <w:t>0.8</w:t>
            </w:r>
          </w:p>
        </w:tc>
        <w:tc>
          <w:tcPr>
            <w:tcW w:w="737" w:type="dxa"/>
            <w:vAlign w:val="center"/>
          </w:tcPr>
          <w:p w14:paraId="258A0721">
            <w:pPr>
              <w:spacing w:line="300" w:lineRule="exact"/>
              <w:jc w:val="center"/>
              <w:rPr>
                <w:rFonts w:ascii="方正书宋_GBK" w:eastAsia="方正书宋_GBK"/>
              </w:rPr>
            </w:pPr>
            <w:r>
              <w:rPr>
                <w:rFonts w:ascii="方正书宋_GBK" w:eastAsia="方正书宋_GBK"/>
              </w:rPr>
              <w:t>0.7</w:t>
            </w:r>
          </w:p>
        </w:tc>
        <w:tc>
          <w:tcPr>
            <w:tcW w:w="737" w:type="dxa"/>
            <w:vAlign w:val="center"/>
          </w:tcPr>
          <w:p w14:paraId="460B39E4">
            <w:pPr>
              <w:spacing w:line="300" w:lineRule="exact"/>
              <w:jc w:val="center"/>
              <w:rPr>
                <w:rFonts w:ascii="方正书宋_GBK" w:eastAsia="方正书宋_GBK"/>
              </w:rPr>
            </w:pPr>
            <w:r>
              <w:rPr>
                <w:rFonts w:ascii="方正书宋_GBK" w:eastAsia="方正书宋_GBK"/>
              </w:rPr>
              <w:t>70%</w:t>
            </w:r>
            <w:r>
              <w:rPr>
                <w:rFonts w:hint="eastAsia" w:ascii="方正书宋_GBK" w:eastAsia="方正书宋_GBK"/>
              </w:rPr>
              <w:t>以下</w:t>
            </w:r>
          </w:p>
        </w:tc>
        <w:tc>
          <w:tcPr>
            <w:tcW w:w="737" w:type="dxa"/>
            <w:vAlign w:val="center"/>
          </w:tcPr>
          <w:p w14:paraId="798F4C60">
            <w:pPr>
              <w:spacing w:line="300" w:lineRule="exact"/>
              <w:jc w:val="center"/>
              <w:rPr>
                <w:rFonts w:ascii="方正书宋_GBK" w:eastAsia="方正书宋_GBK"/>
              </w:rPr>
            </w:pPr>
          </w:p>
        </w:tc>
      </w:tr>
      <w:tr w14:paraId="2B6665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A24D77C">
            <w:pPr>
              <w:spacing w:line="300" w:lineRule="exact"/>
              <w:rPr>
                <w:rFonts w:ascii="方正书宋_GBK" w:eastAsia="方正书宋_GBK"/>
                <w:b/>
              </w:rPr>
            </w:pPr>
          </w:p>
        </w:tc>
        <w:tc>
          <w:tcPr>
            <w:tcW w:w="1276" w:type="dxa"/>
            <w:vMerge w:val="continue"/>
            <w:vAlign w:val="center"/>
          </w:tcPr>
          <w:p w14:paraId="3ED4F76D">
            <w:pPr>
              <w:spacing w:line="300" w:lineRule="exact"/>
              <w:rPr>
                <w:rFonts w:ascii="方正书宋_GBK" w:eastAsia="方正书宋_GBK"/>
              </w:rPr>
            </w:pPr>
          </w:p>
        </w:tc>
        <w:tc>
          <w:tcPr>
            <w:tcW w:w="2976" w:type="dxa"/>
            <w:vMerge w:val="continue"/>
            <w:vAlign w:val="center"/>
          </w:tcPr>
          <w:p w14:paraId="48897CB9">
            <w:pPr>
              <w:spacing w:line="300" w:lineRule="exact"/>
              <w:rPr>
                <w:rFonts w:ascii="方正书宋_GBK" w:eastAsia="方正书宋_GBK"/>
              </w:rPr>
            </w:pPr>
          </w:p>
        </w:tc>
        <w:tc>
          <w:tcPr>
            <w:tcW w:w="2976" w:type="dxa"/>
            <w:vMerge w:val="continue"/>
            <w:vAlign w:val="center"/>
          </w:tcPr>
          <w:p w14:paraId="7B1C1DA4">
            <w:pPr>
              <w:spacing w:line="300" w:lineRule="exact"/>
              <w:rPr>
                <w:rFonts w:ascii="方正书宋_GBK" w:eastAsia="方正书宋_GBK"/>
              </w:rPr>
            </w:pPr>
          </w:p>
        </w:tc>
        <w:tc>
          <w:tcPr>
            <w:tcW w:w="1417" w:type="dxa"/>
            <w:vAlign w:val="center"/>
          </w:tcPr>
          <w:p w14:paraId="18DC2A8A">
            <w:pPr>
              <w:spacing w:line="300" w:lineRule="exact"/>
              <w:rPr>
                <w:rFonts w:ascii="方正书宋_GBK" w:eastAsia="方正书宋_GBK"/>
              </w:rPr>
            </w:pPr>
            <w:r>
              <w:rPr>
                <w:rFonts w:hint="eastAsia" w:ascii="方正书宋_GBK" w:eastAsia="方正书宋_GBK"/>
              </w:rPr>
              <w:t>学员对与教学活动和教学管理的满意度</w:t>
            </w:r>
          </w:p>
        </w:tc>
        <w:tc>
          <w:tcPr>
            <w:tcW w:w="737" w:type="dxa"/>
            <w:vAlign w:val="center"/>
          </w:tcPr>
          <w:p w14:paraId="36407AA5">
            <w:pPr>
              <w:spacing w:line="300" w:lineRule="exact"/>
              <w:jc w:val="center"/>
              <w:rPr>
                <w:rFonts w:ascii="方正书宋_GBK" w:eastAsia="方正书宋_GBK"/>
              </w:rPr>
            </w:pPr>
            <w:r>
              <w:rPr>
                <w:rFonts w:ascii="方正书宋_GBK" w:eastAsia="方正书宋_GBK"/>
              </w:rPr>
              <w:t>0.8</w:t>
            </w:r>
          </w:p>
        </w:tc>
        <w:tc>
          <w:tcPr>
            <w:tcW w:w="737" w:type="dxa"/>
            <w:vAlign w:val="center"/>
          </w:tcPr>
          <w:p w14:paraId="7A9FBC0F">
            <w:pPr>
              <w:spacing w:line="300" w:lineRule="exact"/>
              <w:jc w:val="center"/>
              <w:rPr>
                <w:rFonts w:ascii="方正书宋_GBK" w:eastAsia="方正书宋_GBK"/>
              </w:rPr>
            </w:pPr>
            <w:r>
              <w:rPr>
                <w:rFonts w:ascii="方正书宋_GBK" w:eastAsia="方正书宋_GBK"/>
              </w:rPr>
              <w:t>0.7</w:t>
            </w:r>
          </w:p>
        </w:tc>
        <w:tc>
          <w:tcPr>
            <w:tcW w:w="737" w:type="dxa"/>
            <w:vAlign w:val="center"/>
          </w:tcPr>
          <w:p w14:paraId="1C845195">
            <w:pPr>
              <w:spacing w:line="300" w:lineRule="exact"/>
              <w:jc w:val="center"/>
              <w:rPr>
                <w:rFonts w:ascii="方正书宋_GBK" w:eastAsia="方正书宋_GBK"/>
              </w:rPr>
            </w:pPr>
            <w:r>
              <w:rPr>
                <w:rFonts w:ascii="方正书宋_GBK" w:eastAsia="方正书宋_GBK"/>
              </w:rPr>
              <w:t>70%</w:t>
            </w:r>
            <w:r>
              <w:rPr>
                <w:rFonts w:hint="eastAsia" w:ascii="方正书宋_GBK" w:eastAsia="方正书宋_GBK"/>
              </w:rPr>
              <w:t>以下</w:t>
            </w:r>
          </w:p>
        </w:tc>
        <w:tc>
          <w:tcPr>
            <w:tcW w:w="737" w:type="dxa"/>
            <w:vAlign w:val="center"/>
          </w:tcPr>
          <w:p w14:paraId="6D0C86F5">
            <w:pPr>
              <w:spacing w:line="300" w:lineRule="exact"/>
              <w:jc w:val="center"/>
              <w:rPr>
                <w:rFonts w:ascii="方正书宋_GBK" w:eastAsia="方正书宋_GBK"/>
              </w:rPr>
            </w:pPr>
          </w:p>
        </w:tc>
      </w:tr>
      <w:tr w14:paraId="77A488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267F617">
            <w:pPr>
              <w:spacing w:line="300" w:lineRule="exact"/>
              <w:rPr>
                <w:rFonts w:ascii="方正书宋_GBK" w:eastAsia="方正书宋_GBK"/>
                <w:b/>
              </w:rPr>
            </w:pPr>
            <w:r>
              <w:rPr>
                <w:rFonts w:hint="eastAsia" w:ascii="方正书宋_GBK" w:eastAsia="方正书宋_GBK"/>
                <w:b/>
              </w:rPr>
              <w:t>　　师资与学科建设</w:t>
            </w:r>
          </w:p>
        </w:tc>
        <w:tc>
          <w:tcPr>
            <w:tcW w:w="1276" w:type="dxa"/>
            <w:vAlign w:val="center"/>
          </w:tcPr>
          <w:p w14:paraId="00C95B9F">
            <w:pPr>
              <w:spacing w:line="300" w:lineRule="exact"/>
              <w:rPr>
                <w:rFonts w:ascii="方正书宋_GBK" w:eastAsia="方正书宋_GBK"/>
              </w:rPr>
            </w:pPr>
          </w:p>
        </w:tc>
        <w:tc>
          <w:tcPr>
            <w:tcW w:w="2976" w:type="dxa"/>
            <w:vAlign w:val="center"/>
          </w:tcPr>
          <w:p w14:paraId="2B053517">
            <w:pPr>
              <w:spacing w:line="300" w:lineRule="exact"/>
              <w:rPr>
                <w:rFonts w:ascii="方正书宋_GBK" w:eastAsia="方正书宋_GBK"/>
              </w:rPr>
            </w:pPr>
            <w:r>
              <w:rPr>
                <w:rFonts w:hint="eastAsia" w:ascii="方正书宋_GBK" w:eastAsia="方正书宋_GBK"/>
              </w:rPr>
              <w:t>加强师资培训、交流，培养、引进高水平人才，加强学科建设和学科培育，形成有党校特色的优势学科、重点学科和教学基地。</w:t>
            </w:r>
          </w:p>
        </w:tc>
        <w:tc>
          <w:tcPr>
            <w:tcW w:w="2976" w:type="dxa"/>
            <w:vAlign w:val="center"/>
          </w:tcPr>
          <w:p w14:paraId="177B5110">
            <w:pPr>
              <w:spacing w:line="300" w:lineRule="exact"/>
              <w:rPr>
                <w:rFonts w:ascii="方正书宋_GBK" w:eastAsia="方正书宋_GBK"/>
              </w:rPr>
            </w:pPr>
            <w:r>
              <w:rPr>
                <w:rFonts w:hint="eastAsia" w:ascii="方正书宋_GBK" w:eastAsia="方正书宋_GBK"/>
              </w:rPr>
              <w:t>建设几门党校特色的优势学科</w:t>
            </w:r>
          </w:p>
        </w:tc>
        <w:tc>
          <w:tcPr>
            <w:tcW w:w="1417" w:type="dxa"/>
            <w:vAlign w:val="center"/>
          </w:tcPr>
          <w:p w14:paraId="0C54CC27">
            <w:pPr>
              <w:spacing w:line="300" w:lineRule="exact"/>
              <w:rPr>
                <w:rFonts w:ascii="方正书宋_GBK" w:eastAsia="方正书宋_GBK"/>
              </w:rPr>
            </w:pPr>
            <w:r>
              <w:rPr>
                <w:rFonts w:hint="eastAsia" w:ascii="方正书宋_GBK" w:eastAsia="方正书宋_GBK"/>
              </w:rPr>
              <w:t>以提高教学水平为目的，加强学科建设和学科培育，培育和建设几门有党校特色的优势学科和重点学科</w:t>
            </w:r>
          </w:p>
        </w:tc>
        <w:tc>
          <w:tcPr>
            <w:tcW w:w="737" w:type="dxa"/>
            <w:vAlign w:val="center"/>
          </w:tcPr>
          <w:p w14:paraId="1C7EF81F">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门</w:t>
            </w:r>
          </w:p>
        </w:tc>
        <w:tc>
          <w:tcPr>
            <w:tcW w:w="737" w:type="dxa"/>
            <w:vAlign w:val="center"/>
          </w:tcPr>
          <w:p w14:paraId="3C8B0916">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门</w:t>
            </w:r>
          </w:p>
        </w:tc>
        <w:tc>
          <w:tcPr>
            <w:tcW w:w="737" w:type="dxa"/>
            <w:vAlign w:val="center"/>
          </w:tcPr>
          <w:p w14:paraId="212A150C">
            <w:pPr>
              <w:spacing w:line="300" w:lineRule="exact"/>
              <w:jc w:val="center"/>
              <w:rPr>
                <w:rFonts w:ascii="方正书宋_GBK" w:eastAsia="方正书宋_GBK"/>
              </w:rPr>
            </w:pPr>
            <w:r>
              <w:rPr>
                <w:rFonts w:ascii="方正书宋_GBK" w:eastAsia="方正书宋_GBK"/>
              </w:rPr>
              <w:t>0</w:t>
            </w:r>
            <w:r>
              <w:rPr>
                <w:rFonts w:hint="eastAsia" w:ascii="方正书宋_GBK" w:eastAsia="方正书宋_GBK"/>
              </w:rPr>
              <w:t>门</w:t>
            </w:r>
          </w:p>
        </w:tc>
        <w:tc>
          <w:tcPr>
            <w:tcW w:w="737" w:type="dxa"/>
            <w:vAlign w:val="center"/>
          </w:tcPr>
          <w:p w14:paraId="3F3D67F9">
            <w:pPr>
              <w:spacing w:line="300" w:lineRule="exact"/>
              <w:jc w:val="center"/>
              <w:rPr>
                <w:rFonts w:ascii="方正书宋_GBK" w:eastAsia="方正书宋_GBK"/>
              </w:rPr>
            </w:pPr>
          </w:p>
        </w:tc>
      </w:tr>
      <w:tr w14:paraId="0703E8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AFDFB53">
            <w:pPr>
              <w:spacing w:line="300" w:lineRule="exact"/>
              <w:rPr>
                <w:rFonts w:ascii="方正书宋_GBK" w:eastAsia="方正书宋_GBK"/>
                <w:b/>
              </w:rPr>
            </w:pPr>
            <w:r>
              <w:rPr>
                <w:rFonts w:hint="eastAsia" w:ascii="方正书宋_GBK" w:eastAsia="方正书宋_GBK"/>
                <w:b/>
              </w:rPr>
              <w:t>　　教学事务管理</w:t>
            </w:r>
          </w:p>
        </w:tc>
        <w:tc>
          <w:tcPr>
            <w:tcW w:w="1276" w:type="dxa"/>
            <w:vAlign w:val="center"/>
          </w:tcPr>
          <w:p w14:paraId="21593295">
            <w:pPr>
              <w:spacing w:line="300" w:lineRule="exact"/>
              <w:rPr>
                <w:rFonts w:ascii="方正书宋_GBK" w:eastAsia="方正书宋_GBK"/>
              </w:rPr>
            </w:pPr>
          </w:p>
        </w:tc>
        <w:tc>
          <w:tcPr>
            <w:tcW w:w="2976" w:type="dxa"/>
            <w:vAlign w:val="center"/>
          </w:tcPr>
          <w:p w14:paraId="7BB2E983">
            <w:pPr>
              <w:spacing w:line="300" w:lineRule="exact"/>
              <w:rPr>
                <w:rFonts w:ascii="方正书宋_GBK" w:eastAsia="方正书宋_GBK"/>
              </w:rPr>
            </w:pPr>
            <w:r>
              <w:rPr>
                <w:rFonts w:hint="eastAsia" w:ascii="方正书宋_GBK" w:eastAsia="方正书宋_GBK"/>
              </w:rPr>
              <w:t>组织实施与教学活动和学员培训相关的综合管理和后勤保障事务。</w:t>
            </w:r>
          </w:p>
        </w:tc>
        <w:tc>
          <w:tcPr>
            <w:tcW w:w="2976" w:type="dxa"/>
            <w:vAlign w:val="center"/>
          </w:tcPr>
          <w:p w14:paraId="6229B304">
            <w:pPr>
              <w:spacing w:line="300" w:lineRule="exact"/>
              <w:rPr>
                <w:rFonts w:ascii="方正书宋_GBK" w:eastAsia="方正书宋_GBK"/>
              </w:rPr>
            </w:pPr>
            <w:r>
              <w:rPr>
                <w:rFonts w:hint="eastAsia" w:ascii="方正书宋_GBK" w:eastAsia="方正书宋_GBK"/>
              </w:rPr>
              <w:t>学员对综合事务管理满意度</w:t>
            </w:r>
            <w:r>
              <w:rPr>
                <w:rFonts w:ascii="方正书宋_GBK" w:eastAsia="方正书宋_GBK"/>
              </w:rPr>
              <w:t>%</w:t>
            </w:r>
          </w:p>
        </w:tc>
        <w:tc>
          <w:tcPr>
            <w:tcW w:w="1417" w:type="dxa"/>
            <w:vAlign w:val="center"/>
          </w:tcPr>
          <w:p w14:paraId="1097A4D1">
            <w:pPr>
              <w:spacing w:line="300" w:lineRule="exact"/>
              <w:rPr>
                <w:rFonts w:ascii="方正书宋_GBK" w:eastAsia="方正书宋_GBK"/>
              </w:rPr>
            </w:pPr>
            <w:r>
              <w:rPr>
                <w:rFonts w:hint="eastAsia" w:ascii="方正书宋_GBK" w:eastAsia="方正书宋_GBK"/>
              </w:rPr>
              <w:t>学员对与教学活动和学员培训相关联的行政运行、后勤保障事务的满意度</w:t>
            </w:r>
          </w:p>
        </w:tc>
        <w:tc>
          <w:tcPr>
            <w:tcW w:w="737" w:type="dxa"/>
            <w:vAlign w:val="center"/>
          </w:tcPr>
          <w:p w14:paraId="14BD2639">
            <w:pPr>
              <w:spacing w:line="300" w:lineRule="exact"/>
              <w:jc w:val="center"/>
              <w:rPr>
                <w:rFonts w:ascii="方正书宋_GBK" w:eastAsia="方正书宋_GBK"/>
              </w:rPr>
            </w:pPr>
            <w:r>
              <w:rPr>
                <w:rFonts w:ascii="方正书宋_GBK" w:eastAsia="方正书宋_GBK"/>
              </w:rPr>
              <w:t>0.8</w:t>
            </w:r>
          </w:p>
        </w:tc>
        <w:tc>
          <w:tcPr>
            <w:tcW w:w="737" w:type="dxa"/>
            <w:vAlign w:val="center"/>
          </w:tcPr>
          <w:p w14:paraId="2F81CFD2">
            <w:pPr>
              <w:spacing w:line="300" w:lineRule="exact"/>
              <w:jc w:val="center"/>
              <w:rPr>
                <w:rFonts w:ascii="方正书宋_GBK" w:eastAsia="方正书宋_GBK"/>
              </w:rPr>
            </w:pPr>
            <w:r>
              <w:rPr>
                <w:rFonts w:ascii="方正书宋_GBK" w:eastAsia="方正书宋_GBK"/>
              </w:rPr>
              <w:t>0.7</w:t>
            </w:r>
          </w:p>
        </w:tc>
        <w:tc>
          <w:tcPr>
            <w:tcW w:w="737" w:type="dxa"/>
            <w:vAlign w:val="center"/>
          </w:tcPr>
          <w:p w14:paraId="34E10747">
            <w:pPr>
              <w:spacing w:line="300" w:lineRule="exact"/>
              <w:jc w:val="center"/>
              <w:rPr>
                <w:rFonts w:ascii="方正书宋_GBK" w:eastAsia="方正书宋_GBK"/>
              </w:rPr>
            </w:pPr>
            <w:r>
              <w:rPr>
                <w:rFonts w:ascii="方正书宋_GBK" w:eastAsia="方正书宋_GBK"/>
              </w:rPr>
              <w:t>70%</w:t>
            </w:r>
            <w:r>
              <w:rPr>
                <w:rFonts w:hint="eastAsia" w:ascii="方正书宋_GBK" w:eastAsia="方正书宋_GBK"/>
              </w:rPr>
              <w:t>以下</w:t>
            </w:r>
          </w:p>
        </w:tc>
        <w:tc>
          <w:tcPr>
            <w:tcW w:w="737" w:type="dxa"/>
            <w:vAlign w:val="center"/>
          </w:tcPr>
          <w:p w14:paraId="439E2183">
            <w:pPr>
              <w:spacing w:line="300" w:lineRule="exact"/>
              <w:jc w:val="center"/>
              <w:rPr>
                <w:rFonts w:ascii="方正书宋_GBK" w:eastAsia="方正书宋_GBK"/>
              </w:rPr>
            </w:pPr>
          </w:p>
        </w:tc>
      </w:tr>
    </w:tbl>
    <w:p w14:paraId="6267EABF">
      <w:pPr>
        <w:ind w:firstLine="560"/>
        <w:rPr>
          <w:rFonts w:ascii="楷体_GB2312" w:hAnsi="黑体" w:eastAsia="楷体_GB2312"/>
          <w:b/>
          <w:sz w:val="32"/>
          <w:szCs w:val="32"/>
        </w:rPr>
      </w:pPr>
    </w:p>
    <w:p w14:paraId="15AEDCB0">
      <w:pPr>
        <w:ind w:firstLine="560"/>
        <w:rPr>
          <w:rFonts w:ascii="楷体_GB2312" w:hAnsi="黑体" w:eastAsia="楷体_GB2312"/>
          <w:b/>
          <w:sz w:val="32"/>
          <w:szCs w:val="32"/>
        </w:rPr>
      </w:pPr>
    </w:p>
    <w:bookmarkEnd w:id="0"/>
    <w:p w14:paraId="5ACB88AC">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14:paraId="3A87FA5D">
      <w:pPr>
        <w:outlineLvl w:val="0"/>
        <w:rPr>
          <w:rFonts w:ascii="仿宋_GB2312" w:hAnsi="Times New Roman" w:eastAsia="仿宋_GB2312"/>
          <w:sz w:val="32"/>
          <w:szCs w:val="24"/>
        </w:rPr>
      </w:pPr>
      <w:bookmarkStart w:id="2"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2018</w:t>
      </w:r>
      <w:r>
        <w:rPr>
          <w:rFonts w:hint="eastAsia" w:ascii="仿宋_GB2312" w:hAnsi="Times New Roman" w:eastAsia="仿宋_GB2312"/>
          <w:sz w:val="32"/>
          <w:szCs w:val="24"/>
        </w:rPr>
        <w:t>年，我单位安排政府采购预算</w:t>
      </w:r>
      <w:r>
        <w:rPr>
          <w:rFonts w:hint="eastAsia" w:ascii="仿宋_GB2312" w:hAnsi="Times New Roman" w:eastAsia="仿宋_GB2312"/>
          <w:sz w:val="32"/>
          <w:szCs w:val="24"/>
          <w:lang w:val="en-US" w:eastAsia="zh-CN"/>
        </w:rPr>
        <w:t>1</w:t>
      </w:r>
      <w:r>
        <w:rPr>
          <w:rFonts w:ascii="仿宋_GB2312" w:hAnsi="Times New Roman" w:eastAsia="仿宋_GB2312"/>
          <w:sz w:val="32"/>
          <w:szCs w:val="24"/>
        </w:rPr>
        <w:t>.5</w:t>
      </w:r>
      <w:r>
        <w:rPr>
          <w:rFonts w:hint="eastAsia" w:ascii="仿宋_GB2312" w:hAnsi="Times New Roman" w:eastAsia="仿宋_GB2312"/>
          <w:sz w:val="32"/>
          <w:szCs w:val="24"/>
        </w:rPr>
        <w:t>万元。具体内容见下表。</w:t>
      </w:r>
    </w:p>
    <w:bookmarkEnd w:id="2"/>
    <w:p w14:paraId="046C8EA7">
      <w:pPr>
        <w:jc w:val="center"/>
        <w:outlineLvl w:val="0"/>
        <w:rPr>
          <w:rFonts w:ascii="方正小标宋_GBK" w:eastAsia="方正小标宋_GBK"/>
          <w:sz w:val="32"/>
        </w:rPr>
      </w:pPr>
      <w:bookmarkStart w:id="3" w:name="_Toc504489153"/>
      <w:r>
        <w:rPr>
          <w:rFonts w:hint="eastAsia" w:ascii="方正小标宋_GBK" w:eastAsia="方正小标宋_GBK"/>
          <w:sz w:val="32"/>
        </w:rPr>
        <w:t>部门政府采购预算</w:t>
      </w:r>
      <w:bookmarkEnd w:id="3"/>
    </w:p>
    <w:tbl>
      <w:tblPr>
        <w:tblStyle w:val="9"/>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1060"/>
        <w:gridCol w:w="1100"/>
        <w:gridCol w:w="1233"/>
        <w:gridCol w:w="722"/>
        <w:gridCol w:w="722"/>
        <w:gridCol w:w="893"/>
        <w:gridCol w:w="923"/>
        <w:gridCol w:w="923"/>
        <w:gridCol w:w="923"/>
        <w:gridCol w:w="923"/>
        <w:gridCol w:w="926"/>
        <w:gridCol w:w="927"/>
        <w:gridCol w:w="884"/>
      </w:tblGrid>
      <w:tr w14:paraId="7F84B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139" w:type="dxa"/>
            <w:gridSpan w:val="7"/>
            <w:tcBorders>
              <w:top w:val="single" w:color="FFFFFF" w:sz="6" w:space="0"/>
              <w:left w:val="single" w:color="FFFFFF" w:sz="6" w:space="0"/>
              <w:right w:val="single" w:color="FFFFFF" w:sz="6" w:space="0"/>
            </w:tcBorders>
            <w:vAlign w:val="center"/>
          </w:tcPr>
          <w:p w14:paraId="13437C56">
            <w:pPr>
              <w:spacing w:line="300" w:lineRule="exact"/>
              <w:jc w:val="left"/>
              <w:rPr>
                <w:rFonts w:hint="eastAsia" w:ascii="方正小标宋_GBK" w:eastAsia="方正小标宋_GBK"/>
                <w:sz w:val="24"/>
                <w:lang w:eastAsia="zh-CN"/>
              </w:rPr>
            </w:pPr>
            <w:r>
              <w:rPr>
                <w:rFonts w:hint="eastAsia" w:ascii="方正小标宋_GBK" w:eastAsia="方正小标宋_GBK"/>
                <w:sz w:val="24"/>
                <w:lang w:eastAsia="zh-CN"/>
              </w:rPr>
              <w:t>馆陶县委党校</w:t>
            </w:r>
          </w:p>
        </w:tc>
        <w:tc>
          <w:tcPr>
            <w:tcW w:w="6429" w:type="dxa"/>
            <w:gridSpan w:val="7"/>
            <w:tcBorders>
              <w:top w:val="single" w:color="FFFFFF" w:sz="6" w:space="0"/>
              <w:left w:val="single" w:color="FFFFFF" w:sz="6" w:space="0"/>
              <w:right w:val="single" w:color="FFFFFF" w:sz="6" w:space="0"/>
            </w:tcBorders>
            <w:vAlign w:val="center"/>
          </w:tcPr>
          <w:p w14:paraId="24A8D9B3">
            <w:pPr>
              <w:spacing w:line="300" w:lineRule="exact"/>
              <w:jc w:val="right"/>
              <w:rPr>
                <w:rFonts w:ascii="方正书宋_GBK" w:eastAsia="方正书宋_GBK"/>
                <w:sz w:val="24"/>
              </w:rPr>
            </w:pPr>
            <w:r>
              <w:rPr>
                <w:rFonts w:hint="eastAsia" w:ascii="方正书宋_GBK" w:eastAsia="方正书宋_GBK"/>
                <w:sz w:val="24"/>
              </w:rPr>
              <w:t>单位：万元</w:t>
            </w:r>
          </w:p>
        </w:tc>
      </w:tr>
      <w:tr w14:paraId="26247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9" w:type="dxa"/>
            <w:gridSpan w:val="2"/>
            <w:vAlign w:val="center"/>
          </w:tcPr>
          <w:p w14:paraId="234A02CE">
            <w:pPr>
              <w:spacing w:line="300" w:lineRule="exact"/>
              <w:jc w:val="center"/>
              <w:rPr>
                <w:rFonts w:ascii="方正书宋_GBK" w:eastAsia="方正书宋_GBK"/>
                <w:b/>
              </w:rPr>
            </w:pPr>
            <w:r>
              <w:rPr>
                <w:rFonts w:hint="eastAsia" w:ascii="方正书宋_GBK" w:eastAsia="方正书宋_GBK"/>
                <w:b/>
              </w:rPr>
              <w:t>政府采购项目来源</w:t>
            </w:r>
          </w:p>
        </w:tc>
        <w:tc>
          <w:tcPr>
            <w:tcW w:w="1100" w:type="dxa"/>
            <w:vMerge w:val="restart"/>
            <w:vAlign w:val="center"/>
          </w:tcPr>
          <w:p w14:paraId="5F0220F4">
            <w:pPr>
              <w:spacing w:line="300" w:lineRule="exact"/>
              <w:jc w:val="center"/>
              <w:rPr>
                <w:rFonts w:ascii="方正书宋_GBK" w:eastAsia="方正书宋_GBK"/>
                <w:b/>
              </w:rPr>
            </w:pPr>
            <w:r>
              <w:rPr>
                <w:rFonts w:hint="eastAsia" w:ascii="方正书宋_GBK" w:eastAsia="方正书宋_GBK"/>
                <w:b/>
              </w:rPr>
              <w:t>采购物品名称</w:t>
            </w:r>
          </w:p>
        </w:tc>
        <w:tc>
          <w:tcPr>
            <w:tcW w:w="1233" w:type="dxa"/>
            <w:vMerge w:val="restart"/>
            <w:vAlign w:val="center"/>
          </w:tcPr>
          <w:p w14:paraId="40ADA5F0">
            <w:pPr>
              <w:spacing w:line="300" w:lineRule="exact"/>
              <w:jc w:val="center"/>
              <w:rPr>
                <w:rFonts w:ascii="方正书宋_GBK" w:eastAsia="方正书宋_GBK"/>
                <w:b/>
              </w:rPr>
            </w:pPr>
            <w:r>
              <w:rPr>
                <w:rFonts w:hint="eastAsia" w:ascii="方正书宋_GBK" w:eastAsia="方正书宋_GBK"/>
                <w:b/>
              </w:rPr>
              <w:t>政府采购目录序号</w:t>
            </w:r>
          </w:p>
        </w:tc>
        <w:tc>
          <w:tcPr>
            <w:tcW w:w="722" w:type="dxa"/>
            <w:vMerge w:val="restart"/>
            <w:vAlign w:val="center"/>
          </w:tcPr>
          <w:p w14:paraId="53E01F6D">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722" w:type="dxa"/>
            <w:vMerge w:val="restart"/>
            <w:vAlign w:val="center"/>
          </w:tcPr>
          <w:p w14:paraId="27B975E6">
            <w:pPr>
              <w:spacing w:line="300" w:lineRule="exact"/>
              <w:jc w:val="center"/>
              <w:rPr>
                <w:rFonts w:ascii="方正书宋_GBK" w:eastAsia="方正书宋_GBK"/>
                <w:b/>
              </w:rPr>
            </w:pPr>
            <w:r>
              <w:rPr>
                <w:rFonts w:hint="eastAsia" w:ascii="方正书宋_GBK" w:eastAsia="方正书宋_GBK"/>
                <w:b/>
              </w:rPr>
              <w:t>数量</w:t>
            </w:r>
          </w:p>
        </w:tc>
        <w:tc>
          <w:tcPr>
            <w:tcW w:w="893" w:type="dxa"/>
            <w:vMerge w:val="restart"/>
            <w:vAlign w:val="center"/>
          </w:tcPr>
          <w:p w14:paraId="62E9E249">
            <w:pPr>
              <w:spacing w:line="300" w:lineRule="exact"/>
              <w:jc w:val="center"/>
              <w:rPr>
                <w:rFonts w:ascii="方正书宋_GBK" w:eastAsia="方正书宋_GBK"/>
                <w:b/>
              </w:rPr>
            </w:pPr>
            <w:r>
              <w:rPr>
                <w:rFonts w:hint="eastAsia" w:ascii="方正书宋_GBK" w:eastAsia="方正书宋_GBK"/>
                <w:b/>
              </w:rPr>
              <w:t>单价</w:t>
            </w:r>
          </w:p>
        </w:tc>
        <w:tc>
          <w:tcPr>
            <w:tcW w:w="6429" w:type="dxa"/>
            <w:gridSpan w:val="7"/>
            <w:vAlign w:val="center"/>
          </w:tcPr>
          <w:p w14:paraId="7E1275B0">
            <w:pPr>
              <w:spacing w:line="300" w:lineRule="exact"/>
              <w:jc w:val="center"/>
              <w:rPr>
                <w:rFonts w:ascii="方正书宋_GBK" w:eastAsia="方正书宋_GBK"/>
                <w:b/>
              </w:rPr>
            </w:pPr>
            <w:r>
              <w:rPr>
                <w:rFonts w:hint="eastAsia" w:ascii="方正书宋_GBK" w:eastAsia="方正书宋_GBK"/>
                <w:b/>
              </w:rPr>
              <w:t>政府采购金额</w:t>
            </w:r>
          </w:p>
        </w:tc>
      </w:tr>
      <w:tr w14:paraId="57DB9E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restart"/>
            <w:vAlign w:val="center"/>
          </w:tcPr>
          <w:p w14:paraId="64C22DC4">
            <w:pPr>
              <w:spacing w:line="300" w:lineRule="exact"/>
              <w:jc w:val="center"/>
              <w:rPr>
                <w:rFonts w:ascii="方正书宋_GBK" w:eastAsia="方正书宋_GBK"/>
                <w:b/>
              </w:rPr>
            </w:pPr>
            <w:r>
              <w:rPr>
                <w:rFonts w:hint="eastAsia" w:ascii="方正书宋_GBK" w:eastAsia="方正书宋_GBK"/>
                <w:b/>
              </w:rPr>
              <w:t>项目名称</w:t>
            </w:r>
          </w:p>
        </w:tc>
        <w:tc>
          <w:tcPr>
            <w:tcW w:w="1060" w:type="dxa"/>
            <w:vMerge w:val="restart"/>
            <w:vAlign w:val="center"/>
          </w:tcPr>
          <w:p w14:paraId="20DC2C6E">
            <w:pPr>
              <w:spacing w:line="300" w:lineRule="exact"/>
              <w:jc w:val="center"/>
              <w:rPr>
                <w:rFonts w:ascii="方正书宋_GBK" w:eastAsia="方正书宋_GBK"/>
                <w:b/>
              </w:rPr>
            </w:pPr>
            <w:r>
              <w:rPr>
                <w:rFonts w:hint="eastAsia" w:ascii="方正书宋_GBK" w:eastAsia="方正书宋_GBK"/>
                <w:b/>
              </w:rPr>
              <w:t>预算资金</w:t>
            </w:r>
          </w:p>
        </w:tc>
        <w:tc>
          <w:tcPr>
            <w:tcW w:w="1100" w:type="dxa"/>
            <w:vMerge w:val="continue"/>
            <w:vAlign w:val="center"/>
          </w:tcPr>
          <w:p w14:paraId="6E149B2D">
            <w:pPr>
              <w:spacing w:line="300" w:lineRule="exact"/>
              <w:jc w:val="left"/>
              <w:outlineLvl w:val="0"/>
            </w:pPr>
          </w:p>
        </w:tc>
        <w:tc>
          <w:tcPr>
            <w:tcW w:w="1233" w:type="dxa"/>
            <w:vMerge w:val="continue"/>
            <w:vAlign w:val="center"/>
          </w:tcPr>
          <w:p w14:paraId="19D65D1C">
            <w:pPr>
              <w:spacing w:line="300" w:lineRule="exact"/>
              <w:jc w:val="left"/>
              <w:outlineLvl w:val="0"/>
            </w:pPr>
          </w:p>
        </w:tc>
        <w:tc>
          <w:tcPr>
            <w:tcW w:w="722" w:type="dxa"/>
            <w:vMerge w:val="continue"/>
            <w:vAlign w:val="center"/>
          </w:tcPr>
          <w:p w14:paraId="5C75313A">
            <w:pPr>
              <w:spacing w:line="300" w:lineRule="exact"/>
              <w:jc w:val="left"/>
              <w:outlineLvl w:val="0"/>
            </w:pPr>
          </w:p>
        </w:tc>
        <w:tc>
          <w:tcPr>
            <w:tcW w:w="722" w:type="dxa"/>
            <w:vMerge w:val="continue"/>
            <w:vAlign w:val="center"/>
          </w:tcPr>
          <w:p w14:paraId="446C115C">
            <w:pPr>
              <w:spacing w:line="300" w:lineRule="exact"/>
              <w:jc w:val="left"/>
              <w:outlineLvl w:val="0"/>
            </w:pPr>
          </w:p>
        </w:tc>
        <w:tc>
          <w:tcPr>
            <w:tcW w:w="893" w:type="dxa"/>
            <w:vMerge w:val="continue"/>
            <w:vAlign w:val="center"/>
          </w:tcPr>
          <w:p w14:paraId="1E3B4949">
            <w:pPr>
              <w:spacing w:line="300" w:lineRule="exact"/>
              <w:jc w:val="left"/>
              <w:outlineLvl w:val="0"/>
            </w:pPr>
          </w:p>
        </w:tc>
        <w:tc>
          <w:tcPr>
            <w:tcW w:w="923" w:type="dxa"/>
            <w:vMerge w:val="restart"/>
            <w:vAlign w:val="center"/>
          </w:tcPr>
          <w:p w14:paraId="37DBAF5D">
            <w:pPr>
              <w:spacing w:line="300" w:lineRule="exact"/>
              <w:jc w:val="center"/>
              <w:rPr>
                <w:rFonts w:ascii="方正书宋_GBK" w:eastAsia="方正书宋_GBK"/>
                <w:b/>
              </w:rPr>
            </w:pPr>
            <w:r>
              <w:rPr>
                <w:rFonts w:hint="eastAsia" w:ascii="方正书宋_GBK" w:eastAsia="方正书宋_GBK"/>
                <w:b/>
              </w:rPr>
              <w:t>总计</w:t>
            </w:r>
          </w:p>
        </w:tc>
        <w:tc>
          <w:tcPr>
            <w:tcW w:w="4622" w:type="dxa"/>
            <w:gridSpan w:val="5"/>
            <w:vAlign w:val="center"/>
          </w:tcPr>
          <w:p w14:paraId="0CC75214">
            <w:pPr>
              <w:spacing w:line="300" w:lineRule="exact"/>
              <w:jc w:val="center"/>
              <w:rPr>
                <w:rFonts w:ascii="方正书宋_GBK" w:eastAsia="方正书宋_GBK"/>
                <w:b/>
              </w:rPr>
            </w:pPr>
            <w:r>
              <w:rPr>
                <w:rFonts w:hint="eastAsia" w:ascii="方正书宋_GBK" w:eastAsia="方正书宋_GBK"/>
                <w:b/>
              </w:rPr>
              <w:t>当年部门预算安排资金</w:t>
            </w:r>
          </w:p>
        </w:tc>
        <w:tc>
          <w:tcPr>
            <w:tcW w:w="884" w:type="dxa"/>
            <w:vMerge w:val="restart"/>
            <w:vAlign w:val="center"/>
          </w:tcPr>
          <w:p w14:paraId="6A19D5F7">
            <w:pPr>
              <w:spacing w:line="300" w:lineRule="exact"/>
              <w:jc w:val="center"/>
              <w:rPr>
                <w:rFonts w:ascii="方正书宋_GBK" w:eastAsia="方正书宋_GBK"/>
                <w:b/>
              </w:rPr>
            </w:pPr>
            <w:r>
              <w:rPr>
                <w:rFonts w:hint="eastAsia" w:ascii="方正书宋_GBK" w:eastAsia="方正书宋_GBK"/>
                <w:b/>
              </w:rPr>
              <w:t>其他渠道资金</w:t>
            </w:r>
          </w:p>
        </w:tc>
      </w:tr>
      <w:tr w14:paraId="7CAC10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continue"/>
            <w:vAlign w:val="center"/>
          </w:tcPr>
          <w:p w14:paraId="2C85A1EB">
            <w:pPr>
              <w:spacing w:line="300" w:lineRule="exact"/>
              <w:jc w:val="left"/>
              <w:outlineLvl w:val="0"/>
            </w:pPr>
          </w:p>
        </w:tc>
        <w:tc>
          <w:tcPr>
            <w:tcW w:w="1060" w:type="dxa"/>
            <w:vMerge w:val="continue"/>
            <w:vAlign w:val="center"/>
          </w:tcPr>
          <w:p w14:paraId="2834F527">
            <w:pPr>
              <w:spacing w:line="300" w:lineRule="exact"/>
              <w:jc w:val="left"/>
              <w:outlineLvl w:val="0"/>
            </w:pPr>
          </w:p>
        </w:tc>
        <w:tc>
          <w:tcPr>
            <w:tcW w:w="1100" w:type="dxa"/>
            <w:vMerge w:val="continue"/>
            <w:vAlign w:val="center"/>
          </w:tcPr>
          <w:p w14:paraId="17F57988">
            <w:pPr>
              <w:spacing w:line="300" w:lineRule="exact"/>
              <w:jc w:val="left"/>
              <w:outlineLvl w:val="0"/>
            </w:pPr>
          </w:p>
        </w:tc>
        <w:tc>
          <w:tcPr>
            <w:tcW w:w="1233" w:type="dxa"/>
            <w:vMerge w:val="continue"/>
            <w:vAlign w:val="center"/>
          </w:tcPr>
          <w:p w14:paraId="05C61EA4">
            <w:pPr>
              <w:spacing w:line="300" w:lineRule="exact"/>
              <w:jc w:val="left"/>
              <w:outlineLvl w:val="0"/>
            </w:pPr>
          </w:p>
        </w:tc>
        <w:tc>
          <w:tcPr>
            <w:tcW w:w="722" w:type="dxa"/>
            <w:vMerge w:val="continue"/>
            <w:vAlign w:val="center"/>
          </w:tcPr>
          <w:p w14:paraId="0CA4B0F6">
            <w:pPr>
              <w:spacing w:line="300" w:lineRule="exact"/>
              <w:jc w:val="left"/>
              <w:outlineLvl w:val="0"/>
            </w:pPr>
          </w:p>
        </w:tc>
        <w:tc>
          <w:tcPr>
            <w:tcW w:w="722" w:type="dxa"/>
            <w:vMerge w:val="continue"/>
            <w:vAlign w:val="center"/>
          </w:tcPr>
          <w:p w14:paraId="43B22B39">
            <w:pPr>
              <w:spacing w:line="300" w:lineRule="exact"/>
              <w:jc w:val="left"/>
              <w:outlineLvl w:val="0"/>
            </w:pPr>
          </w:p>
        </w:tc>
        <w:tc>
          <w:tcPr>
            <w:tcW w:w="893" w:type="dxa"/>
            <w:vMerge w:val="continue"/>
            <w:vAlign w:val="center"/>
          </w:tcPr>
          <w:p w14:paraId="29745C4E">
            <w:pPr>
              <w:spacing w:line="300" w:lineRule="exact"/>
              <w:jc w:val="left"/>
              <w:outlineLvl w:val="0"/>
            </w:pPr>
          </w:p>
        </w:tc>
        <w:tc>
          <w:tcPr>
            <w:tcW w:w="923" w:type="dxa"/>
            <w:vMerge w:val="continue"/>
            <w:vAlign w:val="center"/>
          </w:tcPr>
          <w:p w14:paraId="479B884A">
            <w:pPr>
              <w:spacing w:line="300" w:lineRule="exact"/>
              <w:jc w:val="left"/>
              <w:outlineLvl w:val="0"/>
            </w:pPr>
          </w:p>
        </w:tc>
        <w:tc>
          <w:tcPr>
            <w:tcW w:w="923" w:type="dxa"/>
            <w:vAlign w:val="center"/>
          </w:tcPr>
          <w:p w14:paraId="4696F3BD">
            <w:pPr>
              <w:spacing w:line="300" w:lineRule="exact"/>
              <w:jc w:val="center"/>
              <w:rPr>
                <w:rFonts w:ascii="方正书宋_GBK" w:eastAsia="方正书宋_GBK"/>
                <w:b/>
              </w:rPr>
            </w:pPr>
            <w:r>
              <w:rPr>
                <w:rFonts w:hint="eastAsia" w:ascii="方正书宋_GBK" w:eastAsia="方正书宋_GBK"/>
                <w:b/>
              </w:rPr>
              <w:t>合计</w:t>
            </w:r>
          </w:p>
        </w:tc>
        <w:tc>
          <w:tcPr>
            <w:tcW w:w="923" w:type="dxa"/>
            <w:vAlign w:val="center"/>
          </w:tcPr>
          <w:p w14:paraId="470FCF38">
            <w:pPr>
              <w:spacing w:line="300" w:lineRule="exact"/>
              <w:jc w:val="center"/>
              <w:rPr>
                <w:rFonts w:ascii="方正书宋_GBK" w:eastAsia="方正书宋_GBK"/>
                <w:b/>
              </w:rPr>
            </w:pPr>
            <w:r>
              <w:rPr>
                <w:rFonts w:hint="eastAsia" w:ascii="方正书宋_GBK" w:eastAsia="方正书宋_GBK"/>
                <w:b/>
              </w:rPr>
              <w:t>一般公共预算拨款</w:t>
            </w:r>
          </w:p>
        </w:tc>
        <w:tc>
          <w:tcPr>
            <w:tcW w:w="923" w:type="dxa"/>
            <w:vAlign w:val="center"/>
          </w:tcPr>
          <w:p w14:paraId="03F9B7CC">
            <w:pPr>
              <w:spacing w:line="300" w:lineRule="exact"/>
              <w:jc w:val="center"/>
              <w:rPr>
                <w:rFonts w:ascii="方正书宋_GBK" w:eastAsia="方正书宋_GBK"/>
                <w:b/>
              </w:rPr>
            </w:pPr>
            <w:r>
              <w:rPr>
                <w:rFonts w:hint="eastAsia" w:ascii="方正书宋_GBK" w:eastAsia="方正书宋_GBK"/>
                <w:b/>
              </w:rPr>
              <w:t>基金预算拨款</w:t>
            </w:r>
          </w:p>
        </w:tc>
        <w:tc>
          <w:tcPr>
            <w:tcW w:w="926" w:type="dxa"/>
            <w:vAlign w:val="center"/>
          </w:tcPr>
          <w:p w14:paraId="1978C228">
            <w:pPr>
              <w:spacing w:line="300" w:lineRule="exact"/>
              <w:jc w:val="center"/>
              <w:rPr>
                <w:rFonts w:ascii="方正书宋_GBK" w:eastAsia="方正书宋_GBK"/>
                <w:b/>
              </w:rPr>
            </w:pPr>
            <w:r>
              <w:rPr>
                <w:rFonts w:hint="eastAsia" w:ascii="方正书宋_GBK" w:eastAsia="方正书宋_GBK"/>
                <w:b/>
              </w:rPr>
              <w:t>财政专户核拨</w:t>
            </w:r>
          </w:p>
        </w:tc>
        <w:tc>
          <w:tcPr>
            <w:tcW w:w="927" w:type="dxa"/>
            <w:vAlign w:val="center"/>
          </w:tcPr>
          <w:p w14:paraId="2AF525B4">
            <w:pPr>
              <w:spacing w:line="300" w:lineRule="exact"/>
              <w:jc w:val="center"/>
              <w:rPr>
                <w:rFonts w:ascii="方正书宋_GBK" w:eastAsia="方正书宋_GBK"/>
                <w:b/>
              </w:rPr>
            </w:pPr>
            <w:r>
              <w:rPr>
                <w:rFonts w:hint="eastAsia" w:ascii="方正书宋_GBK" w:eastAsia="方正书宋_GBK"/>
                <w:b/>
              </w:rPr>
              <w:t>其他来源收入</w:t>
            </w:r>
          </w:p>
        </w:tc>
        <w:tc>
          <w:tcPr>
            <w:tcW w:w="884" w:type="dxa"/>
            <w:vMerge w:val="continue"/>
            <w:vAlign w:val="center"/>
          </w:tcPr>
          <w:p w14:paraId="0F6E8B1B">
            <w:pPr>
              <w:spacing w:line="300" w:lineRule="exact"/>
              <w:jc w:val="left"/>
              <w:outlineLvl w:val="0"/>
            </w:pPr>
          </w:p>
        </w:tc>
      </w:tr>
      <w:tr w14:paraId="7250E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1BC5CC89">
            <w:pPr>
              <w:spacing w:line="300" w:lineRule="exact"/>
              <w:jc w:val="center"/>
              <w:rPr>
                <w:rFonts w:ascii="方正书宋_GBK" w:eastAsia="方正书宋_GBK"/>
                <w:b/>
              </w:rPr>
            </w:pPr>
            <w:r>
              <w:rPr>
                <w:rFonts w:hint="eastAsia" w:ascii="方正书宋_GBK" w:eastAsia="方正书宋_GBK"/>
                <w:b/>
              </w:rPr>
              <w:t>合　计</w:t>
            </w:r>
          </w:p>
        </w:tc>
        <w:tc>
          <w:tcPr>
            <w:tcW w:w="1060" w:type="dxa"/>
            <w:vAlign w:val="center"/>
          </w:tcPr>
          <w:p w14:paraId="4281E7B5">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1.5</w:t>
            </w:r>
          </w:p>
        </w:tc>
        <w:tc>
          <w:tcPr>
            <w:tcW w:w="1100" w:type="dxa"/>
            <w:vAlign w:val="center"/>
          </w:tcPr>
          <w:p w14:paraId="73BD9FA9">
            <w:pPr>
              <w:spacing w:line="300" w:lineRule="exact"/>
              <w:jc w:val="left"/>
              <w:rPr>
                <w:rFonts w:ascii="方正书宋_GBK" w:eastAsia="方正书宋_GBK"/>
                <w:b/>
              </w:rPr>
            </w:pPr>
          </w:p>
        </w:tc>
        <w:tc>
          <w:tcPr>
            <w:tcW w:w="1233" w:type="dxa"/>
            <w:vAlign w:val="center"/>
          </w:tcPr>
          <w:p w14:paraId="638B3A74">
            <w:pPr>
              <w:spacing w:line="300" w:lineRule="exact"/>
              <w:jc w:val="left"/>
              <w:rPr>
                <w:rFonts w:ascii="方正书宋_GBK" w:eastAsia="方正书宋_GBK"/>
                <w:b/>
              </w:rPr>
            </w:pPr>
          </w:p>
        </w:tc>
        <w:tc>
          <w:tcPr>
            <w:tcW w:w="722" w:type="dxa"/>
            <w:vAlign w:val="center"/>
          </w:tcPr>
          <w:p w14:paraId="6D44B2A8">
            <w:pPr>
              <w:spacing w:line="300" w:lineRule="exact"/>
              <w:jc w:val="left"/>
              <w:rPr>
                <w:rFonts w:ascii="方正书宋_GBK" w:eastAsia="方正书宋_GBK"/>
                <w:b/>
              </w:rPr>
            </w:pPr>
          </w:p>
        </w:tc>
        <w:tc>
          <w:tcPr>
            <w:tcW w:w="722" w:type="dxa"/>
            <w:vAlign w:val="center"/>
          </w:tcPr>
          <w:p w14:paraId="724EAFA7">
            <w:pPr>
              <w:spacing w:line="300" w:lineRule="exact"/>
              <w:jc w:val="right"/>
              <w:rPr>
                <w:rFonts w:ascii="方正书宋_GBK" w:eastAsia="方正书宋_GBK"/>
                <w:b/>
              </w:rPr>
            </w:pPr>
          </w:p>
        </w:tc>
        <w:tc>
          <w:tcPr>
            <w:tcW w:w="893" w:type="dxa"/>
            <w:vAlign w:val="center"/>
          </w:tcPr>
          <w:p w14:paraId="286C2AAD">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4</w:t>
            </w:r>
          </w:p>
        </w:tc>
        <w:tc>
          <w:tcPr>
            <w:tcW w:w="923" w:type="dxa"/>
            <w:vAlign w:val="center"/>
          </w:tcPr>
          <w:p w14:paraId="2DFC8665">
            <w:pPr>
              <w:spacing w:line="300" w:lineRule="exact"/>
              <w:jc w:val="center"/>
              <w:rPr>
                <w:rFonts w:ascii="方正书宋_GBK" w:eastAsia="方正书宋_GBK"/>
                <w:b/>
              </w:rPr>
            </w:pPr>
            <w:r>
              <w:rPr>
                <w:rFonts w:ascii="方正书宋_GBK" w:eastAsia="方正书宋_GBK"/>
                <w:b/>
              </w:rPr>
              <w:t>0.5</w:t>
            </w:r>
          </w:p>
        </w:tc>
        <w:tc>
          <w:tcPr>
            <w:tcW w:w="923" w:type="dxa"/>
            <w:vAlign w:val="center"/>
          </w:tcPr>
          <w:p w14:paraId="4C2BF96B">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1</w:t>
            </w:r>
            <w:r>
              <w:rPr>
                <w:rFonts w:ascii="方正书宋_GBK" w:eastAsia="方正书宋_GBK"/>
                <w:b/>
              </w:rPr>
              <w:t>.</w:t>
            </w:r>
            <w:r>
              <w:rPr>
                <w:rFonts w:hint="eastAsia" w:ascii="方正书宋_GBK" w:eastAsia="方正书宋_GBK"/>
                <w:b/>
                <w:lang w:val="en-US" w:eastAsia="zh-CN"/>
              </w:rPr>
              <w:t>5</w:t>
            </w:r>
          </w:p>
        </w:tc>
        <w:tc>
          <w:tcPr>
            <w:tcW w:w="923" w:type="dxa"/>
            <w:vAlign w:val="center"/>
          </w:tcPr>
          <w:p w14:paraId="799DE120">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1</w:t>
            </w:r>
            <w:r>
              <w:rPr>
                <w:rFonts w:ascii="方正书宋_GBK" w:eastAsia="方正书宋_GBK"/>
                <w:b/>
              </w:rPr>
              <w:t>.</w:t>
            </w:r>
            <w:r>
              <w:rPr>
                <w:rFonts w:hint="eastAsia" w:ascii="方正书宋_GBK" w:eastAsia="方正书宋_GBK"/>
                <w:b/>
                <w:lang w:val="en-US" w:eastAsia="zh-CN"/>
              </w:rPr>
              <w:t>5</w:t>
            </w:r>
          </w:p>
        </w:tc>
        <w:tc>
          <w:tcPr>
            <w:tcW w:w="923" w:type="dxa"/>
            <w:vAlign w:val="center"/>
          </w:tcPr>
          <w:p w14:paraId="291D29F9">
            <w:pPr>
              <w:spacing w:line="300" w:lineRule="exact"/>
              <w:rPr>
                <w:rFonts w:ascii="方正书宋_GBK" w:eastAsia="方正书宋_GBK"/>
                <w:b/>
              </w:rPr>
            </w:pPr>
          </w:p>
        </w:tc>
        <w:tc>
          <w:tcPr>
            <w:tcW w:w="926" w:type="dxa"/>
            <w:vAlign w:val="center"/>
          </w:tcPr>
          <w:p w14:paraId="255131B9">
            <w:pPr>
              <w:spacing w:line="300" w:lineRule="exact"/>
              <w:rPr>
                <w:rFonts w:ascii="方正书宋_GBK" w:eastAsia="方正书宋_GBK"/>
                <w:b/>
              </w:rPr>
            </w:pPr>
          </w:p>
        </w:tc>
        <w:tc>
          <w:tcPr>
            <w:tcW w:w="927" w:type="dxa"/>
            <w:vAlign w:val="center"/>
          </w:tcPr>
          <w:p w14:paraId="22AE1FE6">
            <w:pPr>
              <w:spacing w:line="300" w:lineRule="exact"/>
              <w:jc w:val="center"/>
              <w:rPr>
                <w:rFonts w:ascii="方正书宋_GBK" w:eastAsia="方正书宋_GBK"/>
                <w:b/>
              </w:rPr>
            </w:pPr>
          </w:p>
        </w:tc>
        <w:tc>
          <w:tcPr>
            <w:tcW w:w="884" w:type="dxa"/>
            <w:vAlign w:val="center"/>
          </w:tcPr>
          <w:p w14:paraId="053C8033">
            <w:pPr>
              <w:spacing w:line="300" w:lineRule="exact"/>
              <w:jc w:val="right"/>
              <w:rPr>
                <w:rFonts w:ascii="方正书宋_GBK" w:eastAsia="方正书宋_GBK"/>
                <w:b/>
              </w:rPr>
            </w:pPr>
          </w:p>
        </w:tc>
      </w:tr>
      <w:tr w14:paraId="4AB20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1B419CC9">
            <w:pPr>
              <w:spacing w:line="300" w:lineRule="exact"/>
              <w:jc w:val="center"/>
              <w:rPr>
                <w:rFonts w:ascii="方正书宋_GBK" w:eastAsia="方正书宋_GBK"/>
              </w:rPr>
            </w:pPr>
            <w:r>
              <w:rPr>
                <w:rFonts w:hint="eastAsia" w:ascii="方正书宋_GBK" w:eastAsia="方正书宋_GBK"/>
                <w:b/>
              </w:rPr>
              <w:t>日常公用</w:t>
            </w:r>
          </w:p>
        </w:tc>
        <w:tc>
          <w:tcPr>
            <w:tcW w:w="1060" w:type="dxa"/>
            <w:vAlign w:val="center"/>
          </w:tcPr>
          <w:p w14:paraId="31EA216B">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1</w:t>
            </w:r>
          </w:p>
        </w:tc>
        <w:tc>
          <w:tcPr>
            <w:tcW w:w="1100" w:type="dxa"/>
            <w:vAlign w:val="center"/>
          </w:tcPr>
          <w:p w14:paraId="6C129511">
            <w:pPr>
              <w:spacing w:line="300" w:lineRule="exact"/>
              <w:jc w:val="left"/>
              <w:rPr>
                <w:rFonts w:ascii="方正书宋_GBK" w:eastAsia="方正书宋_GBK"/>
                <w:b/>
              </w:rPr>
            </w:pPr>
            <w:r>
              <w:rPr>
                <w:rFonts w:hint="eastAsia" w:ascii="方正书宋_GBK" w:eastAsia="方正书宋_GBK"/>
                <w:b/>
              </w:rPr>
              <w:t>计算机设备及软件</w:t>
            </w:r>
          </w:p>
        </w:tc>
        <w:tc>
          <w:tcPr>
            <w:tcW w:w="1233" w:type="dxa"/>
            <w:vAlign w:val="center"/>
          </w:tcPr>
          <w:p w14:paraId="0890BAFC">
            <w:pPr>
              <w:spacing w:line="300" w:lineRule="exact"/>
              <w:jc w:val="center"/>
              <w:rPr>
                <w:rFonts w:ascii="方正书宋_GBK" w:eastAsia="方正书宋_GBK"/>
                <w:b/>
              </w:rPr>
            </w:pPr>
            <w:r>
              <w:rPr>
                <w:rFonts w:ascii="方正书宋_GBK" w:eastAsia="方正书宋_GBK"/>
                <w:b/>
              </w:rPr>
              <w:t>A0201</w:t>
            </w:r>
          </w:p>
        </w:tc>
        <w:tc>
          <w:tcPr>
            <w:tcW w:w="722" w:type="dxa"/>
            <w:vAlign w:val="center"/>
          </w:tcPr>
          <w:p w14:paraId="2934A58F">
            <w:pPr>
              <w:spacing w:line="300" w:lineRule="exact"/>
              <w:jc w:val="left"/>
              <w:rPr>
                <w:rFonts w:ascii="方正书宋_GBK" w:eastAsia="方正书宋_GBK"/>
                <w:b/>
              </w:rPr>
            </w:pPr>
          </w:p>
        </w:tc>
        <w:tc>
          <w:tcPr>
            <w:tcW w:w="722" w:type="dxa"/>
            <w:vAlign w:val="center"/>
          </w:tcPr>
          <w:p w14:paraId="6D7D69F8">
            <w:pPr>
              <w:spacing w:line="300" w:lineRule="exact"/>
              <w:jc w:val="left"/>
              <w:rPr>
                <w:rFonts w:ascii="方正书宋_GBK" w:eastAsia="方正书宋_GBK"/>
                <w:b/>
              </w:rPr>
            </w:pPr>
          </w:p>
        </w:tc>
        <w:tc>
          <w:tcPr>
            <w:tcW w:w="893" w:type="dxa"/>
            <w:vAlign w:val="center"/>
          </w:tcPr>
          <w:p w14:paraId="28855029">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2</w:t>
            </w:r>
          </w:p>
        </w:tc>
        <w:tc>
          <w:tcPr>
            <w:tcW w:w="923" w:type="dxa"/>
            <w:vAlign w:val="center"/>
          </w:tcPr>
          <w:p w14:paraId="59576E56">
            <w:pPr>
              <w:spacing w:line="300" w:lineRule="exact"/>
              <w:jc w:val="center"/>
              <w:rPr>
                <w:rFonts w:ascii="方正书宋_GBK" w:eastAsia="方正书宋_GBK"/>
                <w:b/>
              </w:rPr>
            </w:pPr>
            <w:r>
              <w:rPr>
                <w:rFonts w:ascii="方正书宋_GBK" w:eastAsia="方正书宋_GBK"/>
                <w:b/>
              </w:rPr>
              <w:t>0.5</w:t>
            </w:r>
          </w:p>
        </w:tc>
        <w:tc>
          <w:tcPr>
            <w:tcW w:w="923" w:type="dxa"/>
            <w:vAlign w:val="center"/>
          </w:tcPr>
          <w:p w14:paraId="105DA8A9">
            <w:pPr>
              <w:spacing w:line="300" w:lineRule="exact"/>
              <w:jc w:val="center"/>
              <w:rPr>
                <w:rFonts w:ascii="方正书宋_GBK" w:eastAsia="方正书宋_GBK"/>
                <w:b/>
              </w:rPr>
            </w:pPr>
            <w:r>
              <w:rPr>
                <w:rFonts w:hint="eastAsia" w:ascii="方正书宋_GBK" w:eastAsia="方正书宋_GBK"/>
                <w:b/>
                <w:lang w:val="en-US" w:eastAsia="zh-CN"/>
              </w:rPr>
              <w:t>1</w:t>
            </w:r>
          </w:p>
        </w:tc>
        <w:tc>
          <w:tcPr>
            <w:tcW w:w="923" w:type="dxa"/>
            <w:vAlign w:val="center"/>
          </w:tcPr>
          <w:p w14:paraId="6ADA8BFD">
            <w:pPr>
              <w:spacing w:line="300" w:lineRule="exact"/>
              <w:jc w:val="center"/>
              <w:rPr>
                <w:rFonts w:ascii="方正书宋_GBK" w:eastAsia="方正书宋_GBK"/>
                <w:b/>
              </w:rPr>
            </w:pPr>
            <w:r>
              <w:rPr>
                <w:rFonts w:hint="eastAsia" w:ascii="方正书宋_GBK" w:eastAsia="方正书宋_GBK"/>
                <w:b/>
                <w:lang w:val="en-US" w:eastAsia="zh-CN"/>
              </w:rPr>
              <w:t>1</w:t>
            </w:r>
          </w:p>
        </w:tc>
        <w:tc>
          <w:tcPr>
            <w:tcW w:w="923" w:type="dxa"/>
            <w:vAlign w:val="center"/>
          </w:tcPr>
          <w:p w14:paraId="40013A66">
            <w:pPr>
              <w:spacing w:line="300" w:lineRule="exact"/>
              <w:jc w:val="left"/>
              <w:rPr>
                <w:rFonts w:ascii="方正书宋_GBK" w:eastAsia="方正书宋_GBK"/>
                <w:b/>
              </w:rPr>
            </w:pPr>
          </w:p>
        </w:tc>
        <w:tc>
          <w:tcPr>
            <w:tcW w:w="926" w:type="dxa"/>
            <w:vAlign w:val="center"/>
          </w:tcPr>
          <w:p w14:paraId="2C0E382E">
            <w:pPr>
              <w:spacing w:line="300" w:lineRule="exact"/>
              <w:jc w:val="right"/>
              <w:rPr>
                <w:rFonts w:ascii="方正书宋_GBK" w:eastAsia="方正书宋_GBK"/>
              </w:rPr>
            </w:pPr>
          </w:p>
        </w:tc>
        <w:tc>
          <w:tcPr>
            <w:tcW w:w="927" w:type="dxa"/>
            <w:vAlign w:val="center"/>
          </w:tcPr>
          <w:p w14:paraId="6BBFC61A">
            <w:pPr>
              <w:spacing w:line="300" w:lineRule="exact"/>
              <w:jc w:val="right"/>
              <w:rPr>
                <w:rFonts w:ascii="方正书宋_GBK" w:eastAsia="方正书宋_GBK"/>
              </w:rPr>
            </w:pPr>
          </w:p>
        </w:tc>
        <w:tc>
          <w:tcPr>
            <w:tcW w:w="884" w:type="dxa"/>
            <w:vAlign w:val="center"/>
          </w:tcPr>
          <w:p w14:paraId="503E8499">
            <w:pPr>
              <w:spacing w:line="300" w:lineRule="exact"/>
              <w:jc w:val="right"/>
              <w:rPr>
                <w:rFonts w:ascii="方正书宋_GBK" w:eastAsia="方正书宋_GBK"/>
              </w:rPr>
            </w:pPr>
          </w:p>
        </w:tc>
      </w:tr>
      <w:tr w14:paraId="135843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7F6835F3">
            <w:pPr>
              <w:spacing w:line="300" w:lineRule="exact"/>
              <w:jc w:val="center"/>
              <w:rPr>
                <w:rFonts w:hint="eastAsia" w:ascii="方正书宋_GBK" w:eastAsia="方正书宋_GBK"/>
                <w:b/>
                <w:lang w:eastAsia="zh-CN"/>
              </w:rPr>
            </w:pPr>
            <w:r>
              <w:rPr>
                <w:rFonts w:hint="eastAsia" w:ascii="方正书宋_GBK" w:eastAsia="方正书宋_GBK"/>
                <w:b/>
                <w:lang w:eastAsia="zh-CN"/>
              </w:rPr>
              <w:t>日常公用</w:t>
            </w:r>
          </w:p>
        </w:tc>
        <w:tc>
          <w:tcPr>
            <w:tcW w:w="1060" w:type="dxa"/>
            <w:vAlign w:val="center"/>
          </w:tcPr>
          <w:p w14:paraId="17B1C7FD">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0.5</w:t>
            </w:r>
          </w:p>
        </w:tc>
        <w:tc>
          <w:tcPr>
            <w:tcW w:w="1100" w:type="dxa"/>
            <w:vAlign w:val="center"/>
          </w:tcPr>
          <w:p w14:paraId="0AF289E1">
            <w:pPr>
              <w:spacing w:line="300" w:lineRule="exact"/>
              <w:jc w:val="left"/>
              <w:rPr>
                <w:rFonts w:hint="eastAsia" w:ascii="方正书宋_GBK" w:eastAsia="方正书宋_GBK"/>
                <w:b/>
              </w:rPr>
            </w:pPr>
            <w:r>
              <w:rPr>
                <w:rFonts w:hint="eastAsia" w:ascii="方正书宋_GBK" w:eastAsia="方正书宋_GBK"/>
                <w:b/>
              </w:rPr>
              <w:t>计算机设备及软件</w:t>
            </w:r>
          </w:p>
        </w:tc>
        <w:tc>
          <w:tcPr>
            <w:tcW w:w="1233" w:type="dxa"/>
            <w:vAlign w:val="center"/>
          </w:tcPr>
          <w:p w14:paraId="7FC38085">
            <w:pPr>
              <w:spacing w:line="300" w:lineRule="exact"/>
              <w:jc w:val="center"/>
              <w:rPr>
                <w:rFonts w:ascii="方正书宋_GBK" w:eastAsia="方正书宋_GBK"/>
                <w:b/>
              </w:rPr>
            </w:pPr>
            <w:r>
              <w:rPr>
                <w:rFonts w:ascii="方正书宋_GBK" w:eastAsia="方正书宋_GBK"/>
                <w:b/>
              </w:rPr>
              <w:t>A0201</w:t>
            </w:r>
          </w:p>
        </w:tc>
        <w:tc>
          <w:tcPr>
            <w:tcW w:w="722" w:type="dxa"/>
            <w:vAlign w:val="center"/>
          </w:tcPr>
          <w:p w14:paraId="6C527CCC">
            <w:pPr>
              <w:spacing w:line="300" w:lineRule="exact"/>
              <w:jc w:val="left"/>
              <w:rPr>
                <w:rFonts w:ascii="方正书宋_GBK" w:eastAsia="方正书宋_GBK"/>
                <w:b/>
              </w:rPr>
            </w:pPr>
          </w:p>
        </w:tc>
        <w:tc>
          <w:tcPr>
            <w:tcW w:w="722" w:type="dxa"/>
            <w:vAlign w:val="center"/>
          </w:tcPr>
          <w:p w14:paraId="6CD0795F">
            <w:pPr>
              <w:spacing w:line="300" w:lineRule="exact"/>
              <w:jc w:val="left"/>
              <w:rPr>
                <w:rFonts w:ascii="方正书宋_GBK" w:eastAsia="方正书宋_GBK"/>
                <w:b/>
              </w:rPr>
            </w:pPr>
          </w:p>
        </w:tc>
        <w:tc>
          <w:tcPr>
            <w:tcW w:w="893" w:type="dxa"/>
            <w:vAlign w:val="center"/>
          </w:tcPr>
          <w:p w14:paraId="07E6FDA5">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2</w:t>
            </w:r>
          </w:p>
        </w:tc>
        <w:tc>
          <w:tcPr>
            <w:tcW w:w="923" w:type="dxa"/>
            <w:vAlign w:val="center"/>
          </w:tcPr>
          <w:p w14:paraId="1FA118D8">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0.25</w:t>
            </w:r>
          </w:p>
        </w:tc>
        <w:tc>
          <w:tcPr>
            <w:tcW w:w="923" w:type="dxa"/>
            <w:vAlign w:val="center"/>
          </w:tcPr>
          <w:p w14:paraId="263AD981">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0.5</w:t>
            </w:r>
          </w:p>
        </w:tc>
        <w:tc>
          <w:tcPr>
            <w:tcW w:w="923" w:type="dxa"/>
            <w:vAlign w:val="center"/>
          </w:tcPr>
          <w:p w14:paraId="3081F716">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0.5</w:t>
            </w:r>
          </w:p>
        </w:tc>
        <w:tc>
          <w:tcPr>
            <w:tcW w:w="923" w:type="dxa"/>
            <w:vAlign w:val="center"/>
          </w:tcPr>
          <w:p w14:paraId="6FD7FAF3">
            <w:pPr>
              <w:spacing w:line="300" w:lineRule="exact"/>
              <w:jc w:val="left"/>
              <w:rPr>
                <w:rFonts w:ascii="方正书宋_GBK" w:eastAsia="方正书宋_GBK"/>
                <w:b/>
              </w:rPr>
            </w:pPr>
          </w:p>
        </w:tc>
        <w:tc>
          <w:tcPr>
            <w:tcW w:w="926" w:type="dxa"/>
            <w:vAlign w:val="center"/>
          </w:tcPr>
          <w:p w14:paraId="7D6C5ECE">
            <w:pPr>
              <w:spacing w:line="300" w:lineRule="exact"/>
              <w:jc w:val="right"/>
              <w:rPr>
                <w:rFonts w:ascii="方正书宋_GBK" w:eastAsia="方正书宋_GBK"/>
              </w:rPr>
            </w:pPr>
          </w:p>
        </w:tc>
        <w:tc>
          <w:tcPr>
            <w:tcW w:w="927" w:type="dxa"/>
            <w:vAlign w:val="center"/>
          </w:tcPr>
          <w:p w14:paraId="402E9C88">
            <w:pPr>
              <w:spacing w:line="300" w:lineRule="exact"/>
              <w:jc w:val="right"/>
              <w:rPr>
                <w:rFonts w:ascii="方正书宋_GBK" w:eastAsia="方正书宋_GBK"/>
              </w:rPr>
            </w:pPr>
          </w:p>
        </w:tc>
        <w:tc>
          <w:tcPr>
            <w:tcW w:w="884" w:type="dxa"/>
            <w:vAlign w:val="center"/>
          </w:tcPr>
          <w:p w14:paraId="3BDB04F0">
            <w:pPr>
              <w:spacing w:line="300" w:lineRule="exact"/>
              <w:jc w:val="right"/>
              <w:rPr>
                <w:rFonts w:ascii="方正书宋_GBK" w:eastAsia="方正书宋_GBK"/>
              </w:rPr>
            </w:pPr>
          </w:p>
        </w:tc>
      </w:tr>
    </w:tbl>
    <w:p w14:paraId="5332C9D2">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14:paraId="61413A2C">
      <w:pPr>
        <w:ind w:firstLine="640"/>
        <w:rPr>
          <w:rFonts w:ascii="仿宋_GB2312" w:hAnsi="黑体" w:eastAsia="仿宋_GB2312"/>
          <w:sz w:val="32"/>
          <w:szCs w:val="32"/>
        </w:rPr>
      </w:pPr>
      <w:r>
        <w:rPr>
          <w:rFonts w:hint="eastAsia" w:ascii="仿宋_GB2312" w:hAnsi="黑体" w:eastAsia="仿宋_GB2312"/>
          <w:sz w:val="32"/>
          <w:szCs w:val="32"/>
          <w:lang w:eastAsia="zh-CN"/>
        </w:rPr>
        <w:t>县委党校</w:t>
      </w:r>
      <w:r>
        <w:rPr>
          <w:rFonts w:hint="eastAsia" w:ascii="仿宋_GB2312" w:hAnsi="黑体" w:eastAsia="仿宋_GB2312"/>
          <w:sz w:val="32"/>
          <w:szCs w:val="32"/>
        </w:rPr>
        <w:t>上年末固定资产金额为</w:t>
      </w:r>
      <w:r>
        <w:rPr>
          <w:rFonts w:hint="eastAsia" w:ascii="仿宋_GB2312" w:hAnsi="黑体" w:eastAsia="仿宋_GB2312"/>
          <w:sz w:val="32"/>
          <w:szCs w:val="32"/>
          <w:lang w:val="en-US" w:eastAsia="zh-CN"/>
        </w:rPr>
        <w:t>51.44</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w:t>
      </w:r>
      <w:r>
        <w:rPr>
          <w:rFonts w:hint="eastAsia" w:ascii="仿宋_GB2312" w:hAnsi="Times New Roman" w:eastAsia="仿宋_GB2312"/>
          <w:sz w:val="32"/>
          <w:szCs w:val="32"/>
          <w:lang w:val="en-US" w:eastAsia="zh-CN"/>
        </w:rPr>
        <w:t>1</w:t>
      </w:r>
      <w:r>
        <w:rPr>
          <w:rFonts w:ascii="仿宋_GB2312" w:hAnsi="Times New Roman" w:eastAsia="仿宋_GB2312"/>
          <w:sz w:val="32"/>
          <w:szCs w:val="32"/>
        </w:rPr>
        <w:t>.5</w:t>
      </w:r>
      <w:r>
        <w:rPr>
          <w:rFonts w:hint="eastAsia" w:ascii="仿宋_GB2312" w:hAnsi="Times New Roman" w:eastAsia="仿宋_GB2312"/>
          <w:sz w:val="32"/>
          <w:szCs w:val="32"/>
        </w:rPr>
        <w:t>万元，</w:t>
      </w:r>
      <w:r>
        <w:rPr>
          <w:rFonts w:hint="eastAsia" w:ascii="仿宋_GB2312" w:hAnsi="黑体" w:eastAsia="仿宋_GB2312"/>
          <w:sz w:val="32"/>
          <w:szCs w:val="32"/>
        </w:rPr>
        <w:t>主要为计算机设备及软件，已列入政府采购预算，详见政府采购预算表。</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14:paraId="3FB8B702">
        <w:tblPrEx>
          <w:tblCellMar>
            <w:top w:w="15" w:type="dxa"/>
            <w:left w:w="15" w:type="dxa"/>
            <w:bottom w:w="15" w:type="dxa"/>
            <w:right w:w="15" w:type="dxa"/>
          </w:tblCellMar>
        </w:tblPrEx>
        <w:trPr>
          <w:trHeight w:val="540" w:hRule="atLeast"/>
          <w:jc w:val="center"/>
        </w:trPr>
        <w:tc>
          <w:tcPr>
            <w:tcW w:w="11295" w:type="dxa"/>
            <w:gridSpan w:val="5"/>
            <w:vAlign w:val="bottom"/>
          </w:tcPr>
          <w:p w14:paraId="67363401">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14:paraId="7EB10C14">
        <w:tblPrEx>
          <w:tblCellMar>
            <w:top w:w="15" w:type="dxa"/>
            <w:left w:w="15" w:type="dxa"/>
            <w:bottom w:w="15" w:type="dxa"/>
            <w:right w:w="15" w:type="dxa"/>
          </w:tblCellMar>
        </w:tblPrEx>
        <w:trPr>
          <w:trHeight w:val="256" w:hRule="atLeast"/>
          <w:jc w:val="center"/>
        </w:trPr>
        <w:tc>
          <w:tcPr>
            <w:tcW w:w="4191" w:type="dxa"/>
            <w:vAlign w:val="bottom"/>
          </w:tcPr>
          <w:p w14:paraId="5A09463A">
            <w:pPr>
              <w:rPr>
                <w:rFonts w:ascii="Arial" w:hAnsi="Arial" w:cs="Arial"/>
                <w:color w:val="000000"/>
                <w:sz w:val="20"/>
                <w:szCs w:val="20"/>
              </w:rPr>
            </w:pPr>
          </w:p>
        </w:tc>
        <w:tc>
          <w:tcPr>
            <w:tcW w:w="1103" w:type="dxa"/>
            <w:vAlign w:val="bottom"/>
          </w:tcPr>
          <w:p w14:paraId="25827CE5">
            <w:pPr>
              <w:rPr>
                <w:rFonts w:ascii="Arial" w:hAnsi="Arial" w:cs="Arial"/>
                <w:color w:val="000000"/>
                <w:sz w:val="20"/>
                <w:szCs w:val="20"/>
              </w:rPr>
            </w:pPr>
          </w:p>
        </w:tc>
        <w:tc>
          <w:tcPr>
            <w:tcW w:w="1344" w:type="dxa"/>
            <w:vAlign w:val="bottom"/>
          </w:tcPr>
          <w:p w14:paraId="63A036B5">
            <w:pPr>
              <w:rPr>
                <w:rFonts w:ascii="Arial" w:hAnsi="Arial" w:cs="Arial"/>
                <w:color w:val="000000"/>
                <w:sz w:val="20"/>
                <w:szCs w:val="20"/>
              </w:rPr>
            </w:pPr>
          </w:p>
        </w:tc>
        <w:tc>
          <w:tcPr>
            <w:tcW w:w="1635" w:type="dxa"/>
            <w:vAlign w:val="bottom"/>
          </w:tcPr>
          <w:p w14:paraId="7AD3317E">
            <w:pPr>
              <w:rPr>
                <w:rFonts w:ascii="Arial" w:hAnsi="Arial" w:cs="Arial"/>
                <w:color w:val="000000"/>
                <w:sz w:val="20"/>
                <w:szCs w:val="20"/>
              </w:rPr>
            </w:pPr>
          </w:p>
        </w:tc>
        <w:tc>
          <w:tcPr>
            <w:tcW w:w="3022" w:type="dxa"/>
            <w:vAlign w:val="bottom"/>
          </w:tcPr>
          <w:p w14:paraId="66549965">
            <w:pPr>
              <w:rPr>
                <w:rFonts w:ascii="Arial" w:hAnsi="Arial" w:cs="Arial"/>
                <w:color w:val="000000"/>
                <w:sz w:val="20"/>
                <w:szCs w:val="20"/>
              </w:rPr>
            </w:pPr>
          </w:p>
        </w:tc>
      </w:tr>
      <w:tr w14:paraId="5C8BD957">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14:paraId="26A79ABC">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w:t>
            </w:r>
            <w:r>
              <w:rPr>
                <w:rFonts w:hint="eastAsia" w:ascii="宋体" w:hAnsi="宋体" w:cs="宋体"/>
                <w:color w:val="000000"/>
                <w:kern w:val="0"/>
                <w:sz w:val="24"/>
                <w:szCs w:val="24"/>
                <w:lang w:eastAsia="zh-CN"/>
              </w:rPr>
              <w:t>馆陶县委党校</w:t>
            </w:r>
          </w:p>
        </w:tc>
        <w:tc>
          <w:tcPr>
            <w:tcW w:w="1103" w:type="dxa"/>
            <w:tcBorders>
              <w:top w:val="single" w:color="000000" w:sz="4" w:space="0"/>
              <w:left w:val="single" w:color="000000" w:sz="4" w:space="0"/>
              <w:bottom w:val="single" w:color="000000" w:sz="4" w:space="0"/>
              <w:right w:val="single" w:color="000000" w:sz="4" w:space="0"/>
            </w:tcBorders>
            <w:vAlign w:val="bottom"/>
          </w:tcPr>
          <w:p w14:paraId="65454CB5">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14:paraId="4C3BDF5A">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14:paraId="7ECD893C">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14:paraId="41ED8ED7">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14:paraId="48C86557">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14:paraId="723CC627">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14:paraId="2DB80532">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14:paraId="4D55C8BB">
            <w:pPr>
              <w:widowControl/>
              <w:jc w:val="center"/>
              <w:textAlignment w:val="center"/>
              <w:rPr>
                <w:rFonts w:ascii="宋体" w:cs="宋体"/>
                <w:color w:val="000000"/>
                <w:sz w:val="22"/>
              </w:rPr>
            </w:pPr>
            <w:r>
              <w:rPr>
                <w:rFonts w:hint="eastAsia" w:ascii="宋体" w:hAnsi="宋体" w:cs="宋体"/>
                <w:color w:val="000000"/>
                <w:kern w:val="0"/>
                <w:sz w:val="22"/>
              </w:rPr>
              <w:t>价值</w:t>
            </w:r>
          </w:p>
        </w:tc>
      </w:tr>
      <w:tr w14:paraId="25DE5CB2">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14:paraId="2220BC49">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51399BE6">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14:paraId="59772B9F">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14:paraId="7C24E983">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14:paraId="127983EF">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14:paraId="593D77CE">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04E79985">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14:paraId="3AF0ADB3">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14:paraId="5D475E4E">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14:paraId="2E7971A8">
            <w:pPr>
              <w:widowControl/>
              <w:tabs>
                <w:tab w:val="left" w:pos="480"/>
              </w:tabs>
              <w:jc w:val="left"/>
              <w:textAlignment w:val="center"/>
              <w:rPr>
                <w:rFonts w:hint="eastAsia" w:ascii="宋体" w:eastAsia="宋体" w:cs="宋体"/>
                <w:color w:val="000000"/>
                <w:sz w:val="22"/>
                <w:lang w:eastAsia="zh-CN"/>
              </w:rPr>
            </w:pPr>
            <w:r>
              <w:rPr>
                <w:rFonts w:hint="eastAsia" w:ascii="宋体" w:cs="宋体"/>
                <w:color w:val="000000"/>
                <w:sz w:val="22"/>
                <w:lang w:eastAsia="zh-CN"/>
              </w:rPr>
              <w:tab/>
            </w:r>
            <w:r>
              <w:rPr>
                <w:rFonts w:hint="eastAsia" w:ascii="宋体" w:cs="宋体"/>
                <w:color w:val="000000"/>
                <w:sz w:val="22"/>
                <w:lang w:val="en-US" w:eastAsia="zh-CN"/>
              </w:rPr>
              <w:t>434600</w:t>
            </w:r>
          </w:p>
        </w:tc>
        <w:tc>
          <w:tcPr>
            <w:tcW w:w="3022" w:type="dxa"/>
            <w:tcBorders>
              <w:top w:val="single" w:color="000000" w:sz="4" w:space="0"/>
              <w:left w:val="single" w:color="000000" w:sz="4" w:space="0"/>
              <w:bottom w:val="single" w:color="000000" w:sz="4" w:space="0"/>
              <w:right w:val="single" w:color="000000" w:sz="4" w:space="0"/>
            </w:tcBorders>
            <w:vAlign w:val="center"/>
          </w:tcPr>
          <w:p w14:paraId="547FEB8A">
            <w:pPr>
              <w:widowControl/>
              <w:tabs>
                <w:tab w:val="left" w:pos="810"/>
                <w:tab w:val="right" w:pos="3112"/>
              </w:tabs>
              <w:jc w:val="left"/>
              <w:textAlignment w:val="center"/>
              <w:rPr>
                <w:rFonts w:ascii="宋体" w:cs="宋体"/>
                <w:color w:val="000000"/>
                <w:sz w:val="22"/>
              </w:rPr>
            </w:pPr>
            <w:r>
              <w:rPr>
                <w:rFonts w:hint="eastAsia" w:ascii="宋体" w:hAnsi="宋体" w:cs="宋体"/>
                <w:color w:val="000000"/>
                <w:kern w:val="0"/>
                <w:sz w:val="22"/>
                <w:lang w:eastAsia="zh-CN"/>
              </w:rPr>
              <w:tab/>
            </w:r>
            <w:r>
              <w:rPr>
                <w:rFonts w:hint="eastAsia" w:ascii="宋体" w:hAnsi="宋体" w:cs="宋体"/>
                <w:color w:val="000000"/>
                <w:kern w:val="0"/>
                <w:sz w:val="22"/>
                <w:lang w:val="en-US" w:eastAsia="zh-CN"/>
              </w:rPr>
              <w:t>514390</w:t>
            </w:r>
            <w:r>
              <w:rPr>
                <w:rFonts w:hint="eastAsia" w:ascii="宋体" w:hAnsi="宋体" w:cs="宋体"/>
                <w:color w:val="000000"/>
                <w:kern w:val="0"/>
                <w:sz w:val="22"/>
                <w:lang w:eastAsia="zh-CN"/>
              </w:rPr>
              <w:tab/>
            </w:r>
            <w:r>
              <w:rPr>
                <w:rFonts w:ascii="宋体" w:hAnsi="宋体" w:cs="宋体"/>
                <w:color w:val="000000"/>
                <w:kern w:val="0"/>
                <w:sz w:val="22"/>
              </w:rPr>
              <w:t>0</w:t>
            </w:r>
          </w:p>
        </w:tc>
      </w:tr>
      <w:tr w14:paraId="06BC89A2">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0CA1C31D">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14:paraId="05A6F357">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30132E02">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643D7DAF">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39B75368">
            <w:pPr>
              <w:widowControl/>
              <w:jc w:val="right"/>
              <w:textAlignment w:val="center"/>
              <w:rPr>
                <w:rFonts w:ascii="宋体" w:cs="宋体"/>
                <w:color w:val="000000"/>
                <w:sz w:val="22"/>
              </w:rPr>
            </w:pPr>
          </w:p>
        </w:tc>
      </w:tr>
      <w:tr w14:paraId="24A84730">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61290AA5">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14:paraId="677902ED">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2FF7E4A2">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4054E45D">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59A07020">
            <w:pPr>
              <w:widowControl/>
              <w:jc w:val="right"/>
              <w:textAlignment w:val="center"/>
              <w:rPr>
                <w:rFonts w:ascii="宋体" w:cs="宋体"/>
                <w:color w:val="000000"/>
                <w:sz w:val="22"/>
              </w:rPr>
            </w:pPr>
          </w:p>
        </w:tc>
      </w:tr>
      <w:tr w14:paraId="258B7032">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71B81355">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14:paraId="08FB59B2">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1CE03D40">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75681EDD">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05A58A34">
            <w:pPr>
              <w:jc w:val="right"/>
              <w:rPr>
                <w:rFonts w:ascii="宋体" w:cs="宋体"/>
                <w:color w:val="000000"/>
                <w:sz w:val="22"/>
              </w:rPr>
            </w:pPr>
          </w:p>
        </w:tc>
      </w:tr>
      <w:tr w14:paraId="7805A21F">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08E9DF36">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14:paraId="3E353DA3">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2D768338">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7D48DD98">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598DF00A">
            <w:pPr>
              <w:jc w:val="right"/>
              <w:rPr>
                <w:rFonts w:ascii="宋体" w:cs="宋体"/>
                <w:color w:val="000000"/>
                <w:sz w:val="22"/>
              </w:rPr>
            </w:pPr>
          </w:p>
        </w:tc>
      </w:tr>
      <w:tr w14:paraId="3EF39328">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3BD7AFAA">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14:paraId="3FF80190">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1F850B0D">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54360D29">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20C5541E">
            <w:pPr>
              <w:jc w:val="right"/>
              <w:rPr>
                <w:rFonts w:ascii="宋体" w:cs="宋体"/>
                <w:color w:val="000000"/>
                <w:sz w:val="22"/>
              </w:rPr>
            </w:pPr>
          </w:p>
        </w:tc>
      </w:tr>
      <w:tr w14:paraId="13719A45">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091C2C66">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14:paraId="1E696F69">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42AF5080">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6033047F">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0AB1FA17">
            <w:pPr>
              <w:jc w:val="right"/>
              <w:rPr>
                <w:rFonts w:ascii="宋体" w:cs="宋体"/>
                <w:color w:val="000000"/>
                <w:sz w:val="22"/>
              </w:rPr>
            </w:pPr>
          </w:p>
        </w:tc>
      </w:tr>
      <w:tr w14:paraId="3BBAC148">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54F02C42">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14:paraId="4BAF7011">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14:paraId="61A353DA">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14:paraId="5E45D1CA">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14:paraId="3595DBB6">
            <w:pPr>
              <w:jc w:val="right"/>
              <w:rPr>
                <w:rFonts w:ascii="宋体" w:cs="宋体"/>
                <w:color w:val="000000"/>
                <w:sz w:val="22"/>
              </w:rPr>
            </w:pPr>
          </w:p>
        </w:tc>
      </w:tr>
      <w:tr w14:paraId="307D238B">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14:paraId="2917D64A">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14:paraId="760A4823">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14:paraId="4EB71CD5">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14:paraId="70F17B26">
            <w:pPr>
              <w:widowControl/>
              <w:jc w:val="center"/>
              <w:textAlignment w:val="center"/>
              <w:rPr>
                <w:rFonts w:hint="eastAsia" w:ascii="宋体" w:eastAsia="宋体" w:cs="宋体"/>
                <w:color w:val="000000"/>
                <w:sz w:val="22"/>
                <w:lang w:val="en-US" w:eastAsia="zh-CN"/>
              </w:rPr>
            </w:pPr>
            <w:r>
              <w:rPr>
                <w:rFonts w:hint="eastAsia" w:ascii="宋体" w:cs="宋体"/>
                <w:color w:val="000000"/>
                <w:sz w:val="22"/>
                <w:lang w:val="en-US" w:eastAsia="zh-CN"/>
              </w:rPr>
              <w:t>434600</w:t>
            </w:r>
          </w:p>
        </w:tc>
        <w:tc>
          <w:tcPr>
            <w:tcW w:w="3022" w:type="dxa"/>
            <w:tcBorders>
              <w:top w:val="single" w:color="000000" w:sz="4" w:space="0"/>
              <w:left w:val="single" w:color="000000" w:sz="4" w:space="0"/>
              <w:bottom w:val="single" w:color="000000" w:sz="4" w:space="0"/>
              <w:right w:val="single" w:color="000000" w:sz="4" w:space="0"/>
            </w:tcBorders>
            <w:vAlign w:val="center"/>
          </w:tcPr>
          <w:p w14:paraId="728FA718">
            <w:pPr>
              <w:widowControl/>
              <w:jc w:val="center"/>
              <w:textAlignment w:val="center"/>
              <w:rPr>
                <w:rFonts w:hint="eastAsia" w:ascii="宋体" w:eastAsia="宋体" w:cs="宋体"/>
                <w:color w:val="000000"/>
                <w:sz w:val="22"/>
                <w:lang w:val="en-US" w:eastAsia="zh-CN"/>
              </w:rPr>
            </w:pPr>
            <w:r>
              <w:rPr>
                <w:rFonts w:hint="eastAsia" w:ascii="宋体" w:cs="宋体"/>
                <w:color w:val="000000"/>
                <w:sz w:val="22"/>
                <w:lang w:val="en-US" w:eastAsia="zh-CN"/>
              </w:rPr>
              <w:t>514390</w:t>
            </w:r>
          </w:p>
        </w:tc>
      </w:tr>
    </w:tbl>
    <w:p w14:paraId="69094386">
      <w:pPr>
        <w:autoSpaceDE w:val="0"/>
        <w:autoSpaceDN w:val="0"/>
        <w:adjustRightInd w:val="0"/>
        <w:ind w:left="198" w:firstLine="640" w:firstLineChars="200"/>
        <w:jc w:val="left"/>
        <w:rPr>
          <w:rFonts w:ascii="黑体" w:hAnsi="黑体" w:eastAsia="黑体"/>
          <w:sz w:val="32"/>
          <w:szCs w:val="32"/>
        </w:rPr>
      </w:pPr>
    </w:p>
    <w:p w14:paraId="0FD30979">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14:paraId="3F8DF541">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14:paraId="0940316B">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14:paraId="6ADE3674">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14:paraId="039F9222">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14:paraId="14CF6204">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14:paraId="339C41B7">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6F2B6CC1">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EA3DAAE">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14:paraId="08E4ADCC">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14:paraId="7D9BA414">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14:paraId="6B51173E">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56DECA3-076B-4D08-9039-0EBE50668B55}"/>
  </w:font>
  <w:font w:name="黑体">
    <w:panose1 w:val="02010609060101010101"/>
    <w:charset w:val="86"/>
    <w:family w:val="auto"/>
    <w:pitch w:val="default"/>
    <w:sig w:usb0="800002BF" w:usb1="38CF7CFA" w:usb2="00000016" w:usb3="00000000" w:csb0="00040001" w:csb1="00000000"/>
    <w:embedRegular r:id="rId2" w:fontKey="{B22AC093-58EA-434D-BBD2-E204B1CF9F5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3" w:fontKey="{D23F73A4-F600-4885-B4B2-A39FFDDE744F}"/>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script"/>
    <w:pitch w:val="default"/>
    <w:sig w:usb0="A00002BF" w:usb1="38CF7CFA" w:usb2="00082016" w:usb3="00000000" w:csb0="00040001" w:csb1="00000000"/>
    <w:embedRegular r:id="rId4" w:fontKey="{7B78A526-B698-4763-A4BF-A4D9E6E84AD6}"/>
  </w:font>
  <w:font w:name="方正小标宋_GBK">
    <w:panose1 w:val="02000000000000000000"/>
    <w:charset w:val="86"/>
    <w:family w:val="script"/>
    <w:pitch w:val="default"/>
    <w:sig w:usb0="A00002BF" w:usb1="38CF7CFA" w:usb2="00082016" w:usb3="00000000" w:csb0="00040001" w:csb1="00000000"/>
    <w:embedRegular r:id="rId5" w:fontKey="{20AB5177-92DC-4297-B657-AB1A0A9DB0AA}"/>
  </w:font>
  <w:font w:name="楷体_GB2312">
    <w:altName w:val="楷体"/>
    <w:panose1 w:val="02010609030101010101"/>
    <w:charset w:val="86"/>
    <w:family w:val="modern"/>
    <w:pitch w:val="default"/>
    <w:sig w:usb0="00000000" w:usb1="00000000" w:usb2="00000010" w:usb3="00000000" w:csb0="00040000" w:csb1="00000000"/>
    <w:embedRegular r:id="rId6" w:fontKey="{5B9552CB-BAE0-48B9-83FB-D5E6EA7E2664}"/>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00000001" w:usb1="080E0000" w:usb2="00000000" w:usb3="00000000" w:csb0="00040000" w:csb1="00000000"/>
    <w:embedRegular r:id="rId7" w:fontKey="{6EDF1328-13E9-4765-8496-B19C73FE30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686C5">
    <w:pPr>
      <w:pStyle w:val="3"/>
      <w:jc w:val="center"/>
    </w:pPr>
    <w:r>
      <w:t>-</w:t>
    </w:r>
    <w:r>
      <w:fldChar w:fldCharType="begin"/>
    </w:r>
    <w:r>
      <w:instrText xml:space="preserve">PAGE   \* MERGEFORMAT</w:instrText>
    </w:r>
    <w:r>
      <w:fldChar w:fldCharType="separate"/>
    </w:r>
    <w:r>
      <w:rPr>
        <w:lang w:val="zh-CN"/>
      </w:rPr>
      <w:t>27</w:t>
    </w:r>
    <w:r>
      <w:rPr>
        <w:lang w:val="zh-CN"/>
      </w:rPr>
      <w:fldChar w:fldCharType="end"/>
    </w:r>
    <w:r>
      <w:t>-</w:t>
    </w:r>
  </w:p>
  <w:p w14:paraId="6CDB6DB9">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337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5EC4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48C79">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5F66A">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6C1A7">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643E8"/>
    <w:rsid w:val="001919C4"/>
    <w:rsid w:val="0019723B"/>
    <w:rsid w:val="001E0757"/>
    <w:rsid w:val="001E6DDC"/>
    <w:rsid w:val="001F7873"/>
    <w:rsid w:val="00241FD4"/>
    <w:rsid w:val="00251B12"/>
    <w:rsid w:val="00265318"/>
    <w:rsid w:val="002835D7"/>
    <w:rsid w:val="00290FD6"/>
    <w:rsid w:val="00296113"/>
    <w:rsid w:val="002A673A"/>
    <w:rsid w:val="002C5E13"/>
    <w:rsid w:val="002C62BC"/>
    <w:rsid w:val="002E0EB8"/>
    <w:rsid w:val="002F3E58"/>
    <w:rsid w:val="0030542C"/>
    <w:rsid w:val="00311B7A"/>
    <w:rsid w:val="00313D9C"/>
    <w:rsid w:val="00424943"/>
    <w:rsid w:val="0042727E"/>
    <w:rsid w:val="0043175C"/>
    <w:rsid w:val="00437296"/>
    <w:rsid w:val="00451590"/>
    <w:rsid w:val="00451871"/>
    <w:rsid w:val="004706DE"/>
    <w:rsid w:val="00472923"/>
    <w:rsid w:val="00486DCD"/>
    <w:rsid w:val="004B0C3A"/>
    <w:rsid w:val="004C49A8"/>
    <w:rsid w:val="004D5788"/>
    <w:rsid w:val="004E3066"/>
    <w:rsid w:val="004E419C"/>
    <w:rsid w:val="004E74CD"/>
    <w:rsid w:val="00524EFD"/>
    <w:rsid w:val="00572067"/>
    <w:rsid w:val="00573562"/>
    <w:rsid w:val="00590ECE"/>
    <w:rsid w:val="005F5714"/>
    <w:rsid w:val="00600A07"/>
    <w:rsid w:val="00611D03"/>
    <w:rsid w:val="00614A29"/>
    <w:rsid w:val="00673D76"/>
    <w:rsid w:val="006854F0"/>
    <w:rsid w:val="006920B9"/>
    <w:rsid w:val="006B1C4A"/>
    <w:rsid w:val="006B610D"/>
    <w:rsid w:val="006E49F5"/>
    <w:rsid w:val="007013C8"/>
    <w:rsid w:val="00753836"/>
    <w:rsid w:val="0075393C"/>
    <w:rsid w:val="00754592"/>
    <w:rsid w:val="00776C08"/>
    <w:rsid w:val="007C219A"/>
    <w:rsid w:val="007E1DA8"/>
    <w:rsid w:val="007F6C26"/>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425F4"/>
    <w:rsid w:val="00943BD8"/>
    <w:rsid w:val="00954B2C"/>
    <w:rsid w:val="00966C5C"/>
    <w:rsid w:val="00973104"/>
    <w:rsid w:val="00995BF0"/>
    <w:rsid w:val="009A16D5"/>
    <w:rsid w:val="009A353D"/>
    <w:rsid w:val="009B0B77"/>
    <w:rsid w:val="009B511E"/>
    <w:rsid w:val="009D37D3"/>
    <w:rsid w:val="00A16E6C"/>
    <w:rsid w:val="00A40F60"/>
    <w:rsid w:val="00A44E3D"/>
    <w:rsid w:val="00A72D2E"/>
    <w:rsid w:val="00A74447"/>
    <w:rsid w:val="00A74CE5"/>
    <w:rsid w:val="00A77500"/>
    <w:rsid w:val="00A911E7"/>
    <w:rsid w:val="00A939D9"/>
    <w:rsid w:val="00AD5259"/>
    <w:rsid w:val="00B01D36"/>
    <w:rsid w:val="00B078CD"/>
    <w:rsid w:val="00B20712"/>
    <w:rsid w:val="00B3715A"/>
    <w:rsid w:val="00B43238"/>
    <w:rsid w:val="00B45DD3"/>
    <w:rsid w:val="00B73582"/>
    <w:rsid w:val="00B75216"/>
    <w:rsid w:val="00B755A2"/>
    <w:rsid w:val="00B9104C"/>
    <w:rsid w:val="00B91D52"/>
    <w:rsid w:val="00B9490F"/>
    <w:rsid w:val="00BA1ACD"/>
    <w:rsid w:val="00BD09F8"/>
    <w:rsid w:val="00C005B2"/>
    <w:rsid w:val="00CA7176"/>
    <w:rsid w:val="00CC75B0"/>
    <w:rsid w:val="00CD2773"/>
    <w:rsid w:val="00CE01BA"/>
    <w:rsid w:val="00CE143B"/>
    <w:rsid w:val="00D07DBA"/>
    <w:rsid w:val="00D27003"/>
    <w:rsid w:val="00D9307A"/>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8FE16B1"/>
    <w:rsid w:val="0A2023C6"/>
    <w:rsid w:val="0B331B7E"/>
    <w:rsid w:val="0C044491"/>
    <w:rsid w:val="0DB32BBD"/>
    <w:rsid w:val="0FB56335"/>
    <w:rsid w:val="11C37B1A"/>
    <w:rsid w:val="1E916430"/>
    <w:rsid w:val="1FC1447C"/>
    <w:rsid w:val="21613782"/>
    <w:rsid w:val="305566DE"/>
    <w:rsid w:val="31907403"/>
    <w:rsid w:val="31E15395"/>
    <w:rsid w:val="3473676B"/>
    <w:rsid w:val="38781EB8"/>
    <w:rsid w:val="38E63499"/>
    <w:rsid w:val="41095CDC"/>
    <w:rsid w:val="43274E58"/>
    <w:rsid w:val="45FE5EEA"/>
    <w:rsid w:val="46640308"/>
    <w:rsid w:val="4A657D63"/>
    <w:rsid w:val="53071741"/>
    <w:rsid w:val="56733828"/>
    <w:rsid w:val="5D5A3361"/>
    <w:rsid w:val="60315DEE"/>
    <w:rsid w:val="62AC6848"/>
    <w:rsid w:val="634111F5"/>
    <w:rsid w:val="63756E47"/>
    <w:rsid w:val="64FF07E7"/>
    <w:rsid w:val="66047C9F"/>
    <w:rsid w:val="69C822D4"/>
    <w:rsid w:val="6FA90EE9"/>
    <w:rsid w:val="6FEB7A39"/>
    <w:rsid w:val="71051481"/>
    <w:rsid w:val="7CEA5230"/>
    <w:rsid w:val="7D3504D8"/>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99"/>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qFormat/>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qFormat/>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17">
    <w:name w:val="[Normal]"/>
    <w:qFormat/>
    <w:uiPriority w:val="0"/>
    <w:rPr>
      <w:rFonts w:ascii="宋体" w:hAnsi="宋体" w:eastAsia="宋体" w:cs="Times New Roman"/>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10</Pages>
  <Words>3023</Words>
  <Characters>3186</Characters>
  <Lines>0</Lines>
  <Paragraphs>0</Paragraphs>
  <TotalTime>11</TotalTime>
  <ScaleCrop>false</ScaleCrop>
  <LinksUpToDate>false</LinksUpToDate>
  <CharactersWithSpaces>3245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闫林雪</cp:lastModifiedBy>
  <cp:lastPrinted>2018-01-30T06:12:00Z</cp:lastPrinted>
  <dcterms:modified xsi:type="dcterms:W3CDTF">2025-02-21T07:42:57Z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58B5860F786C40698B1D8C351DD38C74_12</vt:lpwstr>
  </property>
  <property fmtid="{D5CDD505-2E9C-101B-9397-08002B2CF9AE}" pid="4" name="KSOTemplateDocerSaveRecord">
    <vt:lpwstr>eyJoZGlkIjoiNGZlMDQzZjY2MjFlMGE0ZDYwZDc4NjBjNTBkNGEwNTEiLCJ1c2VySWQiOiIxNjc0NDYyOTMwIn0=</vt:lpwstr>
  </property>
</Properties>
</file>