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3" w:firstLineChars="200"/>
        <w:jc w:val="center"/>
        <w:rPr>
          <w:rFonts w:hint="eastAsia" w:ascii="宋体"/>
          <w:b/>
          <w:sz w:val="44"/>
          <w:szCs w:val="44"/>
        </w:rPr>
      </w:pPr>
    </w:p>
    <w:p>
      <w:pPr>
        <w:ind w:firstLine="883" w:firstLineChars="200"/>
        <w:jc w:val="center"/>
        <w:rPr>
          <w:rFonts w:ascii="宋体" w:hAnsi="宋体"/>
          <w:b/>
          <w:sz w:val="44"/>
          <w:szCs w:val="44"/>
        </w:rPr>
      </w:pPr>
      <w:r>
        <w:rPr>
          <w:rFonts w:hint="eastAsia" w:ascii="宋体" w:hAnsi="宋体"/>
          <w:b/>
          <w:sz w:val="44"/>
          <w:szCs w:val="44"/>
        </w:rPr>
        <w:t>馆</w:t>
      </w:r>
      <w:r>
        <w:rPr>
          <w:rFonts w:ascii="宋体" w:hAnsi="宋体"/>
          <w:b/>
          <w:sz w:val="44"/>
          <w:szCs w:val="44"/>
        </w:rPr>
        <w:t>陶</w:t>
      </w:r>
      <w:r>
        <w:rPr>
          <w:rFonts w:hint="eastAsia" w:ascii="宋体" w:hAnsi="宋体"/>
          <w:b/>
          <w:sz w:val="44"/>
          <w:szCs w:val="44"/>
        </w:rPr>
        <w:t>县人大常委会办公室</w:t>
      </w:r>
    </w:p>
    <w:p>
      <w:pPr>
        <w:ind w:firstLine="883" w:firstLineChars="200"/>
        <w:jc w:val="center"/>
        <w:rPr>
          <w:rFonts w:ascii="宋体" w:hAnsi="宋体"/>
          <w:b/>
          <w:sz w:val="44"/>
          <w:szCs w:val="44"/>
        </w:rPr>
      </w:pPr>
      <w:r>
        <w:rPr>
          <w:rFonts w:hint="eastAsia" w:ascii="宋体" w:hAnsi="宋体"/>
          <w:b/>
          <w:sz w:val="44"/>
          <w:szCs w:val="44"/>
        </w:rPr>
        <w:t>2018年部门预算公开情况说明</w:t>
      </w:r>
    </w:p>
    <w:p>
      <w:pPr>
        <w:ind w:firstLine="640" w:firstLineChars="200"/>
        <w:rPr>
          <w:rFonts w:ascii="仿宋_GB2312" w:hAnsi="Times New Roman" w:eastAsia="仿宋_GB2312"/>
          <w:sz w:val="32"/>
          <w:szCs w:val="32"/>
        </w:rPr>
      </w:pP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按照《中华人民共和国</w:t>
      </w:r>
      <w:bookmarkStart w:id="5" w:name="_GoBack"/>
      <w:bookmarkEnd w:id="5"/>
      <w:r>
        <w:rPr>
          <w:rFonts w:hint="eastAsia" w:ascii="仿宋_GB2312" w:hAnsi="Times New Roman" w:eastAsia="仿宋_GB2312"/>
          <w:sz w:val="32"/>
          <w:szCs w:val="32"/>
        </w:rPr>
        <w:t>预算法》、《地方预决算公开操作规程》和《河北省省级预算公开办法》规定，现将我办</w:t>
      </w:r>
      <w:r>
        <w:rPr>
          <w:rFonts w:ascii="仿宋_GB2312" w:hAnsi="Times New Roman" w:eastAsia="仿宋_GB2312"/>
          <w:sz w:val="32"/>
          <w:szCs w:val="32"/>
        </w:rPr>
        <w:t>2018</w:t>
      </w:r>
      <w:r>
        <w:rPr>
          <w:rFonts w:hint="eastAsia" w:ascii="仿宋_GB2312" w:hAnsi="Times New Roman" w:eastAsia="仿宋_GB2312"/>
          <w:sz w:val="32"/>
          <w:szCs w:val="32"/>
        </w:rPr>
        <w:t>年部门预算公开如下：</w:t>
      </w:r>
    </w:p>
    <w:p>
      <w:pPr>
        <w:ind w:firstLine="640"/>
        <w:rPr>
          <w:rFonts w:ascii="黑体" w:hAnsi="黑体" w:eastAsia="黑体"/>
          <w:b/>
          <w:sz w:val="32"/>
          <w:szCs w:val="32"/>
        </w:rPr>
      </w:pPr>
      <w:r>
        <w:rPr>
          <w:rFonts w:hint="eastAsia" w:ascii="黑体" w:hAnsi="黑体" w:eastAsia="黑体"/>
          <w:b/>
          <w:sz w:val="32"/>
          <w:szCs w:val="32"/>
        </w:rPr>
        <w:t>一、部门职责及机构设置情况</w:t>
      </w:r>
    </w:p>
    <w:p>
      <w:pPr>
        <w:ind w:firstLine="640"/>
        <w:rPr>
          <w:rFonts w:ascii="黑体" w:hAnsi="黑体" w:eastAsia="黑体"/>
          <w:b/>
          <w:sz w:val="32"/>
          <w:szCs w:val="32"/>
        </w:rPr>
      </w:pPr>
      <w:r>
        <w:rPr>
          <w:rFonts w:hint="eastAsia" w:ascii="黑体" w:hAnsi="Times New Roman" w:eastAsia="黑体"/>
          <w:b/>
          <w:sz w:val="32"/>
          <w:szCs w:val="32"/>
        </w:rPr>
        <w:t>部门职责：</w:t>
      </w: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馆陶</w:t>
      </w:r>
      <w:r>
        <w:rPr>
          <w:rFonts w:ascii="仿宋_GB2312" w:hAnsi="Times New Roman" w:eastAsia="仿宋_GB2312"/>
          <w:sz w:val="32"/>
          <w:szCs w:val="32"/>
        </w:rPr>
        <w:t>县</w:t>
      </w:r>
      <w:r>
        <w:rPr>
          <w:rFonts w:hint="eastAsia" w:ascii="仿宋_GB2312" w:hAnsi="Times New Roman" w:eastAsia="仿宋_GB2312"/>
          <w:sz w:val="32"/>
          <w:szCs w:val="32"/>
        </w:rPr>
        <w:t>人民代表大会常务委员会是馆陶县人民代表大会的常设机关。常务委员会对馆陶县人民代表大会负责并报告工作。常务委员会由主任、副主任若干人及委员若干人组成。</w:t>
      </w: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依照宪法和地方组织法的规定，馆陶县人民代表大会常务委员会行使下列职权：在馆陶县人民代表大会闭会期间，审查和批准国民经济和社会发展计划、预算在执行过程中所必须作的部分调整方案。监督馆陶县人民政府、馆</w:t>
      </w:r>
      <w:r>
        <w:rPr>
          <w:rFonts w:ascii="仿宋_GB2312" w:hAnsi="Times New Roman" w:eastAsia="仿宋_GB2312"/>
          <w:sz w:val="32"/>
          <w:szCs w:val="32"/>
        </w:rPr>
        <w:t>陶县监察</w:t>
      </w:r>
      <w:r>
        <w:rPr>
          <w:rFonts w:hint="eastAsia" w:ascii="仿宋_GB2312" w:hAnsi="Times New Roman" w:eastAsia="仿宋_GB2312"/>
          <w:sz w:val="32"/>
          <w:szCs w:val="32"/>
        </w:rPr>
        <w:t>委员</w:t>
      </w:r>
      <w:r>
        <w:rPr>
          <w:rFonts w:ascii="仿宋_GB2312" w:hAnsi="Times New Roman" w:eastAsia="仿宋_GB2312"/>
          <w:sz w:val="32"/>
          <w:szCs w:val="32"/>
        </w:rPr>
        <w:t>会、</w:t>
      </w:r>
      <w:r>
        <w:rPr>
          <w:rFonts w:hint="eastAsia" w:ascii="仿宋_GB2312" w:hAnsi="Times New Roman" w:eastAsia="仿宋_GB2312"/>
          <w:sz w:val="32"/>
          <w:szCs w:val="32"/>
        </w:rPr>
        <w:t>馆陶县人民法院和馆陶县人民检察院的工作。撤销馆陶县人民政府制定的同宪法、法律、法规相抵触的行政法规、决定和命令。在馆陶县人民代表大会闭会期间，根据馆陶县人民政府县长的提名，决定馆陶县人民政府局长、委员会主任的人选；根据</w:t>
      </w:r>
      <w:r>
        <w:rPr>
          <w:rFonts w:ascii="仿宋_GB2312" w:hAnsi="Times New Roman" w:eastAsia="仿宋_GB2312"/>
          <w:sz w:val="32"/>
          <w:szCs w:val="32"/>
        </w:rPr>
        <w:t>馆陶县</w:t>
      </w:r>
      <w:r>
        <w:rPr>
          <w:rFonts w:hint="eastAsia" w:ascii="仿宋_GB2312" w:hAnsi="Times New Roman" w:eastAsia="仿宋_GB2312"/>
          <w:sz w:val="32"/>
          <w:szCs w:val="32"/>
        </w:rPr>
        <w:t>监察委员会</w:t>
      </w:r>
      <w:r>
        <w:rPr>
          <w:rFonts w:ascii="仿宋_GB2312" w:hAnsi="Times New Roman" w:eastAsia="仿宋_GB2312"/>
          <w:sz w:val="32"/>
          <w:szCs w:val="32"/>
        </w:rPr>
        <w:t>主任的提请，</w:t>
      </w:r>
      <w:r>
        <w:rPr>
          <w:rFonts w:hint="eastAsia" w:ascii="仿宋_GB2312" w:hAnsi="Times New Roman" w:eastAsia="仿宋_GB2312"/>
          <w:sz w:val="32"/>
          <w:szCs w:val="32"/>
        </w:rPr>
        <w:t>任免</w:t>
      </w:r>
      <w:r>
        <w:rPr>
          <w:rFonts w:ascii="仿宋_GB2312" w:hAnsi="Times New Roman" w:eastAsia="仿宋_GB2312"/>
          <w:sz w:val="32"/>
          <w:szCs w:val="32"/>
        </w:rPr>
        <w:t>馆陶县监察</w:t>
      </w:r>
      <w:r>
        <w:rPr>
          <w:rFonts w:hint="eastAsia" w:ascii="仿宋_GB2312" w:hAnsi="Times New Roman" w:eastAsia="仿宋_GB2312"/>
          <w:sz w:val="32"/>
          <w:szCs w:val="32"/>
        </w:rPr>
        <w:t>委员会</w:t>
      </w:r>
      <w:r>
        <w:rPr>
          <w:rFonts w:ascii="仿宋_GB2312" w:hAnsi="Times New Roman" w:eastAsia="仿宋_GB2312"/>
          <w:sz w:val="32"/>
          <w:szCs w:val="32"/>
        </w:rPr>
        <w:t>副主任</w:t>
      </w:r>
      <w:r>
        <w:rPr>
          <w:rFonts w:hint="eastAsia" w:ascii="仿宋_GB2312" w:hAnsi="Times New Roman" w:eastAsia="仿宋_GB2312"/>
          <w:sz w:val="32"/>
          <w:szCs w:val="32"/>
        </w:rPr>
        <w:t>、</w:t>
      </w:r>
      <w:r>
        <w:rPr>
          <w:rFonts w:ascii="仿宋_GB2312" w:hAnsi="Times New Roman" w:eastAsia="仿宋_GB2312"/>
          <w:sz w:val="32"/>
          <w:szCs w:val="32"/>
        </w:rPr>
        <w:t>委员；</w:t>
      </w:r>
      <w:r>
        <w:rPr>
          <w:rFonts w:hint="eastAsia" w:ascii="仿宋_GB2312" w:hAnsi="Times New Roman" w:eastAsia="仿宋_GB2312"/>
          <w:sz w:val="32"/>
          <w:szCs w:val="32"/>
        </w:rPr>
        <w:t>根据馆陶县人民法院院长的提请，任免馆陶县人民法院副院长、庭长、审判委员会委员、审判员；根据馆陶县人民检察院检察长的提请，任免馆陶县人民检察院副检察长、检察委员会委员、检察员。审议决定常务委员会认为应当依法审议、决定的其他重大事项。</w:t>
      </w: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馆陶县人民代表大会常务委员会根据工作需要，设有科级办事机构3个：办公室、法制工作室和选举任免代表工作室。此外根据有关法律和文件规定另设财经工作委员会（包括农村经济工作）和教科文卫工作委员会（包括城建环保工作）。</w:t>
      </w:r>
    </w:p>
    <w:p>
      <w:pPr>
        <w:ind w:firstLine="640"/>
        <w:rPr>
          <w:rFonts w:ascii="仿宋_GB2312" w:hAnsi="仿宋_GB2312" w:eastAsia="仿宋_GB2312" w:cs="仿宋_GB2312"/>
          <w:color w:val="000000"/>
          <w:kern w:val="0"/>
          <w:sz w:val="32"/>
          <w:szCs w:val="32"/>
        </w:rPr>
      </w:pPr>
      <w:r>
        <w:rPr>
          <w:rFonts w:hint="eastAsia" w:ascii="黑体" w:hAnsi="Times New Roman" w:eastAsia="黑体"/>
          <w:b/>
          <w:sz w:val="32"/>
          <w:szCs w:val="32"/>
        </w:rPr>
        <w:t>机构设置：</w:t>
      </w:r>
    </w:p>
    <w:p>
      <w:pPr>
        <w:widowControl/>
        <w:ind w:firstLine="480"/>
        <w:jc w:val="center"/>
        <w:rPr>
          <w:rFonts w:ascii="微软雅黑" w:hAnsi="微软雅黑" w:eastAsia="微软雅黑" w:cs="宋体"/>
          <w:color w:val="000000"/>
          <w:kern w:val="0"/>
          <w:sz w:val="24"/>
          <w:szCs w:val="24"/>
        </w:rPr>
      </w:pPr>
      <w:r>
        <w:rPr>
          <w:rFonts w:hint="eastAsia" w:ascii="仿宋_GB2312" w:hAnsi="Times New Roman" w:eastAsia="仿宋_GB2312"/>
          <w:sz w:val="32"/>
          <w:szCs w:val="24"/>
        </w:rPr>
        <w:t>部门机构设置情况</w:t>
      </w:r>
    </w:p>
    <w:tbl>
      <w:tblPr>
        <w:tblStyle w:val="9"/>
        <w:tblW w:w="12139" w:type="dxa"/>
        <w:jc w:val="center"/>
        <w:tblCellSpacing w:w="0" w:type="dxa"/>
        <w:tblLayout w:type="fixed"/>
        <w:tblCellMar>
          <w:top w:w="0" w:type="dxa"/>
          <w:left w:w="0" w:type="dxa"/>
          <w:bottom w:w="0" w:type="dxa"/>
          <w:right w:w="0" w:type="dxa"/>
        </w:tblCellMar>
      </w:tblPr>
      <w:tblGrid>
        <w:gridCol w:w="3139"/>
        <w:gridCol w:w="1417"/>
        <w:gridCol w:w="2536"/>
        <w:gridCol w:w="5047"/>
      </w:tblGrid>
      <w:tr>
        <w:tblPrEx>
          <w:tblCellMar>
            <w:top w:w="0" w:type="dxa"/>
            <w:left w:w="0" w:type="dxa"/>
            <w:bottom w:w="0" w:type="dxa"/>
            <w:right w:w="0" w:type="dxa"/>
          </w:tblCellMar>
        </w:tblPrEx>
        <w:trPr>
          <w:trHeight w:val="638" w:hRule="atLeast"/>
          <w:tblCellSpacing w:w="0" w:type="dxa"/>
          <w:jc w:val="center"/>
        </w:trPr>
        <w:tc>
          <w:tcPr>
            <w:tcW w:w="3139"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宋体" w:hAnsi="宋体" w:cs="宋体"/>
                <w:color w:val="000000"/>
                <w:kern w:val="0"/>
                <w:sz w:val="24"/>
                <w:szCs w:val="24"/>
              </w:rPr>
            </w:pPr>
            <w:r>
              <w:rPr>
                <w:rFonts w:hint="eastAsia" w:ascii="微软雅黑" w:hAnsi="微软雅黑" w:eastAsia="微软雅黑" w:cs="宋体"/>
                <w:b/>
                <w:bCs/>
                <w:color w:val="000000"/>
                <w:kern w:val="0"/>
                <w:sz w:val="18"/>
                <w:szCs w:val="18"/>
              </w:rPr>
              <w:t>单位名称</w:t>
            </w:r>
          </w:p>
        </w:tc>
        <w:tc>
          <w:tcPr>
            <w:tcW w:w="1417"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宋体" w:hAnsi="宋体" w:cs="宋体"/>
                <w:color w:val="000000"/>
                <w:kern w:val="0"/>
                <w:sz w:val="24"/>
                <w:szCs w:val="24"/>
              </w:rPr>
            </w:pPr>
            <w:r>
              <w:rPr>
                <w:rFonts w:hint="eastAsia" w:ascii="微软雅黑" w:hAnsi="微软雅黑" w:eastAsia="微软雅黑" w:cs="宋体"/>
                <w:b/>
                <w:bCs/>
                <w:color w:val="000000"/>
                <w:kern w:val="0"/>
                <w:sz w:val="18"/>
                <w:szCs w:val="18"/>
              </w:rPr>
              <w:t>单位性质</w:t>
            </w:r>
          </w:p>
        </w:tc>
        <w:tc>
          <w:tcPr>
            <w:tcW w:w="2536"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微软雅黑" w:hAnsi="微软雅黑" w:eastAsia="微软雅黑" w:cs="宋体"/>
                <w:b/>
                <w:bCs/>
                <w:color w:val="000000"/>
                <w:kern w:val="0"/>
                <w:sz w:val="18"/>
                <w:szCs w:val="18"/>
              </w:rPr>
            </w:pPr>
            <w:r>
              <w:rPr>
                <w:rFonts w:hint="eastAsia" w:ascii="微软雅黑" w:hAnsi="微软雅黑" w:eastAsia="微软雅黑" w:cs="宋体"/>
                <w:b/>
                <w:bCs/>
                <w:color w:val="000000"/>
                <w:kern w:val="0"/>
                <w:sz w:val="18"/>
                <w:szCs w:val="18"/>
              </w:rPr>
              <w:t>单位规格</w:t>
            </w:r>
          </w:p>
        </w:tc>
        <w:tc>
          <w:tcPr>
            <w:tcW w:w="5047"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宋体" w:hAnsi="宋体" w:cs="宋体"/>
                <w:color w:val="000000"/>
                <w:kern w:val="0"/>
                <w:sz w:val="24"/>
                <w:szCs w:val="24"/>
              </w:rPr>
            </w:pPr>
            <w:r>
              <w:rPr>
                <w:rFonts w:hint="eastAsia" w:ascii="微软雅黑" w:hAnsi="微软雅黑" w:eastAsia="微软雅黑" w:cs="宋体"/>
                <w:b/>
                <w:bCs/>
                <w:color w:val="000000"/>
                <w:kern w:val="0"/>
                <w:sz w:val="18"/>
                <w:szCs w:val="18"/>
              </w:rPr>
              <w:t>经费保障形式</w:t>
            </w:r>
          </w:p>
        </w:tc>
      </w:tr>
      <w:tr>
        <w:tblPrEx>
          <w:tblCellMar>
            <w:top w:w="0" w:type="dxa"/>
            <w:left w:w="0" w:type="dxa"/>
            <w:bottom w:w="0" w:type="dxa"/>
            <w:right w:w="0" w:type="dxa"/>
          </w:tblCellMar>
        </w:tblPrEx>
        <w:trPr>
          <w:trHeight w:val="669" w:hRule="atLeast"/>
          <w:tblCellSpacing w:w="0" w:type="dxa"/>
          <w:jc w:val="center"/>
        </w:trPr>
        <w:tc>
          <w:tcPr>
            <w:tcW w:w="3139" w:type="dxa"/>
            <w:tcBorders>
              <w:top w:val="single" w:color="000000" w:sz="8" w:space="0"/>
              <w:left w:val="single" w:color="000000" w:sz="8" w:space="0"/>
              <w:bottom w:val="single" w:color="000000" w:sz="8" w:space="0"/>
              <w:right w:val="single" w:color="000000" w:sz="8" w:space="0"/>
            </w:tcBorders>
            <w:vAlign w:val="center"/>
          </w:tcPr>
          <w:p>
            <w:pPr>
              <w:widowControl/>
              <w:ind w:firstLine="480"/>
              <w:jc w:val="center"/>
              <w:rPr>
                <w:rFonts w:ascii="宋体" w:hAnsi="宋体" w:cs="宋体"/>
                <w:color w:val="000000"/>
                <w:kern w:val="0"/>
                <w:sz w:val="24"/>
                <w:szCs w:val="24"/>
              </w:rPr>
            </w:pPr>
            <w:r>
              <w:rPr>
                <w:rFonts w:hint="eastAsia" w:ascii="微软雅黑" w:hAnsi="微软雅黑" w:eastAsia="微软雅黑" w:cs="宋体"/>
                <w:color w:val="000000"/>
                <w:kern w:val="0"/>
                <w:sz w:val="18"/>
                <w:szCs w:val="18"/>
              </w:rPr>
              <w:t>馆陶县人大常委会办公室</w:t>
            </w:r>
          </w:p>
        </w:tc>
        <w:tc>
          <w:tcPr>
            <w:tcW w:w="1417"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宋体" w:hAnsi="宋体" w:cs="宋体"/>
                <w:color w:val="000000"/>
                <w:kern w:val="0"/>
                <w:sz w:val="24"/>
                <w:szCs w:val="24"/>
              </w:rPr>
            </w:pPr>
            <w:r>
              <w:rPr>
                <w:rFonts w:hint="eastAsia" w:ascii="微软雅黑" w:hAnsi="微软雅黑" w:eastAsia="微软雅黑" w:cs="宋体"/>
                <w:color w:val="000000"/>
                <w:kern w:val="0"/>
                <w:sz w:val="18"/>
                <w:szCs w:val="18"/>
              </w:rPr>
              <w:t>行政</w:t>
            </w:r>
          </w:p>
        </w:tc>
        <w:tc>
          <w:tcPr>
            <w:tcW w:w="2536"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Times New Roman" w:hAnsi="Times New Roman"/>
                <w:kern w:val="0"/>
                <w:sz w:val="20"/>
                <w:szCs w:val="20"/>
              </w:rPr>
            </w:pPr>
            <w:r>
              <w:rPr>
                <w:rFonts w:hint="eastAsia" w:ascii="Times New Roman" w:hAnsi="Times New Roman"/>
                <w:kern w:val="0"/>
                <w:sz w:val="20"/>
                <w:szCs w:val="20"/>
              </w:rPr>
              <w:t>正</w:t>
            </w:r>
            <w:r>
              <w:rPr>
                <w:rFonts w:ascii="Times New Roman" w:hAnsi="Times New Roman"/>
                <w:kern w:val="0"/>
                <w:sz w:val="20"/>
                <w:szCs w:val="20"/>
              </w:rPr>
              <w:t>处级</w:t>
            </w:r>
          </w:p>
        </w:tc>
        <w:tc>
          <w:tcPr>
            <w:tcW w:w="5047"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ascii="Times New Roman" w:hAnsi="Times New Roman" w:eastAsia="Times New Roman"/>
                <w:kern w:val="0"/>
                <w:sz w:val="20"/>
                <w:szCs w:val="20"/>
              </w:rPr>
            </w:pPr>
            <w:r>
              <w:rPr>
                <w:rFonts w:hint="eastAsia" w:ascii="微软雅黑" w:hAnsi="微软雅黑" w:eastAsia="微软雅黑" w:cs="宋体"/>
                <w:color w:val="000000"/>
                <w:kern w:val="0"/>
                <w:sz w:val="18"/>
                <w:szCs w:val="18"/>
              </w:rPr>
              <w:t>财政拨款</w:t>
            </w:r>
          </w:p>
        </w:tc>
      </w:tr>
    </w:tbl>
    <w:p>
      <w:pPr>
        <w:ind w:firstLine="640"/>
        <w:rPr>
          <w:rFonts w:ascii="黑体" w:hAnsi="黑体" w:eastAsia="黑体"/>
          <w:b/>
          <w:sz w:val="32"/>
          <w:szCs w:val="32"/>
        </w:rPr>
      </w:pPr>
      <w:r>
        <w:rPr>
          <w:rFonts w:hint="eastAsia" w:ascii="黑体" w:hAnsi="黑体" w:eastAsia="黑体"/>
          <w:b/>
          <w:sz w:val="32"/>
          <w:szCs w:val="32"/>
        </w:rPr>
        <w:t>二、部门预算安排的总体情况</w:t>
      </w:r>
    </w:p>
    <w:p>
      <w:pPr>
        <w:ind w:firstLine="640"/>
        <w:rPr>
          <w:rFonts w:ascii="仿宋_GB2312" w:hAnsi="Times New Roman" w:eastAsia="仿宋_GB2312"/>
          <w:sz w:val="32"/>
          <w:szCs w:val="32"/>
        </w:rPr>
      </w:pPr>
      <w:r>
        <w:rPr>
          <w:rFonts w:hint="eastAsia" w:ascii="仿宋_GB2312" w:hAnsi="Times New Roman" w:eastAsia="仿宋_GB2312"/>
          <w:sz w:val="32"/>
          <w:szCs w:val="32"/>
        </w:rPr>
        <w:t>按照预算管理有关规定，目前我县部门预算的编制实行综合预算制度，即全部收入和支出都反映在预算中。馆陶县人大常委会</w:t>
      </w:r>
      <w:r>
        <w:rPr>
          <w:rFonts w:ascii="仿宋_GB2312" w:hAnsi="Times New Roman" w:eastAsia="仿宋_GB2312"/>
          <w:sz w:val="32"/>
          <w:szCs w:val="32"/>
        </w:rPr>
        <w:t>办公室机关</w:t>
      </w:r>
      <w:r>
        <w:rPr>
          <w:rFonts w:hint="eastAsia" w:ascii="仿宋_GB2312" w:hAnsi="Times New Roman" w:eastAsia="仿宋_GB2312"/>
          <w:sz w:val="32"/>
          <w:szCs w:val="32"/>
        </w:rPr>
        <w:t>的收支包含在部门预算中。</w:t>
      </w:r>
    </w:p>
    <w:p>
      <w:pPr>
        <w:ind w:firstLine="640"/>
        <w:rPr>
          <w:rFonts w:ascii="仿宋_GB2312" w:hAnsi="Times New Roman" w:eastAsia="仿宋_GB2312"/>
          <w:sz w:val="32"/>
          <w:szCs w:val="32"/>
        </w:rPr>
      </w:pPr>
      <w:r>
        <w:rPr>
          <w:rFonts w:ascii="仿宋_GB2312" w:hAnsi="Times New Roman" w:eastAsia="仿宋_GB2312"/>
          <w:sz w:val="32"/>
          <w:szCs w:val="32"/>
        </w:rPr>
        <w:t>1</w:t>
      </w:r>
      <w:r>
        <w:rPr>
          <w:rFonts w:hint="eastAsia" w:ascii="仿宋_GB2312" w:hAnsi="Times New Roman" w:eastAsia="仿宋_GB2312"/>
          <w:sz w:val="32"/>
          <w:szCs w:val="32"/>
        </w:rPr>
        <w:t>、收入说明</w:t>
      </w:r>
    </w:p>
    <w:p>
      <w:pPr>
        <w:ind w:firstLine="640"/>
        <w:rPr>
          <w:rFonts w:ascii="仿宋_GB2312" w:hAnsi="Times New Roman" w:eastAsia="仿宋_GB2312"/>
          <w:sz w:val="32"/>
          <w:szCs w:val="32"/>
        </w:rPr>
      </w:pPr>
      <w:r>
        <w:rPr>
          <w:rFonts w:hint="eastAsia" w:ascii="仿宋_GB2312" w:hAnsi="Times New Roman" w:eastAsia="仿宋_GB2312"/>
          <w:sz w:val="32"/>
          <w:szCs w:val="32"/>
        </w:rPr>
        <w:t>反应本部门当年全部收入。2018年预算收入</w:t>
      </w:r>
      <w:r>
        <w:rPr>
          <w:rFonts w:hint="eastAsia" w:ascii="仿宋_GB2312" w:hAnsi="Times New Roman" w:eastAsia="仿宋_GB2312"/>
          <w:sz w:val="32"/>
          <w:szCs w:val="32"/>
          <w:lang w:val="en-US" w:eastAsia="zh-CN"/>
        </w:rPr>
        <w:t>340.589</w:t>
      </w:r>
      <w:r>
        <w:rPr>
          <w:rFonts w:hint="eastAsia" w:ascii="仿宋_GB2312" w:hAnsi="Times New Roman" w:eastAsia="仿宋_GB2312"/>
          <w:sz w:val="32"/>
          <w:szCs w:val="32"/>
        </w:rPr>
        <w:t>万元，其中：一般公共预算收入</w:t>
      </w:r>
      <w:r>
        <w:rPr>
          <w:rFonts w:hint="eastAsia" w:ascii="仿宋_GB2312" w:hAnsi="Times New Roman" w:eastAsia="仿宋_GB2312"/>
          <w:sz w:val="32"/>
          <w:szCs w:val="32"/>
          <w:lang w:val="en-US" w:eastAsia="zh-CN"/>
        </w:rPr>
        <w:t>340.589</w:t>
      </w:r>
      <w:r>
        <w:rPr>
          <w:rFonts w:hint="eastAsia" w:ascii="仿宋_GB2312" w:hAnsi="Times New Roman" w:eastAsia="仿宋_GB2312"/>
          <w:sz w:val="32"/>
          <w:szCs w:val="32"/>
        </w:rPr>
        <w:t>万元，基金预算收入0万元，财政专户核拨收入0万元，其他来源收入0万元。</w:t>
      </w:r>
    </w:p>
    <w:p>
      <w:pPr>
        <w:ind w:firstLine="640"/>
        <w:rPr>
          <w:rFonts w:ascii="仿宋_GB2312" w:hAnsi="Times New Roman" w:eastAsia="仿宋_GB2312"/>
          <w:sz w:val="32"/>
          <w:szCs w:val="32"/>
        </w:rPr>
      </w:pPr>
      <w:r>
        <w:rPr>
          <w:rFonts w:ascii="仿宋_GB2312" w:hAnsi="Times New Roman" w:eastAsia="仿宋_GB2312"/>
          <w:sz w:val="32"/>
          <w:szCs w:val="32"/>
        </w:rPr>
        <w:t>2</w:t>
      </w:r>
      <w:r>
        <w:rPr>
          <w:rFonts w:hint="eastAsia" w:ascii="仿宋_GB2312" w:hAnsi="Times New Roman" w:eastAsia="仿宋_GB2312"/>
          <w:sz w:val="32"/>
          <w:szCs w:val="32"/>
        </w:rPr>
        <w:t>、支出说明</w:t>
      </w:r>
    </w:p>
    <w:p>
      <w:pPr>
        <w:ind w:firstLine="640"/>
        <w:rPr>
          <w:rFonts w:ascii="仿宋_GB2312" w:hAnsi="Times New Roman" w:eastAsia="仿宋_GB2312"/>
          <w:sz w:val="32"/>
          <w:szCs w:val="32"/>
        </w:rPr>
      </w:pPr>
      <w:r>
        <w:rPr>
          <w:rFonts w:hint="eastAsia" w:ascii="仿宋_GB2312" w:hAnsi="Times New Roman" w:eastAsia="仿宋_GB2312"/>
          <w:sz w:val="32"/>
          <w:szCs w:val="32"/>
        </w:rPr>
        <w:t>收支预算总表支出栏、基本支出表、项目支出表按经济分类和支出功能分类科目编制，反映馆陶县人大常委会</w:t>
      </w:r>
      <w:r>
        <w:rPr>
          <w:rFonts w:ascii="仿宋_GB2312" w:hAnsi="Times New Roman" w:eastAsia="仿宋_GB2312"/>
          <w:sz w:val="32"/>
          <w:szCs w:val="32"/>
        </w:rPr>
        <w:t>办公室</w:t>
      </w:r>
      <w:r>
        <w:rPr>
          <w:rFonts w:hint="eastAsia" w:ascii="仿宋_GB2312" w:hAnsi="Times New Roman" w:eastAsia="仿宋_GB2312"/>
          <w:sz w:val="32"/>
          <w:szCs w:val="32"/>
        </w:rPr>
        <w:t>部门预算中支出预算的总体情况。</w:t>
      </w:r>
      <w:r>
        <w:rPr>
          <w:rFonts w:ascii="仿宋_GB2312" w:hAnsi="Times New Roman" w:eastAsia="仿宋_GB2312"/>
          <w:sz w:val="32"/>
          <w:szCs w:val="32"/>
        </w:rPr>
        <w:t>2018</w:t>
      </w:r>
      <w:r>
        <w:rPr>
          <w:rFonts w:hint="eastAsia" w:ascii="仿宋_GB2312" w:hAnsi="Times New Roman" w:eastAsia="仿宋_GB2312"/>
          <w:sz w:val="32"/>
          <w:szCs w:val="32"/>
        </w:rPr>
        <w:t>年支出预算</w:t>
      </w:r>
      <w:r>
        <w:rPr>
          <w:rFonts w:hint="eastAsia" w:ascii="仿宋_GB2312" w:hAnsi="Times New Roman" w:eastAsia="仿宋_GB2312"/>
          <w:sz w:val="32"/>
          <w:szCs w:val="32"/>
          <w:lang w:val="en-US" w:eastAsia="zh-CN"/>
        </w:rPr>
        <w:t>340.589</w:t>
      </w:r>
      <w:r>
        <w:rPr>
          <w:rFonts w:hint="eastAsia" w:ascii="仿宋_GB2312" w:hAnsi="Times New Roman" w:eastAsia="仿宋_GB2312"/>
          <w:sz w:val="32"/>
          <w:szCs w:val="32"/>
        </w:rPr>
        <w:t>万元，其中基本支出</w:t>
      </w:r>
      <w:r>
        <w:rPr>
          <w:rFonts w:hint="eastAsia" w:ascii="仿宋_GB2312" w:hAnsi="Times New Roman" w:eastAsia="仿宋_GB2312"/>
          <w:sz w:val="32"/>
          <w:szCs w:val="32"/>
          <w:lang w:val="en-US" w:eastAsia="zh-CN"/>
        </w:rPr>
        <w:t>311.589</w:t>
      </w:r>
      <w:r>
        <w:rPr>
          <w:rFonts w:hint="eastAsia" w:ascii="仿宋_GB2312" w:hAnsi="Times New Roman" w:eastAsia="仿宋_GB2312"/>
          <w:sz w:val="32"/>
          <w:szCs w:val="32"/>
        </w:rPr>
        <w:t>万元，包括人员经费</w:t>
      </w:r>
      <w:r>
        <w:rPr>
          <w:rFonts w:ascii="仿宋_GB2312" w:hAnsi="Times New Roman" w:eastAsia="仿宋_GB2312"/>
          <w:sz w:val="32"/>
          <w:szCs w:val="32"/>
        </w:rPr>
        <w:t>249.521</w:t>
      </w:r>
      <w:r>
        <w:rPr>
          <w:rFonts w:hint="eastAsia" w:ascii="仿宋_GB2312" w:hAnsi="Times New Roman" w:eastAsia="仿宋_GB2312"/>
          <w:sz w:val="32"/>
          <w:szCs w:val="32"/>
        </w:rPr>
        <w:t>万元和日常公用经费</w:t>
      </w:r>
      <w:r>
        <w:rPr>
          <w:rFonts w:hint="eastAsia" w:ascii="仿宋_GB2312" w:hAnsi="Times New Roman" w:eastAsia="仿宋_GB2312"/>
          <w:sz w:val="32"/>
          <w:szCs w:val="32"/>
          <w:lang w:val="en-US" w:eastAsia="zh-CN"/>
        </w:rPr>
        <w:t>62.068</w:t>
      </w:r>
      <w:r>
        <w:rPr>
          <w:rFonts w:hint="eastAsia" w:ascii="仿宋_GB2312" w:hAnsi="Times New Roman" w:eastAsia="仿宋_GB2312"/>
          <w:sz w:val="32"/>
          <w:szCs w:val="32"/>
        </w:rPr>
        <w:t>万元；专项</w:t>
      </w:r>
      <w:r>
        <w:rPr>
          <w:rFonts w:ascii="仿宋_GB2312" w:hAnsi="Times New Roman" w:eastAsia="仿宋_GB2312"/>
          <w:sz w:val="32"/>
          <w:szCs w:val="32"/>
        </w:rPr>
        <w:t>经费</w:t>
      </w:r>
      <w:r>
        <w:rPr>
          <w:rFonts w:hint="eastAsia" w:ascii="仿宋_GB2312" w:hAnsi="Times New Roman" w:eastAsia="仿宋_GB2312"/>
          <w:sz w:val="32"/>
          <w:szCs w:val="32"/>
        </w:rPr>
        <w:t>2</w:t>
      </w:r>
      <w:r>
        <w:rPr>
          <w:rFonts w:ascii="仿宋_GB2312" w:hAnsi="Times New Roman" w:eastAsia="仿宋_GB2312"/>
          <w:sz w:val="32"/>
          <w:szCs w:val="32"/>
        </w:rPr>
        <w:t>9</w:t>
      </w:r>
      <w:r>
        <w:rPr>
          <w:rFonts w:hint="eastAsia" w:ascii="仿宋_GB2312" w:hAnsi="Times New Roman" w:eastAsia="仿宋_GB2312"/>
          <w:sz w:val="32"/>
          <w:szCs w:val="32"/>
        </w:rPr>
        <w:t>万元，主要为人代会、人大</w:t>
      </w:r>
      <w:r>
        <w:rPr>
          <w:rFonts w:ascii="仿宋_GB2312" w:hAnsi="Times New Roman" w:eastAsia="仿宋_GB2312"/>
          <w:sz w:val="32"/>
          <w:szCs w:val="32"/>
        </w:rPr>
        <w:t>代表</w:t>
      </w:r>
      <w:r>
        <w:rPr>
          <w:rFonts w:hint="eastAsia" w:ascii="仿宋_GB2312" w:hAnsi="Times New Roman" w:eastAsia="仿宋_GB2312"/>
          <w:sz w:val="32"/>
          <w:szCs w:val="32"/>
        </w:rPr>
        <w:t>视察</w:t>
      </w:r>
      <w:r>
        <w:rPr>
          <w:rFonts w:ascii="仿宋_GB2312" w:hAnsi="Times New Roman" w:eastAsia="仿宋_GB2312"/>
          <w:sz w:val="32"/>
          <w:szCs w:val="32"/>
        </w:rPr>
        <w:t>和</w:t>
      </w:r>
      <w:r>
        <w:rPr>
          <w:rFonts w:hint="eastAsia" w:ascii="仿宋_GB2312" w:hAnsi="Times New Roman" w:eastAsia="仿宋_GB2312"/>
          <w:sz w:val="32"/>
          <w:szCs w:val="32"/>
        </w:rPr>
        <w:t>法律</w:t>
      </w:r>
      <w:r>
        <w:rPr>
          <w:rFonts w:ascii="仿宋_GB2312" w:hAnsi="Times New Roman" w:eastAsia="仿宋_GB2312"/>
          <w:sz w:val="32"/>
          <w:szCs w:val="32"/>
        </w:rPr>
        <w:t>监督</w:t>
      </w:r>
      <w:r>
        <w:rPr>
          <w:rFonts w:hint="eastAsia" w:ascii="仿宋_GB2312" w:hAnsi="Times New Roman" w:eastAsia="仿宋_GB2312"/>
          <w:sz w:val="32"/>
          <w:szCs w:val="32"/>
        </w:rPr>
        <w:t>等。</w:t>
      </w:r>
    </w:p>
    <w:p>
      <w:pPr>
        <w:ind w:firstLine="640"/>
        <w:rPr>
          <w:rFonts w:ascii="仿宋_GB2312" w:hAnsi="Times New Roman" w:eastAsia="仿宋_GB2312"/>
          <w:sz w:val="32"/>
          <w:szCs w:val="32"/>
        </w:rPr>
      </w:pPr>
      <w:r>
        <w:rPr>
          <w:rFonts w:ascii="仿宋_GB2312" w:hAnsi="Times New Roman" w:eastAsia="仿宋_GB2312"/>
          <w:sz w:val="32"/>
          <w:szCs w:val="32"/>
        </w:rPr>
        <w:t>3</w:t>
      </w:r>
      <w:r>
        <w:rPr>
          <w:rFonts w:hint="eastAsia" w:ascii="仿宋_GB2312" w:hAnsi="Times New Roman" w:eastAsia="仿宋_GB2312"/>
          <w:sz w:val="32"/>
          <w:szCs w:val="32"/>
        </w:rPr>
        <w:t>、比上年增减情况</w:t>
      </w:r>
    </w:p>
    <w:p>
      <w:pPr>
        <w:ind w:firstLine="640"/>
        <w:rPr>
          <w:rFonts w:ascii="仿宋_GB2312" w:hAnsi="Times New Roman"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年预算收支安排</w:t>
      </w:r>
      <w:r>
        <w:rPr>
          <w:rFonts w:hint="eastAsia" w:ascii="仿宋_GB2312" w:hAnsi="Times New Roman" w:eastAsia="仿宋_GB2312"/>
          <w:sz w:val="32"/>
          <w:szCs w:val="32"/>
          <w:lang w:val="en-US" w:eastAsia="zh-CN"/>
        </w:rPr>
        <w:t>340.589</w:t>
      </w:r>
      <w:r>
        <w:rPr>
          <w:rFonts w:hint="eastAsia" w:ascii="仿宋_GB2312" w:hAnsi="Times New Roman" w:eastAsia="仿宋_GB2312"/>
          <w:sz w:val="32"/>
          <w:szCs w:val="32"/>
        </w:rPr>
        <w:t>万元，较</w:t>
      </w:r>
      <w:r>
        <w:rPr>
          <w:rFonts w:ascii="仿宋_GB2312" w:hAnsi="Times New Roman" w:eastAsia="仿宋_GB2312"/>
          <w:sz w:val="32"/>
          <w:szCs w:val="32"/>
        </w:rPr>
        <w:t>2017</w:t>
      </w:r>
      <w:r>
        <w:rPr>
          <w:rFonts w:hint="eastAsia" w:ascii="仿宋_GB2312" w:hAnsi="Times New Roman" w:eastAsia="仿宋_GB2312"/>
          <w:sz w:val="32"/>
          <w:szCs w:val="32"/>
        </w:rPr>
        <w:t>年预算增加</w:t>
      </w:r>
      <w:r>
        <w:rPr>
          <w:rFonts w:hint="eastAsia" w:ascii="仿宋_GB2312" w:hAnsi="仿宋_GB2312" w:eastAsia="仿宋_GB2312" w:cs="仿宋_GB2312"/>
          <w:color w:val="000000"/>
          <w:kern w:val="0"/>
          <w:sz w:val="32"/>
          <w:szCs w:val="32"/>
          <w:lang w:val="en-US" w:eastAsia="zh-CN"/>
        </w:rPr>
        <w:t>22.551</w:t>
      </w:r>
      <w:r>
        <w:rPr>
          <w:rFonts w:hint="eastAsia" w:ascii="仿宋_GB2312" w:hAnsi="Times New Roman" w:eastAsia="仿宋_GB2312"/>
          <w:sz w:val="32"/>
          <w:szCs w:val="32"/>
        </w:rPr>
        <w:t>万元，其中：其中人员经费</w:t>
      </w:r>
      <w:r>
        <w:rPr>
          <w:rFonts w:hint="eastAsia" w:ascii="仿宋_GB2312" w:hAnsi="Times New Roman" w:eastAsia="仿宋_GB2312"/>
          <w:sz w:val="32"/>
          <w:szCs w:val="32"/>
          <w:lang w:eastAsia="zh-CN"/>
        </w:rPr>
        <w:t>减少</w:t>
      </w:r>
      <w:r>
        <w:rPr>
          <w:rFonts w:ascii="仿宋_GB2312" w:hAnsi="Times New Roman" w:eastAsia="仿宋_GB2312"/>
          <w:sz w:val="32"/>
          <w:szCs w:val="32"/>
        </w:rPr>
        <w:t>21.119</w:t>
      </w:r>
      <w:r>
        <w:rPr>
          <w:rFonts w:hint="eastAsia" w:ascii="仿宋_GB2312" w:hAnsi="Times New Roman" w:eastAsia="仿宋_GB2312"/>
          <w:sz w:val="32"/>
          <w:szCs w:val="32"/>
        </w:rPr>
        <w:t>万元，原因是我部门退休人员移交社保，因部门位未编制退休人员退休费</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公用经费</w:t>
      </w:r>
      <w:r>
        <w:rPr>
          <w:rFonts w:hint="eastAsia" w:ascii="仿宋_GB2312" w:hAnsi="Times New Roman" w:eastAsia="仿宋_GB2312"/>
          <w:sz w:val="32"/>
          <w:szCs w:val="32"/>
          <w:lang w:eastAsia="zh-CN"/>
        </w:rPr>
        <w:t>较上年增加</w:t>
      </w:r>
      <w:r>
        <w:rPr>
          <w:rFonts w:hint="eastAsia" w:ascii="仿宋_GB2312" w:hAnsi="Times New Roman" w:eastAsia="仿宋_GB2312"/>
          <w:sz w:val="32"/>
          <w:szCs w:val="32"/>
          <w:lang w:val="en-US" w:eastAsia="zh-CN"/>
        </w:rPr>
        <w:t>26.568万元</w:t>
      </w:r>
      <w:r>
        <w:rPr>
          <w:rFonts w:hint="eastAsia" w:ascii="仿宋_GB2312" w:hAnsi="Times New Roman" w:eastAsia="仿宋_GB2312"/>
          <w:sz w:val="32"/>
          <w:szCs w:val="32"/>
          <w:lang w:eastAsia="zh-CN"/>
        </w:rPr>
        <w:t>，主要原因是增加上了公务人员交通补贴，</w:t>
      </w:r>
      <w:r>
        <w:rPr>
          <w:rFonts w:ascii="仿宋_GB2312" w:hAnsi="Times New Roman" w:eastAsia="仿宋_GB2312"/>
          <w:sz w:val="32"/>
          <w:szCs w:val="32"/>
        </w:rPr>
        <w:t>专</w:t>
      </w:r>
      <w:r>
        <w:rPr>
          <w:rFonts w:hint="eastAsia" w:ascii="仿宋_GB2312" w:hAnsi="Times New Roman" w:eastAsia="仿宋_GB2312"/>
          <w:sz w:val="32"/>
          <w:szCs w:val="32"/>
          <w:lang w:eastAsia="zh-CN"/>
        </w:rPr>
        <w:t>项</w:t>
      </w:r>
      <w:r>
        <w:rPr>
          <w:rFonts w:ascii="仿宋_GB2312" w:hAnsi="Times New Roman" w:eastAsia="仿宋_GB2312"/>
          <w:sz w:val="32"/>
          <w:szCs w:val="32"/>
        </w:rPr>
        <w:t>经费</w:t>
      </w:r>
      <w:r>
        <w:rPr>
          <w:rFonts w:hint="eastAsia" w:ascii="仿宋_GB2312" w:hAnsi="Times New Roman" w:eastAsia="仿宋_GB2312"/>
          <w:sz w:val="32"/>
          <w:szCs w:val="32"/>
        </w:rPr>
        <w:t>与上年</w:t>
      </w:r>
      <w:r>
        <w:rPr>
          <w:rFonts w:hint="eastAsia" w:ascii="仿宋_GB2312" w:hAnsi="Times New Roman" w:eastAsia="仿宋_GB2312"/>
          <w:sz w:val="32"/>
          <w:szCs w:val="32"/>
          <w:lang w:eastAsia="zh-CN"/>
        </w:rPr>
        <w:t>减少</w:t>
      </w:r>
      <w:r>
        <w:rPr>
          <w:rFonts w:hint="eastAsia" w:ascii="仿宋_GB2312" w:hAnsi="Times New Roman" w:eastAsia="仿宋_GB2312"/>
          <w:sz w:val="32"/>
          <w:szCs w:val="32"/>
          <w:lang w:val="en-US" w:eastAsia="zh-CN"/>
        </w:rPr>
        <w:t>28万元</w:t>
      </w:r>
      <w:r>
        <w:rPr>
          <w:rFonts w:hint="eastAsia" w:ascii="仿宋_GB2312" w:hAnsi="Times New Roman" w:eastAsia="仿宋_GB2312"/>
          <w:sz w:val="32"/>
          <w:szCs w:val="32"/>
          <w:lang w:eastAsia="zh-CN"/>
        </w:rPr>
        <w:t>，主要减少的项目为还旧欠工程款。</w:t>
      </w:r>
    </w:p>
    <w:p>
      <w:pPr>
        <w:ind w:firstLine="640"/>
        <w:rPr>
          <w:rFonts w:ascii="仿宋_GB2312" w:hAnsi="黑体" w:eastAsia="仿宋_GB2312"/>
          <w:sz w:val="32"/>
          <w:szCs w:val="32"/>
        </w:rPr>
      </w:pP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三、机关运行经费安排情况</w:t>
      </w:r>
    </w:p>
    <w:p>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年，我部门机关运行经费共计安排</w:t>
      </w:r>
      <w:r>
        <w:rPr>
          <w:rFonts w:hint="eastAsia" w:ascii="仿宋_GB2312" w:hAnsi="Times New Roman" w:eastAsia="仿宋_GB2312"/>
          <w:sz w:val="32"/>
          <w:szCs w:val="32"/>
          <w:lang w:val="en-US" w:eastAsia="zh-CN"/>
        </w:rPr>
        <w:t>62.068</w:t>
      </w:r>
      <w:r>
        <w:rPr>
          <w:rFonts w:hint="eastAsia" w:ascii="仿宋_GB2312" w:hAnsi="Times New Roman" w:eastAsia="仿宋_GB2312"/>
          <w:sz w:val="32"/>
          <w:szCs w:val="32"/>
        </w:rPr>
        <w:t>万元，主要用于办公费、印刷费、邮电费、公务交通补贴等日常运行支出。</w:t>
      </w:r>
    </w:p>
    <w:p>
      <w:pPr>
        <w:autoSpaceDE w:val="0"/>
        <w:autoSpaceDN w:val="0"/>
        <w:adjustRightInd w:val="0"/>
        <w:ind w:left="198" w:firstLine="643" w:firstLineChars="200"/>
        <w:jc w:val="left"/>
        <w:rPr>
          <w:rFonts w:ascii="黑体" w:hAnsi="黑体" w:eastAsia="黑体"/>
          <w:b/>
          <w:sz w:val="32"/>
          <w:szCs w:val="32"/>
        </w:rPr>
      </w:pP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四、财政拨款“三公”经费预算情况及增减变化原因</w:t>
      </w:r>
    </w:p>
    <w:p>
      <w:pPr>
        <w:autoSpaceDE w:val="0"/>
        <w:autoSpaceDN w:val="0"/>
        <w:adjustRightInd w:val="0"/>
        <w:ind w:left="198" w:firstLine="640" w:firstLineChars="200"/>
        <w:jc w:val="left"/>
        <w:rPr>
          <w:rFonts w:ascii="仿宋_GB2312" w:hAnsi="Times New Roman" w:eastAsia="仿宋_GB2312"/>
          <w:sz w:val="32"/>
          <w:szCs w:val="32"/>
        </w:rPr>
      </w:pPr>
      <w:r>
        <w:rPr>
          <w:rFonts w:ascii="仿宋_GB2312" w:hAnsi="Times New Roman" w:eastAsia="仿宋_GB2312"/>
          <w:sz w:val="32"/>
          <w:szCs w:val="32"/>
        </w:rPr>
        <w:t>2018</w:t>
      </w:r>
      <w:r>
        <w:rPr>
          <w:rFonts w:hint="eastAsia" w:ascii="仿宋_GB2312" w:hAnsi="Times New Roman" w:eastAsia="仿宋_GB2312"/>
          <w:sz w:val="32"/>
          <w:szCs w:val="32"/>
        </w:rPr>
        <w:t>年，我部门财政拨款“三公”经费预算安排</w:t>
      </w:r>
      <w:r>
        <w:rPr>
          <w:rFonts w:ascii="仿宋_GB2312" w:hAnsi="Times New Roman" w:eastAsia="仿宋_GB2312"/>
          <w:sz w:val="32"/>
          <w:szCs w:val="32"/>
        </w:rPr>
        <w:t>4.25</w:t>
      </w:r>
      <w:r>
        <w:rPr>
          <w:rFonts w:hint="eastAsia" w:ascii="仿宋_GB2312" w:hAnsi="Times New Roman" w:eastAsia="仿宋_GB2312"/>
          <w:sz w:val="32"/>
          <w:szCs w:val="32"/>
        </w:rPr>
        <w:t>万元，其中因公出国（境）费</w:t>
      </w:r>
      <w:r>
        <w:rPr>
          <w:rFonts w:ascii="仿宋_GB2312" w:hAnsi="Times New Roman" w:eastAsia="仿宋_GB2312"/>
          <w:sz w:val="32"/>
          <w:szCs w:val="32"/>
        </w:rPr>
        <w:t>0</w:t>
      </w:r>
      <w:r>
        <w:rPr>
          <w:rFonts w:hint="eastAsia" w:ascii="仿宋_GB2312" w:hAnsi="Times New Roman" w:eastAsia="仿宋_GB2312"/>
          <w:sz w:val="32"/>
          <w:szCs w:val="32"/>
        </w:rPr>
        <w:t>万元，较上年持平；公务用车购置及运维费</w:t>
      </w:r>
      <w:r>
        <w:rPr>
          <w:rFonts w:ascii="仿宋_GB2312" w:hAnsi="Times New Roman" w:eastAsia="仿宋_GB2312"/>
          <w:sz w:val="32"/>
          <w:szCs w:val="32"/>
        </w:rPr>
        <w:t>0</w:t>
      </w:r>
      <w:r>
        <w:rPr>
          <w:rFonts w:hint="eastAsia" w:ascii="仿宋_GB2312" w:hAnsi="Times New Roman" w:eastAsia="仿宋_GB2312"/>
          <w:sz w:val="32"/>
          <w:szCs w:val="32"/>
        </w:rPr>
        <w:t>万元（其中：公务用车购置费为</w:t>
      </w:r>
      <w:r>
        <w:rPr>
          <w:rFonts w:ascii="仿宋_GB2312" w:hAnsi="Times New Roman" w:eastAsia="仿宋_GB2312"/>
          <w:sz w:val="32"/>
          <w:szCs w:val="32"/>
        </w:rPr>
        <w:t>0</w:t>
      </w:r>
      <w:r>
        <w:rPr>
          <w:rFonts w:hint="eastAsia" w:ascii="仿宋_GB2312" w:hAnsi="Times New Roman" w:eastAsia="仿宋_GB2312"/>
          <w:sz w:val="32"/>
          <w:szCs w:val="32"/>
        </w:rPr>
        <w:t>万元，公务用车运维费</w:t>
      </w:r>
      <w:r>
        <w:rPr>
          <w:rFonts w:ascii="仿宋_GB2312" w:hAnsi="Times New Roman" w:eastAsia="仿宋_GB2312"/>
          <w:sz w:val="32"/>
          <w:szCs w:val="32"/>
        </w:rPr>
        <w:t>3.6</w:t>
      </w:r>
      <w:r>
        <w:rPr>
          <w:rFonts w:hint="eastAsia" w:ascii="仿宋_GB2312" w:hAnsi="Times New Roman" w:eastAsia="仿宋_GB2312"/>
          <w:sz w:val="32"/>
          <w:szCs w:val="32"/>
        </w:rPr>
        <w:t>万元</w:t>
      </w:r>
      <w:r>
        <w:rPr>
          <w:rFonts w:ascii="仿宋_GB2312" w:hAnsi="Times New Roman" w:eastAsia="仿宋_GB2312"/>
          <w:sz w:val="32"/>
          <w:szCs w:val="32"/>
        </w:rPr>
        <w:t>)</w:t>
      </w:r>
      <w:r>
        <w:rPr>
          <w:rFonts w:hint="eastAsia" w:ascii="仿宋_GB2312" w:hAnsi="Times New Roman" w:eastAsia="仿宋_GB2312"/>
          <w:sz w:val="32"/>
          <w:szCs w:val="32"/>
        </w:rPr>
        <w:t>，较上年减少</w:t>
      </w:r>
      <w:r>
        <w:rPr>
          <w:rFonts w:ascii="仿宋_GB2312" w:hAnsi="Times New Roman" w:eastAsia="仿宋_GB2312"/>
          <w:sz w:val="32"/>
          <w:szCs w:val="32"/>
        </w:rPr>
        <w:t>1</w:t>
      </w:r>
      <w:r>
        <w:rPr>
          <w:rFonts w:hint="eastAsia" w:ascii="仿宋_GB2312" w:hAnsi="Times New Roman" w:eastAsia="仿宋_GB2312"/>
          <w:sz w:val="32"/>
          <w:szCs w:val="32"/>
        </w:rPr>
        <w:t>万元；公务接待费</w:t>
      </w:r>
      <w:r>
        <w:rPr>
          <w:rFonts w:ascii="仿宋_GB2312" w:hAnsi="Times New Roman" w:eastAsia="仿宋_GB2312"/>
          <w:sz w:val="32"/>
          <w:szCs w:val="32"/>
        </w:rPr>
        <w:t>0.65</w:t>
      </w:r>
      <w:r>
        <w:rPr>
          <w:rFonts w:hint="eastAsia" w:ascii="仿宋_GB2312" w:hAnsi="Times New Roman" w:eastAsia="仿宋_GB2312"/>
          <w:sz w:val="32"/>
          <w:szCs w:val="32"/>
        </w:rPr>
        <w:t>万元，较上年持平。较</w:t>
      </w:r>
      <w:r>
        <w:rPr>
          <w:rFonts w:ascii="仿宋_GB2312" w:hAnsi="Times New Roman" w:eastAsia="仿宋_GB2312"/>
          <w:sz w:val="32"/>
          <w:szCs w:val="32"/>
        </w:rPr>
        <w:t>2017</w:t>
      </w:r>
      <w:r>
        <w:rPr>
          <w:rFonts w:hint="eastAsia" w:ascii="仿宋_GB2312" w:hAnsi="Times New Roman" w:eastAsia="仿宋_GB2312"/>
          <w:sz w:val="32"/>
          <w:szCs w:val="32"/>
        </w:rPr>
        <w:t>年“三公”经费支出预算减少，主要原因是严格“三公”经费各项开支要求，压缩了“三公”经费各项开支。</w:t>
      </w:r>
    </w:p>
    <w:p>
      <w:pPr>
        <w:autoSpaceDE w:val="0"/>
        <w:autoSpaceDN w:val="0"/>
        <w:adjustRightInd w:val="0"/>
        <w:ind w:left="198" w:firstLine="643" w:firstLineChars="200"/>
        <w:jc w:val="left"/>
        <w:rPr>
          <w:rFonts w:ascii="黑体" w:hAnsi="黑体" w:eastAsia="黑体"/>
          <w:b/>
          <w:sz w:val="32"/>
          <w:szCs w:val="32"/>
        </w:rPr>
      </w:pP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五、绩效预算信息</w:t>
      </w:r>
      <w:bookmarkStart w:id="0" w:name="_Toc471398463"/>
    </w:p>
    <w:p>
      <w:pPr>
        <w:autoSpaceDE w:val="0"/>
        <w:autoSpaceDN w:val="0"/>
        <w:adjustRightInd w:val="0"/>
        <w:ind w:left="198" w:firstLine="643" w:firstLineChars="200"/>
        <w:jc w:val="left"/>
        <w:rPr>
          <w:rFonts w:ascii="Times New Roman" w:hAnsi="Times New Roman" w:eastAsia="方正仿宋_GBK"/>
          <w:b/>
          <w:sz w:val="32"/>
          <w:szCs w:val="32"/>
        </w:rPr>
      </w:pPr>
      <w:r>
        <w:rPr>
          <w:rFonts w:hint="eastAsia" w:ascii="黑体" w:hAnsi="Times New Roman" w:eastAsia="黑体"/>
          <w:b/>
          <w:sz w:val="32"/>
          <w:szCs w:val="32"/>
        </w:rPr>
        <w:t>总体绩效目标</w:t>
      </w:r>
      <w:r>
        <w:rPr>
          <w:rFonts w:hint="eastAsia" w:ascii="Times New Roman" w:hAnsi="Times New Roman" w:eastAsia="方正仿宋_GBK"/>
          <w:b/>
          <w:sz w:val="32"/>
          <w:szCs w:val="32"/>
        </w:rPr>
        <w:t>：</w:t>
      </w:r>
    </w:p>
    <w:p>
      <w:pPr>
        <w:autoSpaceDE w:val="0"/>
        <w:autoSpaceDN w:val="0"/>
        <w:adjustRightInd w:val="0"/>
        <w:ind w:left="198" w:firstLine="640" w:firstLineChars="200"/>
        <w:jc w:val="left"/>
        <w:rPr>
          <w:rFonts w:ascii="仿宋" w:hAnsi="仿宋" w:eastAsia="仿宋"/>
          <w:sz w:val="32"/>
          <w:szCs w:val="32"/>
        </w:rPr>
      </w:pPr>
      <w:r>
        <w:rPr>
          <w:rFonts w:ascii="仿宋_GB2312" w:hAnsi="Arial" w:eastAsia="仿宋_GB2312" w:cs="Arial"/>
          <w:color w:val="000000"/>
          <w:sz w:val="32"/>
          <w:szCs w:val="32"/>
          <w:shd w:val="clear" w:color="auto" w:fill="FFFFFF"/>
        </w:rPr>
        <w:t>2018</w:t>
      </w:r>
      <w:r>
        <w:rPr>
          <w:rFonts w:hint="eastAsia" w:ascii="仿宋_GB2312" w:hAnsi="Arial" w:eastAsia="仿宋_GB2312" w:cs="Arial"/>
          <w:color w:val="000000"/>
          <w:sz w:val="32"/>
          <w:szCs w:val="32"/>
          <w:shd w:val="clear" w:color="auto" w:fill="FFFFFF"/>
        </w:rPr>
        <w:t>年，馆陶</w:t>
      </w:r>
      <w:r>
        <w:rPr>
          <w:rFonts w:ascii="仿宋_GB2312" w:hAnsi="Arial" w:eastAsia="仿宋_GB2312" w:cs="Arial"/>
          <w:color w:val="000000"/>
          <w:sz w:val="32"/>
          <w:szCs w:val="32"/>
          <w:shd w:val="clear" w:color="auto" w:fill="FFFFFF"/>
        </w:rPr>
        <w:t>县人大常委会办公室</w:t>
      </w:r>
      <w:r>
        <w:rPr>
          <w:rFonts w:hint="eastAsia" w:ascii="仿宋_GB2312" w:hAnsi="Arial" w:eastAsia="仿宋_GB2312" w:cs="Arial"/>
          <w:color w:val="000000"/>
          <w:sz w:val="32"/>
          <w:szCs w:val="32"/>
          <w:shd w:val="clear" w:color="auto" w:fill="FFFFFF"/>
        </w:rPr>
        <w:t>紧紧</w:t>
      </w:r>
      <w:r>
        <w:rPr>
          <w:rFonts w:hint="eastAsia" w:ascii="仿宋" w:hAnsi="仿宋" w:eastAsia="仿宋"/>
          <w:sz w:val="32"/>
          <w:szCs w:val="32"/>
        </w:rPr>
        <w:t>围绕县委中心工作积极开展各项活动，认真履行宪法和法律赋予的立法权、监督权、人事任免权及重大事项决定权，依法召开馆陶</w:t>
      </w:r>
      <w:r>
        <w:rPr>
          <w:rFonts w:ascii="仿宋" w:hAnsi="仿宋" w:eastAsia="仿宋"/>
          <w:sz w:val="32"/>
          <w:szCs w:val="32"/>
        </w:rPr>
        <w:t>县</w:t>
      </w:r>
      <w:r>
        <w:rPr>
          <w:rFonts w:hint="eastAsia" w:ascii="仿宋" w:hAnsi="仿宋" w:eastAsia="仿宋"/>
          <w:sz w:val="32"/>
          <w:szCs w:val="32"/>
        </w:rPr>
        <w:t>人民代表大会、常委会和主任会议，组织常委会组成人员和人大代表积极开展执法检查、视察、调研等活动，为推动我市民主法制化建设，促进经济社会又好又快发展提出合理的议案、建议。</w:t>
      </w:r>
    </w:p>
    <w:p>
      <w:pPr>
        <w:autoSpaceDE w:val="0"/>
        <w:autoSpaceDN w:val="0"/>
        <w:adjustRightInd w:val="0"/>
        <w:ind w:left="198" w:firstLine="640" w:firstLineChars="200"/>
        <w:jc w:val="left"/>
        <w:rPr>
          <w:rFonts w:ascii="Times New Roman" w:hAnsi="Times New Roman" w:eastAsia="仿宋"/>
          <w:sz w:val="32"/>
          <w:szCs w:val="32"/>
        </w:rPr>
      </w:pPr>
      <w:r>
        <w:rPr>
          <w:rFonts w:hint="eastAsia" w:ascii="Times New Roman" w:hAnsi="Times New Roman" w:eastAsia="仿宋"/>
          <w:kern w:val="0"/>
          <w:sz w:val="32"/>
          <w:szCs w:val="32"/>
        </w:rPr>
        <w:t>1</w:t>
      </w:r>
      <w:r>
        <w:rPr>
          <w:rFonts w:hint="eastAsia" w:ascii="Times New Roman" w:hAnsi="Times New Roman" w:eastAsia="仿宋"/>
          <w:sz w:val="32"/>
          <w:szCs w:val="32"/>
        </w:rPr>
        <w:t>、加强监督，推动县委重大决策部署的贯彻落实。围绕建设宜</w:t>
      </w:r>
      <w:r>
        <w:rPr>
          <w:rFonts w:ascii="Times New Roman" w:hAnsi="Times New Roman" w:eastAsia="仿宋"/>
          <w:sz w:val="32"/>
          <w:szCs w:val="32"/>
        </w:rPr>
        <w:t>居宜业宜</w:t>
      </w:r>
      <w:r>
        <w:rPr>
          <w:rFonts w:hint="eastAsia" w:ascii="Times New Roman" w:hAnsi="Times New Roman" w:eastAsia="仿宋"/>
          <w:sz w:val="32"/>
          <w:szCs w:val="32"/>
        </w:rPr>
        <w:t>游生态</w:t>
      </w:r>
      <w:r>
        <w:rPr>
          <w:rFonts w:ascii="Times New Roman" w:hAnsi="Times New Roman" w:eastAsia="仿宋"/>
          <w:sz w:val="32"/>
          <w:szCs w:val="32"/>
        </w:rPr>
        <w:t>旅游健康强县目标</w:t>
      </w:r>
      <w:r>
        <w:rPr>
          <w:rFonts w:hint="eastAsia" w:ascii="Times New Roman" w:hAnsi="Times New Roman" w:eastAsia="仿宋"/>
          <w:sz w:val="32"/>
          <w:szCs w:val="32"/>
        </w:rPr>
        <w:t>和人民群众关注的热点难点问题，听取审议专项工作报告，开展执法检查、视察调研。</w:t>
      </w:r>
    </w:p>
    <w:p>
      <w:pPr>
        <w:autoSpaceDE w:val="0"/>
        <w:autoSpaceDN w:val="0"/>
        <w:adjustRightInd w:val="0"/>
        <w:ind w:left="198" w:firstLine="640" w:firstLineChars="200"/>
        <w:jc w:val="left"/>
        <w:rPr>
          <w:rFonts w:ascii="Times New Roman" w:hAnsi="Times New Roman" w:eastAsia="仿宋"/>
          <w:sz w:val="32"/>
          <w:szCs w:val="32"/>
        </w:rPr>
      </w:pPr>
      <w:r>
        <w:rPr>
          <w:rFonts w:ascii="Times New Roman" w:hAnsi="Times New Roman" w:eastAsia="仿宋"/>
          <w:sz w:val="32"/>
          <w:szCs w:val="32"/>
        </w:rPr>
        <w:t>2</w:t>
      </w:r>
      <w:r>
        <w:rPr>
          <w:rFonts w:hint="eastAsia" w:ascii="Times New Roman" w:hAnsi="Times New Roman" w:eastAsia="仿宋"/>
          <w:sz w:val="32"/>
          <w:szCs w:val="32"/>
        </w:rPr>
        <w:t>、做好会议的服务保障工作，确保会议顺利进行，达到预期目标。</w:t>
      </w:r>
    </w:p>
    <w:p>
      <w:pPr>
        <w:autoSpaceDE w:val="0"/>
        <w:autoSpaceDN w:val="0"/>
        <w:adjustRightInd w:val="0"/>
        <w:ind w:left="198" w:firstLine="640" w:firstLineChars="200"/>
        <w:jc w:val="left"/>
        <w:rPr>
          <w:rFonts w:ascii="Times New Roman" w:hAnsi="Times New Roman" w:eastAsia="仿宋"/>
          <w:sz w:val="32"/>
          <w:szCs w:val="32"/>
        </w:rPr>
      </w:pPr>
      <w:r>
        <w:rPr>
          <w:rFonts w:ascii="Times New Roman" w:hAnsi="Times New Roman" w:eastAsia="仿宋"/>
          <w:sz w:val="32"/>
          <w:szCs w:val="32"/>
        </w:rPr>
        <w:t>3</w:t>
      </w:r>
      <w:r>
        <w:rPr>
          <w:rFonts w:hint="eastAsia" w:ascii="Times New Roman" w:hAnsi="Times New Roman" w:eastAsia="仿宋"/>
          <w:sz w:val="32"/>
          <w:szCs w:val="32"/>
        </w:rPr>
        <w:t>、发挥好常委会组成人员和代表的履职积极性。密切对代表的联系，组织代表列席常委会会议，坚持向代表通报常委会会议情况。</w:t>
      </w:r>
    </w:p>
    <w:p>
      <w:pPr>
        <w:autoSpaceDE w:val="0"/>
        <w:autoSpaceDN w:val="0"/>
        <w:adjustRightInd w:val="0"/>
        <w:ind w:left="198" w:firstLine="640" w:firstLineChars="200"/>
        <w:jc w:val="left"/>
        <w:rPr>
          <w:rFonts w:ascii="Times New Roman" w:hAnsi="Times New Roman" w:eastAsia="仿宋"/>
          <w:sz w:val="32"/>
          <w:szCs w:val="32"/>
        </w:rPr>
      </w:pPr>
      <w:r>
        <w:rPr>
          <w:rFonts w:ascii="Times New Roman" w:hAnsi="Times New Roman" w:eastAsia="仿宋"/>
          <w:sz w:val="32"/>
          <w:szCs w:val="32"/>
        </w:rPr>
        <w:t>4</w:t>
      </w:r>
      <w:r>
        <w:rPr>
          <w:rFonts w:hint="eastAsia" w:ascii="Times New Roman" w:hAnsi="Times New Roman" w:eastAsia="仿宋"/>
          <w:sz w:val="32"/>
          <w:szCs w:val="32"/>
        </w:rPr>
        <w:t>、全面提高常委会议事质量。常委会会议议题要在听取群众意见的基础上依法确定，加强会前的视察调研，严格落实议事规则，完善审议程序，切实提出有针对性的意见建议。</w:t>
      </w:r>
    </w:p>
    <w:p>
      <w:pPr>
        <w:autoSpaceDE w:val="0"/>
        <w:autoSpaceDN w:val="0"/>
        <w:adjustRightInd w:val="0"/>
        <w:ind w:left="198" w:firstLine="640" w:firstLineChars="200"/>
        <w:jc w:val="left"/>
        <w:rPr>
          <w:rFonts w:ascii="Times New Roman" w:hAnsi="Times New Roman" w:eastAsia="仿宋"/>
          <w:sz w:val="32"/>
          <w:szCs w:val="32"/>
        </w:rPr>
      </w:pPr>
      <w:r>
        <w:rPr>
          <w:rFonts w:ascii="Times New Roman" w:hAnsi="Times New Roman" w:eastAsia="仿宋"/>
          <w:sz w:val="32"/>
          <w:szCs w:val="32"/>
        </w:rPr>
        <w:t>5</w:t>
      </w:r>
      <w:r>
        <w:rPr>
          <w:rFonts w:hint="eastAsia" w:ascii="Times New Roman" w:hAnsi="Times New Roman" w:eastAsia="仿宋"/>
          <w:sz w:val="32"/>
          <w:szCs w:val="32"/>
        </w:rPr>
        <w:t>、积极推进机关思想建设、组织建设、作风建设、制度建设和廉政建设，提高机关管理的科学化水平。</w:t>
      </w:r>
    </w:p>
    <w:p>
      <w:pPr>
        <w:autoSpaceDE w:val="0"/>
        <w:autoSpaceDN w:val="0"/>
        <w:adjustRightInd w:val="0"/>
        <w:ind w:left="198" w:firstLine="643" w:firstLineChars="200"/>
        <w:jc w:val="left"/>
        <w:rPr>
          <w:rFonts w:ascii="黑体" w:hAnsi="Times New Roman" w:eastAsia="黑体"/>
          <w:b/>
          <w:sz w:val="32"/>
          <w:szCs w:val="32"/>
        </w:rPr>
      </w:pPr>
      <w:r>
        <w:rPr>
          <w:rFonts w:hint="eastAsia" w:ascii="黑体" w:hAnsi="Times New Roman" w:eastAsia="黑体"/>
          <w:b/>
          <w:sz w:val="32"/>
          <w:szCs w:val="32"/>
        </w:rPr>
        <w:t>职责分类绩效目标：</w:t>
      </w:r>
    </w:p>
    <w:p>
      <w:pPr>
        <w:autoSpaceDE w:val="0"/>
        <w:autoSpaceDN w:val="0"/>
        <w:adjustRightInd w:val="0"/>
        <w:ind w:left="198" w:firstLine="640" w:firstLineChars="200"/>
        <w:jc w:val="left"/>
        <w:rPr>
          <w:rFonts w:ascii="Times New Roman" w:hAnsi="Times New Roman" w:eastAsia="仿宋"/>
          <w:sz w:val="32"/>
          <w:szCs w:val="32"/>
        </w:rPr>
      </w:pPr>
      <w:r>
        <w:rPr>
          <w:rFonts w:hint="eastAsia" w:ascii="Times New Roman" w:hAnsi="Times New Roman" w:eastAsia="仿宋"/>
          <w:sz w:val="32"/>
          <w:szCs w:val="32"/>
        </w:rPr>
        <w:t>1、监督方面。听取计划预算执行情况报告、决算报告和审计工作报告，审查批准决算，推动县人代会计划预算决议的落实。听取县政府专项工作报告。对社会普遍关心的问题组织开展专题询问。组织开展代表旁听评议人民法院庭审活动，督促司法机关完善内部监督制约机制，促进司法公正。提高法规质量，保障其有效实施；发挥常委及代表的桥梁纽带作用，集中反映民意，促进依法履职。</w:t>
      </w:r>
    </w:p>
    <w:p>
      <w:pPr>
        <w:autoSpaceDE w:val="0"/>
        <w:autoSpaceDN w:val="0"/>
        <w:adjustRightInd w:val="0"/>
        <w:ind w:left="198" w:firstLine="640" w:firstLineChars="200"/>
        <w:jc w:val="left"/>
        <w:rPr>
          <w:rFonts w:ascii="Times New Roman" w:hAnsi="Times New Roman" w:eastAsia="仿宋"/>
          <w:sz w:val="32"/>
          <w:szCs w:val="32"/>
        </w:rPr>
      </w:pPr>
      <w:r>
        <w:rPr>
          <w:rFonts w:hint="eastAsia" w:ascii="Times New Roman" w:hAnsi="Times New Roman" w:eastAsia="仿宋"/>
          <w:sz w:val="32"/>
          <w:szCs w:val="32"/>
        </w:rPr>
        <w:t>3、人大会议方面。确保会议按照议程顺利进行，达到预期目的，圆满完成各项任务。完善各项会议制度，规范会议程序，提高会议质量，提高人大代表及常委会审议水平。</w:t>
      </w:r>
    </w:p>
    <w:p>
      <w:pPr>
        <w:autoSpaceDE w:val="0"/>
        <w:autoSpaceDN w:val="0"/>
        <w:adjustRightInd w:val="0"/>
        <w:ind w:left="198" w:firstLine="640" w:firstLineChars="200"/>
        <w:jc w:val="left"/>
        <w:rPr>
          <w:rFonts w:ascii="Times New Roman" w:hAnsi="Times New Roman" w:eastAsia="仿宋"/>
          <w:sz w:val="32"/>
          <w:szCs w:val="32"/>
        </w:rPr>
      </w:pPr>
      <w:r>
        <w:rPr>
          <w:rFonts w:hint="eastAsia" w:ascii="Times New Roman" w:hAnsi="Times New Roman" w:eastAsia="仿宋"/>
          <w:sz w:val="32"/>
          <w:szCs w:val="32"/>
        </w:rPr>
        <w:t>4、选举任免方面。严格遵循法律法规规定，严格规范工作程序，做好人事任免工作。高质量完成“一</w:t>
      </w:r>
      <w:r>
        <w:rPr>
          <w:rFonts w:ascii="Times New Roman" w:hAnsi="Times New Roman" w:eastAsia="仿宋"/>
          <w:sz w:val="32"/>
          <w:szCs w:val="32"/>
        </w:rPr>
        <w:t>府一委两院”</w:t>
      </w:r>
      <w:r>
        <w:rPr>
          <w:rFonts w:hint="eastAsia" w:ascii="Times New Roman" w:hAnsi="Times New Roman" w:eastAsia="仿宋"/>
          <w:sz w:val="32"/>
          <w:szCs w:val="32"/>
        </w:rPr>
        <w:t>人事任免服务工作；高效督办有关部门负责人的目标责任书和述职报告</w:t>
      </w:r>
    </w:p>
    <w:p>
      <w:pPr>
        <w:autoSpaceDE w:val="0"/>
        <w:autoSpaceDN w:val="0"/>
        <w:adjustRightInd w:val="0"/>
        <w:ind w:left="198" w:firstLine="640" w:firstLineChars="200"/>
        <w:jc w:val="left"/>
        <w:rPr>
          <w:rFonts w:ascii="Times New Roman" w:hAnsi="Times New Roman" w:eastAsia="仿宋"/>
          <w:sz w:val="32"/>
          <w:szCs w:val="32"/>
        </w:rPr>
      </w:pPr>
      <w:r>
        <w:rPr>
          <w:rFonts w:hint="eastAsia" w:ascii="Times New Roman" w:hAnsi="Times New Roman" w:eastAsia="仿宋"/>
          <w:sz w:val="32"/>
          <w:szCs w:val="32"/>
        </w:rPr>
        <w:t>5、人大事务管理方面。保障会议表决系统正常运转，网络与办公平台正常运行，促进社会和谐稳定。机关基础设施设备正常运转，信息化保障、老干部服务保障能力进一步提高。</w:t>
      </w:r>
    </w:p>
    <w:p>
      <w:pPr>
        <w:ind w:firstLine="643" w:firstLineChars="200"/>
        <w:outlineLvl w:val="0"/>
        <w:rPr>
          <w:rFonts w:ascii="黑体" w:hAnsi="黑体" w:eastAsia="黑体"/>
          <w:b/>
          <w:sz w:val="32"/>
          <w:szCs w:val="32"/>
        </w:rPr>
      </w:pPr>
      <w:r>
        <w:rPr>
          <w:rFonts w:hint="eastAsia" w:ascii="黑体" w:hAnsi="黑体" w:eastAsia="黑体"/>
          <w:b/>
          <w:sz w:val="32"/>
          <w:szCs w:val="32"/>
        </w:rPr>
        <w:t>部门职责及工作活动绩效目标指标：</w:t>
      </w:r>
      <w:bookmarkStart w:id="1" w:name="_Toc510096851"/>
    </w:p>
    <w:bookmarkEnd w:id="0"/>
    <w:bookmarkEnd w:id="1"/>
    <w:p>
      <w:pPr>
        <w:jc w:val="center"/>
        <w:outlineLvl w:val="0"/>
        <w:rPr>
          <w:rFonts w:ascii="方正小标宋_GBK" w:eastAsia="方正小标宋_GBK"/>
          <w:sz w:val="32"/>
        </w:rPr>
      </w:pPr>
      <w:bookmarkStart w:id="2" w:name="_Toc510445120"/>
      <w:r>
        <w:rPr>
          <w:rFonts w:hint="eastAsia" w:ascii="方正小标宋_GBK" w:eastAsia="方正小标宋_GBK"/>
          <w:sz w:val="32"/>
        </w:rPr>
        <w:t>部门职责-工作活动绩效目标</w:t>
      </w:r>
      <w:bookmarkEnd w:id="2"/>
    </w:p>
    <w:tbl>
      <w:tblPr>
        <w:tblStyle w:val="9"/>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pPr>
              <w:spacing w:line="300" w:lineRule="exact"/>
              <w:jc w:val="left"/>
              <w:rPr>
                <w:rFonts w:ascii="方正小标宋_GBK" w:eastAsia="方正小标宋_GBK"/>
                <w:sz w:val="24"/>
              </w:rPr>
            </w:pPr>
            <w:r>
              <w:rPr>
                <w:rFonts w:ascii="方正小标宋_GBK" w:eastAsia="方正小标宋_GBK"/>
                <w:sz w:val="24"/>
              </w:rPr>
              <w:t>101</w:t>
            </w:r>
            <w:r>
              <w:rPr>
                <w:rFonts w:hint="eastAsia" w:ascii="方正小标宋_GBK" w:eastAsia="方正小标宋_GBK"/>
                <w:sz w:val="24"/>
              </w:rPr>
              <w:t>馆陶县人大常委会办公室</w:t>
            </w:r>
          </w:p>
        </w:tc>
        <w:tc>
          <w:tcPr>
            <w:tcW w:w="2948" w:type="dxa"/>
            <w:gridSpan w:val="4"/>
            <w:tcBorders>
              <w:top w:val="single" w:color="FFFFFF" w:sz="6" w:space="0"/>
              <w:left w:val="single" w:color="FFFFFF" w:sz="6" w:space="0"/>
              <w:right w:val="single" w:color="FFFFFF" w:sz="6" w:space="0"/>
            </w:tcBorders>
            <w:shd w:val="clear" w:color="auto" w:fill="auto"/>
            <w:vAlign w:val="center"/>
          </w:tcPr>
          <w:p>
            <w:pPr>
              <w:spacing w:line="300" w:lineRule="exact"/>
              <w:jc w:val="right"/>
              <w:rPr>
                <w:rFonts w:ascii="方正书宋_GBK" w:eastAsia="方正书宋_GBK"/>
                <w:sz w:val="24"/>
              </w:rPr>
            </w:pPr>
            <w:r>
              <w:rPr>
                <w:rFonts w:hint="eastAsia" w:ascii="方正书宋_GBK" w:eastAsia="方正书宋_GBK"/>
                <w:sz w:val="24"/>
              </w:rPr>
              <w:t>单位：元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评价标准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pPr>
              <w:spacing w:line="300" w:lineRule="exact"/>
              <w:jc w:val="left"/>
              <w:outlineLvl w:val="0"/>
            </w:pPr>
          </w:p>
        </w:tc>
        <w:tc>
          <w:tcPr>
            <w:tcW w:w="1276" w:type="dxa"/>
            <w:vMerge w:val="continue"/>
            <w:shd w:val="clear" w:color="auto" w:fill="auto"/>
            <w:vAlign w:val="center"/>
          </w:tcPr>
          <w:p>
            <w:pPr>
              <w:spacing w:line="300" w:lineRule="exact"/>
              <w:jc w:val="left"/>
              <w:outlineLvl w:val="0"/>
            </w:pPr>
          </w:p>
        </w:tc>
        <w:tc>
          <w:tcPr>
            <w:tcW w:w="2976" w:type="dxa"/>
            <w:vMerge w:val="continue"/>
            <w:shd w:val="clear" w:color="auto" w:fill="auto"/>
            <w:vAlign w:val="center"/>
          </w:tcPr>
          <w:p>
            <w:pPr>
              <w:spacing w:line="300" w:lineRule="exact"/>
              <w:jc w:val="left"/>
              <w:outlineLvl w:val="0"/>
            </w:pPr>
          </w:p>
        </w:tc>
        <w:tc>
          <w:tcPr>
            <w:tcW w:w="2976" w:type="dxa"/>
            <w:vMerge w:val="continue"/>
            <w:shd w:val="clear" w:color="auto" w:fill="auto"/>
            <w:vAlign w:val="center"/>
          </w:tcPr>
          <w:p>
            <w:pPr>
              <w:spacing w:line="300" w:lineRule="exact"/>
              <w:jc w:val="left"/>
              <w:outlineLvl w:val="0"/>
            </w:pPr>
          </w:p>
        </w:tc>
        <w:tc>
          <w:tcPr>
            <w:tcW w:w="1417" w:type="dxa"/>
            <w:vMerge w:val="continue"/>
            <w:shd w:val="clear" w:color="auto" w:fill="auto"/>
            <w:vAlign w:val="center"/>
          </w:tcPr>
          <w:p>
            <w:pPr>
              <w:spacing w:line="300" w:lineRule="exact"/>
              <w:jc w:val="left"/>
              <w:outlineLvl w:val="0"/>
            </w:pP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pPr>
              <w:spacing w:line="300" w:lineRule="exact"/>
              <w:jc w:val="center"/>
              <w:rPr>
                <w:rFonts w:ascii="方正书宋_GBK" w:eastAsia="方正书宋_GBK"/>
                <w:b/>
              </w:rPr>
            </w:pPr>
            <w:r>
              <w:rPr>
                <w:rFonts w:hint="eastAsia" w:ascii="方正书宋_GBK" w:eastAsia="方正书宋_GBK"/>
                <w:b/>
              </w:rPr>
              <w:t>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一、人大监督</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70000.00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进行执法调研和执法检查；围绕政府工作报告和</w:t>
            </w:r>
            <w:r>
              <w:rPr>
                <w:rFonts w:hint="cs" w:ascii="方正书宋_GBK" w:eastAsia="方正书宋_GBK"/>
              </w:rPr>
              <w:t>“</w:t>
            </w:r>
            <w:r>
              <w:rPr>
                <w:rFonts w:hint="eastAsia" w:ascii="方正书宋_GBK" w:eastAsia="方正书宋_GBK"/>
              </w:rPr>
              <w:t>一府两院</w:t>
            </w:r>
            <w:r>
              <w:rPr>
                <w:rFonts w:hint="cs" w:ascii="方正书宋_GBK" w:eastAsia="方正书宋_GBK"/>
              </w:rPr>
              <w:t>”</w:t>
            </w:r>
            <w:r>
              <w:rPr>
                <w:rFonts w:hint="eastAsia" w:ascii="方正书宋_GBK" w:eastAsia="方正书宋_GBK"/>
              </w:rPr>
              <w:t>专项工作报告涉及内容开展调查研究，开展专题询问和工作评议；对</w:t>
            </w:r>
            <w:r>
              <w:rPr>
                <w:rFonts w:hint="cs" w:ascii="方正书宋_GBK" w:eastAsia="方正书宋_GBK"/>
              </w:rPr>
              <w:t>“</w:t>
            </w:r>
            <w:r>
              <w:rPr>
                <w:rFonts w:hint="eastAsia" w:ascii="方正书宋_GBK" w:eastAsia="方正书宋_GBK"/>
              </w:rPr>
              <w:t>一府两院</w:t>
            </w:r>
            <w:r>
              <w:rPr>
                <w:rFonts w:hint="cs" w:ascii="方正书宋_GBK" w:eastAsia="方正书宋_GBK"/>
              </w:rPr>
              <w:t>”</w:t>
            </w:r>
            <w:r>
              <w:rPr>
                <w:rFonts w:hint="eastAsia" w:ascii="方正书宋_GBK" w:eastAsia="方正书宋_GBK"/>
              </w:rPr>
              <w:t>进行监督。</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促进各项法律法规、人大决议、报告等的落实；促进</w:t>
            </w:r>
            <w:r>
              <w:rPr>
                <w:rFonts w:hint="cs" w:ascii="方正书宋_GBK" w:eastAsia="方正书宋_GBK"/>
              </w:rPr>
              <w:t>“</w:t>
            </w:r>
            <w:r>
              <w:rPr>
                <w:rFonts w:hint="eastAsia" w:ascii="方正书宋_GBK" w:eastAsia="方正书宋_GBK"/>
              </w:rPr>
              <w:t>一府两院</w:t>
            </w:r>
            <w:r>
              <w:rPr>
                <w:rFonts w:hint="cs" w:ascii="方正书宋_GBK" w:eastAsia="方正书宋_GBK"/>
              </w:rPr>
              <w:t>”</w:t>
            </w:r>
            <w:r>
              <w:rPr>
                <w:rFonts w:hint="eastAsia" w:ascii="方正书宋_GBK" w:eastAsia="方正书宋_GBK"/>
              </w:rPr>
              <w:t>改进工作；提高规范性文件质量；促进社会和谐稳定。</w:t>
            </w:r>
          </w:p>
        </w:tc>
        <w:tc>
          <w:tcPr>
            <w:tcW w:w="1417" w:type="dxa"/>
            <w:shd w:val="clear" w:color="auto" w:fill="auto"/>
            <w:vAlign w:val="center"/>
          </w:tcPr>
          <w:p>
            <w:pPr>
              <w:spacing w:line="300" w:lineRule="exact"/>
              <w:jc w:val="left"/>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、专门委员会、常委及代表活动</w:t>
            </w:r>
          </w:p>
        </w:tc>
        <w:tc>
          <w:tcPr>
            <w:tcW w:w="1276" w:type="dxa"/>
            <w:vMerge w:val="restart"/>
            <w:shd w:val="clear" w:color="auto" w:fill="auto"/>
            <w:vAlign w:val="center"/>
          </w:tcPr>
          <w:p>
            <w:pPr>
              <w:spacing w:line="300" w:lineRule="exact"/>
              <w:jc w:val="left"/>
              <w:rPr>
                <w:rFonts w:ascii="方正书宋_GBK" w:eastAsia="方正书宋_GBK"/>
              </w:rPr>
            </w:pPr>
            <w:r>
              <w:rPr>
                <w:rFonts w:ascii="方正书宋_GBK" w:eastAsia="方正书宋_GBK"/>
              </w:rPr>
              <w:t>70000.00</w:t>
            </w:r>
          </w:p>
        </w:tc>
        <w:tc>
          <w:tcPr>
            <w:tcW w:w="2976" w:type="dxa"/>
            <w:vMerge w:val="restart"/>
            <w:shd w:val="clear" w:color="auto" w:fill="auto"/>
            <w:vAlign w:val="center"/>
          </w:tcPr>
          <w:p>
            <w:pPr>
              <w:spacing w:line="300" w:lineRule="exact"/>
              <w:jc w:val="left"/>
              <w:rPr>
                <w:rFonts w:ascii="方正书宋_GBK" w:eastAsia="方正书宋_GBK"/>
              </w:rPr>
            </w:pPr>
            <w:r>
              <w:rPr>
                <w:rFonts w:hint="eastAsia" w:ascii="方正书宋_GBK" w:eastAsia="方正书宋_GBK"/>
              </w:rPr>
              <w:t>组织专门委员会委员、各工作委员会及特聘专家进行对法律实施情况进行执法检查；组织县人大常委</w:t>
            </w:r>
            <w:r>
              <w:rPr>
                <w:rFonts w:hint="eastAsia" w:ascii="方正书宋_GBK" w:eastAsia="方正书宋_GBK"/>
                <w:lang w:eastAsia="zh-CN"/>
              </w:rPr>
              <w:t>会委员</w:t>
            </w:r>
            <w:r>
              <w:rPr>
                <w:rFonts w:hint="eastAsia" w:ascii="方正书宋_GBK" w:eastAsia="方正书宋_GBK"/>
              </w:rPr>
              <w:t>及县人大代表进行执法检查和集中视察；开展代表建议督办；组织对常委及代表培训。</w:t>
            </w:r>
          </w:p>
        </w:tc>
        <w:tc>
          <w:tcPr>
            <w:tcW w:w="2976" w:type="dxa"/>
            <w:vMerge w:val="restart"/>
            <w:shd w:val="clear" w:color="auto" w:fill="auto"/>
            <w:vAlign w:val="center"/>
          </w:tcPr>
          <w:p>
            <w:pPr>
              <w:spacing w:line="300" w:lineRule="exact"/>
              <w:jc w:val="left"/>
              <w:rPr>
                <w:rFonts w:ascii="方正书宋_GBK" w:eastAsia="方正书宋_GBK"/>
              </w:rPr>
            </w:pPr>
            <w:r>
              <w:rPr>
                <w:rFonts w:hint="eastAsia" w:ascii="方正书宋_GBK" w:eastAsia="方正书宋_GBK"/>
              </w:rPr>
              <w:t>发挥常委及代表的作用，集中反映民意，促进依法履职。</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建议督办完成率</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ascii="方正书宋_GBK" w:eastAsia="方正书宋_GBK"/>
              </w:rPr>
            </w:pP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执法检查任务完成率</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二、人大会议</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220000.00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县人民代表大会和常务委员会各种会议的筹备、会务工作，负责常委会文件起草、审核把关，常委会会议、主任会议及常委会党组会议决定事项、工作部署、重要文件及领导批示的传达和督办。</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完善各项会议制度，规范会议程序，提高会议质量，提高人大代表及常委会审议水平。</w:t>
            </w:r>
          </w:p>
        </w:tc>
        <w:tc>
          <w:tcPr>
            <w:tcW w:w="1417" w:type="dxa"/>
            <w:shd w:val="clear" w:color="auto" w:fill="auto"/>
            <w:vAlign w:val="center"/>
          </w:tcPr>
          <w:p>
            <w:pPr>
              <w:spacing w:line="300" w:lineRule="exact"/>
              <w:jc w:val="left"/>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、人大会议</w:t>
            </w:r>
          </w:p>
        </w:tc>
        <w:tc>
          <w:tcPr>
            <w:tcW w:w="1276" w:type="dxa"/>
            <w:shd w:val="clear" w:color="auto" w:fill="auto"/>
            <w:vAlign w:val="center"/>
          </w:tcPr>
          <w:p>
            <w:pPr>
              <w:spacing w:line="300" w:lineRule="exact"/>
              <w:jc w:val="left"/>
              <w:rPr>
                <w:rFonts w:ascii="方正书宋_GBK" w:eastAsia="方正书宋_GBK"/>
              </w:rPr>
            </w:pPr>
            <w:r>
              <w:rPr>
                <w:rFonts w:ascii="方正书宋_GBK" w:eastAsia="方正书宋_GBK"/>
              </w:rPr>
              <w:t>220000.00</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承担县人民代表大会和常务委员会各种会议的筹备、会务工作，负责常委会文件起草、审核把关，常委会会议、主任会议及常委会党组会议决定事项、工作部署、重要文件及领导批示的传达和督办。</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完善各项会议制度，规范会议程序，提高会议质量，提高人大代表及常委会审议水平。</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会议筹备及会务工作的完成率</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三、选举和任免</w:t>
            </w:r>
          </w:p>
        </w:tc>
        <w:tc>
          <w:tcPr>
            <w:tcW w:w="1276" w:type="dxa"/>
            <w:shd w:val="clear" w:color="auto" w:fill="auto"/>
            <w:vAlign w:val="center"/>
          </w:tcPr>
          <w:p>
            <w:pPr>
              <w:spacing w:line="300" w:lineRule="exact"/>
              <w:jc w:val="left"/>
              <w:rPr>
                <w:rFonts w:ascii="方正书宋_GBK" w:eastAsia="方正书宋_GBK"/>
              </w:rPr>
            </w:pP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检查监督代表法、选举法及其实施办法的贯彻实施；承担人大换届选举及人事任免服务工作；负责对县政府组成人员和县级人民法院、县人民检察院主要负责人的目标责任书、述职报告的督办工作。</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确保换届选举工作顺利完成，实现省市和县委人事安排部署；提高组织换届选举工作水平。</w:t>
            </w:r>
          </w:p>
        </w:tc>
        <w:tc>
          <w:tcPr>
            <w:tcW w:w="1417" w:type="dxa"/>
            <w:shd w:val="clear" w:color="auto" w:fill="auto"/>
            <w:vAlign w:val="center"/>
          </w:tcPr>
          <w:p>
            <w:pPr>
              <w:spacing w:line="300" w:lineRule="exact"/>
              <w:jc w:val="left"/>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、换届选举及人事任免</w:t>
            </w:r>
          </w:p>
        </w:tc>
        <w:tc>
          <w:tcPr>
            <w:tcW w:w="1276" w:type="dxa"/>
            <w:vMerge w:val="restart"/>
            <w:shd w:val="clear" w:color="auto" w:fill="auto"/>
            <w:vAlign w:val="center"/>
          </w:tcPr>
          <w:p>
            <w:pPr>
              <w:spacing w:line="300" w:lineRule="exact"/>
              <w:jc w:val="left"/>
              <w:rPr>
                <w:rFonts w:ascii="方正书宋_GBK" w:eastAsia="方正书宋_GBK"/>
              </w:rPr>
            </w:pPr>
          </w:p>
        </w:tc>
        <w:tc>
          <w:tcPr>
            <w:tcW w:w="2976" w:type="dxa"/>
            <w:vMerge w:val="restart"/>
            <w:shd w:val="clear" w:color="auto" w:fill="auto"/>
            <w:vAlign w:val="center"/>
          </w:tcPr>
          <w:p>
            <w:pPr>
              <w:spacing w:line="300" w:lineRule="exact"/>
              <w:jc w:val="left"/>
              <w:rPr>
                <w:rFonts w:ascii="方正书宋_GBK" w:eastAsia="方正书宋_GBK"/>
              </w:rPr>
            </w:pPr>
            <w:r>
              <w:rPr>
                <w:rFonts w:hint="eastAsia" w:ascii="方正书宋_GBK" w:eastAsia="方正书宋_GBK"/>
              </w:rPr>
              <w:t>承担县人大换届选举、县级国家机关领导人的选举和常委会人事任免的服务工作；指导市、县、乡人大换届选举工作；负责对县政府组成人员和县高级人民法院、县人民检察院主要负责人的目标责任书、述职报告的督办工作；对换届选举人员进行培训。</w:t>
            </w:r>
          </w:p>
        </w:tc>
        <w:tc>
          <w:tcPr>
            <w:tcW w:w="2976" w:type="dxa"/>
            <w:vMerge w:val="restart"/>
            <w:shd w:val="clear" w:color="auto" w:fill="auto"/>
            <w:vAlign w:val="center"/>
          </w:tcPr>
          <w:p>
            <w:pPr>
              <w:spacing w:line="300" w:lineRule="exact"/>
              <w:jc w:val="left"/>
              <w:rPr>
                <w:rFonts w:ascii="方正书宋_GBK" w:eastAsia="方正书宋_GBK"/>
              </w:rPr>
            </w:pPr>
            <w:r>
              <w:rPr>
                <w:rFonts w:hint="eastAsia" w:ascii="方正书宋_GBK" w:eastAsia="方正书宋_GBK"/>
              </w:rPr>
              <w:t>确保县人大和乡人大换届选举工作顺利完成，提高组织换届选举工作水平；高质量完成国家机关领导人选举和常委会人事任免服务工作；高效督办有关部门负责人的目标责任书和述职报告。</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政治任务实现率</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ascii="方正书宋_GBK" w:eastAsia="方正书宋_GBK"/>
              </w:rPr>
            </w:pP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换届选举工作完成率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四、人大事务管理</w:t>
            </w:r>
          </w:p>
        </w:tc>
        <w:tc>
          <w:tcPr>
            <w:tcW w:w="1276" w:type="dxa"/>
            <w:shd w:val="clear" w:color="auto" w:fill="auto"/>
            <w:vAlign w:val="center"/>
          </w:tcPr>
          <w:p>
            <w:pPr>
              <w:spacing w:line="300" w:lineRule="exact"/>
              <w:jc w:val="left"/>
              <w:rPr>
                <w:rFonts w:ascii="方正书宋_GBK" w:eastAsia="方正书宋_GBK"/>
              </w:rPr>
            </w:pP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新闻宣传和机关信息化建设与维护；人代会及常委会会议表决系统、机关基础设施建设与维护；县人大机关日常管理事务；公报、年检的编辑印刷；信访工作。</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促进机关自身建设、服务保障能力进一步提升。</w:t>
            </w:r>
          </w:p>
        </w:tc>
        <w:tc>
          <w:tcPr>
            <w:tcW w:w="1417" w:type="dxa"/>
            <w:shd w:val="clear" w:color="auto" w:fill="auto"/>
            <w:vAlign w:val="center"/>
          </w:tcPr>
          <w:p>
            <w:pPr>
              <w:spacing w:line="300" w:lineRule="exact"/>
              <w:jc w:val="left"/>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c>
          <w:tcPr>
            <w:tcW w:w="737" w:type="dxa"/>
            <w:shd w:val="clear" w:color="auto" w:fill="auto"/>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、综合业务管理</w:t>
            </w:r>
          </w:p>
        </w:tc>
        <w:tc>
          <w:tcPr>
            <w:tcW w:w="1276" w:type="dxa"/>
            <w:vMerge w:val="restart"/>
            <w:shd w:val="clear" w:color="auto" w:fill="auto"/>
            <w:vAlign w:val="center"/>
          </w:tcPr>
          <w:p>
            <w:pPr>
              <w:spacing w:line="300" w:lineRule="exact"/>
              <w:jc w:val="left"/>
              <w:rPr>
                <w:rFonts w:ascii="方正书宋_GBK" w:eastAsia="方正书宋_GBK"/>
              </w:rPr>
            </w:pPr>
          </w:p>
        </w:tc>
        <w:tc>
          <w:tcPr>
            <w:tcW w:w="2976" w:type="dxa"/>
            <w:vMerge w:val="restart"/>
            <w:shd w:val="clear" w:color="auto" w:fill="auto"/>
            <w:vAlign w:val="center"/>
          </w:tcPr>
          <w:p>
            <w:pPr>
              <w:spacing w:line="300" w:lineRule="exact"/>
              <w:jc w:val="left"/>
              <w:rPr>
                <w:rFonts w:ascii="方正书宋_GBK" w:eastAsia="方正书宋_GBK"/>
              </w:rPr>
            </w:pPr>
            <w:r>
              <w:rPr>
                <w:rFonts w:hint="eastAsia" w:ascii="方正书宋_GBK" w:eastAsia="方正书宋_GBK"/>
              </w:rPr>
              <w:t>办理来信来访，日常外事活动和县人大代表团出访事务，内外宾接待，常委会新闻发布和对外宣传，人大系列工作的宣传报道；会议表决系统建设与维护；代表大会和常委会会议公报、人大工作年鉴、大事记和组织史的编写及印刷；负责县内外人大常委会联系；重大课题调研。</w:t>
            </w:r>
          </w:p>
        </w:tc>
        <w:tc>
          <w:tcPr>
            <w:tcW w:w="2976" w:type="dxa"/>
            <w:vMerge w:val="restart"/>
            <w:shd w:val="clear" w:color="auto" w:fill="auto"/>
            <w:vAlign w:val="center"/>
          </w:tcPr>
          <w:p>
            <w:pPr>
              <w:spacing w:line="300" w:lineRule="exact"/>
              <w:jc w:val="left"/>
              <w:rPr>
                <w:rFonts w:ascii="方正书宋_GBK" w:eastAsia="方正书宋_GBK"/>
              </w:rPr>
            </w:pPr>
            <w:r>
              <w:rPr>
                <w:rFonts w:hint="eastAsia" w:ascii="方正书宋_GBK" w:eastAsia="方正书宋_GBK"/>
              </w:rPr>
              <w:t>保障新闻宣传与新闻发布工作正常开展，提高人大信息透明度和影响力；保障会议表决系统正常运转；网络与办公平台正常运行；促进社会和谐稳定。</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表决系统完好率</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ascii="方正书宋_GBK" w:eastAsia="方正书宋_GBK"/>
              </w:rPr>
            </w:pP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会议表决系统建设与维护工作完成率</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300" w:lineRule="exact"/>
              <w:jc w:val="left"/>
              <w:rPr>
                <w:rFonts w:ascii="方正书宋_GBK" w:eastAsia="方正书宋_GBK"/>
                <w:b/>
              </w:rPr>
            </w:pPr>
          </w:p>
        </w:tc>
        <w:tc>
          <w:tcPr>
            <w:tcW w:w="12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ascii="方正书宋_GBK" w:eastAsia="方正书宋_GBK"/>
              </w:rPr>
            </w:pPr>
          </w:p>
        </w:tc>
        <w:tc>
          <w:tcPr>
            <w:tcW w:w="2976" w:type="dxa"/>
            <w:vMerge w:val="continue"/>
            <w:shd w:val="clear" w:color="auto" w:fill="auto"/>
            <w:vAlign w:val="center"/>
          </w:tcPr>
          <w:p>
            <w:pPr>
              <w:spacing w:line="300" w:lineRule="exact"/>
              <w:jc w:val="left"/>
              <w:rPr>
                <w:rFonts w:ascii="方正书宋_GBK" w:eastAsia="方正书宋_GBK"/>
              </w:rPr>
            </w:pP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综合业务管理工作完成率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、综合事务管理</w:t>
            </w:r>
          </w:p>
        </w:tc>
        <w:tc>
          <w:tcPr>
            <w:tcW w:w="1276" w:type="dxa"/>
            <w:shd w:val="clear" w:color="auto" w:fill="auto"/>
            <w:vAlign w:val="center"/>
          </w:tcPr>
          <w:p>
            <w:pPr>
              <w:spacing w:line="300" w:lineRule="exact"/>
              <w:jc w:val="left"/>
              <w:rPr>
                <w:rFonts w:ascii="方正书宋_GBK" w:eastAsia="方正书宋_GBK"/>
              </w:rPr>
            </w:pP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负责机关文书档案印信管理和保密，机关人事、离退休人员服务，财务、基建、后勤服务及警卫工作；机关信息建设和办公自动化建设；负责对全县人大系统信息建设和办公自动化建设的指导、规划、组织、协调和人员培训工作；纪检组办案及培训；领导交办的其他工作。</w:t>
            </w:r>
          </w:p>
        </w:tc>
        <w:tc>
          <w:tcPr>
            <w:tcW w:w="297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机关基础设施设备正常运转，信息化保障、老干部服务保障能力进一步提高。</w:t>
            </w:r>
          </w:p>
        </w:tc>
        <w:tc>
          <w:tcPr>
            <w:tcW w:w="1417"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综合事务管理工作完成率</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300" w:lineRule="exact"/>
              <w:jc w:val="center"/>
              <w:rPr>
                <w:rFonts w:ascii="方正书宋_GBK" w:eastAsia="方正书宋_GBK"/>
              </w:rPr>
            </w:pPr>
            <w:r>
              <w:rPr>
                <w:rFonts w:ascii="方正书宋_GBK" w:eastAsia="方正书宋_GBK"/>
              </w:rPr>
              <w:t>&lt;90%</w:t>
            </w:r>
          </w:p>
        </w:tc>
      </w:tr>
    </w:tbl>
    <w:p>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六、政府采购预算情况</w:t>
      </w:r>
      <w:bookmarkStart w:id="3" w:name="_Toc471398468"/>
    </w:p>
    <w:p>
      <w:pPr>
        <w:autoSpaceDE w:val="0"/>
        <w:autoSpaceDN w:val="0"/>
        <w:adjustRightInd w:val="0"/>
        <w:ind w:firstLine="640" w:firstLineChars="200"/>
        <w:jc w:val="left"/>
        <w:rPr>
          <w:rFonts w:ascii="黑体" w:hAnsi="黑体" w:eastAsia="黑体"/>
          <w:b/>
          <w:sz w:val="32"/>
          <w:szCs w:val="32"/>
        </w:rPr>
      </w:pPr>
      <w:r>
        <w:rPr>
          <w:rFonts w:ascii="仿宋_GB2312" w:hAnsi="Times New Roman" w:eastAsia="仿宋_GB2312"/>
          <w:sz w:val="32"/>
          <w:szCs w:val="24"/>
        </w:rPr>
        <w:t>2018</w:t>
      </w:r>
      <w:r>
        <w:rPr>
          <w:rFonts w:hint="eastAsia" w:ascii="仿宋_GB2312" w:hAnsi="Times New Roman" w:eastAsia="仿宋_GB2312"/>
          <w:sz w:val="32"/>
          <w:szCs w:val="24"/>
        </w:rPr>
        <w:t>年，我部门安排政府采购预算</w:t>
      </w:r>
      <w:r>
        <w:rPr>
          <w:rFonts w:ascii="仿宋_GB2312" w:hAnsi="Times New Roman" w:eastAsia="仿宋_GB2312"/>
          <w:sz w:val="32"/>
          <w:szCs w:val="24"/>
        </w:rPr>
        <w:t>2</w:t>
      </w:r>
      <w:r>
        <w:rPr>
          <w:rFonts w:hint="eastAsia" w:ascii="仿宋_GB2312" w:hAnsi="Times New Roman" w:eastAsia="仿宋_GB2312"/>
          <w:sz w:val="32"/>
          <w:szCs w:val="24"/>
        </w:rPr>
        <w:t>万元。具体内容见下表。</w:t>
      </w:r>
    </w:p>
    <w:bookmarkEnd w:id="3"/>
    <w:p>
      <w:pPr>
        <w:jc w:val="center"/>
        <w:outlineLvl w:val="0"/>
        <w:rPr>
          <w:rFonts w:ascii="方正小标宋_GBK" w:eastAsia="方正小标宋_GBK"/>
          <w:sz w:val="32"/>
        </w:rPr>
      </w:pPr>
      <w:bookmarkStart w:id="4" w:name="_Toc504489153"/>
      <w:r>
        <w:rPr>
          <w:rFonts w:hint="eastAsia" w:ascii="方正小标宋_GBK" w:eastAsia="方正小标宋_GBK"/>
          <w:sz w:val="32"/>
        </w:rPr>
        <w:t>部门政府采购预算</w:t>
      </w:r>
      <w:bookmarkEnd w:id="4"/>
    </w:p>
    <w:tbl>
      <w:tblPr>
        <w:tblStyle w:val="9"/>
        <w:tblW w:w="1326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056"/>
        <w:gridCol w:w="971"/>
        <w:gridCol w:w="1005"/>
        <w:gridCol w:w="1129"/>
        <w:gridCol w:w="661"/>
        <w:gridCol w:w="661"/>
        <w:gridCol w:w="833"/>
        <w:gridCol w:w="846"/>
        <w:gridCol w:w="846"/>
        <w:gridCol w:w="846"/>
        <w:gridCol w:w="846"/>
        <w:gridCol w:w="849"/>
        <w:gridCol w:w="861"/>
        <w:gridCol w:w="816"/>
        <w:gridCol w:w="3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33" w:hRule="atLeast"/>
          <w:tblHeader/>
          <w:jc w:val="center"/>
        </w:trPr>
        <w:tc>
          <w:tcPr>
            <w:tcW w:w="7316" w:type="dxa"/>
            <w:gridSpan w:val="7"/>
            <w:tcBorders>
              <w:top w:val="single" w:color="FFFFFF" w:sz="6" w:space="0"/>
              <w:left w:val="single" w:color="FFFFFF" w:sz="6" w:space="0"/>
              <w:right w:val="single" w:color="FFFFFF" w:sz="6" w:space="0"/>
            </w:tcBorders>
            <w:vAlign w:val="center"/>
          </w:tcPr>
          <w:p>
            <w:pPr>
              <w:spacing w:line="300" w:lineRule="exact"/>
              <w:jc w:val="left"/>
              <w:rPr>
                <w:rFonts w:ascii="方正小标宋_GBK" w:eastAsia="方正小标宋_GBK"/>
                <w:sz w:val="24"/>
              </w:rPr>
            </w:pPr>
            <w:r>
              <w:rPr>
                <w:rFonts w:ascii="方正小标宋_GBK" w:eastAsia="方正小标宋_GBK"/>
                <w:sz w:val="24"/>
              </w:rPr>
              <w:t>101</w:t>
            </w:r>
            <w:r>
              <w:rPr>
                <w:rFonts w:hint="eastAsia" w:ascii="方正小标宋_GBK" w:eastAsia="方正小标宋_GBK"/>
                <w:sz w:val="24"/>
              </w:rPr>
              <w:t>馆</w:t>
            </w:r>
            <w:r>
              <w:rPr>
                <w:rFonts w:ascii="方正小标宋_GBK" w:eastAsia="方正小标宋_GBK"/>
                <w:sz w:val="24"/>
              </w:rPr>
              <w:t>陶县人大常委会办公室</w:t>
            </w:r>
          </w:p>
        </w:tc>
        <w:tc>
          <w:tcPr>
            <w:tcW w:w="5944" w:type="dxa"/>
            <w:gridSpan w:val="8"/>
            <w:tcBorders>
              <w:top w:val="single" w:color="FFFFFF" w:sz="6" w:space="0"/>
              <w:left w:val="single" w:color="FFFFFF" w:sz="6" w:space="0"/>
              <w:right w:val="single" w:color="FFFFFF" w:sz="6" w:space="0"/>
            </w:tcBorders>
            <w:vAlign w:val="center"/>
          </w:tcPr>
          <w:p>
            <w:pPr>
              <w:spacing w:line="300" w:lineRule="exact"/>
              <w:jc w:val="right"/>
              <w:rPr>
                <w:rFonts w:ascii="方正书宋_GBK" w:eastAsia="方正书宋_GBK"/>
                <w:sz w:val="24"/>
              </w:rPr>
            </w:pPr>
            <w:r>
              <w:rPr>
                <w:rFonts w:hint="eastAsia" w:ascii="方正书宋_GBK" w:eastAsia="方正书宋_GBK"/>
                <w:sz w:val="24"/>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34" w:type="dxa"/>
          <w:trHeight w:val="533" w:hRule="atLeast"/>
          <w:tblHeader/>
          <w:jc w:val="center"/>
        </w:trPr>
        <w:tc>
          <w:tcPr>
            <w:tcW w:w="3027" w:type="dxa"/>
            <w:gridSpan w:val="2"/>
            <w:vAlign w:val="center"/>
          </w:tcPr>
          <w:p>
            <w:pPr>
              <w:spacing w:line="300" w:lineRule="exact"/>
              <w:jc w:val="center"/>
              <w:rPr>
                <w:rFonts w:ascii="方正书宋_GBK" w:eastAsia="方正书宋_GBK"/>
                <w:b/>
              </w:rPr>
            </w:pPr>
            <w:r>
              <w:rPr>
                <w:rFonts w:hint="eastAsia" w:ascii="方正书宋_GBK" w:eastAsia="方正书宋_GBK"/>
                <w:b/>
              </w:rPr>
              <w:t>政府采购项目来源</w:t>
            </w:r>
          </w:p>
        </w:tc>
        <w:tc>
          <w:tcPr>
            <w:tcW w:w="1005" w:type="dxa"/>
            <w:vMerge w:val="restart"/>
            <w:vAlign w:val="center"/>
          </w:tcPr>
          <w:p>
            <w:pPr>
              <w:spacing w:line="300" w:lineRule="exact"/>
              <w:jc w:val="center"/>
              <w:rPr>
                <w:rFonts w:ascii="方正书宋_GBK" w:eastAsia="方正书宋_GBK"/>
                <w:b/>
              </w:rPr>
            </w:pPr>
            <w:r>
              <w:rPr>
                <w:rFonts w:hint="eastAsia" w:ascii="方正书宋_GBK" w:eastAsia="方正书宋_GBK"/>
                <w:b/>
              </w:rPr>
              <w:t>采购物品名称</w:t>
            </w:r>
          </w:p>
        </w:tc>
        <w:tc>
          <w:tcPr>
            <w:tcW w:w="1129" w:type="dxa"/>
            <w:vMerge w:val="restart"/>
            <w:vAlign w:val="center"/>
          </w:tcPr>
          <w:p>
            <w:pPr>
              <w:spacing w:line="300" w:lineRule="exact"/>
              <w:jc w:val="center"/>
              <w:rPr>
                <w:rFonts w:ascii="方正书宋_GBK" w:eastAsia="方正书宋_GBK"/>
                <w:b/>
              </w:rPr>
            </w:pPr>
            <w:r>
              <w:rPr>
                <w:rFonts w:hint="eastAsia" w:ascii="方正书宋_GBK" w:eastAsia="方正书宋_GBK"/>
                <w:b/>
              </w:rPr>
              <w:t>政府采购目录序号</w:t>
            </w:r>
          </w:p>
        </w:tc>
        <w:tc>
          <w:tcPr>
            <w:tcW w:w="661" w:type="dxa"/>
            <w:vMerge w:val="restart"/>
            <w:vAlign w:val="center"/>
          </w:tcPr>
          <w:p>
            <w:pPr>
              <w:spacing w:line="300" w:lineRule="exact"/>
              <w:jc w:val="center"/>
              <w:rPr>
                <w:rFonts w:ascii="方正书宋_GBK" w:eastAsia="方正书宋_GBK"/>
                <w:b/>
              </w:rPr>
            </w:pPr>
            <w:r>
              <w:rPr>
                <w:rFonts w:hint="eastAsia" w:ascii="方正书宋_GBK" w:eastAsia="方正书宋_GBK"/>
                <w:b/>
              </w:rPr>
              <w:t>数量</w:t>
            </w:r>
            <w:r>
              <w:rPr>
                <w:rFonts w:ascii="方正书宋_GBK" w:eastAsia="方正书宋_GBK"/>
                <w:b/>
              </w:rPr>
              <w:t xml:space="preserve">  </w:t>
            </w:r>
            <w:r>
              <w:rPr>
                <w:rFonts w:hint="eastAsia" w:ascii="方正书宋_GBK" w:eastAsia="方正书宋_GBK"/>
                <w:b/>
              </w:rPr>
              <w:t>单位</w:t>
            </w:r>
          </w:p>
        </w:tc>
        <w:tc>
          <w:tcPr>
            <w:tcW w:w="661" w:type="dxa"/>
            <w:vMerge w:val="restart"/>
            <w:vAlign w:val="center"/>
          </w:tcPr>
          <w:p>
            <w:pPr>
              <w:spacing w:line="300" w:lineRule="exact"/>
              <w:jc w:val="center"/>
              <w:rPr>
                <w:rFonts w:ascii="方正书宋_GBK" w:eastAsia="方正书宋_GBK"/>
                <w:b/>
              </w:rPr>
            </w:pPr>
            <w:r>
              <w:rPr>
                <w:rFonts w:hint="eastAsia" w:ascii="方正书宋_GBK" w:eastAsia="方正书宋_GBK"/>
                <w:b/>
              </w:rPr>
              <w:t>数量</w:t>
            </w:r>
          </w:p>
        </w:tc>
        <w:tc>
          <w:tcPr>
            <w:tcW w:w="833" w:type="dxa"/>
            <w:vMerge w:val="restart"/>
            <w:vAlign w:val="center"/>
          </w:tcPr>
          <w:p>
            <w:pPr>
              <w:spacing w:line="300" w:lineRule="exact"/>
              <w:jc w:val="center"/>
              <w:rPr>
                <w:rFonts w:ascii="方正书宋_GBK" w:eastAsia="方正书宋_GBK"/>
                <w:b/>
              </w:rPr>
            </w:pPr>
            <w:r>
              <w:rPr>
                <w:rFonts w:hint="eastAsia" w:ascii="方正书宋_GBK" w:eastAsia="方正书宋_GBK"/>
                <w:b/>
              </w:rPr>
              <w:t>单价</w:t>
            </w:r>
          </w:p>
        </w:tc>
        <w:tc>
          <w:tcPr>
            <w:tcW w:w="5910" w:type="dxa"/>
            <w:gridSpan w:val="7"/>
            <w:vAlign w:val="center"/>
          </w:tcPr>
          <w:p>
            <w:pPr>
              <w:spacing w:line="300" w:lineRule="exact"/>
              <w:jc w:val="center"/>
              <w:rPr>
                <w:rFonts w:ascii="方正书宋_GBK" w:eastAsia="方正书宋_GBK"/>
                <w:b/>
              </w:rPr>
            </w:pPr>
            <w:r>
              <w:rPr>
                <w:rFonts w:hint="eastAsia" w:ascii="方正书宋_GBK" w:eastAsia="方正书宋_GBK"/>
                <w:b/>
              </w:rPr>
              <w:t>政府采购金额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34" w:type="dxa"/>
          <w:trHeight w:val="533" w:hRule="atLeast"/>
          <w:tblHeader/>
          <w:jc w:val="center"/>
        </w:trPr>
        <w:tc>
          <w:tcPr>
            <w:tcW w:w="2056" w:type="dxa"/>
            <w:vMerge w:val="restart"/>
            <w:vAlign w:val="center"/>
          </w:tcPr>
          <w:p>
            <w:pPr>
              <w:spacing w:line="300" w:lineRule="exact"/>
              <w:jc w:val="center"/>
              <w:rPr>
                <w:rFonts w:ascii="方正书宋_GBK" w:eastAsia="方正书宋_GBK"/>
                <w:b/>
              </w:rPr>
            </w:pPr>
            <w:r>
              <w:rPr>
                <w:rFonts w:hint="eastAsia" w:ascii="方正书宋_GBK" w:eastAsia="方正书宋_GBK"/>
                <w:b/>
              </w:rPr>
              <w:t>项目名称</w:t>
            </w:r>
          </w:p>
        </w:tc>
        <w:tc>
          <w:tcPr>
            <w:tcW w:w="971" w:type="dxa"/>
            <w:vMerge w:val="restart"/>
            <w:vAlign w:val="center"/>
          </w:tcPr>
          <w:p>
            <w:pPr>
              <w:spacing w:line="300" w:lineRule="exact"/>
              <w:jc w:val="center"/>
              <w:rPr>
                <w:rFonts w:ascii="方正书宋_GBK" w:eastAsia="方正书宋_GBK"/>
                <w:b/>
              </w:rPr>
            </w:pPr>
            <w:r>
              <w:rPr>
                <w:rFonts w:hint="eastAsia" w:ascii="方正书宋_GBK" w:eastAsia="方正书宋_GBK"/>
                <w:b/>
              </w:rPr>
              <w:t>预算资金</w:t>
            </w:r>
          </w:p>
        </w:tc>
        <w:tc>
          <w:tcPr>
            <w:tcW w:w="1005" w:type="dxa"/>
            <w:vMerge w:val="continue"/>
            <w:vAlign w:val="center"/>
          </w:tcPr>
          <w:p>
            <w:pPr>
              <w:spacing w:line="300" w:lineRule="exact"/>
              <w:jc w:val="left"/>
              <w:outlineLvl w:val="0"/>
            </w:pPr>
          </w:p>
        </w:tc>
        <w:tc>
          <w:tcPr>
            <w:tcW w:w="1129" w:type="dxa"/>
            <w:vMerge w:val="continue"/>
            <w:vAlign w:val="center"/>
          </w:tcPr>
          <w:p>
            <w:pPr>
              <w:spacing w:line="300" w:lineRule="exact"/>
              <w:jc w:val="left"/>
              <w:outlineLvl w:val="0"/>
            </w:pPr>
          </w:p>
        </w:tc>
        <w:tc>
          <w:tcPr>
            <w:tcW w:w="661" w:type="dxa"/>
            <w:vMerge w:val="continue"/>
            <w:vAlign w:val="center"/>
          </w:tcPr>
          <w:p>
            <w:pPr>
              <w:spacing w:line="300" w:lineRule="exact"/>
              <w:jc w:val="left"/>
              <w:outlineLvl w:val="0"/>
            </w:pPr>
          </w:p>
        </w:tc>
        <w:tc>
          <w:tcPr>
            <w:tcW w:w="661" w:type="dxa"/>
            <w:vMerge w:val="continue"/>
            <w:vAlign w:val="center"/>
          </w:tcPr>
          <w:p>
            <w:pPr>
              <w:spacing w:line="300" w:lineRule="exact"/>
              <w:jc w:val="left"/>
              <w:outlineLvl w:val="0"/>
            </w:pPr>
          </w:p>
        </w:tc>
        <w:tc>
          <w:tcPr>
            <w:tcW w:w="833" w:type="dxa"/>
            <w:vMerge w:val="continue"/>
            <w:vAlign w:val="center"/>
          </w:tcPr>
          <w:p>
            <w:pPr>
              <w:spacing w:line="300" w:lineRule="exact"/>
              <w:jc w:val="left"/>
              <w:outlineLvl w:val="0"/>
            </w:pPr>
          </w:p>
        </w:tc>
        <w:tc>
          <w:tcPr>
            <w:tcW w:w="846" w:type="dxa"/>
            <w:vMerge w:val="restart"/>
            <w:vAlign w:val="center"/>
          </w:tcPr>
          <w:p>
            <w:pPr>
              <w:spacing w:line="300" w:lineRule="exact"/>
              <w:jc w:val="center"/>
              <w:rPr>
                <w:rFonts w:ascii="方正书宋_GBK" w:eastAsia="方正书宋_GBK"/>
                <w:b/>
              </w:rPr>
            </w:pPr>
            <w:r>
              <w:rPr>
                <w:rFonts w:hint="eastAsia" w:ascii="方正书宋_GBK" w:eastAsia="方正书宋_GBK"/>
                <w:b/>
              </w:rPr>
              <w:t>总计</w:t>
            </w:r>
          </w:p>
        </w:tc>
        <w:tc>
          <w:tcPr>
            <w:tcW w:w="4248" w:type="dxa"/>
            <w:gridSpan w:val="5"/>
            <w:vAlign w:val="center"/>
          </w:tcPr>
          <w:p>
            <w:pPr>
              <w:spacing w:line="300" w:lineRule="exact"/>
              <w:jc w:val="center"/>
              <w:rPr>
                <w:rFonts w:ascii="方正书宋_GBK" w:eastAsia="方正书宋_GBK"/>
                <w:b/>
              </w:rPr>
            </w:pPr>
            <w:r>
              <w:rPr>
                <w:rFonts w:hint="eastAsia" w:ascii="方正书宋_GBK" w:eastAsia="方正书宋_GBK"/>
                <w:b/>
              </w:rPr>
              <w:t>当年部门预算安排资金</w:t>
            </w:r>
          </w:p>
        </w:tc>
        <w:tc>
          <w:tcPr>
            <w:tcW w:w="816" w:type="dxa"/>
            <w:vMerge w:val="restart"/>
            <w:vAlign w:val="center"/>
          </w:tcPr>
          <w:p>
            <w:pPr>
              <w:spacing w:line="300" w:lineRule="exact"/>
              <w:jc w:val="center"/>
              <w:rPr>
                <w:rFonts w:ascii="方正书宋_GBK" w:eastAsia="方正书宋_GBK"/>
                <w:b/>
              </w:rPr>
            </w:pPr>
            <w:r>
              <w:rPr>
                <w:rFonts w:hint="eastAsia" w:ascii="方正书宋_GBK" w:eastAsia="方正书宋_GBK"/>
                <w:b/>
              </w:rPr>
              <w:t>其他渠道资金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34" w:type="dxa"/>
          <w:trHeight w:val="1631" w:hRule="atLeast"/>
          <w:tblHeader/>
          <w:jc w:val="center"/>
        </w:trPr>
        <w:tc>
          <w:tcPr>
            <w:tcW w:w="2056" w:type="dxa"/>
            <w:vMerge w:val="continue"/>
            <w:vAlign w:val="center"/>
          </w:tcPr>
          <w:p>
            <w:pPr>
              <w:spacing w:line="300" w:lineRule="exact"/>
              <w:jc w:val="left"/>
              <w:outlineLvl w:val="0"/>
            </w:pPr>
          </w:p>
        </w:tc>
        <w:tc>
          <w:tcPr>
            <w:tcW w:w="971" w:type="dxa"/>
            <w:vMerge w:val="continue"/>
            <w:vAlign w:val="center"/>
          </w:tcPr>
          <w:p>
            <w:pPr>
              <w:spacing w:line="300" w:lineRule="exact"/>
              <w:jc w:val="left"/>
              <w:outlineLvl w:val="0"/>
            </w:pPr>
          </w:p>
        </w:tc>
        <w:tc>
          <w:tcPr>
            <w:tcW w:w="1005" w:type="dxa"/>
            <w:vMerge w:val="continue"/>
            <w:vAlign w:val="center"/>
          </w:tcPr>
          <w:p>
            <w:pPr>
              <w:spacing w:line="300" w:lineRule="exact"/>
              <w:jc w:val="left"/>
              <w:outlineLvl w:val="0"/>
            </w:pPr>
          </w:p>
        </w:tc>
        <w:tc>
          <w:tcPr>
            <w:tcW w:w="1129" w:type="dxa"/>
            <w:vMerge w:val="continue"/>
            <w:vAlign w:val="center"/>
          </w:tcPr>
          <w:p>
            <w:pPr>
              <w:spacing w:line="300" w:lineRule="exact"/>
              <w:jc w:val="left"/>
              <w:outlineLvl w:val="0"/>
            </w:pPr>
          </w:p>
        </w:tc>
        <w:tc>
          <w:tcPr>
            <w:tcW w:w="661" w:type="dxa"/>
            <w:vMerge w:val="continue"/>
            <w:vAlign w:val="center"/>
          </w:tcPr>
          <w:p>
            <w:pPr>
              <w:spacing w:line="300" w:lineRule="exact"/>
              <w:jc w:val="left"/>
              <w:outlineLvl w:val="0"/>
            </w:pPr>
          </w:p>
        </w:tc>
        <w:tc>
          <w:tcPr>
            <w:tcW w:w="661" w:type="dxa"/>
            <w:vMerge w:val="continue"/>
            <w:vAlign w:val="center"/>
          </w:tcPr>
          <w:p>
            <w:pPr>
              <w:spacing w:line="300" w:lineRule="exact"/>
              <w:jc w:val="left"/>
              <w:outlineLvl w:val="0"/>
            </w:pPr>
          </w:p>
        </w:tc>
        <w:tc>
          <w:tcPr>
            <w:tcW w:w="833" w:type="dxa"/>
            <w:vMerge w:val="continue"/>
            <w:vAlign w:val="center"/>
          </w:tcPr>
          <w:p>
            <w:pPr>
              <w:spacing w:line="300" w:lineRule="exact"/>
              <w:jc w:val="left"/>
              <w:outlineLvl w:val="0"/>
            </w:pPr>
          </w:p>
        </w:tc>
        <w:tc>
          <w:tcPr>
            <w:tcW w:w="846" w:type="dxa"/>
            <w:vMerge w:val="continue"/>
            <w:vAlign w:val="center"/>
          </w:tcPr>
          <w:p>
            <w:pPr>
              <w:spacing w:line="300" w:lineRule="exact"/>
              <w:jc w:val="left"/>
              <w:outlineLvl w:val="0"/>
            </w:pPr>
          </w:p>
        </w:tc>
        <w:tc>
          <w:tcPr>
            <w:tcW w:w="846" w:type="dxa"/>
            <w:vAlign w:val="center"/>
          </w:tcPr>
          <w:p>
            <w:pPr>
              <w:spacing w:line="300" w:lineRule="exact"/>
              <w:jc w:val="center"/>
              <w:rPr>
                <w:rFonts w:ascii="方正书宋_GBK" w:eastAsia="方正书宋_GBK"/>
                <w:b/>
              </w:rPr>
            </w:pPr>
            <w:r>
              <w:rPr>
                <w:rFonts w:hint="eastAsia" w:ascii="方正书宋_GBK" w:eastAsia="方正书宋_GBK"/>
                <w:b/>
              </w:rPr>
              <w:t>合计</w:t>
            </w:r>
          </w:p>
        </w:tc>
        <w:tc>
          <w:tcPr>
            <w:tcW w:w="846" w:type="dxa"/>
            <w:vAlign w:val="center"/>
          </w:tcPr>
          <w:p>
            <w:pPr>
              <w:spacing w:line="300" w:lineRule="exact"/>
              <w:jc w:val="center"/>
              <w:rPr>
                <w:rFonts w:ascii="方正书宋_GBK" w:eastAsia="方正书宋_GBK"/>
                <w:b/>
              </w:rPr>
            </w:pPr>
            <w:r>
              <w:rPr>
                <w:rFonts w:hint="eastAsia" w:ascii="方正书宋_GBK" w:eastAsia="方正书宋_GBK"/>
                <w:b/>
              </w:rPr>
              <w:t>一般公共预算拨款</w:t>
            </w:r>
          </w:p>
        </w:tc>
        <w:tc>
          <w:tcPr>
            <w:tcW w:w="846" w:type="dxa"/>
            <w:vAlign w:val="center"/>
          </w:tcPr>
          <w:p>
            <w:pPr>
              <w:spacing w:line="300" w:lineRule="exact"/>
              <w:jc w:val="center"/>
              <w:rPr>
                <w:rFonts w:ascii="方正书宋_GBK" w:eastAsia="方正书宋_GBK"/>
                <w:b/>
              </w:rPr>
            </w:pPr>
            <w:r>
              <w:rPr>
                <w:rFonts w:hint="eastAsia" w:ascii="方正书宋_GBK" w:eastAsia="方正书宋_GBK"/>
                <w:b/>
              </w:rPr>
              <w:t>基金预算拨款</w:t>
            </w:r>
          </w:p>
        </w:tc>
        <w:tc>
          <w:tcPr>
            <w:tcW w:w="849" w:type="dxa"/>
            <w:vAlign w:val="center"/>
          </w:tcPr>
          <w:p>
            <w:pPr>
              <w:spacing w:line="300" w:lineRule="exact"/>
              <w:jc w:val="center"/>
              <w:rPr>
                <w:rFonts w:ascii="方正书宋_GBK" w:eastAsia="方正书宋_GBK"/>
                <w:b/>
              </w:rPr>
            </w:pPr>
            <w:r>
              <w:rPr>
                <w:rFonts w:hint="eastAsia" w:ascii="方正书宋_GBK" w:eastAsia="方正书宋_GBK"/>
                <w:b/>
              </w:rPr>
              <w:t>财政专户核拨</w:t>
            </w:r>
          </w:p>
        </w:tc>
        <w:tc>
          <w:tcPr>
            <w:tcW w:w="861" w:type="dxa"/>
            <w:vAlign w:val="center"/>
          </w:tcPr>
          <w:p>
            <w:pPr>
              <w:spacing w:line="300" w:lineRule="exact"/>
              <w:jc w:val="center"/>
              <w:rPr>
                <w:rFonts w:ascii="方正书宋_GBK" w:eastAsia="方正书宋_GBK"/>
                <w:b/>
              </w:rPr>
            </w:pPr>
            <w:r>
              <w:rPr>
                <w:rFonts w:hint="eastAsia" w:ascii="方正书宋_GBK" w:eastAsia="方正书宋_GBK"/>
                <w:b/>
              </w:rPr>
              <w:t>其他来源收入</w:t>
            </w:r>
          </w:p>
        </w:tc>
        <w:tc>
          <w:tcPr>
            <w:tcW w:w="816" w:type="dxa"/>
            <w:vMerge w:val="continue"/>
            <w:vAlign w:val="center"/>
          </w:tcPr>
          <w:p>
            <w:pPr>
              <w:spacing w:line="300" w:lineRule="exact"/>
              <w:jc w:val="left"/>
              <w:outlineLvl w:val="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34" w:type="dxa"/>
          <w:trHeight w:val="533" w:hRule="atLeast"/>
          <w:jc w:val="center"/>
        </w:trPr>
        <w:tc>
          <w:tcPr>
            <w:tcW w:w="2056" w:type="dxa"/>
            <w:vAlign w:val="center"/>
          </w:tcPr>
          <w:p>
            <w:pPr>
              <w:spacing w:line="300" w:lineRule="exact"/>
              <w:jc w:val="center"/>
              <w:rPr>
                <w:rFonts w:ascii="方正书宋_GBK" w:eastAsia="方正书宋_GBK"/>
                <w:b/>
              </w:rPr>
            </w:pPr>
            <w:r>
              <w:rPr>
                <w:rFonts w:hint="eastAsia" w:ascii="方正书宋_GBK" w:eastAsia="方正书宋_GBK"/>
                <w:b/>
              </w:rPr>
              <w:t>合　计</w:t>
            </w:r>
          </w:p>
        </w:tc>
        <w:tc>
          <w:tcPr>
            <w:tcW w:w="971" w:type="dxa"/>
            <w:vAlign w:val="center"/>
          </w:tcPr>
          <w:p>
            <w:pPr>
              <w:spacing w:line="300" w:lineRule="exact"/>
              <w:jc w:val="center"/>
              <w:rPr>
                <w:rFonts w:ascii="方正书宋_GBK" w:eastAsia="方正书宋_GBK"/>
                <w:b/>
              </w:rPr>
            </w:pPr>
            <w:r>
              <w:rPr>
                <w:rFonts w:ascii="方正书宋_GBK" w:eastAsia="方正书宋_GBK"/>
                <w:b/>
              </w:rPr>
              <w:t>2</w:t>
            </w:r>
          </w:p>
        </w:tc>
        <w:tc>
          <w:tcPr>
            <w:tcW w:w="1005" w:type="dxa"/>
            <w:vAlign w:val="center"/>
          </w:tcPr>
          <w:p>
            <w:pPr>
              <w:spacing w:line="300" w:lineRule="exact"/>
              <w:jc w:val="left"/>
              <w:rPr>
                <w:rFonts w:ascii="方正书宋_GBK" w:eastAsia="方正书宋_GBK"/>
                <w:b/>
              </w:rPr>
            </w:pPr>
          </w:p>
        </w:tc>
        <w:tc>
          <w:tcPr>
            <w:tcW w:w="1129" w:type="dxa"/>
            <w:vAlign w:val="center"/>
          </w:tcPr>
          <w:p>
            <w:pPr>
              <w:spacing w:line="300" w:lineRule="exact"/>
              <w:jc w:val="left"/>
              <w:rPr>
                <w:rFonts w:ascii="方正书宋_GBK" w:eastAsia="方正书宋_GBK"/>
                <w:b/>
              </w:rPr>
            </w:pPr>
          </w:p>
        </w:tc>
        <w:tc>
          <w:tcPr>
            <w:tcW w:w="661" w:type="dxa"/>
            <w:vAlign w:val="center"/>
          </w:tcPr>
          <w:p>
            <w:pPr>
              <w:spacing w:line="300" w:lineRule="exact"/>
              <w:jc w:val="left"/>
              <w:rPr>
                <w:rFonts w:ascii="方正书宋_GBK" w:eastAsia="方正书宋_GBK"/>
                <w:b/>
              </w:rPr>
            </w:pPr>
          </w:p>
        </w:tc>
        <w:tc>
          <w:tcPr>
            <w:tcW w:w="661" w:type="dxa"/>
            <w:vAlign w:val="center"/>
          </w:tcPr>
          <w:p>
            <w:pPr>
              <w:spacing w:line="300" w:lineRule="exact"/>
              <w:jc w:val="right"/>
              <w:rPr>
                <w:rFonts w:ascii="方正书宋_GBK" w:eastAsia="方正书宋_GBK"/>
                <w:b/>
              </w:rPr>
            </w:pPr>
          </w:p>
        </w:tc>
        <w:tc>
          <w:tcPr>
            <w:tcW w:w="833" w:type="dxa"/>
            <w:vAlign w:val="center"/>
          </w:tcPr>
          <w:p>
            <w:pPr>
              <w:spacing w:line="300" w:lineRule="exact"/>
              <w:jc w:val="right"/>
              <w:rPr>
                <w:rFonts w:ascii="方正书宋_GBK" w:eastAsia="方正书宋_GBK"/>
                <w:b/>
              </w:rPr>
            </w:pPr>
          </w:p>
        </w:tc>
        <w:tc>
          <w:tcPr>
            <w:tcW w:w="846" w:type="dxa"/>
            <w:vAlign w:val="center"/>
          </w:tcPr>
          <w:p>
            <w:pPr>
              <w:spacing w:line="300" w:lineRule="exact"/>
              <w:jc w:val="center"/>
              <w:rPr>
                <w:rFonts w:ascii="方正书宋_GBK" w:eastAsia="方正书宋_GBK"/>
                <w:b/>
              </w:rPr>
            </w:pPr>
            <w:r>
              <w:rPr>
                <w:rFonts w:ascii="方正书宋_GBK" w:eastAsia="方正书宋_GBK"/>
                <w:b/>
              </w:rPr>
              <w:t>2</w:t>
            </w:r>
          </w:p>
        </w:tc>
        <w:tc>
          <w:tcPr>
            <w:tcW w:w="846" w:type="dxa"/>
            <w:vAlign w:val="center"/>
          </w:tcPr>
          <w:p>
            <w:pPr>
              <w:spacing w:line="300" w:lineRule="exact"/>
              <w:jc w:val="center"/>
              <w:rPr>
                <w:rFonts w:ascii="方正书宋_GBK" w:eastAsia="方正书宋_GBK"/>
                <w:b/>
              </w:rPr>
            </w:pPr>
            <w:r>
              <w:rPr>
                <w:rFonts w:ascii="方正书宋_GBK" w:eastAsia="方正书宋_GBK"/>
                <w:b/>
              </w:rPr>
              <w:t>2</w:t>
            </w:r>
          </w:p>
        </w:tc>
        <w:tc>
          <w:tcPr>
            <w:tcW w:w="846" w:type="dxa"/>
            <w:vAlign w:val="center"/>
          </w:tcPr>
          <w:p>
            <w:pPr>
              <w:spacing w:line="300" w:lineRule="exact"/>
              <w:jc w:val="center"/>
              <w:rPr>
                <w:rFonts w:ascii="方正书宋_GBK" w:eastAsia="方正书宋_GBK"/>
                <w:b/>
              </w:rPr>
            </w:pPr>
            <w:r>
              <w:rPr>
                <w:rFonts w:ascii="方正书宋_GBK" w:eastAsia="方正书宋_GBK"/>
                <w:b/>
              </w:rPr>
              <w:t>2</w:t>
            </w:r>
          </w:p>
        </w:tc>
        <w:tc>
          <w:tcPr>
            <w:tcW w:w="846" w:type="dxa"/>
            <w:vAlign w:val="center"/>
          </w:tcPr>
          <w:p>
            <w:pPr>
              <w:spacing w:line="300" w:lineRule="exact"/>
              <w:rPr>
                <w:rFonts w:ascii="方正书宋_GBK" w:eastAsia="方正书宋_GBK"/>
                <w:b/>
              </w:rPr>
            </w:pPr>
          </w:p>
        </w:tc>
        <w:tc>
          <w:tcPr>
            <w:tcW w:w="849" w:type="dxa"/>
            <w:vAlign w:val="center"/>
          </w:tcPr>
          <w:p>
            <w:pPr>
              <w:spacing w:line="300" w:lineRule="exact"/>
              <w:rPr>
                <w:rFonts w:ascii="方正书宋_GBK" w:eastAsia="方正书宋_GBK"/>
                <w:b/>
              </w:rPr>
            </w:pPr>
          </w:p>
        </w:tc>
        <w:tc>
          <w:tcPr>
            <w:tcW w:w="861" w:type="dxa"/>
            <w:vAlign w:val="center"/>
          </w:tcPr>
          <w:p>
            <w:pPr>
              <w:spacing w:line="300" w:lineRule="exact"/>
              <w:jc w:val="center"/>
              <w:rPr>
                <w:rFonts w:ascii="方正书宋_GBK" w:eastAsia="方正书宋_GBK"/>
                <w:b/>
              </w:rPr>
            </w:pPr>
          </w:p>
        </w:tc>
        <w:tc>
          <w:tcPr>
            <w:tcW w:w="816" w:type="dxa"/>
            <w:vAlign w:val="center"/>
          </w:tcPr>
          <w:p>
            <w:pPr>
              <w:spacing w:line="300" w:lineRule="exact"/>
              <w:jc w:val="right"/>
              <w:rPr>
                <w:rFonts w:ascii="方正书宋_GBK" w:eastAsia="方正书宋_GBK"/>
                <w: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34" w:type="dxa"/>
          <w:trHeight w:val="2102" w:hRule="atLeast"/>
          <w:jc w:val="center"/>
        </w:trPr>
        <w:tc>
          <w:tcPr>
            <w:tcW w:w="2056" w:type="dxa"/>
            <w:vAlign w:val="center"/>
          </w:tcPr>
          <w:p>
            <w:pPr>
              <w:spacing w:line="300" w:lineRule="exact"/>
              <w:jc w:val="center"/>
              <w:rPr>
                <w:rFonts w:ascii="方正书宋_GBK" w:eastAsia="方正书宋_GBK"/>
              </w:rPr>
            </w:pPr>
            <w:r>
              <w:rPr>
                <w:rFonts w:hint="eastAsia" w:ascii="方正书宋_GBK" w:eastAsia="方正书宋_GBK"/>
                <w:b/>
              </w:rPr>
              <w:t>日常公用</w:t>
            </w:r>
          </w:p>
        </w:tc>
        <w:tc>
          <w:tcPr>
            <w:tcW w:w="971" w:type="dxa"/>
            <w:vAlign w:val="center"/>
          </w:tcPr>
          <w:p>
            <w:pPr>
              <w:spacing w:line="300" w:lineRule="exact"/>
              <w:jc w:val="center"/>
              <w:rPr>
                <w:rFonts w:ascii="方正书宋_GBK" w:eastAsia="方正书宋_GBK"/>
                <w:b/>
              </w:rPr>
            </w:pPr>
            <w:r>
              <w:rPr>
                <w:rFonts w:ascii="方正书宋_GBK" w:eastAsia="方正书宋_GBK"/>
                <w:b/>
              </w:rPr>
              <w:t>2</w:t>
            </w:r>
          </w:p>
        </w:tc>
        <w:tc>
          <w:tcPr>
            <w:tcW w:w="1005" w:type="dxa"/>
            <w:vAlign w:val="center"/>
          </w:tcPr>
          <w:p>
            <w:pPr>
              <w:spacing w:line="300" w:lineRule="exact"/>
              <w:jc w:val="left"/>
              <w:rPr>
                <w:rFonts w:ascii="方正书宋_GBK" w:eastAsia="方正书宋_GBK"/>
                <w:b/>
              </w:rPr>
            </w:pPr>
            <w:r>
              <w:rPr>
                <w:rFonts w:hint="eastAsia" w:ascii="方正书宋_GBK" w:eastAsia="方正书宋_GBK"/>
                <w:b/>
              </w:rPr>
              <w:t>计算机、打印</w:t>
            </w:r>
            <w:r>
              <w:rPr>
                <w:rFonts w:ascii="方正书宋_GBK" w:eastAsia="方正书宋_GBK"/>
                <w:b/>
              </w:rPr>
              <w:t>机</w:t>
            </w:r>
            <w:r>
              <w:rPr>
                <w:rFonts w:hint="eastAsia" w:ascii="方正书宋_GBK" w:eastAsia="方正书宋_GBK"/>
                <w:b/>
              </w:rPr>
              <w:t>设备及软件</w:t>
            </w:r>
          </w:p>
        </w:tc>
        <w:tc>
          <w:tcPr>
            <w:tcW w:w="1129" w:type="dxa"/>
            <w:vAlign w:val="center"/>
          </w:tcPr>
          <w:p>
            <w:pPr>
              <w:spacing w:line="300" w:lineRule="exact"/>
              <w:jc w:val="center"/>
              <w:rPr>
                <w:rFonts w:ascii="方正书宋_GBK" w:eastAsia="方正书宋_GBK"/>
                <w:b/>
              </w:rPr>
            </w:pPr>
          </w:p>
        </w:tc>
        <w:tc>
          <w:tcPr>
            <w:tcW w:w="661" w:type="dxa"/>
            <w:vAlign w:val="center"/>
          </w:tcPr>
          <w:p>
            <w:pPr>
              <w:spacing w:line="300" w:lineRule="exact"/>
              <w:jc w:val="left"/>
              <w:rPr>
                <w:rFonts w:ascii="方正书宋_GBK" w:eastAsia="方正书宋_GBK"/>
                <w:b/>
              </w:rPr>
            </w:pPr>
            <w:r>
              <w:rPr>
                <w:rFonts w:hint="eastAsia" w:ascii="方正书宋_GBK" w:eastAsia="方正书宋_GBK"/>
                <w:b/>
              </w:rPr>
              <w:t>台</w:t>
            </w:r>
          </w:p>
        </w:tc>
        <w:tc>
          <w:tcPr>
            <w:tcW w:w="661" w:type="dxa"/>
            <w:vAlign w:val="center"/>
          </w:tcPr>
          <w:p>
            <w:pPr>
              <w:spacing w:line="300" w:lineRule="exact"/>
              <w:jc w:val="left"/>
              <w:rPr>
                <w:rFonts w:ascii="方正书宋_GBK" w:eastAsia="方正书宋_GBK"/>
                <w:b/>
              </w:rPr>
            </w:pPr>
            <w:r>
              <w:rPr>
                <w:rFonts w:hint="eastAsia" w:ascii="方正书宋_GBK" w:eastAsia="方正书宋_GBK"/>
                <w:b/>
              </w:rPr>
              <w:t>5</w:t>
            </w:r>
          </w:p>
        </w:tc>
        <w:tc>
          <w:tcPr>
            <w:tcW w:w="833" w:type="dxa"/>
            <w:vAlign w:val="center"/>
          </w:tcPr>
          <w:p>
            <w:pPr>
              <w:spacing w:line="300" w:lineRule="exact"/>
              <w:jc w:val="left"/>
              <w:rPr>
                <w:rFonts w:ascii="方正书宋_GBK" w:eastAsia="方正书宋_GBK"/>
                <w:b/>
              </w:rPr>
            </w:pPr>
          </w:p>
        </w:tc>
        <w:tc>
          <w:tcPr>
            <w:tcW w:w="846" w:type="dxa"/>
            <w:vAlign w:val="center"/>
          </w:tcPr>
          <w:p>
            <w:pPr>
              <w:spacing w:line="300" w:lineRule="exact"/>
              <w:jc w:val="center"/>
              <w:rPr>
                <w:rFonts w:ascii="方正书宋_GBK" w:eastAsia="方正书宋_GBK"/>
                <w:b/>
              </w:rPr>
            </w:pPr>
            <w:r>
              <w:rPr>
                <w:rFonts w:ascii="方正书宋_GBK" w:eastAsia="方正书宋_GBK"/>
                <w:b/>
              </w:rPr>
              <w:t>2</w:t>
            </w:r>
          </w:p>
        </w:tc>
        <w:tc>
          <w:tcPr>
            <w:tcW w:w="846" w:type="dxa"/>
            <w:vAlign w:val="center"/>
          </w:tcPr>
          <w:p>
            <w:pPr>
              <w:spacing w:line="300" w:lineRule="exact"/>
              <w:jc w:val="center"/>
              <w:rPr>
                <w:rFonts w:ascii="方正书宋_GBK" w:eastAsia="方正书宋_GBK"/>
                <w:b/>
              </w:rPr>
            </w:pPr>
            <w:r>
              <w:rPr>
                <w:rFonts w:ascii="方正书宋_GBK" w:eastAsia="方正书宋_GBK"/>
                <w:b/>
              </w:rPr>
              <w:t>2</w:t>
            </w:r>
          </w:p>
        </w:tc>
        <w:tc>
          <w:tcPr>
            <w:tcW w:w="846" w:type="dxa"/>
            <w:vAlign w:val="center"/>
          </w:tcPr>
          <w:p>
            <w:pPr>
              <w:spacing w:line="300" w:lineRule="exact"/>
              <w:jc w:val="center"/>
              <w:rPr>
                <w:rFonts w:ascii="方正书宋_GBK" w:eastAsia="方正书宋_GBK"/>
                <w:b/>
              </w:rPr>
            </w:pPr>
            <w:r>
              <w:rPr>
                <w:rFonts w:ascii="方正书宋_GBK" w:eastAsia="方正书宋_GBK"/>
                <w:b/>
              </w:rPr>
              <w:t>2</w:t>
            </w:r>
          </w:p>
        </w:tc>
        <w:tc>
          <w:tcPr>
            <w:tcW w:w="846" w:type="dxa"/>
            <w:vAlign w:val="center"/>
          </w:tcPr>
          <w:p>
            <w:pPr>
              <w:spacing w:line="300" w:lineRule="exact"/>
              <w:jc w:val="left"/>
              <w:rPr>
                <w:rFonts w:ascii="方正书宋_GBK" w:eastAsia="方正书宋_GBK"/>
                <w:b/>
              </w:rPr>
            </w:pPr>
          </w:p>
        </w:tc>
        <w:tc>
          <w:tcPr>
            <w:tcW w:w="849" w:type="dxa"/>
            <w:vAlign w:val="center"/>
          </w:tcPr>
          <w:p>
            <w:pPr>
              <w:spacing w:line="300" w:lineRule="exact"/>
              <w:jc w:val="right"/>
              <w:rPr>
                <w:rFonts w:ascii="方正书宋_GBK" w:eastAsia="方正书宋_GBK"/>
              </w:rPr>
            </w:pPr>
          </w:p>
        </w:tc>
        <w:tc>
          <w:tcPr>
            <w:tcW w:w="861" w:type="dxa"/>
            <w:vAlign w:val="center"/>
          </w:tcPr>
          <w:p>
            <w:pPr>
              <w:spacing w:line="300" w:lineRule="exact"/>
              <w:jc w:val="right"/>
              <w:rPr>
                <w:rFonts w:ascii="方正书宋_GBK" w:eastAsia="方正书宋_GBK"/>
              </w:rPr>
            </w:pPr>
          </w:p>
        </w:tc>
        <w:tc>
          <w:tcPr>
            <w:tcW w:w="816" w:type="dxa"/>
            <w:vAlign w:val="center"/>
          </w:tcPr>
          <w:p>
            <w:pPr>
              <w:spacing w:line="300" w:lineRule="exact"/>
              <w:jc w:val="right"/>
              <w:rPr>
                <w:rFonts w:ascii="方正书宋_GBK" w:eastAsia="方正书宋_GBK"/>
              </w:rPr>
            </w:pPr>
          </w:p>
        </w:tc>
      </w:tr>
    </w:tbl>
    <w:p>
      <w:pPr>
        <w:autoSpaceDE w:val="0"/>
        <w:autoSpaceDN w:val="0"/>
        <w:adjustRightInd w:val="0"/>
        <w:ind w:firstLine="643" w:firstLineChars="200"/>
        <w:jc w:val="left"/>
        <w:rPr>
          <w:rFonts w:ascii="黑体" w:hAnsi="黑体" w:eastAsia="黑体"/>
          <w:b/>
          <w:sz w:val="32"/>
          <w:szCs w:val="32"/>
        </w:rPr>
      </w:pPr>
      <w:r>
        <w:rPr>
          <w:rFonts w:hint="eastAsia" w:ascii="黑体" w:hAnsi="黑体" w:eastAsia="黑体"/>
          <w:b/>
          <w:sz w:val="32"/>
          <w:szCs w:val="32"/>
        </w:rPr>
        <w:t>七、国有资产信息</w:t>
      </w:r>
    </w:p>
    <w:p>
      <w:pPr>
        <w:ind w:firstLine="640"/>
        <w:rPr>
          <w:rFonts w:ascii="仿宋_GB2312" w:hAnsi="黑体" w:eastAsia="仿宋_GB2312"/>
          <w:sz w:val="32"/>
          <w:szCs w:val="32"/>
        </w:rPr>
      </w:pPr>
      <w:r>
        <w:rPr>
          <w:rFonts w:hint="eastAsia" w:ascii="仿宋_GB2312" w:hAnsi="黑体" w:eastAsia="仿宋_GB2312"/>
          <w:sz w:val="32"/>
          <w:szCs w:val="32"/>
        </w:rPr>
        <w:t>馆</w:t>
      </w:r>
      <w:r>
        <w:rPr>
          <w:rFonts w:ascii="仿宋_GB2312" w:hAnsi="黑体" w:eastAsia="仿宋_GB2312"/>
          <w:sz w:val="32"/>
          <w:szCs w:val="32"/>
        </w:rPr>
        <w:t>陶县人大常委会办公室</w:t>
      </w:r>
      <w:r>
        <w:rPr>
          <w:rFonts w:hint="eastAsia" w:ascii="仿宋_GB2312" w:hAnsi="黑体" w:eastAsia="仿宋_GB2312"/>
          <w:sz w:val="32"/>
          <w:szCs w:val="32"/>
        </w:rPr>
        <w:t>上年末固定资产金额为</w:t>
      </w:r>
      <w:r>
        <w:rPr>
          <w:rFonts w:ascii="仿宋_GB2312" w:hAnsi="Times New Roman" w:eastAsia="仿宋_GB2312"/>
          <w:sz w:val="32"/>
          <w:szCs w:val="32"/>
        </w:rPr>
        <w:t>37.29</w:t>
      </w:r>
      <w:r>
        <w:rPr>
          <w:rFonts w:hint="eastAsia" w:ascii="仿宋_GB2312" w:hAnsi="黑体" w:eastAsia="仿宋_GB2312"/>
          <w:sz w:val="32"/>
          <w:szCs w:val="32"/>
        </w:rPr>
        <w:t>万元（</w:t>
      </w:r>
      <w:r>
        <w:rPr>
          <w:rFonts w:hint="eastAsia" w:ascii="仿宋_GB2312" w:hAnsi="Times New Roman" w:eastAsia="仿宋_GB2312"/>
          <w:sz w:val="32"/>
          <w:szCs w:val="32"/>
        </w:rPr>
        <w:t>详见下表），</w:t>
      </w:r>
      <w:r>
        <w:rPr>
          <w:rFonts w:hint="eastAsia" w:ascii="仿宋_GB2312" w:hAnsi="黑体" w:eastAsia="仿宋_GB2312"/>
          <w:sz w:val="32"/>
          <w:szCs w:val="32"/>
        </w:rPr>
        <w:t>本年度我部门拟购置固定资产</w:t>
      </w:r>
      <w:r>
        <w:rPr>
          <w:rFonts w:hint="eastAsia" w:ascii="仿宋_GB2312" w:hAnsi="Times New Roman" w:eastAsia="仿宋_GB2312"/>
          <w:sz w:val="32"/>
          <w:szCs w:val="32"/>
        </w:rPr>
        <w:t>总额为</w:t>
      </w:r>
      <w:r>
        <w:rPr>
          <w:rFonts w:ascii="仿宋_GB2312" w:hAnsi="Times New Roman" w:eastAsia="仿宋_GB2312"/>
          <w:sz w:val="32"/>
          <w:szCs w:val="32"/>
        </w:rPr>
        <w:t>2</w:t>
      </w:r>
      <w:r>
        <w:rPr>
          <w:rFonts w:hint="eastAsia" w:ascii="仿宋_GB2312" w:hAnsi="Times New Roman" w:eastAsia="仿宋_GB2312"/>
          <w:sz w:val="32"/>
          <w:szCs w:val="32"/>
        </w:rPr>
        <w:t>万元，</w:t>
      </w:r>
      <w:r>
        <w:rPr>
          <w:rFonts w:hint="eastAsia" w:ascii="仿宋_GB2312" w:hAnsi="黑体" w:eastAsia="仿宋_GB2312"/>
          <w:sz w:val="32"/>
          <w:szCs w:val="32"/>
        </w:rPr>
        <w:t>主要为计算机设备及软件，已列入政府采购预算，详见政府采购预算表。</w:t>
      </w:r>
    </w:p>
    <w:tbl>
      <w:tblPr>
        <w:tblStyle w:val="9"/>
        <w:tblW w:w="11295" w:type="dxa"/>
        <w:jc w:val="center"/>
        <w:tblLayout w:type="fixed"/>
        <w:tblCellMar>
          <w:top w:w="15" w:type="dxa"/>
          <w:left w:w="15" w:type="dxa"/>
          <w:bottom w:w="15" w:type="dxa"/>
          <w:right w:w="15" w:type="dxa"/>
        </w:tblCellMar>
      </w:tblPr>
      <w:tblGrid>
        <w:gridCol w:w="4191"/>
        <w:gridCol w:w="1103"/>
        <w:gridCol w:w="1344"/>
        <w:gridCol w:w="1635"/>
        <w:gridCol w:w="3022"/>
      </w:tblGrid>
      <w:tr>
        <w:tblPrEx>
          <w:tblCellMar>
            <w:top w:w="15" w:type="dxa"/>
            <w:left w:w="15" w:type="dxa"/>
            <w:bottom w:w="15" w:type="dxa"/>
            <w:right w:w="15" w:type="dxa"/>
          </w:tblCellMar>
        </w:tblPrEx>
        <w:trPr>
          <w:trHeight w:val="540" w:hRule="atLeast"/>
          <w:jc w:val="center"/>
        </w:trPr>
        <w:tc>
          <w:tcPr>
            <w:tcW w:w="11295" w:type="dxa"/>
            <w:gridSpan w:val="5"/>
            <w:vAlign w:val="bottom"/>
          </w:tcPr>
          <w:p>
            <w:pPr>
              <w:widowControl/>
              <w:jc w:val="center"/>
              <w:textAlignment w:val="bottom"/>
              <w:rPr>
                <w:rFonts w:ascii="宋体" w:cs="宋体"/>
                <w:b/>
                <w:color w:val="000000"/>
                <w:sz w:val="32"/>
                <w:szCs w:val="32"/>
              </w:rPr>
            </w:pPr>
            <w:r>
              <w:rPr>
                <w:rFonts w:hint="eastAsia" w:ascii="宋体" w:hAnsi="宋体" w:cs="宋体"/>
                <w:b/>
                <w:color w:val="000000"/>
                <w:kern w:val="0"/>
                <w:sz w:val="32"/>
                <w:szCs w:val="32"/>
              </w:rPr>
              <w:t>部门固定资产占用情况表</w:t>
            </w:r>
          </w:p>
        </w:tc>
      </w:tr>
      <w:tr>
        <w:tblPrEx>
          <w:tblCellMar>
            <w:top w:w="15" w:type="dxa"/>
            <w:left w:w="15" w:type="dxa"/>
            <w:bottom w:w="15" w:type="dxa"/>
            <w:right w:w="15" w:type="dxa"/>
          </w:tblCellMar>
        </w:tblPrEx>
        <w:trPr>
          <w:trHeight w:val="256" w:hRule="atLeast"/>
          <w:jc w:val="center"/>
        </w:trPr>
        <w:tc>
          <w:tcPr>
            <w:tcW w:w="4191" w:type="dxa"/>
            <w:vAlign w:val="bottom"/>
          </w:tcPr>
          <w:p>
            <w:pPr>
              <w:rPr>
                <w:rFonts w:ascii="Arial" w:hAnsi="Arial" w:cs="Arial"/>
                <w:color w:val="000000"/>
                <w:sz w:val="20"/>
                <w:szCs w:val="20"/>
              </w:rPr>
            </w:pPr>
          </w:p>
        </w:tc>
        <w:tc>
          <w:tcPr>
            <w:tcW w:w="1103" w:type="dxa"/>
            <w:vAlign w:val="bottom"/>
          </w:tcPr>
          <w:p>
            <w:pPr>
              <w:rPr>
                <w:rFonts w:ascii="Arial" w:hAnsi="Arial" w:cs="Arial"/>
                <w:color w:val="000000"/>
                <w:sz w:val="20"/>
                <w:szCs w:val="20"/>
              </w:rPr>
            </w:pPr>
          </w:p>
        </w:tc>
        <w:tc>
          <w:tcPr>
            <w:tcW w:w="1344" w:type="dxa"/>
            <w:vAlign w:val="bottom"/>
          </w:tcPr>
          <w:p>
            <w:pPr>
              <w:rPr>
                <w:rFonts w:ascii="Arial" w:hAnsi="Arial" w:cs="Arial"/>
                <w:color w:val="000000"/>
                <w:sz w:val="20"/>
                <w:szCs w:val="20"/>
              </w:rPr>
            </w:pPr>
          </w:p>
        </w:tc>
        <w:tc>
          <w:tcPr>
            <w:tcW w:w="1635" w:type="dxa"/>
            <w:vAlign w:val="bottom"/>
          </w:tcPr>
          <w:p>
            <w:pPr>
              <w:rPr>
                <w:rFonts w:ascii="Arial" w:hAnsi="Arial" w:cs="Arial"/>
                <w:color w:val="000000"/>
                <w:sz w:val="20"/>
                <w:szCs w:val="20"/>
              </w:rPr>
            </w:pPr>
          </w:p>
        </w:tc>
        <w:tc>
          <w:tcPr>
            <w:tcW w:w="3022" w:type="dxa"/>
            <w:vAlign w:val="bottom"/>
          </w:tcPr>
          <w:p>
            <w:pPr>
              <w:rPr>
                <w:rFonts w:ascii="Arial" w:hAnsi="Arial" w:cs="Arial"/>
                <w:color w:val="000000"/>
                <w:sz w:val="20"/>
                <w:szCs w:val="20"/>
              </w:rPr>
            </w:pPr>
          </w:p>
        </w:tc>
      </w:tr>
      <w:tr>
        <w:tblPrEx>
          <w:tblCellMar>
            <w:top w:w="15" w:type="dxa"/>
            <w:left w:w="15" w:type="dxa"/>
            <w:bottom w:w="15" w:type="dxa"/>
            <w:right w:w="15" w:type="dxa"/>
          </w:tblCellMar>
        </w:tblPrEx>
        <w:trPr>
          <w:trHeight w:val="285" w:hRule="atLeast"/>
          <w:jc w:val="center"/>
        </w:trPr>
        <w:tc>
          <w:tcPr>
            <w:tcW w:w="419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宋体" w:cs="宋体"/>
                <w:color w:val="000000"/>
                <w:sz w:val="24"/>
                <w:szCs w:val="24"/>
              </w:rPr>
            </w:pPr>
            <w:r>
              <w:rPr>
                <w:rFonts w:hint="eastAsia" w:ascii="宋体" w:hAnsi="宋体" w:cs="宋体"/>
                <w:color w:val="000000"/>
                <w:kern w:val="0"/>
                <w:sz w:val="24"/>
                <w:szCs w:val="24"/>
              </w:rPr>
              <w:t>编制单位：馆陶</w:t>
            </w:r>
            <w:r>
              <w:rPr>
                <w:rFonts w:ascii="宋体" w:hAnsi="宋体" w:cs="宋体"/>
                <w:color w:val="000000"/>
                <w:kern w:val="0"/>
                <w:sz w:val="24"/>
                <w:szCs w:val="24"/>
              </w:rPr>
              <w:t>县人大常委会办公室</w:t>
            </w:r>
          </w:p>
        </w:tc>
        <w:tc>
          <w:tcPr>
            <w:tcW w:w="1103" w:type="dxa"/>
            <w:tcBorders>
              <w:top w:val="single" w:color="000000" w:sz="4" w:space="0"/>
              <w:left w:val="single" w:color="000000" w:sz="4" w:space="0"/>
              <w:bottom w:val="single" w:color="000000" w:sz="4" w:space="0"/>
              <w:right w:val="single" w:color="000000" w:sz="4" w:space="0"/>
            </w:tcBorders>
            <w:vAlign w:val="bottom"/>
          </w:tcPr>
          <w:p>
            <w:pPr>
              <w:rPr>
                <w:rFonts w:ascii="Arial" w:hAnsi="Arial" w:cs="Arial"/>
                <w:color w:val="000000"/>
                <w:sz w:val="20"/>
                <w:szCs w:val="20"/>
              </w:rPr>
            </w:pPr>
          </w:p>
        </w:tc>
        <w:tc>
          <w:tcPr>
            <w:tcW w:w="1344" w:type="dxa"/>
            <w:tcBorders>
              <w:top w:val="single" w:color="000000" w:sz="4" w:space="0"/>
              <w:left w:val="single" w:color="000000" w:sz="4" w:space="0"/>
              <w:bottom w:val="single" w:color="000000" w:sz="4" w:space="0"/>
              <w:right w:val="single" w:color="000000" w:sz="4" w:space="0"/>
            </w:tcBorders>
            <w:vAlign w:val="bottom"/>
          </w:tcPr>
          <w:p>
            <w:pPr>
              <w:rPr>
                <w:rFonts w:ascii="Arial" w:hAnsi="Arial" w:cs="Arial"/>
                <w:color w:val="000000"/>
                <w:sz w:val="20"/>
                <w:szCs w:val="20"/>
              </w:rPr>
            </w:pPr>
          </w:p>
        </w:tc>
        <w:tc>
          <w:tcPr>
            <w:tcW w:w="1635"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ascii="宋体" w:cs="宋体"/>
                <w:color w:val="000000"/>
                <w:sz w:val="24"/>
                <w:szCs w:val="24"/>
              </w:rPr>
            </w:pPr>
            <w:r>
              <w:rPr>
                <w:rFonts w:ascii="宋体" w:hAnsi="宋体" w:cs="宋体"/>
                <w:color w:val="000000"/>
                <w:kern w:val="0"/>
                <w:sz w:val="24"/>
                <w:szCs w:val="24"/>
              </w:rPr>
              <w:t>2017</w:t>
            </w:r>
            <w:r>
              <w:rPr>
                <w:rFonts w:hint="eastAsia" w:ascii="宋体" w:hAnsi="宋体" w:cs="宋体"/>
                <w:color w:val="000000"/>
                <w:kern w:val="0"/>
                <w:sz w:val="24"/>
                <w:szCs w:val="24"/>
              </w:rPr>
              <w:t>年度</w:t>
            </w:r>
          </w:p>
        </w:tc>
        <w:tc>
          <w:tcPr>
            <w:tcW w:w="3022" w:type="dxa"/>
            <w:tcBorders>
              <w:top w:val="single" w:color="000000" w:sz="4" w:space="0"/>
              <w:left w:val="single" w:color="000000" w:sz="4" w:space="0"/>
              <w:bottom w:val="single" w:color="000000" w:sz="4" w:space="0"/>
              <w:right w:val="single" w:color="000000" w:sz="4" w:space="0"/>
            </w:tcBorders>
            <w:vAlign w:val="bottom"/>
          </w:tcPr>
          <w:p>
            <w:pPr>
              <w:widowControl/>
              <w:jc w:val="right"/>
              <w:textAlignment w:val="bottom"/>
              <w:rPr>
                <w:rFonts w:ascii="宋体" w:cs="宋体"/>
                <w:color w:val="000000"/>
                <w:sz w:val="24"/>
                <w:szCs w:val="24"/>
              </w:rPr>
            </w:pPr>
            <w:r>
              <w:rPr>
                <w:rFonts w:hint="eastAsia" w:ascii="宋体" w:hAnsi="宋体" w:cs="宋体"/>
                <w:color w:val="000000"/>
                <w:kern w:val="0"/>
                <w:sz w:val="24"/>
                <w:szCs w:val="24"/>
              </w:rPr>
              <w:t>金额单位：元</w:t>
            </w:r>
          </w:p>
        </w:tc>
      </w:tr>
      <w:tr>
        <w:tblPrEx>
          <w:tblCellMar>
            <w:top w:w="15" w:type="dxa"/>
            <w:left w:w="15" w:type="dxa"/>
            <w:bottom w:w="15" w:type="dxa"/>
            <w:right w:w="15" w:type="dxa"/>
          </w:tblCellMar>
        </w:tblPrEx>
        <w:trPr>
          <w:trHeight w:val="390" w:hRule="atLeast"/>
          <w:jc w:val="center"/>
        </w:trPr>
        <w:tc>
          <w:tcPr>
            <w:tcW w:w="419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项　　目</w:t>
            </w:r>
          </w:p>
        </w:tc>
        <w:tc>
          <w:tcPr>
            <w:tcW w:w="244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数量</w:t>
            </w:r>
          </w:p>
        </w:tc>
        <w:tc>
          <w:tcPr>
            <w:tcW w:w="465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价值</w:t>
            </w:r>
          </w:p>
        </w:tc>
      </w:tr>
      <w:tr>
        <w:tblPrEx>
          <w:tblCellMar>
            <w:top w:w="15" w:type="dxa"/>
            <w:left w:w="15" w:type="dxa"/>
            <w:bottom w:w="15" w:type="dxa"/>
            <w:right w:w="15" w:type="dxa"/>
          </w:tblCellMar>
        </w:tblPrEx>
        <w:trPr>
          <w:trHeight w:val="300" w:hRule="atLeast"/>
          <w:jc w:val="center"/>
        </w:trPr>
        <w:tc>
          <w:tcPr>
            <w:tcW w:w="419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color w:val="000000"/>
                <w:sz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年末数</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年初数</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年末数</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hint="eastAsia" w:ascii="宋体" w:hAnsi="宋体" w:cs="宋体"/>
                <w:color w:val="000000"/>
                <w:kern w:val="0"/>
                <w:sz w:val="22"/>
              </w:rPr>
              <w:t>资产总额</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r>
              <w:rPr>
                <w:rFonts w:hint="eastAsia" w:ascii="宋体" w:cs="宋体"/>
                <w:color w:val="000000"/>
                <w:sz w:val="22"/>
              </w:rPr>
              <w:t>3</w:t>
            </w:r>
            <w:r>
              <w:rPr>
                <w:rFonts w:ascii="宋体" w:cs="宋体"/>
                <w:color w:val="000000"/>
                <w:sz w:val="22"/>
              </w:rPr>
              <w:t>72900</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r>
              <w:rPr>
                <w:rFonts w:hint="eastAsia" w:ascii="宋体" w:cs="宋体"/>
                <w:color w:val="000000"/>
                <w:sz w:val="22"/>
              </w:rPr>
              <w:t>372900</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、房屋（平方米）</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1.</w:t>
            </w:r>
            <w:r>
              <w:rPr>
                <w:rFonts w:hint="eastAsia" w:ascii="宋体" w:hAnsi="宋体" w:cs="宋体"/>
                <w:color w:val="000000"/>
                <w:kern w:val="0"/>
                <w:sz w:val="22"/>
              </w:rPr>
              <w:t>办公用房</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2.</w:t>
            </w:r>
            <w:r>
              <w:rPr>
                <w:rFonts w:hint="eastAsia" w:ascii="宋体" w:hAnsi="宋体" w:cs="宋体"/>
                <w:color w:val="000000"/>
                <w:kern w:val="0"/>
                <w:sz w:val="22"/>
              </w:rPr>
              <w:t>业务用房</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hint="eastAsia" w:ascii="宋体" w:hAnsi="宋体" w:cs="宋体"/>
                <w:color w:val="000000"/>
                <w:kern w:val="0"/>
                <w:sz w:val="22"/>
              </w:rPr>
              <w:t>　</w:t>
            </w:r>
            <w:r>
              <w:rPr>
                <w:rFonts w:ascii="宋体" w:hAnsi="宋体" w:cs="宋体"/>
                <w:color w:val="000000"/>
                <w:kern w:val="0"/>
                <w:sz w:val="22"/>
              </w:rPr>
              <w:t xml:space="preserve"> </w:t>
            </w:r>
            <w:r>
              <w:rPr>
                <w:rFonts w:hint="eastAsia" w:ascii="宋体" w:hAnsi="宋体" w:cs="宋体"/>
                <w:color w:val="000000"/>
                <w:kern w:val="0"/>
                <w:sz w:val="22"/>
              </w:rPr>
              <w:t>　</w:t>
            </w:r>
            <w:r>
              <w:rPr>
                <w:rFonts w:ascii="宋体" w:hAnsi="宋体" w:cs="宋体"/>
                <w:color w:val="000000"/>
                <w:kern w:val="0"/>
                <w:sz w:val="22"/>
              </w:rPr>
              <w:t xml:space="preserve">   3.</w:t>
            </w:r>
            <w:r>
              <w:rPr>
                <w:rFonts w:hint="eastAsia" w:ascii="宋体" w:hAnsi="宋体" w:cs="宋体"/>
                <w:color w:val="000000"/>
                <w:kern w:val="0"/>
                <w:sz w:val="22"/>
              </w:rPr>
              <w:t>其他（不含构筑物）</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2</w:t>
            </w:r>
            <w:r>
              <w:rPr>
                <w:rFonts w:hint="eastAsia" w:ascii="宋体" w:hAnsi="宋体" w:cs="宋体"/>
                <w:color w:val="000000"/>
                <w:kern w:val="0"/>
                <w:sz w:val="22"/>
              </w:rPr>
              <w:t>、车辆（台、辆）</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r>
              <w:rPr>
                <w:rFonts w:hint="eastAsia" w:ascii="宋体" w:cs="宋体"/>
                <w:color w:val="000000"/>
                <w:sz w:val="22"/>
              </w:rPr>
              <w:t>2</w:t>
            </w: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r>
              <w:rPr>
                <w:rFonts w:hint="eastAsia" w:ascii="宋体" w:cs="宋体"/>
                <w:color w:val="000000"/>
                <w:sz w:val="22"/>
              </w:rPr>
              <w:t>2</w:t>
            </w: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r>
              <w:rPr>
                <w:rFonts w:hint="eastAsia" w:ascii="宋体" w:cs="宋体"/>
                <w:color w:val="000000"/>
                <w:sz w:val="22"/>
              </w:rPr>
              <w:t>2</w:t>
            </w:r>
            <w:r>
              <w:rPr>
                <w:rFonts w:ascii="宋体" w:cs="宋体"/>
                <w:color w:val="000000"/>
                <w:sz w:val="22"/>
              </w:rPr>
              <w:t>89700</w:t>
            </w: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r>
              <w:rPr>
                <w:rFonts w:hint="eastAsia" w:ascii="宋体" w:cs="宋体"/>
                <w:color w:val="000000"/>
                <w:sz w:val="22"/>
              </w:rPr>
              <w:t>289700</w:t>
            </w: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3</w:t>
            </w:r>
            <w:r>
              <w:rPr>
                <w:rFonts w:hint="eastAsia" w:ascii="宋体" w:hAnsi="宋体" w:cs="宋体"/>
                <w:color w:val="000000"/>
                <w:kern w:val="0"/>
                <w:sz w:val="22"/>
              </w:rPr>
              <w:t>、单价</w:t>
            </w:r>
            <w:r>
              <w:rPr>
                <w:rFonts w:ascii="宋体" w:hAnsi="宋体" w:cs="宋体"/>
                <w:color w:val="000000"/>
                <w:kern w:val="0"/>
                <w:sz w:val="22"/>
              </w:rPr>
              <w:t>50</w:t>
            </w:r>
            <w:r>
              <w:rPr>
                <w:rFonts w:hint="eastAsia" w:ascii="宋体" w:hAnsi="宋体" w:cs="宋体"/>
                <w:color w:val="000000"/>
                <w:kern w:val="0"/>
                <w:sz w:val="22"/>
              </w:rPr>
              <w:t>万元（含）以上的通用设备（台、套…）</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4</w:t>
            </w:r>
            <w:r>
              <w:rPr>
                <w:rFonts w:hint="eastAsia" w:ascii="宋体" w:hAnsi="宋体" w:cs="宋体"/>
                <w:color w:val="000000"/>
                <w:kern w:val="0"/>
                <w:sz w:val="22"/>
              </w:rPr>
              <w:t>、单价</w:t>
            </w:r>
            <w:r>
              <w:rPr>
                <w:rFonts w:ascii="宋体" w:hAnsi="宋体" w:cs="宋体"/>
                <w:color w:val="000000"/>
                <w:kern w:val="0"/>
                <w:sz w:val="22"/>
              </w:rPr>
              <w:t>100</w:t>
            </w:r>
            <w:r>
              <w:rPr>
                <w:rFonts w:hint="eastAsia" w:ascii="宋体" w:hAnsi="宋体" w:cs="宋体"/>
                <w:color w:val="000000"/>
                <w:kern w:val="0"/>
                <w:sz w:val="22"/>
              </w:rPr>
              <w:t>万元（含）以上的专用设备（台、套…）</w:t>
            </w:r>
          </w:p>
        </w:tc>
        <w:tc>
          <w:tcPr>
            <w:tcW w:w="1103"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344"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1635"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c>
          <w:tcPr>
            <w:tcW w:w="3022"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22"/>
              </w:rPr>
            </w:pPr>
          </w:p>
        </w:tc>
      </w:tr>
      <w:tr>
        <w:tblPrEx>
          <w:tblCellMar>
            <w:top w:w="15" w:type="dxa"/>
            <w:left w:w="15" w:type="dxa"/>
            <w:bottom w:w="15" w:type="dxa"/>
            <w:right w:w="15" w:type="dxa"/>
          </w:tblCellMar>
        </w:tblPrEx>
        <w:trPr>
          <w:trHeight w:val="300" w:hRule="atLeast"/>
          <w:jc w:val="center"/>
        </w:trPr>
        <w:tc>
          <w:tcPr>
            <w:tcW w:w="419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22"/>
              </w:rPr>
            </w:pPr>
            <w:r>
              <w:rPr>
                <w:rFonts w:ascii="宋体" w:hAnsi="宋体" w:cs="宋体"/>
                <w:color w:val="000000"/>
                <w:kern w:val="0"/>
                <w:sz w:val="22"/>
              </w:rPr>
              <w:t xml:space="preserve">  5</w:t>
            </w:r>
            <w:r>
              <w:rPr>
                <w:rFonts w:hint="eastAsia" w:ascii="宋体" w:hAnsi="宋体" w:cs="宋体"/>
                <w:color w:val="000000"/>
                <w:kern w:val="0"/>
                <w:sz w:val="22"/>
              </w:rPr>
              <w:t>、其他固定资产</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3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22"/>
              </w:rPr>
            </w:pPr>
            <w:r>
              <w:rPr>
                <w:rFonts w:ascii="宋体" w:hAnsi="宋体" w:cs="宋体"/>
                <w:color w:val="000000"/>
                <w:kern w:val="0"/>
                <w:sz w:val="22"/>
              </w:rPr>
              <w:t>—</w:t>
            </w:r>
          </w:p>
        </w:tc>
        <w:tc>
          <w:tcPr>
            <w:tcW w:w="163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r>
              <w:rPr>
                <w:rFonts w:hint="eastAsia" w:ascii="宋体" w:cs="宋体"/>
                <w:color w:val="000000"/>
                <w:sz w:val="22"/>
              </w:rPr>
              <w:t>8</w:t>
            </w:r>
            <w:r>
              <w:rPr>
                <w:rFonts w:ascii="宋体" w:cs="宋体"/>
                <w:color w:val="000000"/>
                <w:sz w:val="22"/>
              </w:rPr>
              <w:t>3200</w:t>
            </w:r>
          </w:p>
        </w:tc>
        <w:tc>
          <w:tcPr>
            <w:tcW w:w="3022"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22"/>
              </w:rPr>
            </w:pPr>
            <w:r>
              <w:rPr>
                <w:rFonts w:hint="eastAsia" w:ascii="宋体" w:cs="宋体"/>
                <w:color w:val="000000"/>
                <w:sz w:val="22"/>
              </w:rPr>
              <w:t>83200</w:t>
            </w:r>
          </w:p>
        </w:tc>
      </w:tr>
    </w:tbl>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八、名词解释</w:t>
      </w:r>
    </w:p>
    <w:p>
      <w:pPr>
        <w:autoSpaceDE w:val="0"/>
        <w:autoSpaceDN w:val="0"/>
        <w:adjustRightInd w:val="0"/>
        <w:ind w:left="198" w:firstLine="640" w:firstLineChars="200"/>
        <w:jc w:val="left"/>
        <w:rPr>
          <w:rFonts w:ascii="Times New Roman" w:hAnsi="Times New Roman" w:eastAsia="方正仿宋_GBK"/>
          <w:sz w:val="32"/>
          <w:szCs w:val="32"/>
        </w:rPr>
      </w:pPr>
      <w:r>
        <w:rPr>
          <w:rFonts w:ascii="Times New Roman" w:hAnsi="Times New Roman" w:eastAsia="方正仿宋_GBK"/>
          <w:b/>
          <w:sz w:val="32"/>
          <w:szCs w:val="32"/>
        </w:rPr>
        <w:t>1</w:t>
      </w:r>
      <w:r>
        <w:rPr>
          <w:rFonts w:hint="eastAsia" w:ascii="Times New Roman" w:hAnsi="Times New Roman" w:eastAsia="方正仿宋_GBK"/>
          <w:b/>
          <w:sz w:val="32"/>
          <w:szCs w:val="32"/>
        </w:rPr>
        <w:t>、一般公共预算拨款收入：</w:t>
      </w:r>
      <w:r>
        <w:rPr>
          <w:rFonts w:hint="eastAsia" w:ascii="仿宋_GB2312" w:hAnsi="Times New Roman" w:eastAsia="仿宋_GB2312"/>
          <w:sz w:val="32"/>
          <w:szCs w:val="32"/>
        </w:rPr>
        <w:t>指县级财政当年拨付的资金。</w:t>
      </w:r>
    </w:p>
    <w:p>
      <w:pPr>
        <w:autoSpaceDE w:val="0"/>
        <w:autoSpaceDN w:val="0"/>
        <w:adjustRightInd w:val="0"/>
        <w:ind w:left="198" w:firstLine="640" w:firstLineChars="200"/>
        <w:jc w:val="left"/>
        <w:rPr>
          <w:rFonts w:ascii="仿宋_GB2312" w:hAnsi="Times New Roman" w:eastAsia="仿宋_GB2312"/>
          <w:sz w:val="32"/>
          <w:szCs w:val="32"/>
        </w:rPr>
      </w:pPr>
      <w:r>
        <w:rPr>
          <w:rFonts w:ascii="Times New Roman" w:hAnsi="Times New Roman" w:eastAsia="方正仿宋_GBK"/>
          <w:b/>
          <w:sz w:val="32"/>
          <w:szCs w:val="32"/>
        </w:rPr>
        <w:t>2</w:t>
      </w:r>
      <w:r>
        <w:rPr>
          <w:rFonts w:hint="eastAsia" w:ascii="Times New Roman" w:hAnsi="Times New Roman" w:eastAsia="方正仿宋_GBK"/>
          <w:b/>
          <w:sz w:val="32"/>
          <w:szCs w:val="32"/>
        </w:rPr>
        <w:t>、事业收入：</w:t>
      </w:r>
      <w:r>
        <w:rPr>
          <w:rFonts w:hint="eastAsia" w:ascii="仿宋_GB2312" w:hAnsi="Times New Roman" w:eastAsia="仿宋_GB2312"/>
          <w:sz w:val="32"/>
          <w:szCs w:val="32"/>
        </w:rPr>
        <w:t>指事业单位开展专业业务活动及辅助活动所取得的收入。</w:t>
      </w:r>
    </w:p>
    <w:p>
      <w:pPr>
        <w:autoSpaceDE w:val="0"/>
        <w:autoSpaceDN w:val="0"/>
        <w:adjustRightInd w:val="0"/>
        <w:ind w:left="198" w:firstLine="640" w:firstLineChars="200"/>
        <w:jc w:val="left"/>
        <w:rPr>
          <w:rFonts w:ascii="仿宋_GB2312" w:hAnsi="Times New Roman" w:eastAsia="仿宋_GB2312"/>
          <w:sz w:val="32"/>
          <w:szCs w:val="32"/>
        </w:rPr>
      </w:pPr>
      <w:r>
        <w:rPr>
          <w:rFonts w:ascii="Times New Roman" w:hAnsi="Times New Roman" w:eastAsia="方正仿宋_GBK"/>
          <w:b/>
          <w:sz w:val="32"/>
          <w:szCs w:val="32"/>
        </w:rPr>
        <w:t>3</w:t>
      </w:r>
      <w:r>
        <w:rPr>
          <w:rFonts w:hint="eastAsia" w:ascii="Times New Roman" w:hAnsi="Times New Roman" w:eastAsia="方正仿宋_GBK"/>
          <w:b/>
          <w:sz w:val="32"/>
          <w:szCs w:val="32"/>
        </w:rPr>
        <w:t>、其他收入：</w:t>
      </w:r>
      <w:r>
        <w:rPr>
          <w:rFonts w:hint="eastAsia" w:ascii="仿宋_GB2312" w:hAnsi="Times New Roman" w:eastAsia="仿宋_GB2312"/>
          <w:sz w:val="32"/>
          <w:szCs w:val="32"/>
        </w:rPr>
        <w:t>指除</w:t>
      </w:r>
      <w:r>
        <w:rPr>
          <w:rFonts w:ascii="仿宋_GB2312" w:hAnsi="Times New Roman" w:eastAsia="仿宋_GB2312"/>
          <w:sz w:val="32"/>
          <w:szCs w:val="32"/>
        </w:rPr>
        <w:t>“</w:t>
      </w:r>
      <w:r>
        <w:rPr>
          <w:rFonts w:hint="eastAsia" w:ascii="仿宋_GB2312" w:hAnsi="Times New Roman" w:eastAsia="仿宋_GB2312"/>
          <w:sz w:val="32"/>
          <w:szCs w:val="32"/>
        </w:rPr>
        <w:t>一般公共预算拨款收入</w:t>
      </w:r>
      <w:r>
        <w:rPr>
          <w:rFonts w:ascii="仿宋_GB2312" w:hAnsi="Times New Roman" w:eastAsia="仿宋_GB2312"/>
          <w:sz w:val="32"/>
          <w:szCs w:val="32"/>
        </w:rPr>
        <w:t>”</w:t>
      </w:r>
      <w:r>
        <w:rPr>
          <w:rFonts w:hint="eastAsia" w:ascii="仿宋_GB2312" w:hAnsi="Times New Roman" w:eastAsia="仿宋_GB2312"/>
          <w:sz w:val="32"/>
          <w:szCs w:val="32"/>
        </w:rPr>
        <w:t>、</w:t>
      </w:r>
      <w:r>
        <w:rPr>
          <w:rFonts w:ascii="仿宋_GB2312" w:hAnsi="Times New Roman" w:eastAsia="仿宋_GB2312"/>
          <w:sz w:val="32"/>
          <w:szCs w:val="32"/>
        </w:rPr>
        <w:t>“</w:t>
      </w:r>
      <w:r>
        <w:rPr>
          <w:rFonts w:hint="eastAsia" w:ascii="仿宋_GB2312" w:hAnsi="Times New Roman" w:eastAsia="仿宋_GB2312"/>
          <w:sz w:val="32"/>
          <w:szCs w:val="32"/>
        </w:rPr>
        <w:t>事业收入</w:t>
      </w:r>
      <w:r>
        <w:rPr>
          <w:rFonts w:ascii="仿宋_GB2312" w:hAnsi="Times New Roman" w:eastAsia="仿宋_GB2312"/>
          <w:sz w:val="32"/>
          <w:szCs w:val="32"/>
        </w:rPr>
        <w:t>”</w:t>
      </w:r>
      <w:r>
        <w:rPr>
          <w:rFonts w:hint="eastAsia" w:ascii="仿宋_GB2312" w:hAnsi="Times New Roman" w:eastAsia="仿宋_GB2312"/>
          <w:sz w:val="32"/>
          <w:szCs w:val="32"/>
        </w:rPr>
        <w:t>等以外的收入。主要是按规定动用的租房收入、存款利息收入等。</w:t>
      </w:r>
    </w:p>
    <w:p>
      <w:pPr>
        <w:autoSpaceDE w:val="0"/>
        <w:autoSpaceDN w:val="0"/>
        <w:adjustRightInd w:val="0"/>
        <w:ind w:left="198" w:firstLine="640" w:firstLineChars="200"/>
        <w:jc w:val="left"/>
        <w:rPr>
          <w:rFonts w:ascii="仿宋_GB2312" w:hAnsi="Times New Roman" w:eastAsia="仿宋_GB2312"/>
          <w:sz w:val="32"/>
          <w:szCs w:val="32"/>
        </w:rPr>
      </w:pPr>
      <w:r>
        <w:rPr>
          <w:rFonts w:ascii="Times New Roman" w:hAnsi="Times New Roman" w:eastAsia="方正仿宋_GBK"/>
          <w:b/>
          <w:sz w:val="32"/>
          <w:szCs w:val="32"/>
        </w:rPr>
        <w:t>4</w:t>
      </w:r>
      <w:r>
        <w:rPr>
          <w:rFonts w:hint="eastAsia" w:ascii="Times New Roman" w:hAnsi="Times New Roman" w:eastAsia="方正仿宋_GBK"/>
          <w:b/>
          <w:sz w:val="32"/>
          <w:szCs w:val="32"/>
        </w:rPr>
        <w:t>、基本支出：</w:t>
      </w:r>
      <w:r>
        <w:rPr>
          <w:rFonts w:hint="eastAsia" w:ascii="仿宋_GB2312" w:hAnsi="Times New Roman" w:eastAsia="仿宋_GB2312"/>
          <w:sz w:val="32"/>
          <w:szCs w:val="32"/>
        </w:rPr>
        <w:t>指为保障机构正常运转、完成日常工作任务而发生的人员支出和公用支出。</w:t>
      </w:r>
    </w:p>
    <w:p>
      <w:pPr>
        <w:autoSpaceDE w:val="0"/>
        <w:autoSpaceDN w:val="0"/>
        <w:adjustRightInd w:val="0"/>
        <w:ind w:left="198" w:firstLine="640" w:firstLineChars="200"/>
        <w:jc w:val="left"/>
        <w:rPr>
          <w:rFonts w:ascii="仿宋_GB2312" w:hAnsi="Times New Roman" w:eastAsia="仿宋_GB2312"/>
          <w:sz w:val="32"/>
          <w:szCs w:val="32"/>
        </w:rPr>
      </w:pPr>
      <w:r>
        <w:rPr>
          <w:rFonts w:ascii="Times New Roman" w:hAnsi="Times New Roman" w:eastAsia="方正仿宋_GBK"/>
          <w:b/>
          <w:sz w:val="32"/>
          <w:szCs w:val="32"/>
        </w:rPr>
        <w:t>5</w:t>
      </w:r>
      <w:r>
        <w:rPr>
          <w:rFonts w:hint="eastAsia" w:ascii="Times New Roman" w:hAnsi="Times New Roman" w:eastAsia="方正仿宋_GBK"/>
          <w:b/>
          <w:sz w:val="32"/>
          <w:szCs w:val="32"/>
        </w:rPr>
        <w:t>、项目支出：</w:t>
      </w:r>
      <w:r>
        <w:rPr>
          <w:rFonts w:hint="eastAsia" w:ascii="仿宋_GB2312" w:hAnsi="Times New Roman" w:eastAsia="仿宋_GB2312"/>
          <w:sz w:val="32"/>
          <w:szCs w:val="32"/>
        </w:rPr>
        <w:t>指在基本支出之外为完成特定行政任务和事业发展目标所发生的支出。</w:t>
      </w:r>
    </w:p>
    <w:p>
      <w:pPr>
        <w:autoSpaceDE w:val="0"/>
        <w:autoSpaceDN w:val="0"/>
        <w:adjustRightInd w:val="0"/>
        <w:ind w:left="198" w:firstLine="640" w:firstLineChars="200"/>
        <w:jc w:val="left"/>
        <w:rPr>
          <w:rFonts w:ascii="仿宋_GB2312" w:hAnsi="Times New Roman" w:eastAsia="仿宋_GB2312"/>
          <w:sz w:val="32"/>
          <w:szCs w:val="32"/>
        </w:rPr>
      </w:pPr>
      <w:r>
        <w:rPr>
          <w:rFonts w:ascii="Times New Roman" w:hAnsi="Times New Roman" w:eastAsia="方正仿宋_GBK"/>
          <w:b/>
          <w:sz w:val="32"/>
          <w:szCs w:val="32"/>
        </w:rPr>
        <w:t>6</w:t>
      </w:r>
      <w:r>
        <w:rPr>
          <w:rFonts w:hint="eastAsia" w:ascii="Times New Roman" w:hAnsi="Times New Roman" w:eastAsia="方正仿宋_GBK"/>
          <w:b/>
          <w:sz w:val="32"/>
          <w:szCs w:val="32"/>
        </w:rPr>
        <w:t>、</w:t>
      </w:r>
      <w:r>
        <w:rPr>
          <w:rFonts w:ascii="Times New Roman" w:hAnsi="Times New Roman" w:eastAsia="方正仿宋_GBK"/>
          <w:b/>
          <w:sz w:val="32"/>
          <w:szCs w:val="32"/>
        </w:rPr>
        <w:t>“</w:t>
      </w:r>
      <w:r>
        <w:rPr>
          <w:rFonts w:hint="eastAsia" w:ascii="Times New Roman" w:hAnsi="Times New Roman" w:eastAsia="方正仿宋_GBK"/>
          <w:b/>
          <w:sz w:val="32"/>
          <w:szCs w:val="32"/>
        </w:rPr>
        <w:t>三公</w:t>
      </w:r>
      <w:r>
        <w:rPr>
          <w:rFonts w:ascii="Times New Roman" w:hAnsi="Times New Roman" w:eastAsia="方正仿宋_GBK"/>
          <w:b/>
          <w:sz w:val="32"/>
          <w:szCs w:val="32"/>
        </w:rPr>
        <w:t>”</w:t>
      </w:r>
      <w:r>
        <w:rPr>
          <w:rFonts w:hint="eastAsia" w:ascii="Times New Roman" w:hAnsi="Times New Roman" w:eastAsia="方正仿宋_GBK"/>
          <w:b/>
          <w:sz w:val="32"/>
          <w:szCs w:val="32"/>
        </w:rPr>
        <w:t>经费：</w:t>
      </w:r>
      <w:r>
        <w:rPr>
          <w:rFonts w:hint="eastAsia" w:ascii="仿宋_GB2312" w:hAnsi="Times New Roman" w:eastAsia="仿宋_GB2312"/>
          <w:sz w:val="32"/>
          <w:szCs w:val="32"/>
        </w:rPr>
        <w:t>纳入县级财政预算管理的</w:t>
      </w:r>
      <w:r>
        <w:rPr>
          <w:rFonts w:ascii="仿宋_GB2312" w:hAnsi="Times New Roman" w:eastAsia="仿宋_GB2312"/>
          <w:sz w:val="32"/>
          <w:szCs w:val="32"/>
        </w:rPr>
        <w:t>“</w:t>
      </w:r>
      <w:r>
        <w:rPr>
          <w:rFonts w:hint="eastAsia" w:ascii="仿宋_GB2312" w:hAnsi="Times New Roman" w:eastAsia="仿宋_GB2312"/>
          <w:sz w:val="32"/>
          <w:szCs w:val="32"/>
        </w:rPr>
        <w:t>三公</w:t>
      </w:r>
      <w:r>
        <w:rPr>
          <w:rFonts w:ascii="仿宋_GB2312" w:hAnsi="Times New Roman" w:eastAsia="仿宋_GB2312"/>
          <w:sz w:val="32"/>
          <w:szCs w:val="32"/>
        </w:rPr>
        <w:t>”</w:t>
      </w:r>
      <w:r>
        <w:rPr>
          <w:rFonts w:hint="eastAsia" w:ascii="仿宋_GB2312" w:hAnsi="Times New Roman" w:eastAsia="仿宋_GB2312"/>
          <w:sz w:val="32"/>
          <w:szCs w:val="32"/>
        </w:rPr>
        <w:t>经费，是指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pPr>
        <w:autoSpaceDE w:val="0"/>
        <w:autoSpaceDN w:val="0"/>
        <w:adjustRightInd w:val="0"/>
        <w:ind w:left="198" w:firstLine="640" w:firstLineChars="200"/>
        <w:jc w:val="left"/>
        <w:rPr>
          <w:rFonts w:ascii="仿宋_GB2312" w:hAnsi="Times New Roman" w:eastAsia="仿宋_GB2312"/>
          <w:sz w:val="32"/>
          <w:szCs w:val="32"/>
        </w:rPr>
      </w:pPr>
      <w:r>
        <w:rPr>
          <w:rFonts w:ascii="Times New Roman" w:hAnsi="Times New Roman" w:eastAsia="方正仿宋_GBK"/>
          <w:b/>
          <w:sz w:val="32"/>
          <w:szCs w:val="32"/>
        </w:rPr>
        <w:t>7</w:t>
      </w:r>
      <w:r>
        <w:rPr>
          <w:rFonts w:hint="eastAsia" w:ascii="Times New Roman" w:hAnsi="Times New Roman" w:eastAsia="方正仿宋_GBK"/>
          <w:b/>
          <w:sz w:val="32"/>
          <w:szCs w:val="32"/>
        </w:rPr>
        <w:t>、机关运行费：</w:t>
      </w:r>
      <w:r>
        <w:rPr>
          <w:rFonts w:hint="eastAsia" w:ascii="仿宋_GB2312" w:hAnsi="Times New Roman" w:eastAsia="仿宋_GB2312"/>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autoSpaceDE w:val="0"/>
        <w:autoSpaceDN w:val="0"/>
        <w:adjustRightInd w:val="0"/>
        <w:ind w:left="198" w:firstLine="640" w:firstLineChars="200"/>
        <w:jc w:val="left"/>
        <w:rPr>
          <w:rFonts w:ascii="仿宋_GB2312" w:hAnsi="Times New Roman" w:eastAsia="仿宋_GB2312"/>
          <w:sz w:val="32"/>
          <w:szCs w:val="32"/>
        </w:rPr>
      </w:pPr>
      <w:r>
        <w:rPr>
          <w:rFonts w:ascii="Times New Roman" w:hAnsi="Times New Roman" w:eastAsia="方正仿宋_GBK"/>
          <w:b/>
          <w:sz w:val="32"/>
          <w:szCs w:val="32"/>
        </w:rPr>
        <w:t>8</w:t>
      </w:r>
      <w:r>
        <w:rPr>
          <w:rFonts w:hint="eastAsia" w:ascii="Times New Roman" w:hAnsi="Times New Roman" w:eastAsia="方正仿宋_GBK"/>
          <w:b/>
          <w:sz w:val="32"/>
          <w:szCs w:val="32"/>
        </w:rPr>
        <w:t>、上年结转：</w:t>
      </w:r>
      <w:r>
        <w:rPr>
          <w:rFonts w:hint="eastAsia" w:ascii="仿宋_GB2312" w:hAnsi="Times New Roman" w:eastAsia="仿宋_GB2312"/>
          <w:sz w:val="32"/>
          <w:szCs w:val="32"/>
        </w:rPr>
        <w:t>指以前年度尚未完成、结转到本年仍按原规定用途继续使用的资金。</w:t>
      </w:r>
    </w:p>
    <w:p>
      <w:pPr>
        <w:autoSpaceDE w:val="0"/>
        <w:autoSpaceDN w:val="0"/>
        <w:adjustRightInd w:val="0"/>
        <w:ind w:left="198" w:firstLine="640" w:firstLineChars="200"/>
        <w:jc w:val="left"/>
        <w:rPr>
          <w:rFonts w:ascii="仿宋_GB2312" w:hAnsi="Times New Roman" w:eastAsia="仿宋_GB2312"/>
          <w:sz w:val="32"/>
          <w:szCs w:val="32"/>
        </w:rPr>
      </w:pPr>
      <w:r>
        <w:rPr>
          <w:rFonts w:ascii="Times New Roman" w:hAnsi="Times New Roman" w:eastAsia="方正仿宋_GBK"/>
          <w:b/>
          <w:sz w:val="32"/>
          <w:szCs w:val="32"/>
        </w:rPr>
        <w:t>9</w:t>
      </w:r>
      <w:r>
        <w:rPr>
          <w:rFonts w:hint="eastAsia" w:ascii="Times New Roman" w:hAnsi="Times New Roman" w:eastAsia="方正仿宋_GBK"/>
          <w:b/>
          <w:sz w:val="32"/>
          <w:szCs w:val="32"/>
        </w:rPr>
        <w:t>、事业单位经营支出：</w:t>
      </w:r>
      <w:r>
        <w:rPr>
          <w:rFonts w:hint="eastAsia" w:ascii="仿宋_GB2312" w:hAnsi="Times New Roman" w:eastAsia="仿宋_GB2312"/>
          <w:sz w:val="32"/>
          <w:szCs w:val="32"/>
        </w:rPr>
        <w:t>指事业单位在专业业务活动及其辅助活动之外开展非独立核算经营活动发生的支出。</w:t>
      </w:r>
    </w:p>
    <w:p>
      <w:pPr>
        <w:autoSpaceDE w:val="0"/>
        <w:autoSpaceDN w:val="0"/>
        <w:adjustRightInd w:val="0"/>
        <w:ind w:left="198" w:firstLine="643" w:firstLineChars="200"/>
        <w:jc w:val="left"/>
        <w:rPr>
          <w:rFonts w:ascii="黑体" w:hAnsi="黑体" w:eastAsia="黑体"/>
          <w:b/>
          <w:sz w:val="32"/>
          <w:szCs w:val="32"/>
        </w:rPr>
      </w:pPr>
      <w:r>
        <w:rPr>
          <w:rFonts w:hint="eastAsia" w:ascii="黑体" w:hAnsi="黑体" w:eastAsia="黑体"/>
          <w:b/>
          <w:sz w:val="32"/>
          <w:szCs w:val="32"/>
        </w:rPr>
        <w:t>九、其他需要说明的事项</w:t>
      </w:r>
    </w:p>
    <w:p>
      <w:pPr>
        <w:ind w:firstLine="800" w:firstLineChars="250"/>
        <w:rPr>
          <w:rFonts w:ascii="仿宋_GB2312" w:hAnsi="Times New Roman" w:eastAsia="仿宋_GB2312"/>
          <w:sz w:val="32"/>
          <w:szCs w:val="32"/>
        </w:rPr>
      </w:pPr>
      <w:r>
        <w:rPr>
          <w:rFonts w:hint="eastAsia" w:ascii="仿宋_GB2312" w:hAnsi="Times New Roman" w:eastAsia="仿宋_GB2312"/>
          <w:sz w:val="32"/>
          <w:szCs w:val="32"/>
        </w:rPr>
        <w:t>我部门无其他需要说明的事项。</w:t>
      </w:r>
    </w:p>
    <w:sectPr>
      <w:headerReference r:id="rId3" w:type="default"/>
      <w:footerReference r:id="rId4" w:type="default"/>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方正仿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方正书宋_GBK">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t>-</w:t>
    </w:r>
    <w:r>
      <w:fldChar w:fldCharType="begin"/>
    </w:r>
    <w:r>
      <w:instrText xml:space="preserve">PAGE   \* MERGEFORMAT</w:instrText>
    </w:r>
    <w:r>
      <w:fldChar w:fldCharType="separate"/>
    </w:r>
    <w:r>
      <w:rPr>
        <w:lang w:val="zh-CN"/>
      </w:rPr>
      <w:t>11</w:t>
    </w:r>
    <w:r>
      <w:rPr>
        <w:lang w:val="zh-CN"/>
      </w:rPr>
      <w:fldChar w:fldCharType="end"/>
    </w:r>
    <w:r>
      <w:t>-</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ZlMDQzZjY2MjFlMGE0ZDYwZDc4NjBjNTBkNGEwNTEifQ=="/>
  </w:docVars>
  <w:rsids>
    <w:rsidRoot w:val="00F66032"/>
    <w:rsid w:val="000053CC"/>
    <w:rsid w:val="00037AF6"/>
    <w:rsid w:val="0004565F"/>
    <w:rsid w:val="00072187"/>
    <w:rsid w:val="00075D5F"/>
    <w:rsid w:val="000A7850"/>
    <w:rsid w:val="000B529B"/>
    <w:rsid w:val="000C24E6"/>
    <w:rsid w:val="000C3A19"/>
    <w:rsid w:val="000D5C0F"/>
    <w:rsid w:val="000E60CF"/>
    <w:rsid w:val="001245BB"/>
    <w:rsid w:val="001251A3"/>
    <w:rsid w:val="00146B0C"/>
    <w:rsid w:val="001643E8"/>
    <w:rsid w:val="00174E88"/>
    <w:rsid w:val="001919C4"/>
    <w:rsid w:val="00194567"/>
    <w:rsid w:val="0019723B"/>
    <w:rsid w:val="001E0757"/>
    <w:rsid w:val="001E6DDC"/>
    <w:rsid w:val="001F7873"/>
    <w:rsid w:val="00241FD4"/>
    <w:rsid w:val="00251B12"/>
    <w:rsid w:val="00264A73"/>
    <w:rsid w:val="00265318"/>
    <w:rsid w:val="002835D7"/>
    <w:rsid w:val="00290FD6"/>
    <w:rsid w:val="00296113"/>
    <w:rsid w:val="002A673A"/>
    <w:rsid w:val="002C5E13"/>
    <w:rsid w:val="002C62BC"/>
    <w:rsid w:val="002D2A3F"/>
    <w:rsid w:val="002E0EB8"/>
    <w:rsid w:val="002F3E58"/>
    <w:rsid w:val="00303ECD"/>
    <w:rsid w:val="0030542C"/>
    <w:rsid w:val="00311B7A"/>
    <w:rsid w:val="00313D9C"/>
    <w:rsid w:val="00330369"/>
    <w:rsid w:val="003311B0"/>
    <w:rsid w:val="00345A6D"/>
    <w:rsid w:val="00387F84"/>
    <w:rsid w:val="003F204D"/>
    <w:rsid w:val="00424943"/>
    <w:rsid w:val="00426D8F"/>
    <w:rsid w:val="0042727E"/>
    <w:rsid w:val="0043175C"/>
    <w:rsid w:val="00437296"/>
    <w:rsid w:val="00451590"/>
    <w:rsid w:val="00451871"/>
    <w:rsid w:val="004618FE"/>
    <w:rsid w:val="004706DE"/>
    <w:rsid w:val="00472923"/>
    <w:rsid w:val="00486DCD"/>
    <w:rsid w:val="004B0C3A"/>
    <w:rsid w:val="004B1FB1"/>
    <w:rsid w:val="004C49A8"/>
    <w:rsid w:val="004D5788"/>
    <w:rsid w:val="004E3066"/>
    <w:rsid w:val="004E419C"/>
    <w:rsid w:val="004E74CD"/>
    <w:rsid w:val="00524EFD"/>
    <w:rsid w:val="00550E98"/>
    <w:rsid w:val="00560185"/>
    <w:rsid w:val="00572067"/>
    <w:rsid w:val="00573562"/>
    <w:rsid w:val="00590ECE"/>
    <w:rsid w:val="005D758D"/>
    <w:rsid w:val="005F5714"/>
    <w:rsid w:val="00600A07"/>
    <w:rsid w:val="00611D03"/>
    <w:rsid w:val="00614A29"/>
    <w:rsid w:val="00673D76"/>
    <w:rsid w:val="006854F0"/>
    <w:rsid w:val="006920B9"/>
    <w:rsid w:val="006B1C4A"/>
    <w:rsid w:val="006B610D"/>
    <w:rsid w:val="006B617B"/>
    <w:rsid w:val="006E49F5"/>
    <w:rsid w:val="00700CD6"/>
    <w:rsid w:val="007013C8"/>
    <w:rsid w:val="00753836"/>
    <w:rsid w:val="0075393C"/>
    <w:rsid w:val="00754592"/>
    <w:rsid w:val="00756E2A"/>
    <w:rsid w:val="00776C08"/>
    <w:rsid w:val="007C219A"/>
    <w:rsid w:val="007E1DA8"/>
    <w:rsid w:val="007F6C26"/>
    <w:rsid w:val="008023CF"/>
    <w:rsid w:val="00813208"/>
    <w:rsid w:val="00817533"/>
    <w:rsid w:val="008334AE"/>
    <w:rsid w:val="00836FED"/>
    <w:rsid w:val="0083724E"/>
    <w:rsid w:val="00841D53"/>
    <w:rsid w:val="00845CD2"/>
    <w:rsid w:val="00852B0D"/>
    <w:rsid w:val="00864B7F"/>
    <w:rsid w:val="00871B21"/>
    <w:rsid w:val="00881692"/>
    <w:rsid w:val="008A6576"/>
    <w:rsid w:val="008B3CC5"/>
    <w:rsid w:val="008B52CD"/>
    <w:rsid w:val="008C3946"/>
    <w:rsid w:val="008C7C4D"/>
    <w:rsid w:val="008E4261"/>
    <w:rsid w:val="008E70D4"/>
    <w:rsid w:val="008F4662"/>
    <w:rsid w:val="00904BF5"/>
    <w:rsid w:val="00905D08"/>
    <w:rsid w:val="00925753"/>
    <w:rsid w:val="009425F4"/>
    <w:rsid w:val="00943BD8"/>
    <w:rsid w:val="00954B2C"/>
    <w:rsid w:val="00966C5C"/>
    <w:rsid w:val="00973104"/>
    <w:rsid w:val="00995BF0"/>
    <w:rsid w:val="009A16D5"/>
    <w:rsid w:val="009A353D"/>
    <w:rsid w:val="009A3E93"/>
    <w:rsid w:val="009B0B77"/>
    <w:rsid w:val="009B511E"/>
    <w:rsid w:val="009C7AF0"/>
    <w:rsid w:val="009D37D3"/>
    <w:rsid w:val="00A16E6C"/>
    <w:rsid w:val="00A35990"/>
    <w:rsid w:val="00A40F60"/>
    <w:rsid w:val="00A44E3D"/>
    <w:rsid w:val="00A72D2E"/>
    <w:rsid w:val="00A74447"/>
    <w:rsid w:val="00A74CE5"/>
    <w:rsid w:val="00A77500"/>
    <w:rsid w:val="00A911E7"/>
    <w:rsid w:val="00A939D9"/>
    <w:rsid w:val="00AD5259"/>
    <w:rsid w:val="00B01D36"/>
    <w:rsid w:val="00B078CD"/>
    <w:rsid w:val="00B20712"/>
    <w:rsid w:val="00B22E62"/>
    <w:rsid w:val="00B3715A"/>
    <w:rsid w:val="00B43238"/>
    <w:rsid w:val="00B45DD3"/>
    <w:rsid w:val="00B73582"/>
    <w:rsid w:val="00B75216"/>
    <w:rsid w:val="00B755A2"/>
    <w:rsid w:val="00B9104C"/>
    <w:rsid w:val="00B91D52"/>
    <w:rsid w:val="00B9490F"/>
    <w:rsid w:val="00B9621B"/>
    <w:rsid w:val="00BA1ACD"/>
    <w:rsid w:val="00BD09F8"/>
    <w:rsid w:val="00C005B2"/>
    <w:rsid w:val="00C11E80"/>
    <w:rsid w:val="00C16E45"/>
    <w:rsid w:val="00C420CD"/>
    <w:rsid w:val="00CA7176"/>
    <w:rsid w:val="00CC378F"/>
    <w:rsid w:val="00CC75B0"/>
    <w:rsid w:val="00CD2773"/>
    <w:rsid w:val="00CE01BA"/>
    <w:rsid w:val="00CE143B"/>
    <w:rsid w:val="00D07DBA"/>
    <w:rsid w:val="00D27003"/>
    <w:rsid w:val="00D73012"/>
    <w:rsid w:val="00D86BFE"/>
    <w:rsid w:val="00D9307A"/>
    <w:rsid w:val="00DC5A93"/>
    <w:rsid w:val="00DF70C7"/>
    <w:rsid w:val="00E167C7"/>
    <w:rsid w:val="00E55B78"/>
    <w:rsid w:val="00E62F28"/>
    <w:rsid w:val="00E73D0E"/>
    <w:rsid w:val="00E76361"/>
    <w:rsid w:val="00EC47F6"/>
    <w:rsid w:val="00EE69FB"/>
    <w:rsid w:val="00EF08C9"/>
    <w:rsid w:val="00EF535E"/>
    <w:rsid w:val="00F14A62"/>
    <w:rsid w:val="00F471F7"/>
    <w:rsid w:val="00F66032"/>
    <w:rsid w:val="00F7711E"/>
    <w:rsid w:val="00F83B96"/>
    <w:rsid w:val="00F8441D"/>
    <w:rsid w:val="00F87C1E"/>
    <w:rsid w:val="00F958C2"/>
    <w:rsid w:val="00FA740E"/>
    <w:rsid w:val="00FC06C7"/>
    <w:rsid w:val="00FD5DB4"/>
    <w:rsid w:val="00FE1724"/>
    <w:rsid w:val="00FE5661"/>
    <w:rsid w:val="00FF06EB"/>
    <w:rsid w:val="087924D8"/>
    <w:rsid w:val="0A2023C6"/>
    <w:rsid w:val="0B331B7E"/>
    <w:rsid w:val="0C044491"/>
    <w:rsid w:val="0C4D3696"/>
    <w:rsid w:val="0DB32BBD"/>
    <w:rsid w:val="0FB56335"/>
    <w:rsid w:val="11C37B1A"/>
    <w:rsid w:val="1FC1447C"/>
    <w:rsid w:val="21613782"/>
    <w:rsid w:val="31907403"/>
    <w:rsid w:val="31E15395"/>
    <w:rsid w:val="33233158"/>
    <w:rsid w:val="3473676B"/>
    <w:rsid w:val="38781EB8"/>
    <w:rsid w:val="3A215592"/>
    <w:rsid w:val="3A3E4EBC"/>
    <w:rsid w:val="43274E58"/>
    <w:rsid w:val="45FE5EEA"/>
    <w:rsid w:val="4A657D63"/>
    <w:rsid w:val="4FDE5BFA"/>
    <w:rsid w:val="53071741"/>
    <w:rsid w:val="56733828"/>
    <w:rsid w:val="5D5A3361"/>
    <w:rsid w:val="5D9B39A6"/>
    <w:rsid w:val="60315DEE"/>
    <w:rsid w:val="62AC6848"/>
    <w:rsid w:val="63756E47"/>
    <w:rsid w:val="64FF07E7"/>
    <w:rsid w:val="66047C9F"/>
    <w:rsid w:val="69C822D4"/>
    <w:rsid w:val="6FA90EE9"/>
    <w:rsid w:val="71051481"/>
    <w:rsid w:val="7E242906"/>
    <w:rsid w:val="7FD70BB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autoRedefine/>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99"/>
    <w:rPr>
      <w:sz w:val="18"/>
      <w:szCs w:val="18"/>
    </w:rPr>
  </w:style>
  <w:style w:type="paragraph" w:styleId="3">
    <w:name w:val="footer"/>
    <w:basedOn w:val="1"/>
    <w:link w:val="13"/>
    <w:qFormat/>
    <w:uiPriority w:val="99"/>
    <w:pPr>
      <w:tabs>
        <w:tab w:val="center" w:pos="4153"/>
        <w:tab w:val="right" w:pos="8306"/>
      </w:tabs>
      <w:snapToGrid w:val="0"/>
      <w:jc w:val="left"/>
    </w:pPr>
    <w:rPr>
      <w:rFonts w:ascii="Times New Roman" w:hAnsi="Times New Roman"/>
      <w:sz w:val="18"/>
      <w:szCs w:val="18"/>
    </w:rPr>
  </w:style>
  <w:style w:type="paragraph" w:styleId="4">
    <w:name w:val="header"/>
    <w:basedOn w:val="1"/>
    <w:link w:val="14"/>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5">
    <w:name w:val="toc 1"/>
    <w:basedOn w:val="1"/>
    <w:next w:val="1"/>
    <w:qFormat/>
    <w:uiPriority w:val="99"/>
    <w:rPr>
      <w:rFonts w:ascii="Times New Roman" w:hAnsi="Times New Roman"/>
      <w:szCs w:val="24"/>
    </w:rPr>
  </w:style>
  <w:style w:type="paragraph" w:styleId="6">
    <w:name w:val="footnote text"/>
    <w:basedOn w:val="1"/>
    <w:link w:val="15"/>
    <w:qFormat/>
    <w:uiPriority w:val="99"/>
    <w:pPr>
      <w:snapToGrid w:val="0"/>
      <w:jc w:val="left"/>
    </w:pPr>
    <w:rPr>
      <w:sz w:val="18"/>
      <w:szCs w:val="18"/>
    </w:rPr>
  </w:style>
  <w:style w:type="paragraph" w:styleId="7">
    <w:name w:val="toc 2"/>
    <w:basedOn w:val="1"/>
    <w:next w:val="1"/>
    <w:qFormat/>
    <w:uiPriority w:val="99"/>
    <w:pPr>
      <w:ind w:left="420" w:leftChars="200"/>
    </w:pPr>
    <w:rPr>
      <w:rFonts w:ascii="Times New Roman" w:hAnsi="Times New Roman"/>
      <w:szCs w:val="24"/>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11">
    <w:name w:val="footnote reference"/>
    <w:qFormat/>
    <w:uiPriority w:val="99"/>
    <w:rPr>
      <w:rFonts w:cs="Times New Roman"/>
      <w:vertAlign w:val="superscript"/>
    </w:rPr>
  </w:style>
  <w:style w:type="character" w:customStyle="1" w:styleId="12">
    <w:name w:val="批注框文本 Char"/>
    <w:link w:val="2"/>
    <w:semiHidden/>
    <w:qFormat/>
    <w:locked/>
    <w:uiPriority w:val="99"/>
    <w:rPr>
      <w:rFonts w:cs="Times New Roman"/>
      <w:sz w:val="18"/>
      <w:szCs w:val="18"/>
    </w:rPr>
  </w:style>
  <w:style w:type="character" w:customStyle="1" w:styleId="13">
    <w:name w:val="页脚 Char"/>
    <w:link w:val="3"/>
    <w:qFormat/>
    <w:locked/>
    <w:uiPriority w:val="99"/>
    <w:rPr>
      <w:rFonts w:ascii="Times New Roman" w:hAnsi="Times New Roman" w:eastAsia="宋体" w:cs="Times New Roman"/>
      <w:sz w:val="18"/>
      <w:szCs w:val="18"/>
    </w:rPr>
  </w:style>
  <w:style w:type="character" w:customStyle="1" w:styleId="14">
    <w:name w:val="页眉 Char"/>
    <w:link w:val="4"/>
    <w:qFormat/>
    <w:locked/>
    <w:uiPriority w:val="99"/>
    <w:rPr>
      <w:rFonts w:ascii="Times New Roman" w:hAnsi="Times New Roman" w:eastAsia="宋体" w:cs="Times New Roman"/>
      <w:sz w:val="18"/>
      <w:szCs w:val="18"/>
    </w:rPr>
  </w:style>
  <w:style w:type="character" w:customStyle="1" w:styleId="15">
    <w:name w:val="脚注文本 Char"/>
    <w:link w:val="6"/>
    <w:semiHidden/>
    <w:qFormat/>
    <w:locked/>
    <w:uiPriority w:val="99"/>
    <w:rPr>
      <w:rFonts w:ascii="Calibri" w:hAnsi="Calibri" w:eastAsia="宋体" w:cs="Times New Roman"/>
      <w:sz w:val="18"/>
      <w:szCs w:val="18"/>
    </w:rPr>
  </w:style>
  <w:style w:type="paragraph" w:customStyle="1" w:styleId="16">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13</Pages>
  <Words>815</Words>
  <Characters>4648</Characters>
  <Lines>38</Lines>
  <Paragraphs>10</Paragraphs>
  <TotalTime>1</TotalTime>
  <ScaleCrop>false</ScaleCrop>
  <LinksUpToDate>false</LinksUpToDate>
  <CharactersWithSpaces>5453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2018-01-30T08:48:00Z</dcterms:created>
  <dc:creator>guest</dc:creator>
  <cp:lastModifiedBy>Sally</cp:lastModifiedBy>
  <cp:lastPrinted>2018-01-30T06:12:00Z</cp:lastPrinted>
  <dcterms:modified xsi:type="dcterms:W3CDTF">2024-01-26T09:18:51Z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B3F6BEDDA91F498790E007CDC6649D07_12</vt:lpwstr>
  </property>
</Properties>
</file>