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hAnsi="宋体"/>
          <w:b/>
          <w:sz w:val="44"/>
        </w:rPr>
      </w:pPr>
      <w:r>
        <w:rPr>
          <w:rFonts w:hint="eastAsia" w:ascii="黑体" w:eastAsia="黑体"/>
          <w:b/>
          <w:sz w:val="44"/>
        </w:rPr>
        <w:t>2021年</w:t>
      </w:r>
      <w:r>
        <w:rPr>
          <w:rFonts w:hint="eastAsia" w:ascii="黑体" w:eastAsia="黑体"/>
          <w:b/>
          <w:sz w:val="44"/>
          <w:lang w:val="en-US" w:eastAsia="zh-CN"/>
        </w:rPr>
        <w:t>单位</w:t>
      </w:r>
      <w:r>
        <w:rPr>
          <w:rFonts w:hint="eastAsia" w:ascii="黑体" w:eastAsia="黑体"/>
          <w:b/>
          <w:sz w:val="44"/>
        </w:rPr>
        <w:t>预算信息公开目录</w:t>
      </w:r>
    </w:p>
    <w:p>
      <w:pPr>
        <w:jc w:val="center"/>
        <w:rPr>
          <w:rFonts w:hAnsi="宋体"/>
          <w:b/>
          <w:sz w:val="30"/>
        </w:rPr>
      </w:pPr>
      <w:r>
        <w:rPr>
          <w:rFonts w:ascii="黑体" w:hAnsi="黑体" w:eastAsia="黑体"/>
          <w:b/>
          <w:sz w:val="30"/>
        </w:rPr>
        <w:t xml:space="preserve"> </w:t>
      </w:r>
    </w:p>
    <w:p>
      <w:pPr>
        <w:pStyle w:val="2"/>
        <w:tabs>
          <w:tab w:val="right" w:leader="dot" w:pos="14789"/>
        </w:tabs>
        <w:ind w:left="420" w:leftChars="200"/>
        <w:jc w:val="center"/>
        <w:rPr>
          <w:rStyle w:val="5"/>
          <w:rFonts w:eastAsia="方正仿宋_GBK"/>
          <w:color w:val="000000"/>
          <w:sz w:val="28"/>
          <w:u w:val="none"/>
        </w:rPr>
      </w:pPr>
      <w:r>
        <w:rPr>
          <w:color w:val="000000"/>
        </w:rPr>
        <w:fldChar w:fldCharType="begin"/>
      </w:r>
      <w:r>
        <w:rPr>
          <w:rStyle w:val="5"/>
          <w:color w:val="000000"/>
          <w:u w:val="none"/>
        </w:rPr>
        <w:instrText xml:space="preserve"> TOC \o "4-4" \h \z \u \t "-1" </w:instrText>
      </w:r>
      <w:r>
        <w:rPr>
          <w:color w:val="000000"/>
        </w:rPr>
        <w:fldChar w:fldCharType="separate"/>
      </w:r>
      <w:r>
        <w:rPr>
          <w:rFonts w:eastAsia="方正仿宋_GBK"/>
          <w:color w:val="000000"/>
          <w:sz w:val="28"/>
        </w:rPr>
        <w:fldChar w:fldCharType="begin"/>
      </w:r>
      <w:r>
        <w:rPr>
          <w:rStyle w:val="5"/>
          <w:rFonts w:eastAsia="方正仿宋_GBK"/>
          <w:color w:val="000000"/>
          <w:sz w:val="28"/>
          <w:u w:val="none"/>
        </w:rPr>
        <w:instrText xml:space="preserve"> HYPERLINK \l "_Toc66097504" </w:instrText>
      </w:r>
      <w:r>
        <w:rPr>
          <w:rFonts w:eastAsia="方正仿宋_GBK"/>
          <w:color w:val="000000"/>
          <w:sz w:val="28"/>
        </w:rPr>
        <w:fldChar w:fldCharType="separate"/>
      </w:r>
      <w:r>
        <w:rPr>
          <w:rStyle w:val="5"/>
          <w:rFonts w:hint="eastAsia" w:eastAsia="方正仿宋_GBK"/>
          <w:color w:val="000000"/>
          <w:sz w:val="28"/>
          <w:u w:val="none"/>
        </w:rPr>
        <w:t>一、</w:t>
      </w:r>
      <w:r>
        <w:rPr>
          <w:rStyle w:val="5"/>
          <w:rFonts w:hint="eastAsia" w:eastAsia="方正仿宋_GBK"/>
          <w:color w:val="000000"/>
          <w:sz w:val="28"/>
          <w:u w:val="none"/>
          <w:lang w:val="en-US" w:eastAsia="zh-CN"/>
        </w:rPr>
        <w:t>馆陶县气象局机关</w:t>
      </w:r>
      <w:r>
        <w:rPr>
          <w:rStyle w:val="5"/>
          <w:rFonts w:hint="eastAsia" w:eastAsia="方正仿宋_GBK"/>
          <w:color w:val="000000"/>
          <w:sz w:val="28"/>
          <w:u w:val="none"/>
        </w:rPr>
        <w:t>收支预算</w:t>
      </w:r>
      <w:r>
        <w:rPr>
          <w:rStyle w:val="5"/>
          <w:rFonts w:eastAsia="方正仿宋_GBK"/>
          <w:color w:val="000000"/>
          <w:sz w:val="28"/>
          <w:u w:val="none"/>
        </w:rPr>
        <w:tab/>
      </w:r>
      <w:r>
        <w:rPr>
          <w:rFonts w:eastAsia="方正仿宋_GBK"/>
          <w:color w:val="000000"/>
          <w:sz w:val="28"/>
        </w:rPr>
        <w:fldChar w:fldCharType="begin"/>
      </w:r>
      <w:r>
        <w:rPr>
          <w:rStyle w:val="5"/>
          <w:rFonts w:eastAsia="方正仿宋_GBK"/>
          <w:color w:val="000000"/>
          <w:sz w:val="28"/>
          <w:u w:val="none"/>
        </w:rPr>
        <w:instrText xml:space="preserve"> PAGEREF _Toc66097504 \h </w:instrText>
      </w:r>
      <w:r>
        <w:rPr>
          <w:rFonts w:eastAsia="方正仿宋_GBK"/>
          <w:color w:val="000000"/>
          <w:sz w:val="28"/>
        </w:rPr>
        <w:fldChar w:fldCharType="separate"/>
      </w:r>
      <w:r>
        <w:rPr>
          <w:rStyle w:val="5"/>
          <w:rFonts w:eastAsia="方正仿宋_GBK"/>
          <w:color w:val="000000"/>
          <w:sz w:val="28"/>
          <w:u w:val="none"/>
        </w:rPr>
        <w:t>1</w:t>
      </w:r>
      <w:r>
        <w:rPr>
          <w:rFonts w:eastAsia="方正仿宋_GBK"/>
          <w:color w:val="000000"/>
          <w:sz w:val="28"/>
        </w:rPr>
        <w:fldChar w:fldCharType="end"/>
      </w:r>
      <w:r>
        <w:rPr>
          <w:rFonts w:eastAsia="方正仿宋_GBK"/>
          <w:color w:val="000000"/>
          <w:sz w:val="28"/>
        </w:rPr>
        <w:fldChar w:fldCharType="end"/>
      </w:r>
    </w:p>
    <w:p>
      <w:pPr>
        <w:rPr>
          <w:color w:val="000000"/>
        </w:rPr>
      </w:pPr>
      <w:r>
        <w:rPr>
          <w:color w:val="000000"/>
        </w:rPr>
        <w:fldChar w:fldCharType="end"/>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一、馆陶县气象局机关收支预算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416002馆陶县气象局机关</w:t>
            </w:r>
          </w:p>
        </w:tc>
        <w:tc>
          <w:tcPr>
            <w:tcW w:w="2126" w:type="dxa"/>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330000.00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330000.00</w:t>
            </w:r>
          </w:p>
        </w:tc>
        <w:tc>
          <w:tcPr>
            <w:tcW w:w="4535" w:type="dxa"/>
            <w:vAlign w:val="center"/>
          </w:tcPr>
          <w:p>
            <w:pPr>
              <w:pStyle w:val="13"/>
            </w:pPr>
            <w:r>
              <w:t>本年支出合计</w:t>
            </w:r>
          </w:p>
        </w:tc>
        <w:tc>
          <w:tcPr>
            <w:tcW w:w="2126" w:type="dxa"/>
            <w:vAlign w:val="center"/>
          </w:tcPr>
          <w:p>
            <w:pPr>
              <w:pStyle w:val="14"/>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330000.00</w:t>
            </w:r>
          </w:p>
        </w:tc>
        <w:tc>
          <w:tcPr>
            <w:tcW w:w="4535" w:type="dxa"/>
            <w:vAlign w:val="center"/>
          </w:tcPr>
          <w:p>
            <w:pPr>
              <w:pStyle w:val="13"/>
            </w:pPr>
            <w:r>
              <w:t>支出总计</w:t>
            </w:r>
          </w:p>
        </w:tc>
        <w:tc>
          <w:tcPr>
            <w:tcW w:w="2126" w:type="dxa"/>
            <w:vAlign w:val="center"/>
          </w:tcPr>
          <w:p>
            <w:pPr>
              <w:pStyle w:val="14"/>
            </w:pPr>
            <w:r>
              <w:t>330000.00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416002馆陶县气象局机关</w:t>
            </w:r>
          </w:p>
        </w:tc>
        <w:tc>
          <w:tcPr>
            <w:tcW w:w="3402"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330000.00</w:t>
            </w:r>
          </w:p>
        </w:tc>
        <w:tc>
          <w:tcPr>
            <w:tcW w:w="1134" w:type="dxa"/>
            <w:vAlign w:val="center"/>
          </w:tcPr>
          <w:p>
            <w:pPr>
              <w:pStyle w:val="14"/>
            </w:pPr>
            <w:r>
              <w:t>330000.00</w:t>
            </w:r>
          </w:p>
        </w:tc>
        <w:tc>
          <w:tcPr>
            <w:tcW w:w="1134" w:type="dxa"/>
            <w:vAlign w:val="center"/>
          </w:tcPr>
          <w:p>
            <w:pPr>
              <w:pStyle w:val="14"/>
            </w:pPr>
            <w:r>
              <w:t>330000.00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220</w:t>
            </w:r>
          </w:p>
        </w:tc>
        <w:tc>
          <w:tcPr>
            <w:tcW w:w="1559" w:type="dxa"/>
            <w:vAlign w:val="center"/>
          </w:tcPr>
          <w:p>
            <w:pPr>
              <w:pStyle w:val="11"/>
            </w:pPr>
            <w:r>
              <w:t>自然资源海洋气象等支出</w:t>
            </w:r>
          </w:p>
        </w:tc>
        <w:tc>
          <w:tcPr>
            <w:tcW w:w="1134" w:type="dxa"/>
            <w:vAlign w:val="center"/>
          </w:tcPr>
          <w:p>
            <w:pPr>
              <w:pStyle w:val="12"/>
            </w:pPr>
            <w:r>
              <w:t>330000.00</w:t>
            </w:r>
          </w:p>
        </w:tc>
        <w:tc>
          <w:tcPr>
            <w:tcW w:w="1134" w:type="dxa"/>
            <w:vAlign w:val="center"/>
          </w:tcPr>
          <w:p>
            <w:pPr>
              <w:pStyle w:val="12"/>
            </w:pPr>
            <w:r>
              <w:t>330000.00</w:t>
            </w:r>
          </w:p>
        </w:tc>
        <w:tc>
          <w:tcPr>
            <w:tcW w:w="1134" w:type="dxa"/>
            <w:vAlign w:val="center"/>
          </w:tcPr>
          <w:p>
            <w:pPr>
              <w:pStyle w:val="12"/>
            </w:pPr>
            <w:r>
              <w:t>330000.00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22005</w:t>
            </w:r>
          </w:p>
        </w:tc>
        <w:tc>
          <w:tcPr>
            <w:tcW w:w="1559" w:type="dxa"/>
            <w:vAlign w:val="center"/>
          </w:tcPr>
          <w:p>
            <w:pPr>
              <w:pStyle w:val="11"/>
            </w:pPr>
            <w:r>
              <w:t>气象事务</w:t>
            </w:r>
          </w:p>
        </w:tc>
        <w:tc>
          <w:tcPr>
            <w:tcW w:w="1134" w:type="dxa"/>
            <w:vAlign w:val="center"/>
          </w:tcPr>
          <w:p>
            <w:pPr>
              <w:pStyle w:val="12"/>
            </w:pPr>
            <w:r>
              <w:t>330000.00</w:t>
            </w:r>
          </w:p>
        </w:tc>
        <w:tc>
          <w:tcPr>
            <w:tcW w:w="1134" w:type="dxa"/>
            <w:vAlign w:val="center"/>
          </w:tcPr>
          <w:p>
            <w:pPr>
              <w:pStyle w:val="12"/>
            </w:pPr>
            <w:r>
              <w:t>330000.00</w:t>
            </w:r>
          </w:p>
        </w:tc>
        <w:tc>
          <w:tcPr>
            <w:tcW w:w="1134" w:type="dxa"/>
            <w:vAlign w:val="center"/>
          </w:tcPr>
          <w:p>
            <w:pPr>
              <w:pStyle w:val="12"/>
            </w:pPr>
            <w:r>
              <w:t>330000.00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2200501</w:t>
            </w:r>
          </w:p>
        </w:tc>
        <w:tc>
          <w:tcPr>
            <w:tcW w:w="1559" w:type="dxa"/>
            <w:vAlign w:val="center"/>
          </w:tcPr>
          <w:p>
            <w:pPr>
              <w:pStyle w:val="11"/>
            </w:pPr>
            <w:r>
              <w:t>行政运行</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2200504</w:t>
            </w:r>
          </w:p>
        </w:tc>
        <w:tc>
          <w:tcPr>
            <w:tcW w:w="1559" w:type="dxa"/>
            <w:vAlign w:val="center"/>
          </w:tcPr>
          <w:p>
            <w:pPr>
              <w:pStyle w:val="11"/>
            </w:pPr>
            <w:r>
              <w:t>气象事业机构</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2200599</w:t>
            </w:r>
          </w:p>
        </w:tc>
        <w:tc>
          <w:tcPr>
            <w:tcW w:w="1559" w:type="dxa"/>
            <w:vAlign w:val="center"/>
          </w:tcPr>
          <w:p>
            <w:pPr>
              <w:pStyle w:val="11"/>
            </w:pPr>
            <w:r>
              <w:t>其他气象事务支出</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2721"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330000.00</w:t>
            </w:r>
          </w:p>
        </w:tc>
        <w:tc>
          <w:tcPr>
            <w:tcW w:w="1361" w:type="dxa"/>
            <w:vAlign w:val="center"/>
          </w:tcPr>
          <w:p>
            <w:pPr>
              <w:pStyle w:val="14"/>
            </w:pPr>
          </w:p>
        </w:tc>
        <w:tc>
          <w:tcPr>
            <w:tcW w:w="1361" w:type="dxa"/>
            <w:vAlign w:val="center"/>
          </w:tcPr>
          <w:p>
            <w:pPr>
              <w:pStyle w:val="14"/>
            </w:pPr>
            <w:r>
              <w:t>330000.00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220</w:t>
            </w:r>
          </w:p>
        </w:tc>
        <w:tc>
          <w:tcPr>
            <w:tcW w:w="4535" w:type="dxa"/>
            <w:vAlign w:val="center"/>
          </w:tcPr>
          <w:p>
            <w:pPr>
              <w:pStyle w:val="11"/>
            </w:pPr>
            <w:r>
              <w:t>自然资源海洋气象等支出</w:t>
            </w:r>
          </w:p>
        </w:tc>
        <w:tc>
          <w:tcPr>
            <w:tcW w:w="1361" w:type="dxa"/>
            <w:vAlign w:val="center"/>
          </w:tcPr>
          <w:p>
            <w:pPr>
              <w:pStyle w:val="12"/>
            </w:pPr>
            <w:r>
              <w:t>330000.00</w:t>
            </w:r>
          </w:p>
        </w:tc>
        <w:tc>
          <w:tcPr>
            <w:tcW w:w="1361" w:type="dxa"/>
            <w:vAlign w:val="center"/>
          </w:tcPr>
          <w:p>
            <w:pPr>
              <w:pStyle w:val="12"/>
            </w:pPr>
          </w:p>
        </w:tc>
        <w:tc>
          <w:tcPr>
            <w:tcW w:w="1361" w:type="dxa"/>
            <w:vAlign w:val="center"/>
          </w:tcPr>
          <w:p>
            <w:pPr>
              <w:pStyle w:val="12"/>
            </w:pPr>
            <w:r>
              <w:t>330000.00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22005</w:t>
            </w:r>
          </w:p>
        </w:tc>
        <w:tc>
          <w:tcPr>
            <w:tcW w:w="4535" w:type="dxa"/>
            <w:vAlign w:val="center"/>
          </w:tcPr>
          <w:p>
            <w:pPr>
              <w:pStyle w:val="11"/>
            </w:pPr>
            <w:r>
              <w:t>气象事务</w:t>
            </w:r>
          </w:p>
        </w:tc>
        <w:tc>
          <w:tcPr>
            <w:tcW w:w="1361" w:type="dxa"/>
            <w:vAlign w:val="center"/>
          </w:tcPr>
          <w:p>
            <w:pPr>
              <w:pStyle w:val="12"/>
            </w:pPr>
            <w:r>
              <w:t>330000.00</w:t>
            </w:r>
          </w:p>
        </w:tc>
        <w:tc>
          <w:tcPr>
            <w:tcW w:w="1361" w:type="dxa"/>
            <w:vAlign w:val="center"/>
          </w:tcPr>
          <w:p>
            <w:pPr>
              <w:pStyle w:val="12"/>
            </w:pPr>
          </w:p>
        </w:tc>
        <w:tc>
          <w:tcPr>
            <w:tcW w:w="1361" w:type="dxa"/>
            <w:vAlign w:val="center"/>
          </w:tcPr>
          <w:p>
            <w:pPr>
              <w:pStyle w:val="12"/>
            </w:pPr>
            <w:r>
              <w:t>330000.00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2200501</w:t>
            </w:r>
          </w:p>
        </w:tc>
        <w:tc>
          <w:tcPr>
            <w:tcW w:w="4535" w:type="dxa"/>
            <w:vAlign w:val="center"/>
          </w:tcPr>
          <w:p>
            <w:pPr>
              <w:pStyle w:val="11"/>
            </w:pPr>
            <w:r>
              <w:t>行政运行</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2200504</w:t>
            </w:r>
          </w:p>
        </w:tc>
        <w:tc>
          <w:tcPr>
            <w:tcW w:w="4535" w:type="dxa"/>
            <w:vAlign w:val="center"/>
          </w:tcPr>
          <w:p>
            <w:pPr>
              <w:pStyle w:val="11"/>
            </w:pPr>
            <w:r>
              <w:t>气象事业机构</w:t>
            </w: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2200599</w:t>
            </w:r>
          </w:p>
        </w:tc>
        <w:tc>
          <w:tcPr>
            <w:tcW w:w="4535" w:type="dxa"/>
            <w:vAlign w:val="center"/>
          </w:tcPr>
          <w:p>
            <w:pPr>
              <w:pStyle w:val="11"/>
            </w:pPr>
            <w:r>
              <w:t>其他气象事务支出</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3402"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330000.00</w:t>
            </w:r>
          </w:p>
        </w:tc>
        <w:tc>
          <w:tcPr>
            <w:tcW w:w="3402" w:type="dxa"/>
            <w:vAlign w:val="center"/>
          </w:tcPr>
          <w:p>
            <w:pPr>
              <w:pStyle w:val="11"/>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r>
              <w:t>330000.00</w:t>
            </w:r>
          </w:p>
        </w:tc>
        <w:tc>
          <w:tcPr>
            <w:tcW w:w="1474" w:type="dxa"/>
            <w:vAlign w:val="center"/>
          </w:tcPr>
          <w:p>
            <w:pPr>
              <w:pStyle w:val="12"/>
            </w:pPr>
            <w:r>
              <w:t>330000.00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330000.00</w:t>
            </w:r>
          </w:p>
        </w:tc>
        <w:tc>
          <w:tcPr>
            <w:tcW w:w="3402" w:type="dxa"/>
            <w:vAlign w:val="center"/>
          </w:tcPr>
          <w:p>
            <w:pPr>
              <w:pStyle w:val="13"/>
            </w:pPr>
            <w:r>
              <w:t>本年支出合计</w:t>
            </w:r>
          </w:p>
        </w:tc>
        <w:tc>
          <w:tcPr>
            <w:tcW w:w="1474" w:type="dxa"/>
            <w:vAlign w:val="center"/>
          </w:tcPr>
          <w:p>
            <w:pPr>
              <w:pStyle w:val="14"/>
            </w:pPr>
            <w:r>
              <w:t>330000.00</w:t>
            </w:r>
          </w:p>
        </w:tc>
        <w:tc>
          <w:tcPr>
            <w:tcW w:w="1474" w:type="dxa"/>
            <w:vAlign w:val="center"/>
          </w:tcPr>
          <w:p>
            <w:pPr>
              <w:pStyle w:val="14"/>
            </w:pPr>
            <w:r>
              <w:t>330000.00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330000.00</w:t>
            </w:r>
          </w:p>
        </w:tc>
        <w:tc>
          <w:tcPr>
            <w:tcW w:w="3402" w:type="dxa"/>
            <w:vAlign w:val="center"/>
          </w:tcPr>
          <w:p>
            <w:pPr>
              <w:pStyle w:val="13"/>
            </w:pPr>
            <w:r>
              <w:t>支出总计</w:t>
            </w:r>
          </w:p>
        </w:tc>
        <w:tc>
          <w:tcPr>
            <w:tcW w:w="1474" w:type="dxa"/>
            <w:vAlign w:val="center"/>
          </w:tcPr>
          <w:p>
            <w:pPr>
              <w:pStyle w:val="14"/>
            </w:pPr>
            <w:r>
              <w:t>330000.00</w:t>
            </w:r>
          </w:p>
        </w:tc>
        <w:tc>
          <w:tcPr>
            <w:tcW w:w="1474" w:type="dxa"/>
            <w:vAlign w:val="center"/>
          </w:tcPr>
          <w:p>
            <w:pPr>
              <w:pStyle w:val="14"/>
            </w:pPr>
            <w:r>
              <w:t>330000.00</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330000.00</w:t>
            </w:r>
          </w:p>
        </w:tc>
        <w:tc>
          <w:tcPr>
            <w:tcW w:w="2551" w:type="dxa"/>
            <w:vAlign w:val="center"/>
          </w:tcPr>
          <w:p>
            <w:pPr>
              <w:pStyle w:val="14"/>
            </w:pPr>
          </w:p>
        </w:tc>
        <w:tc>
          <w:tcPr>
            <w:tcW w:w="2551" w:type="dxa"/>
            <w:vAlign w:val="center"/>
          </w:tcPr>
          <w:p>
            <w:pPr>
              <w:pStyle w:val="14"/>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220</w:t>
            </w:r>
          </w:p>
        </w:tc>
        <w:tc>
          <w:tcPr>
            <w:tcW w:w="4535" w:type="dxa"/>
            <w:vAlign w:val="center"/>
          </w:tcPr>
          <w:p>
            <w:pPr>
              <w:pStyle w:val="11"/>
            </w:pPr>
            <w:r>
              <w:t>自然资源海洋气象等支出</w:t>
            </w:r>
          </w:p>
        </w:tc>
        <w:tc>
          <w:tcPr>
            <w:tcW w:w="2551" w:type="dxa"/>
            <w:vAlign w:val="center"/>
          </w:tcPr>
          <w:p>
            <w:pPr>
              <w:pStyle w:val="12"/>
            </w:pPr>
            <w:r>
              <w:t>330000.00</w:t>
            </w:r>
          </w:p>
        </w:tc>
        <w:tc>
          <w:tcPr>
            <w:tcW w:w="2551" w:type="dxa"/>
            <w:vAlign w:val="center"/>
          </w:tcPr>
          <w:p>
            <w:pPr>
              <w:pStyle w:val="12"/>
            </w:pPr>
          </w:p>
        </w:tc>
        <w:tc>
          <w:tcPr>
            <w:tcW w:w="2551" w:type="dxa"/>
            <w:vAlign w:val="center"/>
          </w:tcPr>
          <w:p>
            <w:pPr>
              <w:pStyle w:val="12"/>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22005</w:t>
            </w:r>
          </w:p>
        </w:tc>
        <w:tc>
          <w:tcPr>
            <w:tcW w:w="4535" w:type="dxa"/>
            <w:vAlign w:val="center"/>
          </w:tcPr>
          <w:p>
            <w:pPr>
              <w:pStyle w:val="11"/>
            </w:pPr>
            <w:r>
              <w:t>气象事务</w:t>
            </w:r>
          </w:p>
        </w:tc>
        <w:tc>
          <w:tcPr>
            <w:tcW w:w="2551" w:type="dxa"/>
            <w:vAlign w:val="center"/>
          </w:tcPr>
          <w:p>
            <w:pPr>
              <w:pStyle w:val="12"/>
            </w:pPr>
            <w:r>
              <w:t>330000.00</w:t>
            </w:r>
          </w:p>
        </w:tc>
        <w:tc>
          <w:tcPr>
            <w:tcW w:w="2551" w:type="dxa"/>
            <w:vAlign w:val="center"/>
          </w:tcPr>
          <w:p>
            <w:pPr>
              <w:pStyle w:val="12"/>
            </w:pPr>
          </w:p>
        </w:tc>
        <w:tc>
          <w:tcPr>
            <w:tcW w:w="2551" w:type="dxa"/>
            <w:vAlign w:val="center"/>
          </w:tcPr>
          <w:p>
            <w:pPr>
              <w:pStyle w:val="12"/>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2200501</w:t>
            </w:r>
          </w:p>
        </w:tc>
        <w:tc>
          <w:tcPr>
            <w:tcW w:w="4535" w:type="dxa"/>
            <w:vAlign w:val="center"/>
          </w:tcPr>
          <w:p>
            <w:pPr>
              <w:pStyle w:val="11"/>
            </w:pPr>
            <w:r>
              <w:t>行政运行</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2200504</w:t>
            </w:r>
          </w:p>
        </w:tc>
        <w:tc>
          <w:tcPr>
            <w:tcW w:w="4535" w:type="dxa"/>
            <w:vAlign w:val="center"/>
          </w:tcPr>
          <w:p>
            <w:pPr>
              <w:pStyle w:val="11"/>
            </w:pPr>
            <w:r>
              <w:t>气象事业机构</w:t>
            </w:r>
          </w:p>
        </w:tc>
        <w:tc>
          <w:tcPr>
            <w:tcW w:w="2551" w:type="dxa"/>
            <w:vAlign w:val="center"/>
          </w:tcPr>
          <w:p>
            <w:pPr>
              <w:pStyle w:val="12"/>
            </w:pPr>
            <w:r>
              <w:t>40000.00</w:t>
            </w:r>
          </w:p>
        </w:tc>
        <w:tc>
          <w:tcPr>
            <w:tcW w:w="2551" w:type="dxa"/>
            <w:vAlign w:val="center"/>
          </w:tcPr>
          <w:p>
            <w:pPr>
              <w:pStyle w:val="12"/>
            </w:pPr>
          </w:p>
        </w:tc>
        <w:tc>
          <w:tcPr>
            <w:tcW w:w="2551" w:type="dxa"/>
            <w:vAlign w:val="center"/>
          </w:tcPr>
          <w:p>
            <w:pPr>
              <w:pStyle w:val="12"/>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2200599</w:t>
            </w:r>
          </w:p>
        </w:tc>
        <w:tc>
          <w:tcPr>
            <w:tcW w:w="4535" w:type="dxa"/>
            <w:vAlign w:val="center"/>
          </w:tcPr>
          <w:p>
            <w:pPr>
              <w:pStyle w:val="11"/>
            </w:pPr>
            <w:r>
              <w:t>其他气象事务支出</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416002馆陶县气象局机关</w:t>
            </w:r>
          </w:p>
        </w:tc>
        <w:tc>
          <w:tcPr>
            <w:tcW w:w="238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馆陶县气象局机关202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》、《地方预决算公开操作规程》和《关于进一步推进预算公开工作的实施意见》规定，现将馆陶县气象局机关20</w:t>
      </w:r>
      <w:r>
        <w:rPr>
          <w:rFonts w:hint="eastAsia" w:ascii="Times New Roman" w:hAnsi="Times New Roman" w:eastAsia="方正仿宋_GBK" w:cs="Times New Roman"/>
          <w:b w:val="0"/>
          <w:color w:val="000000"/>
          <w:sz w:val="28"/>
          <w:lang w:val="en-US" w:eastAsia="zh-CN"/>
        </w:rPr>
        <w:t>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p>
    <w:p>
      <w:pPr>
        <w:pStyle w:val="16"/>
      </w:pPr>
    </w:p>
    <w:p>
      <w:pPr>
        <w:pStyle w:val="16"/>
      </w:pPr>
    </w:p>
    <w:p>
      <w:pPr>
        <w:pStyle w:val="16"/>
      </w:pPr>
      <w:r>
        <w:t>部门年度发展规划目标</w:t>
      </w:r>
    </w:p>
    <w:p>
      <w:pPr>
        <w:pStyle w:val="16"/>
      </w:pPr>
      <w:r>
        <w:t>认真贯彻党的十九大精神，以习近平新时代中国特色社会主义思想为指导，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pStyle w:val="16"/>
      </w:pPr>
      <w:r>
        <w:t>（一）加强气象业务现代化建设，进一步提升气象服务水平</w:t>
      </w:r>
    </w:p>
    <w:p>
      <w:pPr>
        <w:pStyle w:val="16"/>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俱进的发展。</w:t>
      </w:r>
    </w:p>
    <w:p>
      <w:pPr>
        <w:pStyle w:val="16"/>
      </w:pPr>
      <w:r>
        <w:t>强化大气污染防治气象服务，加强空中云水资源开发利用，优化人工增雨（雪）防雹业务布局，完善人工影响天气作业指挥系统，提高人工影响天气装备保障水平和作业能力。</w:t>
      </w:r>
    </w:p>
    <w:p>
      <w:pPr>
        <w:pStyle w:val="16"/>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16"/>
      </w:pPr>
      <w:r>
        <w:t>（二）完善防灾减灾组织体系，大力提升气象防灾减灾能力</w:t>
      </w:r>
    </w:p>
    <w:p>
      <w:pPr>
        <w:pStyle w:val="16"/>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 强化对主要灾种的气象灾害风险评估和风险预警服务，全面实施气象灾害风险管理。建立预警信息快速发布和运行管理制度, 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16"/>
      </w:pPr>
      <w:r>
        <w:t>（三）加快现代气象观测系统建设</w:t>
      </w:r>
    </w:p>
    <w:p>
      <w:pPr>
        <w:pStyle w:val="16"/>
      </w:pPr>
      <w:r>
        <w:t>完善气候观测网，实现对本地基本气候状态和气候变化事实的连续、高精度观测。优化天气观测网，在天气关键区加密布设观测站点，重点提升垂直观测能力，实现对天气的立体化、高覆盖观测。</w:t>
      </w:r>
    </w:p>
    <w:p>
      <w:pPr>
        <w:pStyle w:val="16"/>
      </w:pPr>
      <w:r>
        <w:t>部门职责分类绩效目标</w:t>
      </w:r>
    </w:p>
    <w:p>
      <w:pPr>
        <w:pStyle w:val="16"/>
      </w:pPr>
      <w:r>
        <w:t>（一）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pPr>
        <w:pStyle w:val="16"/>
      </w:pPr>
      <w:r>
        <w:t>（二）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pPr>
        <w:pStyle w:val="16"/>
      </w:pPr>
      <w:r>
        <w:t>（三）气象观测系统建设职责绩效目标：优化区域气象灾害观测网布局，站点空间分辨率达到10公里。完善气象装备保障业务系统，气象观测站网实时运行率达95%，气象观测数据可用率达99%。</w:t>
      </w:r>
    </w:p>
    <w:p>
      <w:pPr>
        <w:pStyle w:val="16"/>
      </w:pPr>
      <w:r>
        <w:t>实现年度发展规划目标的保障措施</w:t>
      </w:r>
    </w:p>
    <w:p>
      <w:pPr>
        <w:pStyle w:val="16"/>
      </w:pPr>
      <w:r>
        <w:t>（一）加强现有气象观测站网维护</w:t>
      </w:r>
    </w:p>
    <w:p>
      <w:pPr>
        <w:pStyle w:val="16"/>
      </w:pPr>
      <w:r>
        <w:t>建设完善的气象灾害监测站网，提升气象灾害立体监测能力和水平；</w:t>
      </w:r>
    </w:p>
    <w:p>
      <w:pPr>
        <w:pStyle w:val="16"/>
      </w:pPr>
      <w:r>
        <w:t>保障全县气象灾害监测站网和气象通信网络正常运行；</w:t>
      </w:r>
    </w:p>
    <w:p>
      <w:pPr>
        <w:pStyle w:val="16"/>
      </w:pPr>
      <w:r>
        <w:t>建立气象灾害预报指标体系和预报预警业务系统，开展气象灾害分区、分级预警；</w:t>
      </w:r>
    </w:p>
    <w:p>
      <w:pPr>
        <w:pStyle w:val="16"/>
      </w:pPr>
      <w:r>
        <w:t>建立突发事件预警信息发布系统，维持播发设施正常运行，实现预警信息发得出、传得快、收得到。</w:t>
      </w:r>
    </w:p>
    <w:p>
      <w:pPr>
        <w:pStyle w:val="16"/>
      </w:pPr>
      <w:r>
        <w:t>（二）制定完善气象灾害应急预案</w:t>
      </w:r>
    </w:p>
    <w:p>
      <w:pPr>
        <w:pStyle w:val="16"/>
      </w:pPr>
      <w:r>
        <w:t>1.开展应急演练。</w:t>
      </w:r>
    </w:p>
    <w:p>
      <w:pPr>
        <w:pStyle w:val="16"/>
      </w:pPr>
      <w:r>
        <w:t>2.建立完善省、市、县三级联动的气象灾害防御、应急指挥，做好突发事件气象保障服务。</w:t>
      </w:r>
    </w:p>
    <w:p>
      <w:pPr>
        <w:pStyle w:val="16"/>
      </w:pPr>
      <w:r>
        <w:t>（三）全面做好决策、公众、农业气象</w:t>
      </w:r>
      <w:bookmarkStart w:id="1" w:name="_GoBack"/>
      <w:bookmarkEnd w:id="1"/>
      <w:r>
        <w:t>服务工作</w:t>
      </w:r>
    </w:p>
    <w:p>
      <w:pPr>
        <w:pStyle w:val="16"/>
      </w:pPr>
      <w:r>
        <w:t>1.决策气象服务。</w:t>
      </w:r>
    </w:p>
    <w:p>
      <w:pPr>
        <w:pStyle w:val="16"/>
      </w:pPr>
      <w:r>
        <w:t>2.公众气象服务。</w:t>
      </w:r>
    </w:p>
    <w:p>
      <w:pPr>
        <w:pStyle w:val="16"/>
      </w:pPr>
      <w:r>
        <w:t>3.农业气象服务。</w:t>
      </w:r>
    </w:p>
    <w:p>
      <w:pPr>
        <w:pStyle w:val="16"/>
      </w:pPr>
      <w:r>
        <w:t>（四）全面加强党的建设，打造高素质专业化干部队伍</w:t>
      </w:r>
    </w:p>
    <w:p>
      <w:pPr>
        <w:pStyle w:val="16"/>
      </w:pPr>
      <w:r>
        <w:t>1.全面落实党的十九大精神。</w:t>
      </w:r>
    </w:p>
    <w:p>
      <w:pPr>
        <w:pStyle w:val="16"/>
      </w:pPr>
      <w:r>
        <w:t>2.全面加强党的政治建设。</w:t>
      </w:r>
    </w:p>
    <w:p>
      <w:pPr>
        <w:pStyle w:val="16"/>
      </w:pPr>
      <w:r>
        <w:t>3.全面加强党风廉政建设。</w:t>
      </w:r>
    </w:p>
    <w:p>
      <w:pPr>
        <w:pStyle w:val="16"/>
      </w:pPr>
      <w:r>
        <w:t>4.全面加强法治建设。</w:t>
      </w:r>
    </w:p>
    <w:p>
      <w:pPr>
        <w:pStyle w:val="16"/>
      </w:pPr>
      <w:r>
        <w:t>5.全面加强信息化建设。</w:t>
      </w:r>
    </w:p>
    <w:p>
      <w:pPr>
        <w:pStyle w:val="16"/>
      </w:pPr>
      <w:r>
        <w:t>6.全面加强队伍能力建设。</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馆陶县气象局机关</w:t>
            </w:r>
          </w:p>
        </w:tc>
        <w:tc>
          <w:tcPr>
            <w:tcW w:w="1843" w:type="dxa"/>
            <w:vAlign w:val="center"/>
          </w:tcPr>
          <w:p>
            <w:pPr>
              <w:pStyle w:val="10"/>
            </w:pPr>
            <w:r>
              <w:t>事业</w:t>
            </w:r>
          </w:p>
        </w:tc>
        <w:tc>
          <w:tcPr>
            <w:tcW w:w="2126" w:type="dxa"/>
            <w:vAlign w:val="center"/>
          </w:tcPr>
          <w:p>
            <w:pPr>
              <w:pStyle w:val="10"/>
            </w:pPr>
            <w:r>
              <w:t>正科级</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7"/>
      </w:pPr>
      <w:r>
        <w:t>馆陶县气象局202</w:t>
      </w:r>
      <w:r>
        <w:rPr>
          <w:rFonts w:hint="eastAsia"/>
          <w:lang w:val="en-US" w:eastAsia="zh-CN"/>
        </w:rPr>
        <w:t>1</w:t>
      </w:r>
      <w:r>
        <w:t>年预算安排情况：人员经费安排4万元。项目经费29万元，分为其他运转类-气象服务经费9万元，特定目标类-地方气象服务运行保障资金20万元。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馆陶县气象局202</w:t>
      </w:r>
      <w:r>
        <w:rPr>
          <w:rFonts w:hint="eastAsia"/>
          <w:lang w:val="en-US" w:eastAsia="zh-CN"/>
        </w:rPr>
        <w:t>1</w:t>
      </w:r>
      <w:r>
        <w:t>年预算机关运行经费安排情况为零。</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馆陶县气象局202</w:t>
      </w:r>
      <w:r>
        <w:rPr>
          <w:rFonts w:hint="eastAsia"/>
          <w:lang w:val="en-US" w:eastAsia="zh-CN"/>
        </w:rPr>
        <w:t>1</w:t>
      </w:r>
      <w:r>
        <w:t>年财政拨款“三公经费”预算情况：202</w:t>
      </w:r>
      <w:r>
        <w:rPr>
          <w:rFonts w:hint="eastAsia"/>
          <w:lang w:val="en-US" w:eastAsia="zh-CN"/>
        </w:rPr>
        <w:t>0</w:t>
      </w:r>
      <w:r>
        <w:t>年预算安排为零，与上年无变化。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1、气象服务经费绩效目标表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1.为县委县政府及相关部门及时提供重大气象灾害的决策服务。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覆盖率</w:t>
            </w:r>
          </w:p>
        </w:tc>
        <w:tc>
          <w:tcPr>
            <w:tcW w:w="2835" w:type="dxa"/>
            <w:vAlign w:val="center"/>
          </w:tcPr>
          <w:p>
            <w:pPr>
              <w:pStyle w:val="11"/>
            </w:pPr>
            <w:r>
              <w:t>全年进行人工影响天气作业的覆盖情况</w:t>
            </w:r>
          </w:p>
        </w:tc>
        <w:tc>
          <w:tcPr>
            <w:tcW w:w="2551" w:type="dxa"/>
            <w:vAlign w:val="center"/>
          </w:tcPr>
          <w:p>
            <w:pPr>
              <w:pStyle w:val="11"/>
            </w:pPr>
            <w:r>
              <w:t>100%</w:t>
            </w:r>
          </w:p>
        </w:tc>
        <w:tc>
          <w:tcPr>
            <w:tcW w:w="2268" w:type="dxa"/>
            <w:vAlign w:val="center"/>
          </w:tcPr>
          <w:p>
            <w:pPr>
              <w:pStyle w:val="11"/>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优良率</w:t>
            </w:r>
          </w:p>
        </w:tc>
        <w:tc>
          <w:tcPr>
            <w:tcW w:w="2835" w:type="dxa"/>
            <w:vAlign w:val="center"/>
          </w:tcPr>
          <w:p>
            <w:pPr>
              <w:pStyle w:val="11"/>
            </w:pPr>
            <w:r>
              <w:t>人工影响天气作业的成功率</w:t>
            </w:r>
          </w:p>
        </w:tc>
        <w:tc>
          <w:tcPr>
            <w:tcW w:w="2551" w:type="dxa"/>
            <w:vAlign w:val="center"/>
          </w:tcPr>
          <w:p>
            <w:pPr>
              <w:pStyle w:val="11"/>
            </w:pPr>
            <w:r>
              <w:t>100%</w:t>
            </w:r>
          </w:p>
        </w:tc>
        <w:tc>
          <w:tcPr>
            <w:tcW w:w="2268" w:type="dxa"/>
            <w:vAlign w:val="center"/>
          </w:tcPr>
          <w:p>
            <w:pPr>
              <w:pStyle w:val="11"/>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提供信息的及时性</w:t>
            </w:r>
          </w:p>
        </w:tc>
        <w:tc>
          <w:tcPr>
            <w:tcW w:w="2835" w:type="dxa"/>
            <w:vAlign w:val="center"/>
          </w:tcPr>
          <w:p>
            <w:pPr>
              <w:pStyle w:val="11"/>
            </w:pPr>
            <w:r>
              <w:t>发布人影作业公告信息提前时间（小时）</w:t>
            </w:r>
          </w:p>
        </w:tc>
        <w:tc>
          <w:tcPr>
            <w:tcW w:w="2551" w:type="dxa"/>
            <w:vAlign w:val="center"/>
          </w:tcPr>
          <w:p>
            <w:pPr>
              <w:pStyle w:val="11"/>
            </w:pPr>
            <w:r>
              <w:t>≤6小时</w:t>
            </w:r>
          </w:p>
        </w:tc>
        <w:tc>
          <w:tcPr>
            <w:tcW w:w="2268" w:type="dxa"/>
            <w:vAlign w:val="center"/>
          </w:tcPr>
          <w:p>
            <w:pPr>
              <w:pStyle w:val="11"/>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服务期内成本控制</w:t>
            </w:r>
          </w:p>
        </w:tc>
        <w:tc>
          <w:tcPr>
            <w:tcW w:w="2835" w:type="dxa"/>
            <w:vAlign w:val="center"/>
          </w:tcPr>
          <w:p>
            <w:pPr>
              <w:pStyle w:val="11"/>
            </w:pPr>
            <w:r>
              <w:t>服务期内成本严格按照预算控制数</w:t>
            </w:r>
          </w:p>
        </w:tc>
        <w:tc>
          <w:tcPr>
            <w:tcW w:w="2551" w:type="dxa"/>
            <w:vAlign w:val="center"/>
          </w:tcPr>
          <w:p>
            <w:pPr>
              <w:pStyle w:val="11"/>
            </w:pPr>
            <w:r>
              <w:t>≤20万</w:t>
            </w:r>
          </w:p>
        </w:tc>
        <w:tc>
          <w:tcPr>
            <w:tcW w:w="2268" w:type="dxa"/>
            <w:vAlign w:val="center"/>
          </w:tcPr>
          <w:p>
            <w:pPr>
              <w:pStyle w:val="11"/>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社会影响力</w:t>
            </w:r>
          </w:p>
        </w:tc>
        <w:tc>
          <w:tcPr>
            <w:tcW w:w="2835" w:type="dxa"/>
            <w:vAlign w:val="center"/>
          </w:tcPr>
          <w:p>
            <w:pPr>
              <w:pStyle w:val="11"/>
            </w:pPr>
            <w:r>
              <w:t>在人工影响天气作用下，改善空气质量、降低森林火险的重要影响，得到广大受众的充分认可。</w:t>
            </w:r>
          </w:p>
        </w:tc>
        <w:tc>
          <w:tcPr>
            <w:tcW w:w="2551" w:type="dxa"/>
            <w:vAlign w:val="center"/>
          </w:tcPr>
          <w:p>
            <w:pPr>
              <w:pStyle w:val="11"/>
            </w:pPr>
            <w:r>
              <w:t>≥90%</w:t>
            </w:r>
          </w:p>
        </w:tc>
        <w:tc>
          <w:tcPr>
            <w:tcW w:w="2268" w:type="dxa"/>
            <w:vAlign w:val="center"/>
          </w:tcPr>
          <w:p>
            <w:pPr>
              <w:pStyle w:val="11"/>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人工影响天气作业对国民经济发展的贡献率</w:t>
            </w:r>
          </w:p>
        </w:tc>
        <w:tc>
          <w:tcPr>
            <w:tcW w:w="2835" w:type="dxa"/>
            <w:vAlign w:val="center"/>
          </w:tcPr>
          <w:p>
            <w:pPr>
              <w:pStyle w:val="11"/>
            </w:pPr>
            <w:r>
              <w:t>增加降水，为农业发展提供有力保障</w:t>
            </w:r>
          </w:p>
        </w:tc>
        <w:tc>
          <w:tcPr>
            <w:tcW w:w="2551" w:type="dxa"/>
            <w:vAlign w:val="center"/>
          </w:tcPr>
          <w:p>
            <w:pPr>
              <w:pStyle w:val="11"/>
            </w:pPr>
            <w:r>
              <w:t>≥90%</w:t>
            </w:r>
          </w:p>
        </w:tc>
        <w:tc>
          <w:tcPr>
            <w:tcW w:w="2268" w:type="dxa"/>
            <w:vAlign w:val="center"/>
          </w:tcPr>
          <w:p>
            <w:pPr>
              <w:pStyle w:val="11"/>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能够长期较好地开展人工影响天气作业，对增加降水率，改善空气质量起到良好作用。</w:t>
            </w:r>
          </w:p>
        </w:tc>
        <w:tc>
          <w:tcPr>
            <w:tcW w:w="2551" w:type="dxa"/>
            <w:vAlign w:val="center"/>
          </w:tcPr>
          <w:p>
            <w:pPr>
              <w:pStyle w:val="11"/>
            </w:pPr>
            <w:r>
              <w:t>≤100%</w:t>
            </w:r>
          </w:p>
        </w:tc>
        <w:tc>
          <w:tcPr>
            <w:tcW w:w="2268" w:type="dxa"/>
            <w:vAlign w:val="center"/>
          </w:tcPr>
          <w:p>
            <w:pPr>
              <w:pStyle w:val="11"/>
            </w:pPr>
            <w:r>
              <w:t>部门年度统计报告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群众对人工影响天气整体满意度</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2、地方气象服务运行保障资金绩效目标表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1.各台站气象资料传输率和计算机通信网络正常运行保障率达标。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八个乡镇覆盖情况</w:t>
            </w:r>
          </w:p>
        </w:tc>
        <w:tc>
          <w:tcPr>
            <w:tcW w:w="2835" w:type="dxa"/>
            <w:vAlign w:val="center"/>
          </w:tcPr>
          <w:p>
            <w:pPr>
              <w:pStyle w:val="11"/>
            </w:pPr>
            <w:r>
              <w:t>全县区域站覆盖情况</w:t>
            </w:r>
          </w:p>
        </w:tc>
        <w:tc>
          <w:tcPr>
            <w:tcW w:w="2551" w:type="dxa"/>
            <w:vAlign w:val="center"/>
          </w:tcPr>
          <w:p>
            <w:pPr>
              <w:pStyle w:val="11"/>
            </w:pPr>
            <w:r>
              <w:t>100%</w:t>
            </w:r>
          </w:p>
        </w:tc>
        <w:tc>
          <w:tcPr>
            <w:tcW w:w="2268" w:type="dxa"/>
            <w:vAlign w:val="center"/>
          </w:tcPr>
          <w:p>
            <w:pPr>
              <w:pStyle w:val="11"/>
            </w:pPr>
            <w:r>
              <w:t>计划标准-观测司关于综合气象观测业务质量考核任务的文件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优良率</w:t>
            </w:r>
          </w:p>
        </w:tc>
        <w:tc>
          <w:tcPr>
            <w:tcW w:w="2835" w:type="dxa"/>
            <w:vAlign w:val="center"/>
          </w:tcPr>
          <w:p>
            <w:pPr>
              <w:pStyle w:val="11"/>
            </w:pPr>
            <w:r>
              <w:t>区域站设备运行良好</w:t>
            </w:r>
          </w:p>
        </w:tc>
        <w:tc>
          <w:tcPr>
            <w:tcW w:w="2551" w:type="dxa"/>
            <w:vAlign w:val="center"/>
          </w:tcPr>
          <w:p>
            <w:pPr>
              <w:pStyle w:val="11"/>
            </w:pPr>
            <w:r>
              <w:t>≥99%</w:t>
            </w:r>
          </w:p>
        </w:tc>
        <w:tc>
          <w:tcPr>
            <w:tcW w:w="2268" w:type="dxa"/>
            <w:vAlign w:val="center"/>
          </w:tcPr>
          <w:p>
            <w:pPr>
              <w:pStyle w:val="11"/>
            </w:pPr>
            <w:r>
              <w:t>计划标准同上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提供信息的及时性</w:t>
            </w:r>
          </w:p>
        </w:tc>
        <w:tc>
          <w:tcPr>
            <w:tcW w:w="2835" w:type="dxa"/>
            <w:vAlign w:val="center"/>
          </w:tcPr>
          <w:p>
            <w:pPr>
              <w:pStyle w:val="11"/>
            </w:pPr>
            <w:r>
              <w:t>发布预警信息息提前时间（小时）</w:t>
            </w:r>
          </w:p>
        </w:tc>
        <w:tc>
          <w:tcPr>
            <w:tcW w:w="2551" w:type="dxa"/>
            <w:vAlign w:val="center"/>
          </w:tcPr>
          <w:p>
            <w:pPr>
              <w:pStyle w:val="11"/>
            </w:pPr>
            <w:r>
              <w:t>≤6小时</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服务期限内成本控制数</w:t>
            </w:r>
          </w:p>
        </w:tc>
        <w:tc>
          <w:tcPr>
            <w:tcW w:w="2835" w:type="dxa"/>
            <w:vAlign w:val="center"/>
          </w:tcPr>
          <w:p>
            <w:pPr>
              <w:pStyle w:val="11"/>
            </w:pPr>
            <w:r>
              <w:t xml:space="preserve"> 服务期内 成本控制数</w:t>
            </w:r>
          </w:p>
        </w:tc>
        <w:tc>
          <w:tcPr>
            <w:tcW w:w="2551" w:type="dxa"/>
            <w:vAlign w:val="center"/>
          </w:tcPr>
          <w:p>
            <w:pPr>
              <w:pStyle w:val="11"/>
            </w:pPr>
            <w:r>
              <w:t>≤9万</w:t>
            </w:r>
          </w:p>
        </w:tc>
        <w:tc>
          <w:tcPr>
            <w:tcW w:w="2268" w:type="dxa"/>
            <w:vAlign w:val="center"/>
          </w:tcPr>
          <w:p>
            <w:pPr>
              <w:pStyle w:val="11"/>
            </w:pPr>
            <w:r>
              <w:t>业务操作调查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长期使用性</w:t>
            </w:r>
          </w:p>
        </w:tc>
        <w:tc>
          <w:tcPr>
            <w:tcW w:w="2835" w:type="dxa"/>
            <w:vAlign w:val="center"/>
          </w:tcPr>
          <w:p>
            <w:pPr>
              <w:pStyle w:val="11"/>
            </w:pPr>
            <w:r>
              <w:t>能够长期较好地开展预报预警，长期满足人民群众对成功避险的需求。</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带动社会资金投资比</w:t>
            </w:r>
          </w:p>
        </w:tc>
        <w:tc>
          <w:tcPr>
            <w:tcW w:w="2835" w:type="dxa"/>
            <w:vAlign w:val="center"/>
          </w:tcPr>
          <w:p>
            <w:pPr>
              <w:pStyle w:val="11"/>
            </w:pPr>
            <w:r>
              <w:t>突发性天气及时预警，避免经济损失。</w:t>
            </w:r>
          </w:p>
        </w:tc>
        <w:tc>
          <w:tcPr>
            <w:tcW w:w="2551" w:type="dxa"/>
            <w:vAlign w:val="center"/>
          </w:tcPr>
          <w:p>
            <w:pPr>
              <w:pStyle w:val="11"/>
            </w:pPr>
            <w:r>
              <w:t>≤2万</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社会影响力</w:t>
            </w:r>
          </w:p>
        </w:tc>
        <w:tc>
          <w:tcPr>
            <w:tcW w:w="2835" w:type="dxa"/>
            <w:vAlign w:val="center"/>
          </w:tcPr>
          <w:p>
            <w:pPr>
              <w:pStyle w:val="11"/>
            </w:pPr>
            <w:r>
              <w:t>在主汛期针对突发天气提前预警，得到广大受众的充分认可。</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服务对象零投诉</w:t>
            </w:r>
          </w:p>
        </w:tc>
        <w:tc>
          <w:tcPr>
            <w:tcW w:w="2551" w:type="dxa"/>
            <w:vAlign w:val="center"/>
          </w:tcPr>
          <w:p>
            <w:pPr>
              <w:pStyle w:val="11"/>
            </w:pPr>
            <w:r>
              <w:t>≥80%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3、人员补助经费绩效目标表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财政供养人员工资</w:t>
            </w:r>
          </w:p>
        </w:tc>
        <w:tc>
          <w:tcPr>
            <w:tcW w:w="2835" w:type="dxa"/>
            <w:vAlign w:val="center"/>
          </w:tcPr>
          <w:p>
            <w:pPr>
              <w:pStyle w:val="11"/>
            </w:pPr>
            <w:r>
              <w:t>财政供养人员工资发放金额</w:t>
            </w:r>
          </w:p>
        </w:tc>
        <w:tc>
          <w:tcPr>
            <w:tcW w:w="2551" w:type="dxa"/>
            <w:vAlign w:val="center"/>
          </w:tcPr>
          <w:p>
            <w:pPr>
              <w:pStyle w:val="11"/>
            </w:pPr>
            <w:r>
              <w:t>财政供养人员工资金额与人事组织部门审批方案一致</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工资发放到位率</w:t>
            </w:r>
          </w:p>
        </w:tc>
        <w:tc>
          <w:tcPr>
            <w:tcW w:w="2835" w:type="dxa"/>
            <w:vAlign w:val="center"/>
          </w:tcPr>
          <w:p>
            <w:pPr>
              <w:pStyle w:val="11"/>
            </w:pPr>
            <w:r>
              <w:t>保障工资发放到位</w:t>
            </w:r>
          </w:p>
        </w:tc>
        <w:tc>
          <w:tcPr>
            <w:tcW w:w="2551" w:type="dxa"/>
            <w:vAlign w:val="center"/>
          </w:tcPr>
          <w:p>
            <w:pPr>
              <w:pStyle w:val="11"/>
            </w:pPr>
            <w:r>
              <w:t>100%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工资发放时间</w:t>
            </w:r>
          </w:p>
        </w:tc>
        <w:tc>
          <w:tcPr>
            <w:tcW w:w="2835" w:type="dxa"/>
            <w:vAlign w:val="center"/>
          </w:tcPr>
          <w:p>
            <w:pPr>
              <w:pStyle w:val="11"/>
            </w:pPr>
            <w:r>
              <w:t>工资发放具体时间</w:t>
            </w:r>
          </w:p>
        </w:tc>
        <w:tc>
          <w:tcPr>
            <w:tcW w:w="2551" w:type="dxa"/>
            <w:vAlign w:val="center"/>
          </w:tcPr>
          <w:p>
            <w:pPr>
              <w:pStyle w:val="11"/>
            </w:pPr>
            <w:r>
              <w:t>每月15日发放（遇节假日或特殊不定因素实时发放）</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服务期限内成本控制</w:t>
            </w:r>
          </w:p>
        </w:tc>
        <w:tc>
          <w:tcPr>
            <w:tcW w:w="2835" w:type="dxa"/>
            <w:vAlign w:val="center"/>
          </w:tcPr>
          <w:p>
            <w:pPr>
              <w:pStyle w:val="11"/>
            </w:pPr>
            <w:r>
              <w:t>服务期限内成本控制</w:t>
            </w:r>
          </w:p>
        </w:tc>
        <w:tc>
          <w:tcPr>
            <w:tcW w:w="2551" w:type="dxa"/>
            <w:vAlign w:val="center"/>
          </w:tcPr>
          <w:p>
            <w:pPr>
              <w:pStyle w:val="11"/>
            </w:pPr>
            <w:r>
              <w:t>≤4万元</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人员稳定率</w:t>
            </w:r>
          </w:p>
        </w:tc>
        <w:tc>
          <w:tcPr>
            <w:tcW w:w="2835" w:type="dxa"/>
            <w:vAlign w:val="center"/>
          </w:tcPr>
          <w:p>
            <w:pPr>
              <w:pStyle w:val="11"/>
            </w:pPr>
            <w:r>
              <w:t>保障财政供养人员稳定</w:t>
            </w:r>
          </w:p>
        </w:tc>
        <w:tc>
          <w:tcPr>
            <w:tcW w:w="2551" w:type="dxa"/>
            <w:vAlign w:val="center"/>
          </w:tcPr>
          <w:p>
            <w:pPr>
              <w:pStyle w:val="11"/>
            </w:pPr>
            <w:r>
              <w:t>≥95%</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防灾减灾、部门影响力社会效益</w:t>
            </w:r>
          </w:p>
        </w:tc>
        <w:tc>
          <w:tcPr>
            <w:tcW w:w="2835" w:type="dxa"/>
            <w:vAlign w:val="center"/>
          </w:tcPr>
          <w:p>
            <w:pPr>
              <w:pStyle w:val="11"/>
            </w:pPr>
            <w:r>
              <w:t>通过提供重大活动气象服务保障、公共气象、专业气象、农业气象等服务，对减少气象灾害损失、树立部门形象的社会效益有所提升</w:t>
            </w:r>
          </w:p>
        </w:tc>
        <w:tc>
          <w:tcPr>
            <w:tcW w:w="2551" w:type="dxa"/>
            <w:vAlign w:val="center"/>
          </w:tcPr>
          <w:p>
            <w:pPr>
              <w:pStyle w:val="11"/>
            </w:pPr>
            <w:r>
              <w:t>≥90%</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可持续影响程度</w:t>
            </w:r>
          </w:p>
        </w:tc>
        <w:tc>
          <w:tcPr>
            <w:tcW w:w="2835" w:type="dxa"/>
            <w:vAlign w:val="center"/>
          </w:tcPr>
          <w:p>
            <w:pPr>
              <w:pStyle w:val="11"/>
            </w:pPr>
            <w:r>
              <w:t>可持续影响程度</w:t>
            </w:r>
          </w:p>
        </w:tc>
        <w:tc>
          <w:tcPr>
            <w:tcW w:w="2551" w:type="dxa"/>
            <w:vAlign w:val="center"/>
          </w:tcPr>
          <w:p>
            <w:pPr>
              <w:pStyle w:val="11"/>
            </w:pPr>
            <w:r>
              <w:t>≥150天</w:t>
            </w:r>
          </w:p>
        </w:tc>
        <w:tc>
          <w:tcPr>
            <w:tcW w:w="2268"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人员满意度</w:t>
            </w:r>
          </w:p>
        </w:tc>
        <w:tc>
          <w:tcPr>
            <w:tcW w:w="2835" w:type="dxa"/>
            <w:vAlign w:val="center"/>
          </w:tcPr>
          <w:p>
            <w:pPr>
              <w:pStyle w:val="11"/>
            </w:pPr>
            <w:r>
              <w:t>人员满意度</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年，馆陶县气象局机关安排政府采购预算0.00万元。具体内容见下表。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416002馆陶县气象局机关</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馆陶县气象局机关上年末固定资产金额为0.00万元（详见下表）。本年度拟购置固定资产总额为0.00万元，已按要求列入政府采购预算，详见政府采购预算表。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416002馆陶县气象局机关</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p>
        </w:tc>
        <w:tc>
          <w:tcPr>
            <w:tcW w:w="2835" w:type="dxa"/>
            <w:vAlign w:val="center"/>
          </w:tcPr>
          <w:p>
            <w:pPr>
              <w:pStyle w:val="10"/>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41F441AF"/>
    <w:rsid w:val="39EE0E18"/>
    <w:rsid w:val="3AE81A0B"/>
    <w:rsid w:val="41F441AF"/>
    <w:rsid w:val="4C105A8B"/>
    <w:rsid w:val="7BFB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1260" w:leftChars="600"/>
    </w:pPr>
  </w:style>
  <w:style w:type="character" w:styleId="5">
    <w:name w:val="Hyperlink"/>
    <w:qFormat/>
    <w:uiPriority w:val="99"/>
    <w:rPr>
      <w:color w:val="0000FF"/>
      <w:u w:val="single"/>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6424</Words>
  <Characters>7205</Characters>
  <Lines>0</Lines>
  <Paragraphs>0</Paragraphs>
  <TotalTime>0</TotalTime>
  <ScaleCrop>false</ScaleCrop>
  <LinksUpToDate>false</LinksUpToDate>
  <CharactersWithSpaces>7326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2022-06-26T03:19:00Z</dcterms:created>
  <dc:creator>开心哭泣都是经历</dc:creator>
  <cp:lastModifiedBy>Sally</cp:lastModifiedBy>
  <dcterms:modified xsi:type="dcterms:W3CDTF">2024-05-24T08:45:10Z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A28C9A996CF245019A8A57823361C070</vt:lpwstr>
  </property>
</Properties>
</file>