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416馆陶县气象局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330000.00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330000.00</w:t>
            </w:r>
          </w:p>
        </w:tc>
        <w:tc>
          <w:tcPr>
            <w:tcW w:w="4535" w:type="dxa"/>
            <w:vAlign w:val="center"/>
          </w:tcPr>
          <w:p>
            <w:pPr>
              <w:pStyle w:val="16"/>
            </w:pPr>
            <w:r>
              <w:t>本年支出合计</w:t>
            </w:r>
          </w:p>
        </w:tc>
        <w:tc>
          <w:tcPr>
            <w:tcW w:w="2126" w:type="dxa"/>
            <w:vAlign w:val="center"/>
          </w:tcPr>
          <w:p>
            <w:pPr>
              <w:pStyle w:val="17"/>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330000.00</w:t>
            </w:r>
          </w:p>
        </w:tc>
        <w:tc>
          <w:tcPr>
            <w:tcW w:w="4535" w:type="dxa"/>
            <w:vAlign w:val="center"/>
          </w:tcPr>
          <w:p>
            <w:pPr>
              <w:pStyle w:val="16"/>
            </w:pPr>
            <w:r>
              <w:t>支出总计</w:t>
            </w:r>
          </w:p>
        </w:tc>
        <w:tc>
          <w:tcPr>
            <w:tcW w:w="2126" w:type="dxa"/>
            <w:vAlign w:val="center"/>
          </w:tcPr>
          <w:p>
            <w:pPr>
              <w:pStyle w:val="17"/>
            </w:pPr>
            <w:r>
              <w:t>330000.00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416馆陶县气象局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330000.00</w:t>
            </w:r>
          </w:p>
        </w:tc>
        <w:tc>
          <w:tcPr>
            <w:tcW w:w="1134" w:type="dxa"/>
            <w:vAlign w:val="center"/>
          </w:tcPr>
          <w:p>
            <w:pPr>
              <w:pStyle w:val="17"/>
            </w:pPr>
            <w:r>
              <w:t>330000.00</w:t>
            </w:r>
          </w:p>
        </w:tc>
        <w:tc>
          <w:tcPr>
            <w:tcW w:w="1134" w:type="dxa"/>
            <w:vAlign w:val="center"/>
          </w:tcPr>
          <w:p>
            <w:pPr>
              <w:pStyle w:val="17"/>
            </w:pPr>
            <w:r>
              <w:t>330000.00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220</w:t>
            </w:r>
          </w:p>
        </w:tc>
        <w:tc>
          <w:tcPr>
            <w:tcW w:w="1559" w:type="dxa"/>
            <w:vAlign w:val="center"/>
          </w:tcPr>
          <w:p>
            <w:pPr>
              <w:pStyle w:val="14"/>
            </w:pPr>
            <w:r>
              <w:t>自然资源海洋气象等支出</w:t>
            </w:r>
          </w:p>
        </w:tc>
        <w:tc>
          <w:tcPr>
            <w:tcW w:w="1134" w:type="dxa"/>
            <w:vAlign w:val="center"/>
          </w:tcPr>
          <w:p>
            <w:pPr>
              <w:pStyle w:val="13"/>
            </w:pPr>
            <w:r>
              <w:t>330000.00</w:t>
            </w:r>
          </w:p>
        </w:tc>
        <w:tc>
          <w:tcPr>
            <w:tcW w:w="1134" w:type="dxa"/>
            <w:vAlign w:val="center"/>
          </w:tcPr>
          <w:p>
            <w:pPr>
              <w:pStyle w:val="13"/>
            </w:pPr>
            <w:r>
              <w:t>330000.00</w:t>
            </w:r>
          </w:p>
        </w:tc>
        <w:tc>
          <w:tcPr>
            <w:tcW w:w="1134" w:type="dxa"/>
            <w:vAlign w:val="center"/>
          </w:tcPr>
          <w:p>
            <w:pPr>
              <w:pStyle w:val="13"/>
            </w:pPr>
            <w:r>
              <w:t>330000.00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22005</w:t>
            </w:r>
          </w:p>
        </w:tc>
        <w:tc>
          <w:tcPr>
            <w:tcW w:w="1559" w:type="dxa"/>
            <w:vAlign w:val="center"/>
          </w:tcPr>
          <w:p>
            <w:pPr>
              <w:pStyle w:val="14"/>
            </w:pPr>
            <w:r>
              <w:t>气象事务</w:t>
            </w:r>
          </w:p>
        </w:tc>
        <w:tc>
          <w:tcPr>
            <w:tcW w:w="1134" w:type="dxa"/>
            <w:vAlign w:val="center"/>
          </w:tcPr>
          <w:p>
            <w:pPr>
              <w:pStyle w:val="13"/>
            </w:pPr>
            <w:r>
              <w:t>330000.00</w:t>
            </w:r>
          </w:p>
        </w:tc>
        <w:tc>
          <w:tcPr>
            <w:tcW w:w="1134" w:type="dxa"/>
            <w:vAlign w:val="center"/>
          </w:tcPr>
          <w:p>
            <w:pPr>
              <w:pStyle w:val="13"/>
            </w:pPr>
            <w:r>
              <w:t>330000.00</w:t>
            </w:r>
          </w:p>
        </w:tc>
        <w:tc>
          <w:tcPr>
            <w:tcW w:w="1134" w:type="dxa"/>
            <w:vAlign w:val="center"/>
          </w:tcPr>
          <w:p>
            <w:pPr>
              <w:pStyle w:val="13"/>
            </w:pPr>
            <w:r>
              <w:t>330000.00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2200501</w:t>
            </w:r>
          </w:p>
        </w:tc>
        <w:tc>
          <w:tcPr>
            <w:tcW w:w="1559" w:type="dxa"/>
            <w:vAlign w:val="center"/>
          </w:tcPr>
          <w:p>
            <w:pPr>
              <w:pStyle w:val="14"/>
            </w:pPr>
            <w:r>
              <w:t>行政运行</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2200504</w:t>
            </w:r>
          </w:p>
        </w:tc>
        <w:tc>
          <w:tcPr>
            <w:tcW w:w="1559" w:type="dxa"/>
            <w:vAlign w:val="center"/>
          </w:tcPr>
          <w:p>
            <w:pPr>
              <w:pStyle w:val="14"/>
            </w:pPr>
            <w:r>
              <w:t>气象事业机构</w:t>
            </w:r>
          </w:p>
        </w:tc>
        <w:tc>
          <w:tcPr>
            <w:tcW w:w="1134" w:type="dxa"/>
            <w:vAlign w:val="center"/>
          </w:tcPr>
          <w:p>
            <w:pPr>
              <w:pStyle w:val="13"/>
            </w:pPr>
            <w:r>
              <w:t>40000.00</w:t>
            </w:r>
          </w:p>
        </w:tc>
        <w:tc>
          <w:tcPr>
            <w:tcW w:w="1134" w:type="dxa"/>
            <w:vAlign w:val="center"/>
          </w:tcPr>
          <w:p>
            <w:pPr>
              <w:pStyle w:val="13"/>
            </w:pPr>
            <w:r>
              <w:t>40000.00</w:t>
            </w:r>
          </w:p>
        </w:tc>
        <w:tc>
          <w:tcPr>
            <w:tcW w:w="1134" w:type="dxa"/>
            <w:vAlign w:val="center"/>
          </w:tcPr>
          <w:p>
            <w:pPr>
              <w:pStyle w:val="13"/>
            </w:pPr>
            <w:r>
              <w:t>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2200599</w:t>
            </w:r>
          </w:p>
        </w:tc>
        <w:tc>
          <w:tcPr>
            <w:tcW w:w="1559" w:type="dxa"/>
            <w:vAlign w:val="center"/>
          </w:tcPr>
          <w:p>
            <w:pPr>
              <w:pStyle w:val="14"/>
            </w:pPr>
            <w:r>
              <w:t>其他气象事务支出</w:t>
            </w:r>
          </w:p>
        </w:tc>
        <w:tc>
          <w:tcPr>
            <w:tcW w:w="1134" w:type="dxa"/>
            <w:vAlign w:val="center"/>
          </w:tcPr>
          <w:p>
            <w:pPr>
              <w:pStyle w:val="13"/>
            </w:pPr>
            <w:r>
              <w:t>90000.00</w:t>
            </w:r>
          </w:p>
        </w:tc>
        <w:tc>
          <w:tcPr>
            <w:tcW w:w="1134" w:type="dxa"/>
            <w:vAlign w:val="center"/>
          </w:tcPr>
          <w:p>
            <w:pPr>
              <w:pStyle w:val="13"/>
            </w:pPr>
            <w:r>
              <w:t>90000.00</w:t>
            </w:r>
          </w:p>
        </w:tc>
        <w:tc>
          <w:tcPr>
            <w:tcW w:w="1134" w:type="dxa"/>
            <w:vAlign w:val="center"/>
          </w:tcPr>
          <w:p>
            <w:pPr>
              <w:pStyle w:val="13"/>
            </w:pPr>
            <w:r>
              <w:t>90000.00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416馆陶县气象局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330000.00</w:t>
            </w:r>
          </w:p>
        </w:tc>
        <w:tc>
          <w:tcPr>
            <w:tcW w:w="1361" w:type="dxa"/>
            <w:vAlign w:val="center"/>
          </w:tcPr>
          <w:p>
            <w:pPr>
              <w:pStyle w:val="17"/>
            </w:pPr>
          </w:p>
        </w:tc>
        <w:tc>
          <w:tcPr>
            <w:tcW w:w="1361" w:type="dxa"/>
            <w:vAlign w:val="center"/>
          </w:tcPr>
          <w:p>
            <w:pPr>
              <w:pStyle w:val="17"/>
            </w:pPr>
            <w:r>
              <w:t>330000.00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220</w:t>
            </w:r>
          </w:p>
        </w:tc>
        <w:tc>
          <w:tcPr>
            <w:tcW w:w="4535" w:type="dxa"/>
            <w:vAlign w:val="center"/>
          </w:tcPr>
          <w:p>
            <w:pPr>
              <w:pStyle w:val="14"/>
            </w:pPr>
            <w:r>
              <w:t>自然资源海洋气象等支出</w:t>
            </w:r>
          </w:p>
        </w:tc>
        <w:tc>
          <w:tcPr>
            <w:tcW w:w="1361" w:type="dxa"/>
            <w:vAlign w:val="center"/>
          </w:tcPr>
          <w:p>
            <w:pPr>
              <w:pStyle w:val="13"/>
            </w:pPr>
            <w:r>
              <w:t>330000.00</w:t>
            </w:r>
          </w:p>
        </w:tc>
        <w:tc>
          <w:tcPr>
            <w:tcW w:w="1361" w:type="dxa"/>
            <w:vAlign w:val="center"/>
          </w:tcPr>
          <w:p>
            <w:pPr>
              <w:pStyle w:val="13"/>
            </w:pPr>
          </w:p>
        </w:tc>
        <w:tc>
          <w:tcPr>
            <w:tcW w:w="1361" w:type="dxa"/>
            <w:vAlign w:val="center"/>
          </w:tcPr>
          <w:p>
            <w:pPr>
              <w:pStyle w:val="13"/>
            </w:pPr>
            <w:r>
              <w:t>330000.00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22005</w:t>
            </w:r>
          </w:p>
        </w:tc>
        <w:tc>
          <w:tcPr>
            <w:tcW w:w="4535" w:type="dxa"/>
            <w:vAlign w:val="center"/>
          </w:tcPr>
          <w:p>
            <w:pPr>
              <w:pStyle w:val="14"/>
            </w:pPr>
            <w:r>
              <w:t>气象事务</w:t>
            </w:r>
          </w:p>
        </w:tc>
        <w:tc>
          <w:tcPr>
            <w:tcW w:w="1361" w:type="dxa"/>
            <w:vAlign w:val="center"/>
          </w:tcPr>
          <w:p>
            <w:pPr>
              <w:pStyle w:val="13"/>
            </w:pPr>
            <w:r>
              <w:t>330000.00</w:t>
            </w:r>
          </w:p>
        </w:tc>
        <w:tc>
          <w:tcPr>
            <w:tcW w:w="1361" w:type="dxa"/>
            <w:vAlign w:val="center"/>
          </w:tcPr>
          <w:p>
            <w:pPr>
              <w:pStyle w:val="13"/>
            </w:pPr>
          </w:p>
        </w:tc>
        <w:tc>
          <w:tcPr>
            <w:tcW w:w="1361" w:type="dxa"/>
            <w:vAlign w:val="center"/>
          </w:tcPr>
          <w:p>
            <w:pPr>
              <w:pStyle w:val="13"/>
            </w:pPr>
            <w:r>
              <w:t>330000.00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2200501</w:t>
            </w:r>
          </w:p>
        </w:tc>
        <w:tc>
          <w:tcPr>
            <w:tcW w:w="4535" w:type="dxa"/>
            <w:vAlign w:val="center"/>
          </w:tcPr>
          <w:p>
            <w:pPr>
              <w:pStyle w:val="14"/>
            </w:pPr>
            <w:r>
              <w:t>行政运行</w:t>
            </w: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2200504</w:t>
            </w:r>
          </w:p>
        </w:tc>
        <w:tc>
          <w:tcPr>
            <w:tcW w:w="4535" w:type="dxa"/>
            <w:vAlign w:val="center"/>
          </w:tcPr>
          <w:p>
            <w:pPr>
              <w:pStyle w:val="14"/>
            </w:pPr>
            <w:r>
              <w:t>气象事业机构</w:t>
            </w:r>
          </w:p>
        </w:tc>
        <w:tc>
          <w:tcPr>
            <w:tcW w:w="1361" w:type="dxa"/>
            <w:vAlign w:val="center"/>
          </w:tcPr>
          <w:p>
            <w:pPr>
              <w:pStyle w:val="13"/>
            </w:pPr>
            <w:r>
              <w:t>40000.00</w:t>
            </w:r>
          </w:p>
        </w:tc>
        <w:tc>
          <w:tcPr>
            <w:tcW w:w="1361" w:type="dxa"/>
            <w:vAlign w:val="center"/>
          </w:tcPr>
          <w:p>
            <w:pPr>
              <w:pStyle w:val="13"/>
            </w:pPr>
          </w:p>
        </w:tc>
        <w:tc>
          <w:tcPr>
            <w:tcW w:w="1361" w:type="dxa"/>
            <w:vAlign w:val="center"/>
          </w:tcPr>
          <w:p>
            <w:pPr>
              <w:pStyle w:val="13"/>
            </w:pPr>
            <w:r>
              <w:t>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2200599</w:t>
            </w:r>
          </w:p>
        </w:tc>
        <w:tc>
          <w:tcPr>
            <w:tcW w:w="4535" w:type="dxa"/>
            <w:vAlign w:val="center"/>
          </w:tcPr>
          <w:p>
            <w:pPr>
              <w:pStyle w:val="14"/>
            </w:pPr>
            <w:r>
              <w:t>其他气象事务支出</w:t>
            </w:r>
          </w:p>
        </w:tc>
        <w:tc>
          <w:tcPr>
            <w:tcW w:w="1361" w:type="dxa"/>
            <w:vAlign w:val="center"/>
          </w:tcPr>
          <w:p>
            <w:pPr>
              <w:pStyle w:val="13"/>
            </w:pPr>
            <w:r>
              <w:t>90000.00</w:t>
            </w:r>
          </w:p>
        </w:tc>
        <w:tc>
          <w:tcPr>
            <w:tcW w:w="1361" w:type="dxa"/>
            <w:vAlign w:val="center"/>
          </w:tcPr>
          <w:p>
            <w:pPr>
              <w:pStyle w:val="13"/>
            </w:pPr>
          </w:p>
        </w:tc>
        <w:tc>
          <w:tcPr>
            <w:tcW w:w="1361" w:type="dxa"/>
            <w:vAlign w:val="center"/>
          </w:tcPr>
          <w:p>
            <w:pPr>
              <w:pStyle w:val="13"/>
            </w:pPr>
            <w:r>
              <w:t>90000.00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416馆陶县气象局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330000.00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r>
              <w:t>330000.00</w:t>
            </w:r>
          </w:p>
        </w:tc>
        <w:tc>
          <w:tcPr>
            <w:tcW w:w="1474" w:type="dxa"/>
            <w:vAlign w:val="center"/>
          </w:tcPr>
          <w:p>
            <w:pPr>
              <w:pStyle w:val="13"/>
            </w:pPr>
            <w:r>
              <w:t>330000.00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330000.00</w:t>
            </w:r>
          </w:p>
        </w:tc>
        <w:tc>
          <w:tcPr>
            <w:tcW w:w="3402" w:type="dxa"/>
            <w:vAlign w:val="center"/>
          </w:tcPr>
          <w:p>
            <w:pPr>
              <w:pStyle w:val="16"/>
            </w:pPr>
            <w:r>
              <w:t>本年支出合计</w:t>
            </w:r>
          </w:p>
        </w:tc>
        <w:tc>
          <w:tcPr>
            <w:tcW w:w="1474" w:type="dxa"/>
            <w:vAlign w:val="center"/>
          </w:tcPr>
          <w:p>
            <w:pPr>
              <w:pStyle w:val="17"/>
            </w:pPr>
            <w:r>
              <w:t>330000.00</w:t>
            </w:r>
          </w:p>
        </w:tc>
        <w:tc>
          <w:tcPr>
            <w:tcW w:w="1474" w:type="dxa"/>
            <w:vAlign w:val="center"/>
          </w:tcPr>
          <w:p>
            <w:pPr>
              <w:pStyle w:val="17"/>
            </w:pPr>
            <w:r>
              <w:t>330000.00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330000.00</w:t>
            </w:r>
          </w:p>
        </w:tc>
        <w:tc>
          <w:tcPr>
            <w:tcW w:w="3402" w:type="dxa"/>
            <w:vAlign w:val="center"/>
          </w:tcPr>
          <w:p>
            <w:pPr>
              <w:pStyle w:val="16"/>
            </w:pPr>
            <w:r>
              <w:t>支出总计</w:t>
            </w:r>
          </w:p>
        </w:tc>
        <w:tc>
          <w:tcPr>
            <w:tcW w:w="1474" w:type="dxa"/>
            <w:vAlign w:val="center"/>
          </w:tcPr>
          <w:p>
            <w:pPr>
              <w:pStyle w:val="17"/>
            </w:pPr>
            <w:r>
              <w:t>330000.00</w:t>
            </w:r>
          </w:p>
        </w:tc>
        <w:tc>
          <w:tcPr>
            <w:tcW w:w="1474" w:type="dxa"/>
            <w:vAlign w:val="center"/>
          </w:tcPr>
          <w:p>
            <w:pPr>
              <w:pStyle w:val="17"/>
            </w:pPr>
            <w:r>
              <w:t>330000.00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416馆陶县气象局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330000.00</w:t>
            </w:r>
          </w:p>
        </w:tc>
        <w:tc>
          <w:tcPr>
            <w:tcW w:w="2551" w:type="dxa"/>
            <w:vAlign w:val="center"/>
          </w:tcPr>
          <w:p>
            <w:pPr>
              <w:pStyle w:val="17"/>
            </w:pPr>
          </w:p>
        </w:tc>
        <w:tc>
          <w:tcPr>
            <w:tcW w:w="2551" w:type="dxa"/>
            <w:vAlign w:val="center"/>
          </w:tcPr>
          <w:p>
            <w:pPr>
              <w:pStyle w:val="17"/>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220</w:t>
            </w:r>
          </w:p>
        </w:tc>
        <w:tc>
          <w:tcPr>
            <w:tcW w:w="4535" w:type="dxa"/>
            <w:vAlign w:val="center"/>
          </w:tcPr>
          <w:p>
            <w:pPr>
              <w:pStyle w:val="14"/>
            </w:pPr>
            <w:r>
              <w:t>自然资源海洋气象等支出</w:t>
            </w:r>
          </w:p>
        </w:tc>
        <w:tc>
          <w:tcPr>
            <w:tcW w:w="2551" w:type="dxa"/>
            <w:vAlign w:val="center"/>
          </w:tcPr>
          <w:p>
            <w:pPr>
              <w:pStyle w:val="13"/>
            </w:pPr>
            <w:r>
              <w:t>330000.00</w:t>
            </w:r>
          </w:p>
        </w:tc>
        <w:tc>
          <w:tcPr>
            <w:tcW w:w="2551" w:type="dxa"/>
            <w:vAlign w:val="center"/>
          </w:tcPr>
          <w:p>
            <w:pPr>
              <w:pStyle w:val="13"/>
            </w:pPr>
          </w:p>
        </w:tc>
        <w:tc>
          <w:tcPr>
            <w:tcW w:w="2551" w:type="dxa"/>
            <w:vAlign w:val="center"/>
          </w:tcPr>
          <w:p>
            <w:pPr>
              <w:pStyle w:val="13"/>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22005</w:t>
            </w:r>
          </w:p>
        </w:tc>
        <w:tc>
          <w:tcPr>
            <w:tcW w:w="4535" w:type="dxa"/>
            <w:vAlign w:val="center"/>
          </w:tcPr>
          <w:p>
            <w:pPr>
              <w:pStyle w:val="14"/>
            </w:pPr>
            <w:r>
              <w:t>气象事务</w:t>
            </w:r>
          </w:p>
        </w:tc>
        <w:tc>
          <w:tcPr>
            <w:tcW w:w="2551" w:type="dxa"/>
            <w:vAlign w:val="center"/>
          </w:tcPr>
          <w:p>
            <w:pPr>
              <w:pStyle w:val="13"/>
            </w:pPr>
            <w:r>
              <w:t>330000.00</w:t>
            </w:r>
          </w:p>
        </w:tc>
        <w:tc>
          <w:tcPr>
            <w:tcW w:w="2551" w:type="dxa"/>
            <w:vAlign w:val="center"/>
          </w:tcPr>
          <w:p>
            <w:pPr>
              <w:pStyle w:val="13"/>
            </w:pPr>
          </w:p>
        </w:tc>
        <w:tc>
          <w:tcPr>
            <w:tcW w:w="2551" w:type="dxa"/>
            <w:vAlign w:val="center"/>
          </w:tcPr>
          <w:p>
            <w:pPr>
              <w:pStyle w:val="13"/>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2200501</w:t>
            </w:r>
          </w:p>
        </w:tc>
        <w:tc>
          <w:tcPr>
            <w:tcW w:w="4535" w:type="dxa"/>
            <w:vAlign w:val="center"/>
          </w:tcPr>
          <w:p>
            <w:pPr>
              <w:pStyle w:val="14"/>
            </w:pPr>
            <w:r>
              <w:t>行政运行</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2200504</w:t>
            </w:r>
          </w:p>
        </w:tc>
        <w:tc>
          <w:tcPr>
            <w:tcW w:w="4535" w:type="dxa"/>
            <w:vAlign w:val="center"/>
          </w:tcPr>
          <w:p>
            <w:pPr>
              <w:pStyle w:val="14"/>
            </w:pPr>
            <w:r>
              <w:t>气象事业机构</w:t>
            </w:r>
          </w:p>
        </w:tc>
        <w:tc>
          <w:tcPr>
            <w:tcW w:w="2551" w:type="dxa"/>
            <w:vAlign w:val="center"/>
          </w:tcPr>
          <w:p>
            <w:pPr>
              <w:pStyle w:val="13"/>
            </w:pPr>
            <w:r>
              <w:t>40000.00</w:t>
            </w:r>
          </w:p>
        </w:tc>
        <w:tc>
          <w:tcPr>
            <w:tcW w:w="2551" w:type="dxa"/>
            <w:vAlign w:val="center"/>
          </w:tcPr>
          <w:p>
            <w:pPr>
              <w:pStyle w:val="13"/>
            </w:pPr>
          </w:p>
        </w:tc>
        <w:tc>
          <w:tcPr>
            <w:tcW w:w="2551"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2200599</w:t>
            </w:r>
          </w:p>
        </w:tc>
        <w:tc>
          <w:tcPr>
            <w:tcW w:w="4535" w:type="dxa"/>
            <w:vAlign w:val="center"/>
          </w:tcPr>
          <w:p>
            <w:pPr>
              <w:pStyle w:val="14"/>
            </w:pPr>
            <w:r>
              <w:t>其他气象事务支出</w:t>
            </w:r>
          </w:p>
        </w:tc>
        <w:tc>
          <w:tcPr>
            <w:tcW w:w="2551" w:type="dxa"/>
            <w:vAlign w:val="center"/>
          </w:tcPr>
          <w:p>
            <w:pPr>
              <w:pStyle w:val="13"/>
            </w:pPr>
            <w:r>
              <w:t>90000.00</w:t>
            </w:r>
          </w:p>
        </w:tc>
        <w:tc>
          <w:tcPr>
            <w:tcW w:w="2551" w:type="dxa"/>
            <w:vAlign w:val="center"/>
          </w:tcPr>
          <w:p>
            <w:pPr>
              <w:pStyle w:val="13"/>
            </w:pPr>
          </w:p>
        </w:tc>
        <w:tc>
          <w:tcPr>
            <w:tcW w:w="2551" w:type="dxa"/>
            <w:vAlign w:val="center"/>
          </w:tcPr>
          <w:p>
            <w:pPr>
              <w:pStyle w:val="13"/>
            </w:pPr>
            <w:r>
              <w:t>90000.00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416馆陶县气象局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416馆陶县气象局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416馆陶县气象局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416馆陶县气象局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馆陶县气象局2022年部门预算信息公开情况说明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w:t>
      </w:r>
      <w:bookmarkStart w:id="18" w:name="_GoBack"/>
      <w:bookmarkEnd w:id="18"/>
      <w:r>
        <w:rPr>
          <w:rFonts w:hint="eastAsia" w:eastAsia="方正仿宋_GBK" w:cs="Times New Roman"/>
          <w:color w:val="000000"/>
          <w:sz w:val="28"/>
        </w:rPr>
        <w:t>预算法</w:t>
      </w:r>
      <w:r>
        <w:rPr>
          <w:rFonts w:eastAsia="方正仿宋_GBK" w:cs="Times New Roman"/>
          <w:color w:val="000000"/>
          <w:sz w:val="28"/>
        </w:rPr>
        <w:t>》、《地方预决算公开操作规程》和《关于进一步推进预算公开工作的实施意见》规定，现将馆陶县气象局2022年部门预算公开如下：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一、部门年度发展规划目标</w:t>
      </w:r>
    </w:p>
    <w:p>
      <w:pPr>
        <w:pStyle w:val="19"/>
      </w:pPr>
      <w:r>
        <w:t>认真贯彻党的十九大精神，以习近平新时代中国特色社会主义思想为指导， 全面贯彻落实县委县政府的工作部署以及全市气象局长会议精神，全面深化气象改革，大力发展安全气象、民生气象、经济气象、生态气象，推进气象业务现代化、气象服务社会化、气象工作法治化，不断增强气象综合实力、气象创新活力和气象工作影响力。</w:t>
      </w:r>
    </w:p>
    <w:p>
      <w:pPr>
        <w:pStyle w:val="19"/>
      </w:pPr>
      <w:r>
        <w:t>（一）加强气象业务现代化建设，进一步提升气象服务水平</w:t>
      </w:r>
    </w:p>
    <w:p>
      <w:pPr>
        <w:pStyle w:val="19"/>
      </w:pPr>
      <w:r>
        <w:t>提高天气预报的精细化程度和提升预报水平，优化观测站网布局，完善综合气象观测系统，提升综合气象观测能力。继续推进覆盖全县城乡气象观测网建设，同时，建成高质量的气象数据系统，积极推进信息网络系统与时俱进的发展。</w:t>
      </w:r>
    </w:p>
    <w:p>
      <w:pPr>
        <w:pStyle w:val="19"/>
      </w:pPr>
      <w:r>
        <w:t>强化大气污染防治气象服务，加强空中云水资源开发利用，优化人工增雨（雪）防雹业务布局，完善人工影响天气作业指挥系统，提高人工影响天气装备保障水平和作业能力。</w:t>
      </w:r>
    </w:p>
    <w:p>
      <w:pPr>
        <w:pStyle w:val="19"/>
      </w:pPr>
      <w:r>
        <w:t>加强气象决策服务、公众服务、为农服务力度。提高决策气象服务针对性、敏感性、综合性和时效性；丰富气象服务产品，提高公众满意度；提高重大活动气象保障服务能力，提升气象保障经济发展的能力。完善农业气象服务体系，强化基层气象服务组织建设，大力提升面向现代农业和新型农业经营主体的直通式服务能力。</w:t>
      </w:r>
    </w:p>
    <w:p>
      <w:pPr>
        <w:pStyle w:val="19"/>
      </w:pPr>
      <w:r>
        <w:t>（二）完善防灾减灾组织体系，大力提升气象防灾减灾能力</w:t>
      </w:r>
    </w:p>
    <w:p>
      <w:pPr>
        <w:pStyle w:val="19"/>
      </w:pPr>
      <w:r>
        <w:t>完善“政府主导、部门联动、社会参与”的气象灾害防御机制，建成自上而下、覆盖城乡的气象灾害防御组织体系，不断完善气象灾害应急响应体系。积极履行县气象灾害应急防御指挥部在防范气象灾害中的职责，加强气象灾害风险调查和隐患排查, 强化对主要灾种的气象灾害风险评估和风险预警服务，全面实施气象灾害风险管理。建立预警信息快速发布和运行管理制度, 建成横向联接各部门，相互衔接、规范统一的突发事件预警发布系统，扩大气象预警信息公众覆盖面。制订完善的气象灾害应急预案，开展气象信息员队伍建设和培训工作。完善气象法律法规和标准体系，依法行政，加强行业管理，开展防灾减灾纯净管理、应急管理和科普宣传。</w:t>
      </w:r>
    </w:p>
    <w:p>
      <w:pPr>
        <w:pStyle w:val="19"/>
      </w:pPr>
      <w:r>
        <w:t>（三）加快现代气象观测系统建设</w:t>
      </w:r>
    </w:p>
    <w:p>
      <w:pPr>
        <w:pStyle w:val="19"/>
      </w:pPr>
      <w:r>
        <w:t>完善气候观测网，实现对本地基本气候状态和气候变化事实的连续、高精度观测。优化天气观测网，在天气关键区加密布设观测站点，重点提升垂直观测能力，实现对天气的立体化、高覆盖观测。</w:t>
      </w:r>
    </w:p>
    <w:p>
      <w:pPr>
        <w:pStyle w:val="19"/>
      </w:pPr>
      <w:r>
        <w:t>二、部门职责分类绩效目标</w:t>
      </w:r>
    </w:p>
    <w:p>
      <w:pPr>
        <w:pStyle w:val="19"/>
      </w:pPr>
      <w:r>
        <w:t>（一）气象服务职责绩效目标：推进信息发布系统建设，积极拓宽预警信息传播渠道，着力健全预警联动工作机制，努力做到监测到位、预报准确、预警及时、发布畅通、应对高效，最大程度减轻灾害损失，为经济社会发展创造良好条件。在天气条件允许的情况下，积极开展人工增雨（雪）作业；组织全体人影指挥和作业人员参加人工影响天气作业上岗培训和在岗复训培训；加强河北省人影三级作业指挥系统的应用并稳定运行，推进人工影响天气管理信息规范化建设；切实做好作业前的装备年检、日常维护保养、安全生产检查等工作，彻底消除安全事故隐患；严格执行人影作业各项安全管理制度。</w:t>
      </w:r>
    </w:p>
    <w:p>
      <w:pPr>
        <w:pStyle w:val="19"/>
      </w:pPr>
      <w:r>
        <w:t>（二）防灾减灾职责绩效目标：发挥气象监测站网体系作用，依法及时、准确发布气象灾害预警信息，着力提升气象灾害预警信号准确率和提前量；发挥气象灾害应急防御指挥部职作用，及时有效组织实施气象灾害应急预案；准确确定气象灾害风险发生区域，制定和组织实施气象灾害风险防范措施。</w:t>
      </w:r>
    </w:p>
    <w:p>
      <w:pPr>
        <w:pStyle w:val="19"/>
      </w:pPr>
      <w:r>
        <w:t>（三）气象观测系统建设职责绩效目标：优化区域气象灾害观测网布局，站点空间分辨率达到10公里。完善气象装备保障业务系统，气象观测站网实时运行率达95%，气象观测数据可用率达99%。</w:t>
      </w:r>
    </w:p>
    <w:p>
      <w:pPr>
        <w:pStyle w:val="19"/>
      </w:pPr>
      <w:r>
        <w:t>三、实现年度发展规划目标的保障措施</w:t>
      </w:r>
    </w:p>
    <w:p>
      <w:pPr>
        <w:pStyle w:val="19"/>
      </w:pPr>
      <w:r>
        <w:t>（一）加强现有气象观测站网维护</w:t>
      </w:r>
    </w:p>
    <w:p>
      <w:pPr>
        <w:pStyle w:val="19"/>
      </w:pPr>
      <w:r>
        <w:t>1.建设完善的气象灾害监测站网，提升气象灾害立体监测能力和水平；</w:t>
      </w:r>
    </w:p>
    <w:p>
      <w:pPr>
        <w:pStyle w:val="19"/>
      </w:pPr>
      <w:r>
        <w:t>2.保障全县气象灾害监测站网和气象通信网络正常运行；</w:t>
      </w:r>
    </w:p>
    <w:p>
      <w:pPr>
        <w:pStyle w:val="19"/>
      </w:pPr>
      <w:r>
        <w:t>3.建立气象灾害预报指标体系和预报预警业务系统，开展气象灾害分区、分级预警；</w:t>
      </w:r>
    </w:p>
    <w:p>
      <w:pPr>
        <w:pStyle w:val="19"/>
      </w:pPr>
      <w:r>
        <w:t>4.建立突发事件预警信息发布系统，维持播发设施正常运行，实现预警信息发得出、传得快、收得到。</w:t>
      </w:r>
    </w:p>
    <w:p>
      <w:pPr>
        <w:pStyle w:val="19"/>
      </w:pPr>
      <w:r>
        <w:t>（二）制定完善气象灾害应急预案</w:t>
      </w:r>
    </w:p>
    <w:p>
      <w:pPr>
        <w:pStyle w:val="19"/>
      </w:pPr>
      <w:r>
        <w:t>1.开展应急演练。</w:t>
      </w:r>
    </w:p>
    <w:p>
      <w:pPr>
        <w:pStyle w:val="19"/>
      </w:pPr>
      <w:r>
        <w:t>2.建立完善省、市、县三级联动的气象灾害防御、应急指挥，做好突发事件气象保障服务。</w:t>
      </w:r>
    </w:p>
    <w:p>
      <w:pPr>
        <w:pStyle w:val="19"/>
      </w:pPr>
      <w:r>
        <w:t>（三）全面做好决策、公众、农业气象服务工作</w:t>
      </w:r>
    </w:p>
    <w:p>
      <w:pPr>
        <w:pStyle w:val="19"/>
      </w:pPr>
      <w:r>
        <w:t>1.决策气象服务。</w:t>
      </w:r>
    </w:p>
    <w:p>
      <w:pPr>
        <w:pStyle w:val="19"/>
      </w:pPr>
      <w:r>
        <w:t>2.公众气象服务。</w:t>
      </w:r>
    </w:p>
    <w:p>
      <w:pPr>
        <w:pStyle w:val="19"/>
      </w:pPr>
      <w:r>
        <w:t>3.农业气象服务。</w:t>
      </w:r>
    </w:p>
    <w:p>
      <w:pPr>
        <w:pStyle w:val="19"/>
      </w:pPr>
      <w:r>
        <w:t>（四）全面加强党的建设，打造高素质专业化干部队伍</w:t>
      </w:r>
    </w:p>
    <w:p>
      <w:pPr>
        <w:pStyle w:val="19"/>
      </w:pPr>
      <w:r>
        <w:t>1.全面落实</w:t>
      </w:r>
      <w:r>
        <w:rPr>
          <w:rFonts w:hint="eastAsia"/>
          <w:lang w:eastAsia="zh-CN"/>
        </w:rPr>
        <w:t>党的</w:t>
      </w:r>
      <w:r>
        <w:t>十九大精神。</w:t>
      </w:r>
    </w:p>
    <w:p>
      <w:pPr>
        <w:pStyle w:val="19"/>
      </w:pPr>
      <w:r>
        <w:t>2.全面加强党的政治建设。</w:t>
      </w:r>
    </w:p>
    <w:p>
      <w:pPr>
        <w:pStyle w:val="19"/>
      </w:pPr>
      <w:r>
        <w:t>3.全面加强党风廉政建设。</w:t>
      </w:r>
    </w:p>
    <w:p>
      <w:pPr>
        <w:pStyle w:val="19"/>
      </w:pPr>
      <w:r>
        <w:t>4.全面加强法治建设。</w:t>
      </w:r>
    </w:p>
    <w:p>
      <w:pPr>
        <w:pStyle w:val="19"/>
      </w:pPr>
      <w:r>
        <w:t>5.全面加强信息化建设。</w:t>
      </w:r>
    </w:p>
    <w:p>
      <w:pPr>
        <w:pStyle w:val="19"/>
      </w:pPr>
      <w:r>
        <w:t>6.全面加强队伍能力建设。</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馆陶县气象局机关</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按照预算管理有关规定，目前我省部门预算的编制实行综合预算管理，即全部收入和支出都反映在预算中。馆陶县气象局机关及所属事业单位的收支包含在部门预算中。</w:t>
      </w:r>
    </w:p>
    <w:p>
      <w:pPr>
        <w:pStyle w:val="20"/>
      </w:pPr>
      <w:r>
        <w:t>1、收入说明</w:t>
      </w:r>
    </w:p>
    <w:p>
      <w:pPr>
        <w:pStyle w:val="20"/>
      </w:pPr>
      <w:r>
        <w:t>反映本部门当年全部收入。2022年预算收入33万元，其中：一般公共预算收入33万元，政府性基金预算收入33万元，国有资本经营预算收入0万元，财政专户核拨收入0万元，单位资金收入0万元，上年结转结余0万元。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收支预算总表支出栏、基本支出表、项目支出表按经济分类和支出功能分类科目编制，反映河北省馆陶县</w:t>
      </w:r>
      <w:r>
        <w:rPr>
          <w:rFonts w:hint="eastAsia"/>
          <w:lang w:eastAsia="zh-CN"/>
        </w:rPr>
        <w:t>气象</w:t>
      </w:r>
      <w:r>
        <w:t>局2022年度</w:t>
      </w:r>
      <w:r>
        <w:rPr>
          <w:rFonts w:hint="eastAsia"/>
          <w:lang w:eastAsia="zh-CN"/>
        </w:rPr>
        <w:t>部门</w:t>
      </w:r>
      <w:r>
        <w:t>预算中支出预算的总体情况。2022年支出预算33万元，其中基本支出0万元；项目支出33万元。</w:t>
      </w:r>
    </w:p>
    <w:p>
      <w:pPr>
        <w:pStyle w:val="20"/>
      </w:pPr>
      <w:r>
        <w:t>3、比上年增减情况</w:t>
      </w:r>
    </w:p>
    <w:p>
      <w:pPr>
        <w:pStyle w:val="20"/>
      </w:pPr>
      <w:r>
        <w:t>2022年预算收支安排33万元，较2021年预算</w:t>
      </w:r>
      <w:r>
        <w:rPr>
          <w:rFonts w:hint="eastAsia"/>
          <w:lang w:eastAsia="zh-CN"/>
        </w:rPr>
        <w:t>持平，无增减变化</w:t>
      </w:r>
      <w:r>
        <w:t>。</w:t>
      </w: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rPr>
          <w:rFonts w:hint="default" w:eastAsia="方正仿宋_GBK"/>
          <w:lang w:val="en-US" w:eastAsia="zh-CN"/>
        </w:rPr>
      </w:pPr>
      <w:r>
        <w:t>馆陶县气象局2022年预算机关运行经费安排</w:t>
      </w:r>
      <w:r>
        <w:rPr>
          <w:rFonts w:hint="eastAsia"/>
          <w:lang w:val="en-US" w:eastAsia="zh-CN"/>
        </w:rPr>
        <w:t>0</w:t>
      </w:r>
      <w:r>
        <w:rPr>
          <w:rFonts w:hint="eastAsia"/>
          <w:lang w:eastAsia="zh-CN"/>
        </w:rPr>
        <w:t>万元</w:t>
      </w:r>
      <w:r>
        <w:t>。</w:t>
      </w:r>
      <w:r>
        <w:rPr>
          <w:rFonts w:hint="eastAsia"/>
          <w:lang w:val="en-US" w:eastAsia="zh-CN"/>
        </w:rPr>
        <w:t>机关运行经费由中央财政资金保障。</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馆陶县气象局2022年财政拨款“三公经费”预算情况：2022年预算安排为零，与上年无变化。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陶县气象局绩效文本信息</w:t>
      </w:r>
    </w:p>
    <w:p>
      <w:pPr>
        <w:pStyle w:val="23"/>
      </w:pPr>
    </w:p>
    <w:p>
      <w:pPr>
        <w:pStyle w:val="23"/>
      </w:pPr>
      <w:r>
        <w:t>一、总体绩效目标</w:t>
      </w:r>
    </w:p>
    <w:p>
      <w:pPr>
        <w:pStyle w:val="23"/>
      </w:pPr>
      <w:r>
        <w:t>到2022年，建成结构完善、布局科学、功能先进，满足馆陶县地方需求和河北气象事业发展要求的气象现代化体系，馆陶县气象防灾减灾能力提高，民众气象防灾减灾意识明显增强，气象灾害监测预报预警准确率和精细化程度明显提高，气象服务领域更加广泛。</w:t>
      </w:r>
    </w:p>
    <w:p>
      <w:pPr>
        <w:pStyle w:val="23"/>
      </w:pPr>
      <w:r>
        <w:t>二、分项绩效目标</w:t>
      </w:r>
    </w:p>
    <w:p>
      <w:pPr>
        <w:pStyle w:val="23"/>
      </w:pPr>
      <w:r>
        <w:t>（一）提高气象灾害防御能力</w:t>
      </w:r>
    </w:p>
    <w:p>
      <w:pPr>
        <w:pStyle w:val="23"/>
      </w:pPr>
      <w:r>
        <w:t>绩效目标：保证突发事件预警信息接收与传播畅通</w:t>
      </w:r>
    </w:p>
    <w:p>
      <w:pPr>
        <w:pStyle w:val="23"/>
      </w:pPr>
      <w:r>
        <w:t>绩效指标：全年观测设备稳定运行天数占总运行天数的95%以上，传输能力对业务需求的保障率在95%以上。</w:t>
      </w:r>
    </w:p>
    <w:p>
      <w:pPr>
        <w:pStyle w:val="23"/>
      </w:pPr>
      <w:r>
        <w:t>（二）全面提升气象服务水平</w:t>
      </w:r>
    </w:p>
    <w:p>
      <w:pPr>
        <w:pStyle w:val="23"/>
      </w:pPr>
      <w:r>
        <w:t>绩效目标：提高我县农业防灾减灾气象服务水平，提升气象保障经济发展的能力</w:t>
      </w:r>
    </w:p>
    <w:p>
      <w:pPr>
        <w:pStyle w:val="23"/>
      </w:pPr>
      <w:r>
        <w:t>绩效指标：农业气象服务专题报告期数大于12期。农业气象灾害预报准确率大于80%。</w:t>
      </w:r>
    </w:p>
    <w:p>
      <w:pPr>
        <w:pStyle w:val="23"/>
      </w:pPr>
      <w:r>
        <w:t>（三）增强气象政务管理</w:t>
      </w:r>
    </w:p>
    <w:p>
      <w:pPr>
        <w:pStyle w:val="23"/>
      </w:pPr>
      <w:r>
        <w:t>绩效目标：依法依规完成地方气象法律法规、标准建设，气象行政执法、地方气象行业管理、履行行政许可等工作任务</w:t>
      </w:r>
    </w:p>
    <w:p>
      <w:pPr>
        <w:pStyle w:val="23"/>
      </w:pPr>
      <w:r>
        <w:t>绩效指标：对县重点灾害防御单位开展气象灾害防御督导检查的完成率为100%，气象科普覆盖率大于80%。</w:t>
      </w:r>
    </w:p>
    <w:p>
      <w:pPr>
        <w:pStyle w:val="23"/>
      </w:pPr>
      <w:r>
        <w:t>三、工作保障措施</w:t>
      </w:r>
    </w:p>
    <w:p>
      <w:pPr>
        <w:pStyle w:val="23"/>
      </w:pPr>
      <w:r>
        <w:t>1、对重大灾害性天气跨地区、跨部门联合监测、预报，及时提出防御措施；对重大气象灾害做出风险评估，为政府组织防御提供决策依据，组织区域内气象灾害防御应急管理工作，负责突发公共事件气象保障工作；</w:t>
      </w:r>
    </w:p>
    <w:p>
      <w:pPr>
        <w:pStyle w:val="23"/>
      </w:pPr>
      <w:r>
        <w:t>2、向本区域内提供公共气象服务。发布公众气象预报、灾害性天气预计以及农业气象预报、城市环境气象预报、火险气象等级预报等专业气象预报。制定人工影响天气作业方案，组织实施人工影响天气作业。</w:t>
      </w:r>
    </w:p>
    <w:p>
      <w:pPr>
        <w:pStyle w:val="23"/>
      </w:pPr>
      <w:r>
        <w:t>3、完善气象法律法规和标准体系，依法行政，加强行业管理，开展防灾减灾绩效管理、应急管理和科普宣传。</w:t>
      </w:r>
    </w:p>
    <w:p>
      <w:pPr>
        <w:spacing w:line="500" w:lineRule="exact"/>
        <w:ind w:firstLine="560"/>
      </w:pPr>
      <w:r>
        <w:rPr>
          <w:rFonts w:eastAsia="方正仿宋_GBK" w:cs="Times New Roman"/>
          <w:color w:val="000000"/>
          <w:sz w:val="28"/>
        </w:rPr>
        <w:t>（二）分项绩效目标</w:t>
      </w:r>
    </w:p>
    <w:p>
      <w:pPr>
        <w:pStyle w:val="24"/>
      </w:pPr>
    </w:p>
    <w:p>
      <w:pPr>
        <w:spacing w:line="500" w:lineRule="exact"/>
        <w:ind w:firstLine="560"/>
      </w:pPr>
      <w:r>
        <w:rPr>
          <w:rFonts w:eastAsia="方正仿宋_GBK" w:cs="Times New Roman"/>
          <w:color w:val="000000"/>
          <w:sz w:val="28"/>
        </w:rPr>
        <w:t>（三）工作保障措施</w:t>
      </w:r>
    </w:p>
    <w:p>
      <w:pPr>
        <w:pStyle w:val="25"/>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1、气象服务经费绩效目标表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1.为县委县政府及相关部门及时提供重大气象灾害的决策服务。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全年进行人工影响天气作业的覆盖情况</w:t>
            </w:r>
          </w:p>
        </w:tc>
        <w:tc>
          <w:tcPr>
            <w:tcW w:w="2551" w:type="dxa"/>
            <w:vAlign w:val="center"/>
          </w:tcPr>
          <w:p>
            <w:pPr>
              <w:pStyle w:val="14"/>
            </w:pPr>
            <w:r>
              <w:t>100%</w:t>
            </w:r>
          </w:p>
        </w:tc>
        <w:tc>
          <w:tcPr>
            <w:tcW w:w="2268" w:type="dxa"/>
            <w:vAlign w:val="center"/>
          </w:tcPr>
          <w:p>
            <w:pPr>
              <w:pStyle w:val="14"/>
            </w:pPr>
            <w:r>
              <w:t>《人工影响天气业务经费管理办法》气发【018】118号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优良率</w:t>
            </w:r>
          </w:p>
        </w:tc>
        <w:tc>
          <w:tcPr>
            <w:tcW w:w="2835" w:type="dxa"/>
            <w:vAlign w:val="center"/>
          </w:tcPr>
          <w:p>
            <w:pPr>
              <w:pStyle w:val="14"/>
            </w:pPr>
            <w:r>
              <w:t>人工影响天气作业的成功率</w:t>
            </w:r>
          </w:p>
        </w:tc>
        <w:tc>
          <w:tcPr>
            <w:tcW w:w="2551" w:type="dxa"/>
            <w:vAlign w:val="center"/>
          </w:tcPr>
          <w:p>
            <w:pPr>
              <w:pStyle w:val="14"/>
            </w:pPr>
            <w:r>
              <w:t>100%</w:t>
            </w:r>
          </w:p>
        </w:tc>
        <w:tc>
          <w:tcPr>
            <w:tcW w:w="2268" w:type="dxa"/>
            <w:vAlign w:val="center"/>
          </w:tcPr>
          <w:p>
            <w:pPr>
              <w:pStyle w:val="14"/>
            </w:pPr>
            <w:r>
              <w:t>《人工影响天气业务经费管理办法》气发【018】118号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提供信息的及时性</w:t>
            </w:r>
          </w:p>
        </w:tc>
        <w:tc>
          <w:tcPr>
            <w:tcW w:w="2835" w:type="dxa"/>
            <w:vAlign w:val="center"/>
          </w:tcPr>
          <w:p>
            <w:pPr>
              <w:pStyle w:val="14"/>
            </w:pPr>
            <w:r>
              <w:t>发布人影作业公告信息提前时间（小时）</w:t>
            </w:r>
          </w:p>
        </w:tc>
        <w:tc>
          <w:tcPr>
            <w:tcW w:w="2551" w:type="dxa"/>
            <w:vAlign w:val="center"/>
          </w:tcPr>
          <w:p>
            <w:pPr>
              <w:pStyle w:val="14"/>
            </w:pPr>
            <w:r>
              <w:t>≤6小时</w:t>
            </w:r>
          </w:p>
        </w:tc>
        <w:tc>
          <w:tcPr>
            <w:tcW w:w="2268" w:type="dxa"/>
            <w:vAlign w:val="center"/>
          </w:tcPr>
          <w:p>
            <w:pPr>
              <w:pStyle w:val="14"/>
            </w:pPr>
            <w:r>
              <w:t>《人工影响天气业务经费管理办法》气发【018】118号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服务期内成本控制</w:t>
            </w:r>
          </w:p>
        </w:tc>
        <w:tc>
          <w:tcPr>
            <w:tcW w:w="2835" w:type="dxa"/>
            <w:vAlign w:val="center"/>
          </w:tcPr>
          <w:p>
            <w:pPr>
              <w:pStyle w:val="14"/>
            </w:pPr>
            <w:r>
              <w:t>服务期内成本严格按照预算控制数</w:t>
            </w:r>
          </w:p>
        </w:tc>
        <w:tc>
          <w:tcPr>
            <w:tcW w:w="2551" w:type="dxa"/>
            <w:vAlign w:val="center"/>
          </w:tcPr>
          <w:p>
            <w:pPr>
              <w:pStyle w:val="14"/>
            </w:pPr>
            <w:r>
              <w:t>≤20万</w:t>
            </w:r>
          </w:p>
        </w:tc>
        <w:tc>
          <w:tcPr>
            <w:tcW w:w="2268" w:type="dxa"/>
            <w:vAlign w:val="center"/>
          </w:tcPr>
          <w:p>
            <w:pPr>
              <w:pStyle w:val="14"/>
            </w:pPr>
            <w:r>
              <w:t>《人工影响天气业务经费管理办法》气发【018】118号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在人工影响天气作用下，改善空气质量、降低森林火险的重要影响，得到广大受众的充分认可。</w:t>
            </w:r>
          </w:p>
        </w:tc>
        <w:tc>
          <w:tcPr>
            <w:tcW w:w="2551" w:type="dxa"/>
            <w:vAlign w:val="center"/>
          </w:tcPr>
          <w:p>
            <w:pPr>
              <w:pStyle w:val="14"/>
            </w:pPr>
            <w:r>
              <w:t>≥90%</w:t>
            </w:r>
          </w:p>
        </w:tc>
        <w:tc>
          <w:tcPr>
            <w:tcW w:w="2268" w:type="dxa"/>
            <w:vAlign w:val="center"/>
          </w:tcPr>
          <w:p>
            <w:pPr>
              <w:pStyle w:val="14"/>
            </w:pPr>
            <w:r>
              <w:t>《人工影响天气业务经费管理办法》气发【018】118号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人工影响天气作业对国民经济发展的贡献率</w:t>
            </w:r>
          </w:p>
        </w:tc>
        <w:tc>
          <w:tcPr>
            <w:tcW w:w="2835" w:type="dxa"/>
            <w:vAlign w:val="center"/>
          </w:tcPr>
          <w:p>
            <w:pPr>
              <w:pStyle w:val="14"/>
            </w:pPr>
            <w:r>
              <w:t>增加降水，为农业发展提供有力保障</w:t>
            </w:r>
          </w:p>
        </w:tc>
        <w:tc>
          <w:tcPr>
            <w:tcW w:w="2551" w:type="dxa"/>
            <w:vAlign w:val="center"/>
          </w:tcPr>
          <w:p>
            <w:pPr>
              <w:pStyle w:val="14"/>
            </w:pPr>
            <w:r>
              <w:t>≥90%</w:t>
            </w:r>
          </w:p>
        </w:tc>
        <w:tc>
          <w:tcPr>
            <w:tcW w:w="2268" w:type="dxa"/>
            <w:vAlign w:val="center"/>
          </w:tcPr>
          <w:p>
            <w:pPr>
              <w:pStyle w:val="14"/>
            </w:pPr>
            <w:r>
              <w:t>《人工影响天气业务经费管理办法》气发【018】118号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能够长期较好地开展人工影响天气作业，对增加降水率，改善空气质量起到良好作用。</w:t>
            </w:r>
          </w:p>
        </w:tc>
        <w:tc>
          <w:tcPr>
            <w:tcW w:w="2551" w:type="dxa"/>
            <w:vAlign w:val="center"/>
          </w:tcPr>
          <w:p>
            <w:pPr>
              <w:pStyle w:val="14"/>
            </w:pPr>
            <w:r>
              <w:t>≤100%</w:t>
            </w:r>
          </w:p>
        </w:tc>
        <w:tc>
          <w:tcPr>
            <w:tcW w:w="2268" w:type="dxa"/>
            <w:vAlign w:val="center"/>
          </w:tcPr>
          <w:p>
            <w:pPr>
              <w:pStyle w:val="14"/>
            </w:pPr>
            <w:r>
              <w:t>部门年度统计报告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群众对人工影响天气整体满意度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2、地方气象服务运行保障资金绩效目标表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1.各台站气象资料传输率和计算机通信网络正常运行保障率达标。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八个乡镇覆盖情况</w:t>
            </w:r>
          </w:p>
        </w:tc>
        <w:tc>
          <w:tcPr>
            <w:tcW w:w="2835" w:type="dxa"/>
            <w:vAlign w:val="center"/>
          </w:tcPr>
          <w:p>
            <w:pPr>
              <w:pStyle w:val="14"/>
            </w:pPr>
            <w:r>
              <w:t>全县区域站覆盖情况</w:t>
            </w:r>
          </w:p>
        </w:tc>
        <w:tc>
          <w:tcPr>
            <w:tcW w:w="2551" w:type="dxa"/>
            <w:vAlign w:val="center"/>
          </w:tcPr>
          <w:p>
            <w:pPr>
              <w:pStyle w:val="14"/>
            </w:pPr>
            <w:r>
              <w:t>100%</w:t>
            </w:r>
          </w:p>
        </w:tc>
        <w:tc>
          <w:tcPr>
            <w:tcW w:w="2268" w:type="dxa"/>
            <w:vAlign w:val="center"/>
          </w:tcPr>
          <w:p>
            <w:pPr>
              <w:pStyle w:val="14"/>
            </w:pPr>
            <w:r>
              <w:t>计划标准-观测司关于综合气象观测业务质量考核任务的文件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优良率</w:t>
            </w:r>
          </w:p>
        </w:tc>
        <w:tc>
          <w:tcPr>
            <w:tcW w:w="2835" w:type="dxa"/>
            <w:vAlign w:val="center"/>
          </w:tcPr>
          <w:p>
            <w:pPr>
              <w:pStyle w:val="14"/>
            </w:pPr>
            <w:r>
              <w:t>区域站设备运行良好</w:t>
            </w:r>
          </w:p>
        </w:tc>
        <w:tc>
          <w:tcPr>
            <w:tcW w:w="2551" w:type="dxa"/>
            <w:vAlign w:val="center"/>
          </w:tcPr>
          <w:p>
            <w:pPr>
              <w:pStyle w:val="14"/>
            </w:pPr>
            <w:r>
              <w:t>≥99%</w:t>
            </w:r>
          </w:p>
        </w:tc>
        <w:tc>
          <w:tcPr>
            <w:tcW w:w="2268" w:type="dxa"/>
            <w:vAlign w:val="center"/>
          </w:tcPr>
          <w:p>
            <w:pPr>
              <w:pStyle w:val="14"/>
            </w:pPr>
            <w:r>
              <w:t>计划标准同上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提供信息的及时性</w:t>
            </w:r>
          </w:p>
        </w:tc>
        <w:tc>
          <w:tcPr>
            <w:tcW w:w="2835" w:type="dxa"/>
            <w:vAlign w:val="center"/>
          </w:tcPr>
          <w:p>
            <w:pPr>
              <w:pStyle w:val="14"/>
            </w:pPr>
            <w:r>
              <w:t>发布预警信息息提前时间（小时）</w:t>
            </w:r>
          </w:p>
        </w:tc>
        <w:tc>
          <w:tcPr>
            <w:tcW w:w="2551" w:type="dxa"/>
            <w:vAlign w:val="center"/>
          </w:tcPr>
          <w:p>
            <w:pPr>
              <w:pStyle w:val="14"/>
            </w:pPr>
            <w:r>
              <w:t>≤6小时</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服务期限内成本控制数</w:t>
            </w:r>
          </w:p>
        </w:tc>
        <w:tc>
          <w:tcPr>
            <w:tcW w:w="2835" w:type="dxa"/>
            <w:vAlign w:val="center"/>
          </w:tcPr>
          <w:p>
            <w:pPr>
              <w:pStyle w:val="14"/>
            </w:pPr>
            <w:r>
              <w:t xml:space="preserve"> 服务期内 成本控制数</w:t>
            </w:r>
          </w:p>
        </w:tc>
        <w:tc>
          <w:tcPr>
            <w:tcW w:w="2551" w:type="dxa"/>
            <w:vAlign w:val="center"/>
          </w:tcPr>
          <w:p>
            <w:pPr>
              <w:pStyle w:val="14"/>
            </w:pPr>
            <w:r>
              <w:t>≤9万</w:t>
            </w:r>
          </w:p>
        </w:tc>
        <w:tc>
          <w:tcPr>
            <w:tcW w:w="2268" w:type="dxa"/>
            <w:vAlign w:val="center"/>
          </w:tcPr>
          <w:p>
            <w:pPr>
              <w:pStyle w:val="14"/>
            </w:pPr>
            <w:r>
              <w:t>业务操作调查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长期使用性</w:t>
            </w:r>
          </w:p>
        </w:tc>
        <w:tc>
          <w:tcPr>
            <w:tcW w:w="2835" w:type="dxa"/>
            <w:vAlign w:val="center"/>
          </w:tcPr>
          <w:p>
            <w:pPr>
              <w:pStyle w:val="14"/>
            </w:pPr>
            <w:r>
              <w:t>能够长期较好地开展预报预警，长期满足人民群众对成功避险的需求。</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带动社会资金投资比</w:t>
            </w:r>
          </w:p>
        </w:tc>
        <w:tc>
          <w:tcPr>
            <w:tcW w:w="2835" w:type="dxa"/>
            <w:vAlign w:val="center"/>
          </w:tcPr>
          <w:p>
            <w:pPr>
              <w:pStyle w:val="14"/>
            </w:pPr>
            <w:r>
              <w:t>突发性天气及时预警，避免经济损失。</w:t>
            </w:r>
          </w:p>
        </w:tc>
        <w:tc>
          <w:tcPr>
            <w:tcW w:w="2551" w:type="dxa"/>
            <w:vAlign w:val="center"/>
          </w:tcPr>
          <w:p>
            <w:pPr>
              <w:pStyle w:val="14"/>
            </w:pPr>
            <w:r>
              <w:t>≤2万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在主汛期针对突发天气提前预警，得到广大受众的充分认可。</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服务对象零投诉</w:t>
            </w:r>
          </w:p>
        </w:tc>
        <w:tc>
          <w:tcPr>
            <w:tcW w:w="2551" w:type="dxa"/>
            <w:vAlign w:val="center"/>
          </w:tcPr>
          <w:p>
            <w:pPr>
              <w:pStyle w:val="14"/>
            </w:pPr>
            <w:r>
              <w:t>≥80%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3、人员补助经费绩效目标表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财政供养人员工资</w:t>
            </w:r>
          </w:p>
        </w:tc>
        <w:tc>
          <w:tcPr>
            <w:tcW w:w="2835" w:type="dxa"/>
            <w:vAlign w:val="center"/>
          </w:tcPr>
          <w:p>
            <w:pPr>
              <w:pStyle w:val="14"/>
            </w:pPr>
            <w:r>
              <w:t>财政供养人员工资发放金额</w:t>
            </w:r>
          </w:p>
        </w:tc>
        <w:tc>
          <w:tcPr>
            <w:tcW w:w="2551" w:type="dxa"/>
            <w:vAlign w:val="center"/>
          </w:tcPr>
          <w:p>
            <w:pPr>
              <w:pStyle w:val="14"/>
            </w:pPr>
            <w:r>
              <w:t>财政供养人员工资金额与人事组织部门审批方案一致</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工资发放到位率</w:t>
            </w:r>
          </w:p>
        </w:tc>
        <w:tc>
          <w:tcPr>
            <w:tcW w:w="2835" w:type="dxa"/>
            <w:vAlign w:val="center"/>
          </w:tcPr>
          <w:p>
            <w:pPr>
              <w:pStyle w:val="14"/>
            </w:pPr>
            <w:r>
              <w:t>保障工资发放到位</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工资发放时间</w:t>
            </w:r>
          </w:p>
        </w:tc>
        <w:tc>
          <w:tcPr>
            <w:tcW w:w="2835" w:type="dxa"/>
            <w:vAlign w:val="center"/>
          </w:tcPr>
          <w:p>
            <w:pPr>
              <w:pStyle w:val="14"/>
            </w:pPr>
            <w:r>
              <w:t>工资发放具体时间</w:t>
            </w:r>
          </w:p>
        </w:tc>
        <w:tc>
          <w:tcPr>
            <w:tcW w:w="2551" w:type="dxa"/>
            <w:vAlign w:val="center"/>
          </w:tcPr>
          <w:p>
            <w:pPr>
              <w:pStyle w:val="14"/>
            </w:pPr>
            <w:r>
              <w:t>每月15日发放（遇节假日或特殊不定因素实时发放）</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服务期限内成本控制</w:t>
            </w:r>
          </w:p>
        </w:tc>
        <w:tc>
          <w:tcPr>
            <w:tcW w:w="2835" w:type="dxa"/>
            <w:vAlign w:val="center"/>
          </w:tcPr>
          <w:p>
            <w:pPr>
              <w:pStyle w:val="14"/>
            </w:pPr>
            <w:r>
              <w:t>服务期限内成本控制</w:t>
            </w:r>
          </w:p>
        </w:tc>
        <w:tc>
          <w:tcPr>
            <w:tcW w:w="2551" w:type="dxa"/>
            <w:vAlign w:val="center"/>
          </w:tcPr>
          <w:p>
            <w:pPr>
              <w:pStyle w:val="14"/>
            </w:pPr>
            <w:r>
              <w:t>≤4万元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人员稳定率</w:t>
            </w:r>
          </w:p>
        </w:tc>
        <w:tc>
          <w:tcPr>
            <w:tcW w:w="2835" w:type="dxa"/>
            <w:vAlign w:val="center"/>
          </w:tcPr>
          <w:p>
            <w:pPr>
              <w:pStyle w:val="14"/>
            </w:pPr>
            <w:r>
              <w:t>保障财政供养人员稳定</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防灾减灾、部门影响力社会效益</w:t>
            </w:r>
          </w:p>
        </w:tc>
        <w:tc>
          <w:tcPr>
            <w:tcW w:w="2835" w:type="dxa"/>
            <w:vAlign w:val="center"/>
          </w:tcPr>
          <w:p>
            <w:pPr>
              <w:pStyle w:val="14"/>
            </w:pPr>
            <w:r>
              <w:t>通过提供重大活动气象服务保障、公共气象、专业气象、农业气象等服务，对减少气象灾害损失、树立部门形象的社会效益有所提升</w:t>
            </w:r>
          </w:p>
        </w:tc>
        <w:tc>
          <w:tcPr>
            <w:tcW w:w="2551" w:type="dxa"/>
            <w:vAlign w:val="center"/>
          </w:tcPr>
          <w:p>
            <w:pPr>
              <w:pStyle w:val="14"/>
            </w:pPr>
            <w:r>
              <w:t>≥90%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可持续影响程度</w:t>
            </w:r>
          </w:p>
        </w:tc>
        <w:tc>
          <w:tcPr>
            <w:tcW w:w="2835" w:type="dxa"/>
            <w:vAlign w:val="center"/>
          </w:tcPr>
          <w:p>
            <w:pPr>
              <w:pStyle w:val="14"/>
            </w:pPr>
            <w:r>
              <w:t>可持续影响程度</w:t>
            </w:r>
          </w:p>
        </w:tc>
        <w:tc>
          <w:tcPr>
            <w:tcW w:w="2551" w:type="dxa"/>
            <w:vAlign w:val="center"/>
          </w:tcPr>
          <w:p>
            <w:pPr>
              <w:pStyle w:val="14"/>
            </w:pPr>
            <w:r>
              <w:t>≥150天</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人员满意度</w:t>
            </w:r>
          </w:p>
        </w:tc>
        <w:tc>
          <w:tcPr>
            <w:tcW w:w="2835" w:type="dxa"/>
            <w:vAlign w:val="center"/>
          </w:tcPr>
          <w:p>
            <w:pPr>
              <w:pStyle w:val="14"/>
            </w:pPr>
            <w:r>
              <w:t>人员满意度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2022年，馆陶县气象局安排政府采购预算0.00万元。具体内容见下表。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416馆陶县气象局</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馆陶县气象局（含所属单位）上年末固定资产金额为</w:t>
      </w:r>
      <w:r>
        <w:rPr>
          <w:rFonts w:hint="default" w:eastAsia="方正仿宋_GBK" w:cs="Times New Roman"/>
          <w:color w:val="000000"/>
          <w:sz w:val="28"/>
          <w:lang w:val="sq-AL"/>
        </w:rPr>
        <w:t>444</w:t>
      </w:r>
      <w:r>
        <w:rPr>
          <w:rFonts w:hint="default" w:eastAsia="方正仿宋_GBK" w:cs="Times New Roman"/>
          <w:color w:val="000000"/>
          <w:sz w:val="28"/>
          <w:lang w:val="en-US"/>
        </w:rPr>
        <w:t>.</w:t>
      </w:r>
      <w:r>
        <w:rPr>
          <w:rFonts w:hint="default" w:eastAsia="方正仿宋_GBK" w:cs="Times New Roman"/>
          <w:color w:val="000000"/>
          <w:sz w:val="28"/>
          <w:lang w:val="sq-AL"/>
        </w:rPr>
        <w:t>2</w:t>
      </w:r>
      <w:r>
        <w:rPr>
          <w:rFonts w:hint="default" w:eastAsia="方正仿宋_GBK" w:cs="Times New Roman"/>
          <w:color w:val="000000"/>
          <w:sz w:val="28"/>
          <w:lang w:val="en-US"/>
        </w:rPr>
        <w:t>626</w:t>
      </w:r>
      <w:r>
        <w:rPr>
          <w:rFonts w:hint="eastAsia" w:eastAsia="方正仿宋_GBK" w:cs="Times New Roman"/>
          <w:color w:val="000000"/>
          <w:sz w:val="28"/>
          <w:lang w:val="en-US" w:eastAsia="zh-CN"/>
        </w:rPr>
        <w:t>8</w:t>
      </w:r>
      <w:r>
        <w:rPr>
          <w:rFonts w:hint="default" w:eastAsia="方正仿宋_GBK" w:cs="Times New Roman"/>
          <w:color w:val="000000"/>
          <w:sz w:val="28"/>
          <w:lang w:val="en-US"/>
        </w:rPr>
        <w:t>3</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rPr>
                <w:rFonts w:hint="default"/>
                <w:lang w:val="sq-AL"/>
              </w:rPr>
              <w:t>416</w:t>
            </w:r>
            <w:r>
              <w:rPr>
                <w:rFonts w:hint="eastAsia"/>
                <w:lang w:val="en-US" w:eastAsia="zh-CN"/>
              </w:rPr>
              <w:t>馆陶县气象局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rPr>
                <w:rFonts w:hint="default" w:eastAsia="方正书宋_GBK"/>
                <w:lang w:val="en-US" w:eastAsia="zh-CN"/>
              </w:rPr>
            </w:pPr>
            <w:r>
              <w:rPr>
                <w:rFonts w:hint="eastAsia"/>
                <w:lang w:val="en-US" w:eastAsia="zh-CN"/>
              </w:rPr>
              <w:t>275</w:t>
            </w:r>
          </w:p>
        </w:tc>
        <w:tc>
          <w:tcPr>
            <w:tcW w:w="2835" w:type="dxa"/>
            <w:vAlign w:val="center"/>
          </w:tcPr>
          <w:p>
            <w:pPr>
              <w:pStyle w:val="13"/>
              <w:rPr>
                <w:rFonts w:hint="default" w:eastAsia="方正书宋_GBK"/>
                <w:lang w:val="en-US" w:eastAsia="zh-CN"/>
              </w:rPr>
            </w:pPr>
            <w:r>
              <w:rPr>
                <w:rFonts w:hint="eastAsia"/>
                <w:lang w:val="en-US" w:eastAsia="zh-CN"/>
              </w:rPr>
              <w:t>4442626.83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rPr>
                <w:rFonts w:hint="default" w:eastAsia="方正书宋_GBK"/>
                <w:lang w:val="en-US" w:eastAsia="zh-CN"/>
              </w:rPr>
            </w:pPr>
            <w:r>
              <w:rPr>
                <w:rFonts w:hint="eastAsia"/>
                <w:lang w:val="en-US" w:eastAsia="zh-CN"/>
              </w:rPr>
              <w:t>1450</w:t>
            </w:r>
          </w:p>
        </w:tc>
        <w:tc>
          <w:tcPr>
            <w:tcW w:w="2835" w:type="dxa"/>
            <w:vAlign w:val="center"/>
          </w:tcPr>
          <w:p>
            <w:pPr>
              <w:pStyle w:val="13"/>
              <w:rPr>
                <w:rFonts w:hint="default"/>
                <w:lang w:val="en-US" w:eastAsia="zh-CN"/>
              </w:rPr>
            </w:pPr>
            <w:r>
              <w:rPr>
                <w:rFonts w:hint="eastAsia"/>
                <w:lang w:val="en-US" w:eastAsia="zh-CN"/>
              </w:rPr>
              <w:t>2775168.49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437106.13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rPr>
                <w:rFonts w:hint="default" w:eastAsia="方正书宋_GBK"/>
                <w:lang w:val="en-US" w:eastAsia="zh-CN"/>
              </w:rPr>
            </w:pPr>
            <w:r>
              <w:rPr>
                <w:rFonts w:hint="eastAsia"/>
                <w:lang w:val="en-US" w:eastAsia="zh-CN"/>
              </w:rPr>
              <w:t>273</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eastAsia="方正书宋_GBK"/>
                <w:lang w:val="en-US" w:eastAsia="zh-CN"/>
              </w:rPr>
            </w:pPr>
            <w:r>
              <w:rPr>
                <w:rFonts w:hint="eastAsia"/>
                <w:lang w:val="en-US" w:eastAsia="zh-CN"/>
              </w:rPr>
              <w:t>5、无形资产</w:t>
            </w:r>
          </w:p>
        </w:tc>
        <w:tc>
          <w:tcPr>
            <w:tcW w:w="2835" w:type="dxa"/>
            <w:vAlign w:val="center"/>
          </w:tcPr>
          <w:p>
            <w:pPr>
              <w:pStyle w:val="15"/>
              <w:rPr>
                <w:rFonts w:hint="default"/>
                <w:lang w:val="en-US" w:eastAsia="zh-CN"/>
              </w:rPr>
            </w:pPr>
            <w:r>
              <w:rPr>
                <w:rFonts w:hint="eastAsia"/>
                <w:lang w:val="en-US" w:eastAsia="zh-CN"/>
              </w:rPr>
              <w:t>2</w:t>
            </w:r>
          </w:p>
        </w:tc>
        <w:tc>
          <w:tcPr>
            <w:tcW w:w="2835" w:type="dxa"/>
            <w:vAlign w:val="center"/>
          </w:tcPr>
          <w:p>
            <w:pPr>
              <w:pStyle w:val="13"/>
              <w:rPr>
                <w:rFonts w:hint="default" w:eastAsia="方正书宋_GBK"/>
                <w:lang w:val="en-US" w:eastAsia="zh-CN"/>
              </w:rPr>
            </w:pPr>
            <w:r>
              <w:rPr>
                <w:rFonts w:hint="eastAsia"/>
                <w:lang w:val="en-US" w:eastAsia="zh-CN"/>
              </w:rPr>
              <w:t>1230352.21</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16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160000" w:csb1="00000000"/>
  </w:font>
  <w:font w:name="方正楷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BE13E4"/>
    <w:rsid w:val="0087408C"/>
    <w:rsid w:val="00BD49C3"/>
    <w:rsid w:val="00BE13E4"/>
    <w:rsid w:val="00E75975"/>
    <w:rsid w:val="00F55CE4"/>
    <w:rsid w:val="25292250"/>
    <w:rsid w:val="2D346842"/>
    <w:rsid w:val="355B440B"/>
    <w:rsid w:val="39397BFD"/>
    <w:rsid w:val="5E5BB3C5"/>
    <w:rsid w:val="67DF5CC7"/>
    <w:rsid w:val="6EBE2657"/>
    <w:rsid w:val="74E757EC"/>
    <w:rsid w:val="D4FFBF33"/>
    <w:rsid w:val="FBEB7329"/>
    <w:rsid w:val="FDDBE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7627</Words>
  <Characters>8471</Characters>
  <Lines>79</Lines>
  <Paragraphs>22</Paragraphs>
  <TotalTime>8</TotalTime>
  <ScaleCrop>false</ScaleCrop>
  <LinksUpToDate>false</LinksUpToDate>
  <CharactersWithSpaces>8621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2022-03-22T10:38:00Z</dcterms:created>
  <dc:creator>Administrator</dc:creator>
  <cp:lastModifiedBy>Sally</cp:lastModifiedBy>
  <dcterms:modified xsi:type="dcterms:W3CDTF">2024-05-28T01:26:03Z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D47E48A6909DEF06ED93DD64CE6B6812_43</vt:lpwstr>
  </property>
</Properties>
</file>