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val="en-US" w:eastAsia="zh-CN"/>
        </w:rPr>
      </w:pPr>
      <w:r>
        <w:rPr>
          <w:rFonts w:hint="eastAsia" w:ascii="黑体" w:hAnsi="黑体" w:eastAsia="黑体" w:cs="黑体"/>
          <w:sz w:val="44"/>
          <w:szCs w:val="44"/>
        </w:rPr>
        <w:t>馆陶县</w:t>
      </w:r>
      <w:r>
        <w:rPr>
          <w:rFonts w:hint="eastAsia" w:ascii="黑体" w:hAnsi="黑体" w:eastAsia="黑体" w:cs="黑体"/>
          <w:sz w:val="44"/>
          <w:szCs w:val="44"/>
          <w:lang w:eastAsia="zh-CN"/>
        </w:rPr>
        <w:t>气象局</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bookmarkStart w:id="4" w:name="_GoBack"/>
      <w:bookmarkEnd w:id="4"/>
      <w:r>
        <w:rPr>
          <w:rFonts w:hint="eastAsia" w:ascii="仿宋" w:hAnsi="仿宋" w:eastAsia="仿宋" w:cs="仿宋"/>
          <w:sz w:val="32"/>
          <w:szCs w:val="32"/>
        </w:rPr>
        <w:t>预算法》、《地方预决算公开操作规程》和《河北省省级预算公开办法》规定，现将</w:t>
      </w:r>
      <w:r>
        <w:rPr>
          <w:rFonts w:hint="eastAsia" w:ascii="仿宋" w:hAnsi="仿宋" w:eastAsia="仿宋" w:cs="仿宋"/>
          <w:sz w:val="32"/>
          <w:szCs w:val="32"/>
          <w:lang w:eastAsia="zh-CN"/>
        </w:rPr>
        <w:t>我单位</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sz w:val="32"/>
          <w:szCs w:val="32"/>
        </w:rPr>
      </w:pPr>
      <w:r>
        <w:rPr>
          <w:rFonts w:hint="eastAsia" w:ascii="仿宋_GB2312" w:eastAsia="仿宋_GB2312"/>
          <w:sz w:val="32"/>
          <w:szCs w:val="32"/>
        </w:rPr>
        <w:t>根据《馆陶县人民政府办公室关于县气象局职能配置、内设机构和人员编制方案》规定，气象局的主要职责是：</w:t>
      </w:r>
      <w:r>
        <w:rPr>
          <w:rFonts w:ascii="仿宋_GB2312" w:eastAsia="仿宋_GB2312"/>
          <w:sz w:val="32"/>
          <w:szCs w:val="32"/>
        </w:rPr>
        <w:t>1</w:t>
      </w:r>
      <w:r>
        <w:rPr>
          <w:rFonts w:hint="eastAsia" w:ascii="仿宋_GB2312" w:eastAsia="仿宋_GB2312"/>
          <w:sz w:val="32"/>
          <w:szCs w:val="32"/>
        </w:rPr>
        <w:t>、开展地面气象观测工作。按照所承担的国家一般气象站观测任务开展地面气象观测工作；积极开展争创“百班无错情”、“</w:t>
      </w:r>
      <w:r>
        <w:rPr>
          <w:rFonts w:ascii="仿宋_GB2312" w:eastAsia="仿宋_GB2312"/>
          <w:sz w:val="32"/>
          <w:szCs w:val="32"/>
        </w:rPr>
        <w:t>250</w:t>
      </w:r>
      <w:r>
        <w:rPr>
          <w:rFonts w:hint="eastAsia" w:ascii="仿宋_GB2312" w:eastAsia="仿宋_GB2312"/>
          <w:sz w:val="32"/>
          <w:szCs w:val="32"/>
        </w:rPr>
        <w:t>班无错情”活动。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、天气预报预警。为使我县各级领导和广大群众及时获取最新气象信息、主动趋利避害、最大限度地减轻或避免气象灾害造成的损失、合理安排生产生活，通过电视、网络、短信积极开展天气预报预警信息服务，</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、气象信息员建设。为解决气象信息传播“最后一公里”问题，在全县</w:t>
      </w:r>
      <w:r>
        <w:rPr>
          <w:rFonts w:ascii="仿宋_GB2312" w:eastAsia="仿宋_GB2312"/>
          <w:sz w:val="32"/>
          <w:szCs w:val="32"/>
        </w:rPr>
        <w:t>277</w:t>
      </w:r>
      <w:r>
        <w:rPr>
          <w:rFonts w:hint="eastAsia" w:ascii="仿宋_GB2312" w:eastAsia="仿宋_GB2312"/>
          <w:sz w:val="32"/>
          <w:szCs w:val="32"/>
        </w:rPr>
        <w:t>个行政村及各学校、企事业单位建立气象信息员队伍，并对其进行相关气象知识培训，保证气象预警信息及时上传下达。</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、人工影响天气工作。抓住有利时机开展人工影响天气作业，为农业生产保驾护航。</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W w:w="84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0"/>
        <w:gridCol w:w="2160"/>
        <w:gridCol w:w="1846"/>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980" w:type="dxa"/>
            <w:vAlign w:val="center"/>
          </w:tcPr>
          <w:p>
            <w:pPr>
              <w:jc w:val="center"/>
              <w:rPr>
                <w:rFonts w:ascii="黑体" w:eastAsia="黑体"/>
                <w:b/>
                <w:sz w:val="24"/>
                <w:szCs w:val="24"/>
              </w:rPr>
            </w:pPr>
            <w:r>
              <w:rPr>
                <w:rFonts w:hint="eastAsia" w:ascii="黑体" w:eastAsia="黑体"/>
                <w:b/>
                <w:sz w:val="24"/>
                <w:szCs w:val="24"/>
              </w:rPr>
              <w:t>单位编码</w:t>
            </w:r>
          </w:p>
        </w:tc>
        <w:tc>
          <w:tcPr>
            <w:tcW w:w="2160" w:type="dxa"/>
            <w:vAlign w:val="center"/>
          </w:tcPr>
          <w:p>
            <w:pPr>
              <w:jc w:val="center"/>
              <w:rPr>
                <w:rFonts w:ascii="黑体" w:eastAsia="黑体"/>
                <w:b/>
                <w:sz w:val="24"/>
                <w:szCs w:val="24"/>
              </w:rPr>
            </w:pPr>
            <w:r>
              <w:rPr>
                <w:rFonts w:hint="eastAsia" w:ascii="黑体" w:eastAsia="黑体"/>
                <w:b/>
                <w:sz w:val="24"/>
                <w:szCs w:val="24"/>
              </w:rPr>
              <w:t>单位名称</w:t>
            </w:r>
          </w:p>
        </w:tc>
        <w:tc>
          <w:tcPr>
            <w:tcW w:w="1846" w:type="dxa"/>
            <w:vAlign w:val="center"/>
          </w:tcPr>
          <w:p>
            <w:pPr>
              <w:jc w:val="center"/>
              <w:rPr>
                <w:rFonts w:ascii="黑体" w:eastAsia="黑体"/>
                <w:b/>
                <w:sz w:val="24"/>
                <w:szCs w:val="24"/>
              </w:rPr>
            </w:pPr>
            <w:r>
              <w:rPr>
                <w:rFonts w:hint="eastAsia" w:ascii="黑体" w:eastAsia="黑体"/>
                <w:b/>
                <w:sz w:val="24"/>
                <w:szCs w:val="24"/>
              </w:rPr>
              <w:t>单位性质</w:t>
            </w:r>
          </w:p>
        </w:tc>
        <w:tc>
          <w:tcPr>
            <w:tcW w:w="2494" w:type="dxa"/>
            <w:vAlign w:val="center"/>
          </w:tcPr>
          <w:p>
            <w:pPr>
              <w:jc w:val="center"/>
              <w:rPr>
                <w:rFonts w:ascii="黑体" w:eastAsia="黑体"/>
                <w:b/>
                <w:sz w:val="24"/>
                <w:szCs w:val="24"/>
              </w:rPr>
            </w:pPr>
            <w:r>
              <w:rPr>
                <w:rFonts w:hint="eastAsia" w:ascii="黑体" w:eastAsia="黑体"/>
                <w:b/>
                <w:sz w:val="24"/>
                <w:szCs w:val="24"/>
              </w:rPr>
              <w:t>财政供给政策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980" w:type="dxa"/>
            <w:vAlign w:val="top"/>
          </w:tcPr>
          <w:p>
            <w:pPr>
              <w:jc w:val="left"/>
              <w:rPr>
                <w:rFonts w:hint="eastAsia" w:ascii="宋体" w:hAnsi="宋体"/>
                <w:sz w:val="24"/>
                <w:szCs w:val="24"/>
              </w:rPr>
            </w:pPr>
            <w:r>
              <w:rPr>
                <w:rFonts w:hint="eastAsia" w:ascii="宋体" w:hAnsi="宋体"/>
                <w:sz w:val="24"/>
                <w:szCs w:val="24"/>
              </w:rPr>
              <w:t>416</w:t>
            </w:r>
          </w:p>
        </w:tc>
        <w:tc>
          <w:tcPr>
            <w:tcW w:w="2160" w:type="dxa"/>
            <w:vAlign w:val="top"/>
          </w:tcPr>
          <w:p>
            <w:pPr>
              <w:jc w:val="left"/>
              <w:rPr>
                <w:rFonts w:hint="eastAsia" w:ascii="宋体" w:hAnsi="宋体"/>
                <w:sz w:val="24"/>
                <w:szCs w:val="24"/>
              </w:rPr>
            </w:pPr>
            <w:r>
              <w:rPr>
                <w:rFonts w:hint="eastAsia" w:ascii="宋体" w:hAnsi="宋体"/>
                <w:sz w:val="24"/>
                <w:szCs w:val="24"/>
              </w:rPr>
              <w:t>馆陶县气象局</w:t>
            </w:r>
          </w:p>
        </w:tc>
        <w:tc>
          <w:tcPr>
            <w:tcW w:w="1846" w:type="dxa"/>
            <w:vAlign w:val="top"/>
          </w:tcPr>
          <w:p>
            <w:pPr>
              <w:jc w:val="center"/>
              <w:rPr>
                <w:rFonts w:hint="eastAsia" w:ascii="宋体" w:hAnsi="宋体"/>
                <w:sz w:val="24"/>
                <w:szCs w:val="24"/>
              </w:rPr>
            </w:pPr>
          </w:p>
        </w:tc>
        <w:tc>
          <w:tcPr>
            <w:tcW w:w="2494" w:type="dxa"/>
            <w:vAlign w:val="top"/>
          </w:tcPr>
          <w:p>
            <w:pPr>
              <w:jc w:val="left"/>
              <w:rPr>
                <w:rFonts w:hint="eastAsia"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980" w:type="dxa"/>
            <w:vAlign w:val="top"/>
          </w:tcPr>
          <w:p>
            <w:pPr>
              <w:jc w:val="left"/>
              <w:rPr>
                <w:rFonts w:ascii="宋体" w:hAnsi="宋体"/>
                <w:sz w:val="24"/>
                <w:szCs w:val="24"/>
              </w:rPr>
            </w:pPr>
            <w:r>
              <w:rPr>
                <w:rFonts w:ascii="宋体" w:hAnsi="宋体"/>
                <w:sz w:val="24"/>
                <w:szCs w:val="24"/>
              </w:rPr>
              <w:t>41</w:t>
            </w:r>
            <w:r>
              <w:rPr>
                <w:rFonts w:hint="eastAsia" w:ascii="宋体" w:hAnsi="宋体"/>
                <w:sz w:val="24"/>
                <w:szCs w:val="24"/>
              </w:rPr>
              <w:t>6</w:t>
            </w:r>
            <w:r>
              <w:rPr>
                <w:rFonts w:ascii="宋体" w:hAnsi="宋体"/>
                <w:sz w:val="24"/>
                <w:szCs w:val="24"/>
              </w:rPr>
              <w:t>002</w:t>
            </w:r>
          </w:p>
        </w:tc>
        <w:tc>
          <w:tcPr>
            <w:tcW w:w="2160" w:type="dxa"/>
            <w:vAlign w:val="top"/>
          </w:tcPr>
          <w:p>
            <w:pPr>
              <w:jc w:val="left"/>
              <w:rPr>
                <w:rFonts w:ascii="宋体" w:hAnsi="宋体"/>
                <w:sz w:val="24"/>
                <w:szCs w:val="24"/>
              </w:rPr>
            </w:pPr>
            <w:r>
              <w:rPr>
                <w:rFonts w:hint="eastAsia" w:ascii="宋体" w:hAnsi="宋体"/>
                <w:sz w:val="24"/>
                <w:szCs w:val="24"/>
              </w:rPr>
              <w:t>馆陶县气象局机关</w:t>
            </w:r>
          </w:p>
        </w:tc>
        <w:tc>
          <w:tcPr>
            <w:tcW w:w="1846" w:type="dxa"/>
            <w:vAlign w:val="top"/>
          </w:tcPr>
          <w:p>
            <w:pPr>
              <w:jc w:val="center"/>
              <w:rPr>
                <w:rFonts w:hint="eastAsia" w:ascii="宋体" w:hAnsi="宋体" w:eastAsia="宋体"/>
                <w:sz w:val="24"/>
                <w:szCs w:val="24"/>
                <w:lang w:eastAsia="zh-CN"/>
              </w:rPr>
            </w:pPr>
            <w:r>
              <w:rPr>
                <w:rFonts w:hint="eastAsia" w:ascii="宋体" w:hAnsi="宋体"/>
                <w:sz w:val="24"/>
                <w:szCs w:val="24"/>
                <w:lang w:eastAsia="zh-CN"/>
              </w:rPr>
              <w:t>行政</w:t>
            </w:r>
          </w:p>
        </w:tc>
        <w:tc>
          <w:tcPr>
            <w:tcW w:w="2494" w:type="dxa"/>
            <w:vAlign w:val="top"/>
          </w:tcPr>
          <w:p>
            <w:pPr>
              <w:jc w:val="left"/>
              <w:rPr>
                <w:rFonts w:hint="eastAsia" w:ascii="宋体" w:hAnsi="宋体" w:eastAsia="宋体"/>
                <w:sz w:val="24"/>
                <w:szCs w:val="24"/>
                <w:lang w:eastAsia="zh-CN"/>
              </w:rPr>
            </w:pPr>
            <w:r>
              <w:rPr>
                <w:rFonts w:hint="eastAsia" w:ascii="宋体" w:hAnsi="宋体"/>
                <w:sz w:val="24"/>
                <w:szCs w:val="24"/>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980" w:type="dxa"/>
            <w:vAlign w:val="top"/>
          </w:tcPr>
          <w:p>
            <w:pPr>
              <w:jc w:val="left"/>
              <w:rPr>
                <w:rFonts w:ascii="宋体" w:hAnsi="宋体"/>
                <w:sz w:val="24"/>
                <w:szCs w:val="24"/>
              </w:rPr>
            </w:pPr>
          </w:p>
        </w:tc>
        <w:tc>
          <w:tcPr>
            <w:tcW w:w="2160" w:type="dxa"/>
            <w:vAlign w:val="top"/>
          </w:tcPr>
          <w:p>
            <w:pPr>
              <w:jc w:val="left"/>
              <w:rPr>
                <w:rFonts w:hint="eastAsia" w:ascii="宋体" w:hAnsi="宋体"/>
                <w:sz w:val="24"/>
                <w:szCs w:val="24"/>
              </w:rPr>
            </w:pPr>
          </w:p>
        </w:tc>
        <w:tc>
          <w:tcPr>
            <w:tcW w:w="1846" w:type="dxa"/>
            <w:vAlign w:val="top"/>
          </w:tcPr>
          <w:p>
            <w:pPr>
              <w:rPr>
                <w:rFonts w:hint="eastAsia" w:ascii="宋体" w:hAnsi="宋体"/>
                <w:sz w:val="24"/>
                <w:szCs w:val="24"/>
              </w:rPr>
            </w:pPr>
          </w:p>
        </w:tc>
        <w:tc>
          <w:tcPr>
            <w:tcW w:w="2494" w:type="dxa"/>
            <w:vAlign w:val="top"/>
          </w:tcPr>
          <w:p>
            <w:pPr>
              <w:jc w:val="left"/>
              <w:rPr>
                <w:rFonts w:ascii="宋体" w:hAnsi="宋体"/>
                <w:sz w:val="24"/>
                <w:szCs w:val="24"/>
              </w:rPr>
            </w:pPr>
          </w:p>
        </w:tc>
      </w:tr>
    </w:tbl>
    <w:p>
      <w:r>
        <w:rPr>
          <w:sz w:val="24"/>
          <w:szCs w:val="24"/>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w:t>
      </w:r>
      <w:r>
        <w:rPr>
          <w:rFonts w:hint="eastAsia" w:ascii="Times New Roman" w:hAnsi="Times New Roman" w:eastAsia="仿宋" w:cs="仿宋"/>
          <w:sz w:val="32"/>
          <w:szCs w:val="32"/>
          <w:lang w:eastAsia="zh-CN"/>
        </w:rPr>
        <w:t>县气象局</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lang w:val="en-US" w:eastAsia="zh-CN"/>
        </w:rPr>
        <w:t>2020</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lang w:val="en-US" w:eastAsia="zh-CN"/>
        </w:rPr>
        <w:t>28</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lang w:val="en-US" w:eastAsia="zh-CN"/>
        </w:rPr>
        <w:t>28</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lang w:eastAsia="zh-CN"/>
        </w:rPr>
        <w:t>气象局</w:t>
      </w:r>
      <w:r>
        <w:rPr>
          <w:rFonts w:hint="eastAsia" w:ascii="Times New Roman" w:hAnsi="Times New Roman" w:eastAsia="仿宋" w:cs="Times New Roman"/>
          <w:sz w:val="32"/>
          <w:szCs w:val="32"/>
          <w:lang w:val="en-US" w:eastAsia="zh-CN"/>
        </w:rPr>
        <w:t>2020</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28</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lang w:val="en-US" w:eastAsia="zh-CN"/>
        </w:rPr>
        <w:t>4</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4</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lang w:val="en-US" w:eastAsia="zh-CN"/>
        </w:rPr>
        <w:t>24</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lang w:eastAsia="zh-CN"/>
        </w:rPr>
        <w:t>气象服务运行保障专项资金</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4</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秋冬大气污染防治</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24</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lang w:val="en-US" w:eastAsia="zh-CN"/>
        </w:rPr>
        <w:t>28</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lang w:val="en-US" w:eastAsia="zh-CN"/>
        </w:rPr>
        <w:t>10</w:t>
      </w:r>
      <w:r>
        <w:rPr>
          <w:rFonts w:hint="eastAsia" w:ascii="Times New Roman" w:hAnsi="Times New Roman" w:eastAsia="仿宋" w:cs="仿宋"/>
          <w:sz w:val="32"/>
          <w:szCs w:val="32"/>
        </w:rPr>
        <w:t>万元，其中</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项目支出增加</w:t>
      </w:r>
      <w:r>
        <w:rPr>
          <w:rFonts w:hint="eastAsia" w:ascii="Times New Roman" w:hAnsi="Times New Roman" w:eastAsia="仿宋" w:cs="Times New Roman"/>
          <w:sz w:val="32"/>
          <w:szCs w:val="32"/>
          <w:lang w:val="en-US" w:eastAsia="zh-CN"/>
        </w:rPr>
        <w:t>10</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秋冬大气污染防治增加</w:t>
      </w:r>
      <w:r>
        <w:rPr>
          <w:rFonts w:hint="eastAsia" w:ascii="Times New Roman" w:hAnsi="Times New Roman" w:eastAsia="仿宋" w:cs="Times New Roman"/>
          <w:sz w:val="32"/>
          <w:szCs w:val="32"/>
          <w:lang w:val="en-US" w:eastAsia="zh-CN"/>
        </w:rPr>
        <w:t>10万元</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lang w:val="en-US" w:eastAsia="zh-CN"/>
        </w:rPr>
        <w:t>4</w:t>
      </w:r>
      <w:r>
        <w:rPr>
          <w:rFonts w:hint="eastAsia" w:ascii="Times New Roman" w:hAnsi="Times New Roman" w:eastAsia="仿宋" w:cs="仿宋"/>
          <w:sz w:val="32"/>
          <w:szCs w:val="32"/>
        </w:rPr>
        <w:t>万元，主要用于</w:t>
      </w:r>
      <w:r>
        <w:rPr>
          <w:rFonts w:hint="eastAsia" w:ascii="Times New Roman" w:hAnsi="Times New Roman" w:eastAsia="仿宋" w:cs="Times New Roman"/>
          <w:sz w:val="32"/>
          <w:szCs w:val="32"/>
          <w:lang w:eastAsia="zh-CN"/>
        </w:rPr>
        <w:t>人员</w:t>
      </w:r>
      <w:r>
        <w:rPr>
          <w:rFonts w:hint="eastAsia" w:ascii="Times New Roman" w:hAnsi="Times New Roman" w:eastAsia="仿宋" w:cs="仿宋"/>
          <w:sz w:val="32"/>
          <w:szCs w:val="32"/>
        </w:rPr>
        <w:t>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仿宋"/>
          <w:color w:val="FFFFFF" w:themeColor="background1"/>
          <w:sz w:val="32"/>
          <w:szCs w:val="32"/>
          <w:highlight w:val="yellow"/>
          <w:lang w:eastAsia="zh-CN"/>
          <w14:textFill>
            <w14:solidFill>
              <w14:schemeClr w14:val="bg1"/>
            </w14:solidFill>
          </w14:textFill>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万元（其中：公务用车购置费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w:t>
      </w:r>
      <w:r>
        <w:rPr>
          <w:rFonts w:hint="eastAsia" w:ascii="Times New Roman" w:hAnsi="Times New Roman" w:eastAsia="仿宋" w:cs="仿宋"/>
          <w:color w:val="auto"/>
          <w:sz w:val="32"/>
          <w:szCs w:val="32"/>
          <w:highlight w:val="none"/>
        </w:rPr>
        <w:t>“三公”经费与上年持平，无增减变化</w:t>
      </w:r>
      <w:r>
        <w:rPr>
          <w:rFonts w:hint="eastAsia" w:ascii="Times New Roman" w:hAnsi="Times New Roman" w:eastAsia="仿宋" w:cs="仿宋"/>
          <w:color w:val="auto"/>
          <w:sz w:val="32"/>
          <w:szCs w:val="32"/>
          <w:highlight w:val="none"/>
          <w:lang w:eastAsia="zh-CN"/>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认真贯彻党的十九大精神，以习近平新时代中国特色社会主义思想为指导， 全面贯彻落实县委县政府的工作部署以及全市气象局长会议精神，全面深化气象改革，大力发展安全气象、民生气象、经济气象、生态气象，推进气象业务现代化、气象服务社会化、气象工作法治化，不断增强气象综合实力、气象创新活力和气象工作影响力。</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（一）加强气象业务现代化建设，进一步提升气象服务水平</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高天气预报的精细化程度和提升预报水平，优化观测站网布局，完善综合气象观测系统，提升综合气象观测能力。继续推进覆盖全县城乡气象观测网建设，同时，建成高质量的气象数据系统，积极推进信息网络系统与时俱进的发展。</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强化大气污染防治气象服务，加强空中云水资源开发利用，优化人工增雨（雪）防雹业务布局，完善人工影响天气作业指挥系统，提高人工影响天气装备保障水平和作业能力。</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气象决策服务、公众服务、为农服务力度。提高决策气象服务针对性、敏感性、综合性和时效性；丰富气象服务产品，提高公众满意度；提高重大活动气象保障服务能力，提升气象保障经济发展的能力。完善农业气象服务体系，强化基层气象服务组织建设，大力提升面向现代农业和新型农业经营主体的直通式服务能力。</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（二）完善防灾减灾组织体系，大力提升气象防灾减灾能力</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政府主导、部门联动、社会参与”的气象灾害防御机制，建成自上而下、覆盖城乡的气象灾害防御组织体系，不断完善气象灾害应急响应体系。积极履行县气象灾害应急防御指挥部在防范气象灾害中的职责，加强气象灾害风险调查和隐患排查, 强化对主要灾种的气象灾害风险评估和风险预警服务，全面实施气象灾害风险管理。建立预警信息快速发布和运行管理制度, 建成横向联接各部门，相互衔接、规范统一的突发事件预警发布系统，扩大气象预警信息公众覆盖面。制订完善的气象灾害应急预案，开展气象信息员队伍建设和培训工作。完善气象法律法规和标准体系，依法行政，加强行业管理，开展防灾减灾纯净管理、应急管理和科普宣传。</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（三）加快现代气象观测系统建设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完善气候观测网，实现对本地基本气候状态和气候变化事实的连续、高精度观测。优化天气观测网，在天气关键区加密布设观测站点，重点提升垂直观测能力，实现对天气的立体化、高覆盖观测。</w:t>
      </w:r>
    </w:p>
    <w:p>
      <w:pPr>
        <w:numPr>
          <w:ilvl w:val="0"/>
          <w:numId w:val="1"/>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numPr>
          <w:ilvl w:val="0"/>
          <w:numId w:val="2"/>
        </w:num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气象服务职责绩效目标：</w:t>
      </w:r>
    </w:p>
    <w:p>
      <w:pPr>
        <w:numPr>
          <w:ilvl w:val="0"/>
          <w:numId w:val="0"/>
        </w:numPr>
        <w:ind w:firstLine="640" w:firstLineChars="200"/>
        <w:rPr>
          <w:rFonts w:hint="eastAsia" w:ascii="仿宋" w:hAnsi="仿宋" w:eastAsia="仿宋" w:cs="仿宋"/>
          <w:sz w:val="32"/>
          <w:szCs w:val="32"/>
          <w:lang w:eastAsia="zh-CN"/>
        </w:rPr>
      </w:pPr>
      <w:r>
        <w:rPr>
          <w:rFonts w:hint="eastAsia" w:ascii="Times New Roman" w:hAnsi="Times New Roman" w:eastAsia="仿宋" w:cs="Times New Roman"/>
          <w:sz w:val="32"/>
          <w:szCs w:val="32"/>
        </w:rPr>
        <w:t>绩效目标：</w:t>
      </w:r>
      <w:r>
        <w:rPr>
          <w:rFonts w:hint="eastAsia" w:ascii="仿宋" w:hAnsi="仿宋" w:eastAsia="仿宋" w:cs="仿宋"/>
          <w:sz w:val="32"/>
          <w:szCs w:val="32"/>
          <w:lang w:eastAsia="zh-CN"/>
        </w:rPr>
        <w:t>各台站气象资料传输率</w:t>
      </w:r>
    </w:p>
    <w:p>
      <w:pPr>
        <w:autoSpaceDE w:val="0"/>
        <w:autoSpaceDN w:val="0"/>
        <w:adjustRightInd w:val="0"/>
        <w:ind w:firstLine="640" w:firstLineChars="200"/>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绩效指标：气象资料传输率=气象资料及时到报数量/（及时到报数量+延迟到报数量+缺报数量）</w:t>
      </w:r>
      <w:r>
        <w:rPr>
          <w:rFonts w:hint="eastAsia" w:ascii="Times New Roman" w:hAnsi="Times New Roman" w:eastAsia="仿宋" w:cs="Times New Roman"/>
          <w:sz w:val="32"/>
          <w:szCs w:val="32"/>
          <w:lang w:val="en-US" w:eastAsia="zh-CN"/>
        </w:rPr>
        <w:t>&gt;98%</w:t>
      </w:r>
    </w:p>
    <w:p>
      <w:pPr>
        <w:numPr>
          <w:ilvl w:val="0"/>
          <w:numId w:val="2"/>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防灾减灾职责绩效目标：</w:t>
      </w:r>
    </w:p>
    <w:p>
      <w:pPr>
        <w:numPr>
          <w:ilvl w:val="0"/>
          <w:numId w:val="0"/>
        </w:numPr>
        <w:ind w:firstLine="640" w:firstLineChars="200"/>
        <w:rPr>
          <w:rFonts w:hint="eastAsia" w:ascii="仿宋" w:hAnsi="仿宋" w:eastAsia="仿宋" w:cs="仿宋"/>
          <w:sz w:val="32"/>
          <w:szCs w:val="32"/>
          <w:lang w:eastAsia="zh-CN"/>
        </w:rPr>
      </w:pPr>
      <w:r>
        <w:rPr>
          <w:rFonts w:hint="eastAsia" w:ascii="Times New Roman" w:hAnsi="Times New Roman" w:eastAsia="仿宋" w:cs="Times New Roman"/>
          <w:sz w:val="32"/>
          <w:szCs w:val="32"/>
        </w:rPr>
        <w:t>绩效目标：气象灾害监测站网建设完成率</w:t>
      </w:r>
    </w:p>
    <w:p>
      <w:pPr>
        <w:autoSpaceDE w:val="0"/>
        <w:autoSpaceDN w:val="0"/>
        <w:adjustRightInd w:val="0"/>
        <w:ind w:firstLine="640" w:firstLineChars="200"/>
        <w:jc w:val="left"/>
        <w:rPr>
          <w:rFonts w:hint="eastAsia" w:ascii="仿宋" w:hAnsi="仿宋" w:eastAsia="仿宋" w:cs="仿宋"/>
          <w:sz w:val="32"/>
          <w:szCs w:val="32"/>
          <w:lang w:eastAsia="zh-CN"/>
        </w:rPr>
      </w:pPr>
      <w:r>
        <w:rPr>
          <w:rFonts w:hint="eastAsia" w:ascii="Times New Roman" w:hAnsi="Times New Roman" w:eastAsia="仿宋" w:cs="Times New Roman"/>
          <w:sz w:val="32"/>
          <w:szCs w:val="32"/>
        </w:rPr>
        <w:t>绩效指标：实际完成监测站网建设数量占气象现代化要求数量的比例</w:t>
      </w:r>
      <w:r>
        <w:rPr>
          <w:rFonts w:hint="eastAsia" w:ascii="Times New Roman" w:hAnsi="Times New Roman" w:eastAsia="仿宋" w:cs="Times New Roman"/>
          <w:sz w:val="32"/>
          <w:szCs w:val="32"/>
          <w:lang w:val="en-US" w:eastAsia="zh-CN"/>
        </w:rPr>
        <w:t>&gt;90%</w:t>
      </w:r>
    </w:p>
    <w:p>
      <w:pPr>
        <w:numPr>
          <w:ilvl w:val="0"/>
          <w:numId w:val="2"/>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发挥气象监测站网体系作用</w:t>
      </w:r>
    </w:p>
    <w:p>
      <w:pPr>
        <w:numPr>
          <w:ilvl w:val="0"/>
          <w:numId w:val="0"/>
        </w:numPr>
        <w:ind w:firstLine="960" w:firstLineChars="300"/>
        <w:rPr>
          <w:rFonts w:hint="eastAsia" w:ascii="仿宋" w:hAnsi="仿宋" w:eastAsia="仿宋" w:cs="仿宋"/>
          <w:sz w:val="32"/>
          <w:szCs w:val="32"/>
          <w:lang w:eastAsia="zh-CN"/>
        </w:rPr>
      </w:pPr>
      <w:r>
        <w:rPr>
          <w:rFonts w:hint="eastAsia" w:ascii="Times New Roman" w:hAnsi="Times New Roman" w:eastAsia="仿宋" w:cs="Times New Roman"/>
          <w:sz w:val="32"/>
          <w:szCs w:val="32"/>
        </w:rPr>
        <w:t>绩效目标：</w:t>
      </w:r>
      <w:r>
        <w:rPr>
          <w:rFonts w:hint="eastAsia" w:ascii="仿宋" w:hAnsi="仿宋" w:eastAsia="仿宋" w:cs="仿宋"/>
          <w:sz w:val="32"/>
          <w:szCs w:val="32"/>
          <w:lang w:eastAsia="zh-CN"/>
        </w:rPr>
        <w:t>观测设备正常运行率</w:t>
      </w:r>
    </w:p>
    <w:p>
      <w:pPr>
        <w:autoSpaceDE w:val="0"/>
        <w:autoSpaceDN w:val="0"/>
        <w:adjustRightInd w:val="0"/>
        <w:ind w:firstLine="960" w:firstLineChars="300"/>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绩效指标：全年观测设备稳定运行天数占总运行天数的百分比</w:t>
      </w:r>
      <w:r>
        <w:rPr>
          <w:rFonts w:hint="eastAsia" w:ascii="Times New Roman" w:hAnsi="Times New Roman" w:eastAsia="仿宋" w:cs="Times New Roman"/>
          <w:sz w:val="32"/>
          <w:szCs w:val="32"/>
          <w:lang w:val="en-US" w:eastAsia="zh-CN"/>
        </w:rPr>
        <w:t>&gt;95%</w:t>
      </w:r>
    </w:p>
    <w:p>
      <w:pPr>
        <w:numPr>
          <w:ilvl w:val="0"/>
          <w:numId w:val="2"/>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气象观测系统建设职责绩效目标：</w:t>
      </w:r>
    </w:p>
    <w:p>
      <w:pPr>
        <w:numPr>
          <w:ilvl w:val="0"/>
          <w:numId w:val="0"/>
        </w:numPr>
        <w:ind w:leftChars="200"/>
        <w:rPr>
          <w:rFonts w:hint="eastAsia" w:ascii="仿宋" w:hAnsi="仿宋" w:eastAsia="仿宋" w:cs="仿宋"/>
          <w:sz w:val="32"/>
          <w:szCs w:val="32"/>
          <w:lang w:val="en-US" w:eastAsia="zh-CN"/>
        </w:rPr>
      </w:pPr>
      <w:r>
        <w:rPr>
          <w:rFonts w:hint="eastAsia" w:ascii="Times New Roman" w:hAnsi="Times New Roman" w:eastAsia="仿宋" w:cs="Times New Roman"/>
          <w:sz w:val="32"/>
          <w:szCs w:val="32"/>
        </w:rPr>
        <w:t>绩效目标：</w:t>
      </w:r>
      <w:r>
        <w:rPr>
          <w:rFonts w:hint="eastAsia" w:ascii="仿宋" w:hAnsi="仿宋" w:eastAsia="仿宋" w:cs="仿宋"/>
          <w:sz w:val="32"/>
          <w:szCs w:val="32"/>
          <w:lang w:val="en-US" w:eastAsia="zh-CN"/>
        </w:rPr>
        <w:t>优化区域气象灾害观测网布局</w:t>
      </w:r>
    </w:p>
    <w:p>
      <w:pPr>
        <w:numPr>
          <w:ilvl w:val="0"/>
          <w:numId w:val="0"/>
        </w:numPr>
        <w:ind w:firstLine="320" w:firstLineChars="100"/>
        <w:rPr>
          <w:rFonts w:hint="eastAsia" w:ascii="仿宋" w:hAnsi="仿宋" w:eastAsia="仿宋" w:cs="仿宋"/>
          <w:sz w:val="32"/>
          <w:szCs w:val="32"/>
          <w:lang w:val="en-US" w:eastAsia="zh-CN"/>
        </w:rPr>
      </w:pPr>
      <w:r>
        <w:rPr>
          <w:rFonts w:hint="eastAsia" w:ascii="Times New Roman" w:hAnsi="Times New Roman" w:eastAsia="仿宋" w:cs="Times New Roman"/>
          <w:sz w:val="32"/>
          <w:szCs w:val="32"/>
        </w:rPr>
        <w:t>绩效指标</w:t>
      </w:r>
      <w:r>
        <w:rPr>
          <w:rFonts w:hint="eastAsia" w:ascii="Times New Roman" w:hAnsi="Times New Roman" w:eastAsia="仿宋" w:cs="Times New Roman"/>
          <w:sz w:val="32"/>
          <w:szCs w:val="32"/>
          <w:lang w:val="en-US" w:eastAsia="zh-CN"/>
        </w:rPr>
        <w:t>:</w:t>
      </w:r>
      <w:r>
        <w:rPr>
          <w:rFonts w:hint="eastAsia" w:ascii="仿宋" w:hAnsi="仿宋" w:eastAsia="仿宋" w:cs="仿宋"/>
          <w:sz w:val="32"/>
          <w:szCs w:val="32"/>
          <w:lang w:val="en-US" w:eastAsia="zh-CN"/>
        </w:rPr>
        <w:t>站点空间分辨率达到10公里。</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一）加强现有气象观测站网维护</w:t>
      </w:r>
    </w:p>
    <w:p>
      <w:pPr>
        <w:numPr>
          <w:ilvl w:val="0"/>
          <w:numId w:val="3"/>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建设完善的气象灾害监测站网，提升气象灾害立体监测能力和水平；</w:t>
      </w:r>
    </w:p>
    <w:p>
      <w:pPr>
        <w:numPr>
          <w:ilvl w:val="0"/>
          <w:numId w:val="3"/>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保障全县气象灾害监测站网和气象通信网络正常运行；</w:t>
      </w:r>
    </w:p>
    <w:p>
      <w:pPr>
        <w:numPr>
          <w:ilvl w:val="0"/>
          <w:numId w:val="3"/>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建立气象灾害预报指标体系和预报预警业务系统，开展气象灾害分区、分级预警；</w:t>
      </w:r>
    </w:p>
    <w:p>
      <w:pPr>
        <w:numPr>
          <w:ilvl w:val="0"/>
          <w:numId w:val="3"/>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建立突发事件预警信息发布系统，维持播发设施正常运行，实现预警信息发得出、传得快、收得到。</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（二）制定完善气象灾害应急预案</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开展应急演练。</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建立完善省、市、县三级联动的气象灾害防御、应急指挥，做好突发事件气象保障服务。</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（三）全面做好决策、公众、农业气象服务工作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1.决策气象服务。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2.公众气象服务。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3.农业气象服务。</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（四）全面加强党的建设，打造高素质专业化干部队伍</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1.全面落实党的十九大精神。</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2.全面加强党的政治建设。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3.全面加强党风廉政建设。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4.全面加强法治建设。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5.全面加强信息化建设。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6.全面加强队伍能力建设。</w:t>
      </w:r>
    </w:p>
    <w:bookmarkEnd w:id="0"/>
    <w:p>
      <w:pPr>
        <w:ind w:firstLine="643" w:firstLineChars="200"/>
        <w:rPr>
          <w:rFonts w:ascii="仿宋_GB2312" w:hAnsi="黑体" w:eastAsia="仿宋_GB2312"/>
          <w:b/>
          <w:bCs/>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w:t>
      </w:r>
      <w:r>
        <w:rPr>
          <w:rFonts w:hint="eastAsia" w:ascii="仿宋_GB2312" w:hAnsi="黑体" w:eastAsia="仿宋_GB2312" w:cs="仿宋_GB2312"/>
          <w:b/>
          <w:bCs/>
          <w:sz w:val="32"/>
          <w:szCs w:val="32"/>
          <w:lang w:eastAsia="zh-CN"/>
        </w:rPr>
        <w:t>二</w:t>
      </w:r>
      <w:r>
        <w:rPr>
          <w:rFonts w:hint="eastAsia" w:ascii="仿宋_GB2312" w:hAnsi="黑体" w:eastAsia="仿宋_GB2312" w:cs="仿宋_GB2312"/>
          <w:b/>
          <w:bCs/>
          <w:sz w:val="32"/>
          <w:szCs w:val="32"/>
        </w:rPr>
        <w:t>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jc w:val="left"/>
        <w:outlineLvl w:val="1"/>
        <w:rPr>
          <w:rFonts w:ascii="方正仿宋_GBK" w:eastAsia="方正仿宋_GBK"/>
          <w:b/>
          <w:bCs/>
          <w:sz w:val="28"/>
          <w:szCs w:val="28"/>
          <w:highlight w:val="yellow"/>
        </w:rPr>
      </w:pPr>
    </w:p>
    <w:p>
      <w:pPr>
        <w:jc w:val="center"/>
        <w:outlineLvl w:val="1"/>
        <w:rPr>
          <w:rFonts w:ascii="Times New Roman" w:hAnsi="宋体"/>
          <w:b/>
          <w:bCs/>
          <w:sz w:val="28"/>
          <w:szCs w:val="28"/>
        </w:rPr>
      </w:pP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6"/>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p>
      <w:pPr>
        <w:spacing w:line="14" w:lineRule="exact"/>
        <w:ind w:firstLine="420" w:firstLineChars="200"/>
        <w:jc w:val="center"/>
        <w:rPr>
          <w:rFonts w:ascii="Times New Roman" w:hAnsi="宋体"/>
        </w:rPr>
      </w:pPr>
      <w:r>
        <w:rPr>
          <w:rFonts w:ascii="方正书宋_GBK" w:eastAsia="方正书宋_GBK" w:cs="方正书宋_GBK"/>
        </w:rPr>
        <w:t xml:space="preserve"> </w:t>
      </w:r>
    </w:p>
    <w:p>
      <w:pPr>
        <w:spacing w:line="300" w:lineRule="exact"/>
        <w:ind w:firstLine="420" w:firstLineChars="200"/>
        <w:jc w:val="left"/>
      </w:pPr>
    </w:p>
    <w:p>
      <w:pPr>
        <w:jc w:val="center"/>
        <w:outlineLvl w:val="1"/>
        <w:rPr>
          <w:rFonts w:ascii="Times New Roman" w:hAnsi="宋体"/>
          <w:b/>
          <w:bCs/>
          <w:sz w:val="28"/>
          <w:szCs w:val="28"/>
        </w:rPr>
      </w:pPr>
      <w:r>
        <w:rPr>
          <w:rFonts w:hint="eastAsia" w:ascii="方正仿宋_GBK" w:eastAsia="方正仿宋_GBK" w:cs="方正仿宋_GBK"/>
          <w:b/>
          <w:bCs/>
          <w:color w:val="auto"/>
          <w:sz w:val="28"/>
          <w:szCs w:val="28"/>
          <w:highlight w:val="none"/>
          <w:lang w:val="en-US" w:eastAsia="zh-CN"/>
        </w:rPr>
        <w:t>地方气象服务运行保障</w:t>
      </w:r>
      <w:r>
        <w:rPr>
          <w:rFonts w:hint="eastAsia" w:ascii="方正仿宋_GBK" w:eastAsia="方正仿宋_GBK" w:cs="方正仿宋_GBK"/>
          <w:b/>
          <w:bCs/>
          <w:color w:val="auto"/>
          <w:sz w:val="28"/>
          <w:szCs w:val="28"/>
          <w:highlight w:val="none"/>
        </w:rPr>
        <w:t>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numPr>
                <w:ilvl w:val="0"/>
                <w:numId w:val="4"/>
              </w:numPr>
              <w:spacing w:line="300" w:lineRule="exact"/>
              <w:jc w:val="left"/>
              <w:rPr>
                <w:rFonts w:hint="eastAsia" w:ascii="方正书宋_GBK" w:eastAsia="方正书宋_GBK"/>
              </w:rPr>
            </w:pPr>
            <w:r>
              <w:rPr>
                <w:rFonts w:hint="eastAsia" w:ascii="方正书宋_GBK" w:eastAsia="方正书宋_GBK"/>
              </w:rPr>
              <w:t>各台站气象资料传输率和计算机通信网络正常运行保障率达标</w:t>
            </w:r>
          </w:p>
          <w:p>
            <w:pPr>
              <w:numPr>
                <w:ilvl w:val="0"/>
                <w:numId w:val="4"/>
              </w:numPr>
              <w:spacing w:line="300" w:lineRule="exact"/>
              <w:jc w:val="left"/>
              <w:rPr>
                <w:rFonts w:hint="eastAsia" w:ascii="方正书宋_GBK" w:eastAsia="方正书宋_GBK"/>
              </w:rPr>
            </w:pPr>
            <w:r>
              <w:rPr>
                <w:rFonts w:hint="eastAsia" w:ascii="方正书宋_GBK" w:eastAsia="方正书宋_GBK"/>
              </w:rPr>
              <w:t>制定完善气象灾害应急预案，开展应急演练；开展气象信息员队伍建设和培训工作；做好突发事件气象保障服务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计算机通信网络正常运行保障率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全年计算机通信网络稳定运行天数占总运行天数的比例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业务要求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气象灾害监测站网建设完成率</w:t>
            </w:r>
          </w:p>
        </w:tc>
        <w:tc>
          <w:tcPr>
            <w:tcW w:w="2891"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项实际完成监测站网建设数量占气象现代化要求数量的比例</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业务要求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ind w:left="210" w:hanging="210" w:hangingChars="100"/>
              <w:jc w:val="left"/>
              <w:rPr>
                <w:rFonts w:ascii="方正书宋_GBK" w:eastAsia="方正书宋_GBK"/>
              </w:rPr>
            </w:pPr>
            <w:r>
              <w:rPr>
                <w:rFonts w:hint="eastAsia" w:ascii="方正书宋_GBK" w:eastAsia="方正书宋_GBK"/>
                <w:lang w:eastAsia="zh-CN"/>
              </w:rPr>
              <w:t>数量</w:t>
            </w:r>
            <w:r>
              <w:rPr>
                <w:rFonts w:hint="eastAsia" w:ascii="方正书宋_GBK" w:eastAsia="方正书宋_GBK"/>
              </w:rPr>
              <w:t>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气象资料传输率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气象资料传输率=气象资料及时到报数量/（及时到报数量+延迟到报数量+缺报数量）</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业务要求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气象信息员培训次数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全省每2年气象信息员培训次数</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2</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公众气象服务满意度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根据国家气象行业标准《气象服务公众满意度》规定的满意度等级划分和计算方法进行计算。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8</w:t>
            </w:r>
            <w:r>
              <w:rPr>
                <w:rFonts w:ascii="方正书宋_GBK" w:eastAsia="方正书宋_GBK"/>
              </w:rPr>
              <w:t>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pPr>
    </w:p>
    <w:p>
      <w:pPr>
        <w:autoSpaceDE w:val="0"/>
        <w:autoSpaceDN w:val="0"/>
        <w:adjustRightInd w:val="0"/>
        <w:ind w:left="198" w:firstLine="560" w:firstLineChars="200"/>
        <w:jc w:val="center"/>
        <w:rPr>
          <w:rFonts w:hint="eastAsia" w:ascii="Times New Roman" w:hAnsi="Times New Roman" w:eastAsia="仿宋" w:cs="仿宋"/>
          <w:b/>
          <w:bCs/>
          <w:sz w:val="32"/>
          <w:szCs w:val="32"/>
          <w:highlight w:val="red"/>
        </w:rPr>
      </w:pPr>
      <w:r>
        <w:rPr>
          <w:rFonts w:hint="eastAsia" w:ascii="方正仿宋_GBK" w:eastAsia="方正仿宋_GBK" w:cs="方正仿宋_GBK"/>
          <w:b/>
          <w:bCs/>
          <w:color w:val="auto"/>
          <w:sz w:val="28"/>
          <w:szCs w:val="28"/>
          <w:highlight w:val="none"/>
          <w:lang w:val="en-US" w:eastAsia="zh-CN"/>
        </w:rPr>
        <w:t>气象服务</w:t>
      </w:r>
      <w:r>
        <w:rPr>
          <w:rFonts w:hint="eastAsia" w:ascii="方正仿宋_GBK" w:eastAsia="方正仿宋_GBK" w:cs="方正仿宋_GBK"/>
          <w:b/>
          <w:bCs/>
          <w:color w:val="auto"/>
          <w:sz w:val="28"/>
          <w:szCs w:val="28"/>
          <w:highlight w:val="none"/>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numPr>
                <w:ilvl w:val="0"/>
                <w:numId w:val="5"/>
              </w:num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开展人影作业，开发空中云水资源，抗旱减灾，降低农业生产损失，保障粮食安全；增加地表水和补充地下水，缓解水资源短缺，保障水安全；森林草原防火灭火，保护生态环境等。</w:t>
            </w:r>
          </w:p>
          <w:p>
            <w:pPr>
              <w:numPr>
                <w:ilvl w:val="0"/>
                <w:numId w:val="5"/>
              </w:numPr>
              <w:spacing w:line="300" w:lineRule="exact"/>
              <w:jc w:val="left"/>
              <w:rPr>
                <w:rFonts w:hint="eastAsia" w:ascii="方正书宋_GBK" w:eastAsia="方正书宋_GBK"/>
              </w:rPr>
            </w:pPr>
            <w:r>
              <w:rPr>
                <w:rFonts w:hint="eastAsia" w:ascii="方正书宋_GBK" w:eastAsia="方正书宋_GBK"/>
                <w:lang w:val="en-US" w:eastAsia="zh-CN"/>
              </w:rPr>
              <w:t>为县委县政府及相关部门及时提供重大气象灾害的决策服务为大气污染防治提供科学依据；通过人影作业，对秋冬大气污染防提供有效手段。</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lang w:eastAsia="zh-CN"/>
              </w:rPr>
              <w:t>数量</w:t>
            </w:r>
            <w:r>
              <w:rPr>
                <w:rFonts w:hint="eastAsia" w:ascii="方正书宋_GBK" w:eastAsia="方正书宋_GBK"/>
              </w:rPr>
              <w:t>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高炮、火箭年检率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高炮、火箭年检比率，保障增雨作业</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业务要求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提供信息的及时性</w:t>
            </w:r>
          </w:p>
        </w:tc>
        <w:tc>
          <w:tcPr>
            <w:tcW w:w="2891"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发布重污染预报预警信息提前时间（小时）</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12</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业务要求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ind w:left="210" w:hanging="210" w:hangingChars="100"/>
              <w:jc w:val="left"/>
              <w:rPr>
                <w:rFonts w:ascii="方正书宋_GBK" w:eastAsia="方正书宋_GBK"/>
              </w:rPr>
            </w:pPr>
            <w:r>
              <w:rPr>
                <w:rFonts w:hint="eastAsia" w:ascii="方正书宋_GBK" w:eastAsia="方正书宋_GBK"/>
                <w:lang w:eastAsia="zh-CN"/>
              </w:rPr>
              <w:t>数量</w:t>
            </w:r>
            <w:r>
              <w:rPr>
                <w:rFonts w:hint="eastAsia" w:ascii="方正书宋_GBK" w:eastAsia="方正书宋_GBK"/>
              </w:rPr>
              <w:t>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开展增雨（雪）作业全年架次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全年高炮增雨（雪）作业架次</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农业气象服务专题报告期数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针对夏粮作物（冬小麦）、秋粮作物（春玉米、夏玉米等）产量和全年粮食总产量进行预报</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12</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公众气象服务满意度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根据国家气象行业标准《气象服务公众满意度》规定的满意度等级划分和计算方法进行计算。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8</w:t>
            </w:r>
            <w:r>
              <w:rPr>
                <w:rFonts w:ascii="方正书宋_GBK" w:eastAsia="方正书宋_GBK"/>
              </w:rPr>
              <w:t>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autoSpaceDE w:val="0"/>
        <w:autoSpaceDN w:val="0"/>
        <w:adjustRightInd w:val="0"/>
        <w:ind w:left="198" w:firstLine="643" w:firstLineChars="200"/>
        <w:jc w:val="left"/>
        <w:rPr>
          <w:rFonts w:hint="eastAsia" w:ascii="Times New Roman" w:hAnsi="Times New Roman" w:eastAsia="仿宋" w:cs="仿宋"/>
          <w:b/>
          <w:bCs/>
          <w:sz w:val="32"/>
          <w:szCs w:val="32"/>
          <w:highlight w:val="red"/>
        </w:rPr>
      </w:pPr>
    </w:p>
    <w:p>
      <w:pPr>
        <w:autoSpaceDE w:val="0"/>
        <w:autoSpaceDN w:val="0"/>
        <w:adjustRightInd w:val="0"/>
        <w:jc w:val="left"/>
        <w:rPr>
          <w:rFonts w:hint="eastAsia" w:ascii="Times New Roman" w:hAnsi="Times New Roman" w:eastAsia="仿宋" w:cs="仿宋"/>
          <w:b/>
          <w:bCs/>
          <w:sz w:val="32"/>
          <w:szCs w:val="32"/>
          <w:highlight w:val="red"/>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2"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万元。具体内容见下表。</w:t>
      </w:r>
      <w:bookmarkEnd w:id="2"/>
    </w:p>
    <w:p>
      <w:pPr>
        <w:jc w:val="center"/>
        <w:outlineLvl w:val="0"/>
        <w:rPr>
          <w:rFonts w:ascii="方正小标宋_GBK" w:eastAsia="方正小标宋_GBK"/>
          <w:sz w:val="32"/>
          <w:szCs w:val="32"/>
        </w:rPr>
      </w:pPr>
      <w:bookmarkStart w:id="3" w:name="_Toc535404684"/>
      <w:r>
        <w:rPr>
          <w:rFonts w:hint="eastAsia" w:ascii="方正小标宋_GBK" w:eastAsia="方正小标宋_GBK" w:cs="方正小标宋_GBK"/>
          <w:sz w:val="32"/>
          <w:szCs w:val="32"/>
        </w:rPr>
        <w:t>部门政府采购预算</w:t>
      </w:r>
      <w:bookmarkEnd w:id="3"/>
    </w:p>
    <w:tbl>
      <w:tblPr>
        <w:tblStyle w:val="7"/>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20"/>
        <w:gridCol w:w="596"/>
        <w:gridCol w:w="634"/>
        <w:gridCol w:w="476"/>
        <w:gridCol w:w="583"/>
        <w:gridCol w:w="583"/>
        <w:gridCol w:w="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sz w:val="24"/>
                <w:szCs w:val="24"/>
              </w:rPr>
            </w:pPr>
            <w:r>
              <w:rPr>
                <w:rFonts w:hint="eastAsia" w:ascii="宋体" w:hAnsi="宋体" w:cs="宋体"/>
                <w:sz w:val="24"/>
                <w:szCs w:val="24"/>
              </w:rPr>
              <w:t>馆陶县</w:t>
            </w:r>
            <w:r>
              <w:rPr>
                <w:rFonts w:hint="eastAsia" w:ascii="宋体" w:hAnsi="宋体" w:cs="宋体"/>
                <w:sz w:val="24"/>
                <w:szCs w:val="24"/>
                <w:lang w:eastAsia="zh-CN"/>
              </w:rPr>
              <w:t>气象局</w:t>
            </w:r>
          </w:p>
        </w:tc>
        <w:tc>
          <w:tcPr>
            <w:tcW w:w="405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4054"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2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84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2872" w:type="dxa"/>
            <w:gridSpan w:val="5"/>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56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Merge w:val="continue"/>
            <w:vAlign w:val="center"/>
          </w:tcPr>
          <w:p>
            <w:pPr>
              <w:spacing w:line="300" w:lineRule="exact"/>
              <w:jc w:val="left"/>
              <w:outlineLvl w:val="0"/>
            </w:pPr>
          </w:p>
        </w:tc>
        <w:tc>
          <w:tcPr>
            <w:tcW w:w="840" w:type="dxa"/>
            <w:vMerge w:val="continue"/>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continue"/>
            <w:vAlign w:val="center"/>
          </w:tcPr>
          <w:p>
            <w:pPr>
              <w:spacing w:line="300" w:lineRule="exact"/>
              <w:jc w:val="left"/>
              <w:outlineLvl w:val="0"/>
            </w:pPr>
          </w:p>
        </w:tc>
        <w:tc>
          <w:tcPr>
            <w:tcW w:w="59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56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ascii="方正书宋_GBK" w:eastAsia="方正书宋_GBK"/>
                <w:b/>
                <w:bCs/>
              </w:rPr>
            </w:pPr>
            <w:r>
              <w:rPr>
                <w:rFonts w:hint="eastAsia" w:ascii="方正书宋_GBK" w:eastAsia="方正书宋_GBK" w:cs="方正书宋_GBK"/>
                <w:b/>
                <w:bCs/>
              </w:rPr>
              <w:t>馆陶县</w:t>
            </w:r>
            <w:r>
              <w:rPr>
                <w:rFonts w:hint="eastAsia" w:ascii="方正书宋_GBK" w:eastAsia="方正书宋_GBK" w:cs="方正书宋_GBK"/>
                <w:b/>
                <w:bCs/>
                <w:lang w:eastAsia="zh-CN"/>
              </w:rPr>
              <w:t>气象局</w:t>
            </w:r>
            <w:r>
              <w:rPr>
                <w:rFonts w:hint="eastAsia" w:ascii="方正书宋_GBK" w:eastAsia="方正书宋_GBK" w:cs="方正书宋_GBK"/>
                <w:b/>
                <w:bCs/>
              </w:rPr>
              <w:t>小计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210"/>
              <w:jc w:val="right"/>
              <w:rPr>
                <w:rFonts w:ascii="方正书宋_GBK" w:eastAsia="方正书宋_GBK"/>
              </w:rPr>
            </w:pPr>
          </w:p>
        </w:tc>
        <w:tc>
          <w:tcPr>
            <w:tcW w:w="620" w:type="dxa"/>
            <w:vAlign w:val="center"/>
          </w:tcPr>
          <w:p>
            <w:pPr>
              <w:spacing w:line="300" w:lineRule="exact"/>
              <w:ind w:right="105"/>
              <w:jc w:val="right"/>
              <w:rPr>
                <w:rFonts w:ascii="方正书宋_GBK" w:eastAsia="方正书宋_GBK"/>
              </w:rPr>
            </w:pPr>
          </w:p>
        </w:tc>
        <w:tc>
          <w:tcPr>
            <w:tcW w:w="596" w:type="dxa"/>
            <w:vAlign w:val="center"/>
          </w:tcPr>
          <w:p>
            <w:pPr>
              <w:spacing w:line="300" w:lineRule="exact"/>
              <w:ind w:right="105"/>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105"/>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bl>
    <w:p>
      <w:pPr>
        <w:sectPr>
          <w:headerReference r:id="rId3" w:type="default"/>
          <w:footerReference r:id="rId4" w:type="default"/>
          <w:pgSz w:w="11907" w:h="16839"/>
          <w:pgMar w:top="1021" w:right="1361" w:bottom="1021" w:left="1361" w:header="851" w:footer="992" w:gutter="0"/>
          <w:cols w:space="720" w:num="1"/>
          <w:docGrid w:type="lines" w:linePitch="312" w:charSpace="0"/>
        </w:sect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lang w:eastAsia="zh-CN"/>
        </w:rPr>
        <w:t>气象局</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lang w:val="en-US" w:eastAsia="zh-CN"/>
        </w:rPr>
        <w:t>460.6</w:t>
      </w:r>
      <w:r>
        <w:rPr>
          <w:rFonts w:hint="eastAsia" w:ascii="Times New Roman" w:hAnsi="Times New Roman" w:eastAsia="仿宋" w:cs="仿宋"/>
          <w:color w:val="000000"/>
          <w:sz w:val="32"/>
          <w:szCs w:val="32"/>
        </w:rPr>
        <w:t>万元（详见下表），本年度各单位（处室）拟购置固定资产总额为</w:t>
      </w:r>
      <w:r>
        <w:rPr>
          <w:rFonts w:hint="eastAsia" w:ascii="Times New Roman" w:hAnsi="Times New Roman" w:eastAsia="仿宋" w:cs="Times New Roman"/>
          <w:color w:val="000000"/>
          <w:sz w:val="32"/>
          <w:szCs w:val="32"/>
          <w:lang w:val="en-US" w:eastAsia="zh-CN"/>
        </w:rPr>
        <w:t>0</w:t>
      </w:r>
      <w:r>
        <w:rPr>
          <w:rFonts w:hint="eastAsia" w:ascii="Times New Roman" w:hAnsi="Times New Roman" w:eastAsia="仿宋" w:cs="仿宋"/>
          <w:color w:val="000000"/>
          <w:sz w:val="32"/>
          <w:szCs w:val="32"/>
        </w:rPr>
        <w:t>万元。</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lang w:eastAsia="zh-CN"/>
              </w:rPr>
              <w:t>馆陶县气象局</w:t>
            </w: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编制部门：</w:t>
            </w:r>
            <w:r>
              <w:rPr>
                <w:rFonts w:hint="eastAsia" w:ascii="Times New Roman" w:hAnsi="Times New Roman" w:eastAsia="仿宋" w:cs="仿宋"/>
                <w:kern w:val="0"/>
                <w:sz w:val="22"/>
                <w:szCs w:val="22"/>
                <w:lang w:eastAsia="zh-CN"/>
              </w:rPr>
              <w:t>馆陶县气象局</w:t>
            </w:r>
          </w:p>
        </w:tc>
        <w:tc>
          <w:tcPr>
            <w:tcW w:w="4095" w:type="dxa"/>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lang w:val="en-US" w:eastAsia="zh-CN"/>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lang w:val="en-US" w:eastAsia="zh-CN"/>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lang w:val="en-US" w:eastAsia="zh-CN"/>
              </w:rPr>
              <w:t>30</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olor w:val="FF0000"/>
                <w:kern w:val="0"/>
                <w:sz w:val="22"/>
                <w:szCs w:val="22"/>
                <w:lang w:val="en-US" w:eastAsia="zh-CN"/>
              </w:rPr>
            </w:pPr>
            <w:r>
              <w:rPr>
                <w:rFonts w:hint="eastAsia" w:ascii="Times New Roman" w:hAnsi="Times New Roman" w:eastAsia="仿宋"/>
                <w:color w:val="FF0000"/>
                <w:kern w:val="0"/>
                <w:sz w:val="22"/>
                <w:szCs w:val="22"/>
                <w:lang w:val="en-US" w:eastAsia="zh-CN"/>
              </w:rPr>
              <w:t>460.6</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1450</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319.9</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1450</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319.9</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2</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17.43</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123.27</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1、一般公共预算拨款收入：指省级财政当年拨付的资金。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p>
      <w:pPr>
        <w:ind w:firstLine="640" w:firstLineChars="200"/>
        <w:rPr>
          <w:rFonts w:ascii="Times New Roman" w:hAnsi="Times New Roman" w:eastAsia="仿宋"/>
          <w:sz w:val="32"/>
          <w:szCs w:val="32"/>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F1DB5"/>
    <w:multiLevelType w:val="singleLevel"/>
    <w:tmpl w:val="909F1DB5"/>
    <w:lvl w:ilvl="0" w:tentative="0">
      <w:start w:val="1"/>
      <w:numFmt w:val="decimal"/>
      <w:lvlText w:val="%1."/>
      <w:lvlJc w:val="left"/>
      <w:pPr>
        <w:tabs>
          <w:tab w:val="left" w:pos="312"/>
        </w:tabs>
      </w:pPr>
    </w:lvl>
  </w:abstractNum>
  <w:abstractNum w:abstractNumId="1">
    <w:nsid w:val="210BEBE7"/>
    <w:multiLevelType w:val="singleLevel"/>
    <w:tmpl w:val="210BEBE7"/>
    <w:lvl w:ilvl="0" w:tentative="0">
      <w:start w:val="1"/>
      <w:numFmt w:val="chineseCounting"/>
      <w:suff w:val="nothing"/>
      <w:lvlText w:val="（%1）"/>
      <w:lvlJc w:val="left"/>
      <w:rPr>
        <w:rFonts w:hint="eastAsia"/>
      </w:rPr>
    </w:lvl>
  </w:abstractNum>
  <w:abstractNum w:abstractNumId="2">
    <w:nsid w:val="21638F60"/>
    <w:multiLevelType w:val="singleLevel"/>
    <w:tmpl w:val="21638F60"/>
    <w:lvl w:ilvl="0" w:tentative="0">
      <w:start w:val="1"/>
      <w:numFmt w:val="decimal"/>
      <w:suff w:val="nothing"/>
      <w:lvlText w:val="%1、"/>
      <w:lvlJc w:val="left"/>
    </w:lvl>
  </w:abstractNum>
  <w:abstractNum w:abstractNumId="3">
    <w:nsid w:val="40C193D3"/>
    <w:multiLevelType w:val="singleLevel"/>
    <w:tmpl w:val="40C193D3"/>
    <w:lvl w:ilvl="0" w:tentative="0">
      <w:start w:val="2"/>
      <w:numFmt w:val="chineseCounting"/>
      <w:suff w:val="nothing"/>
      <w:lvlText w:val="（%1）"/>
      <w:lvlJc w:val="left"/>
      <w:rPr>
        <w:rFonts w:hint="eastAsia"/>
      </w:rPr>
    </w:lvl>
  </w:abstractNum>
  <w:abstractNum w:abstractNumId="4">
    <w:nsid w:val="485DED4A"/>
    <w:multiLevelType w:val="singleLevel"/>
    <w:tmpl w:val="485DED4A"/>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E4CD0"/>
    <w:rsid w:val="00273E7D"/>
    <w:rsid w:val="002B4EAB"/>
    <w:rsid w:val="002B7066"/>
    <w:rsid w:val="002C2891"/>
    <w:rsid w:val="00331F08"/>
    <w:rsid w:val="00355582"/>
    <w:rsid w:val="003962A8"/>
    <w:rsid w:val="003E491B"/>
    <w:rsid w:val="003F0952"/>
    <w:rsid w:val="004740B0"/>
    <w:rsid w:val="0051597D"/>
    <w:rsid w:val="00556C00"/>
    <w:rsid w:val="005D69FB"/>
    <w:rsid w:val="005E015D"/>
    <w:rsid w:val="00606439"/>
    <w:rsid w:val="00641BF0"/>
    <w:rsid w:val="006D0C4D"/>
    <w:rsid w:val="00720FCB"/>
    <w:rsid w:val="0074453E"/>
    <w:rsid w:val="007602E7"/>
    <w:rsid w:val="00782811"/>
    <w:rsid w:val="007B3EC5"/>
    <w:rsid w:val="007B4E99"/>
    <w:rsid w:val="007D0F19"/>
    <w:rsid w:val="007E57D1"/>
    <w:rsid w:val="008020D3"/>
    <w:rsid w:val="008241FD"/>
    <w:rsid w:val="00836ABF"/>
    <w:rsid w:val="00872978"/>
    <w:rsid w:val="0088640D"/>
    <w:rsid w:val="00892D2A"/>
    <w:rsid w:val="00894C41"/>
    <w:rsid w:val="008B0AD8"/>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C77B2"/>
    <w:rsid w:val="00BD076A"/>
    <w:rsid w:val="00C30770"/>
    <w:rsid w:val="00C44047"/>
    <w:rsid w:val="00C62C69"/>
    <w:rsid w:val="00C67CC4"/>
    <w:rsid w:val="00C82A78"/>
    <w:rsid w:val="00C96FAB"/>
    <w:rsid w:val="00CE6CF0"/>
    <w:rsid w:val="00D57139"/>
    <w:rsid w:val="00DA3BBD"/>
    <w:rsid w:val="00E0632F"/>
    <w:rsid w:val="00E348C2"/>
    <w:rsid w:val="00EC3709"/>
    <w:rsid w:val="00ED6FC7"/>
    <w:rsid w:val="00EE442D"/>
    <w:rsid w:val="00F7075C"/>
    <w:rsid w:val="00FA2238"/>
    <w:rsid w:val="00FA5AAA"/>
    <w:rsid w:val="18437F9A"/>
    <w:rsid w:val="195B249C"/>
    <w:rsid w:val="1D677943"/>
    <w:rsid w:val="28335AC8"/>
    <w:rsid w:val="3BFC5E8D"/>
    <w:rsid w:val="402E6A5E"/>
    <w:rsid w:val="612D18F5"/>
    <w:rsid w:val="66CA473E"/>
    <w:rsid w:val="6BAD666D"/>
    <w:rsid w:val="6BCA4225"/>
    <w:rsid w:val="6FE1552C"/>
    <w:rsid w:val="76390558"/>
    <w:rsid w:val="77B342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character" w:customStyle="1" w:styleId="12">
    <w:name w:val="Footnote Text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 w:type="character" w:customStyle="1" w:styleId="15">
    <w:name w:val="font51"/>
    <w:basedOn w:val="8"/>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10</Pages>
  <Words>4241</Words>
  <Characters>4368</Characters>
  <Lines>0</Lines>
  <Paragraphs>0</Paragraphs>
  <TotalTime>0</TotalTime>
  <ScaleCrop>false</ScaleCrop>
  <LinksUpToDate>false</LinksUpToDate>
  <CharactersWithSpaces>4385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2024-06-04T01:00:00Z</dcterms:modified>
  <dc:title>o</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132C35A182274E67A6812BAA8846F43C_13</vt:lpwstr>
  </property>
</Properties>
</file>