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48866">
      <w:pPr>
        <w:ind w:firstLine="880" w:firstLineChars="200"/>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中共馆陶县纪委</w:t>
      </w:r>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lang w:val="en-US" w:eastAsia="zh-CN"/>
        </w:rPr>
        <w:t>9</w:t>
      </w:r>
      <w:r>
        <w:rPr>
          <w:rFonts w:hint="eastAsia" w:ascii="Times New Roman" w:hAnsi="Times New Roman" w:eastAsia="方正小标宋_GBK" w:cs="方正小标宋_GBK"/>
          <w:sz w:val="44"/>
          <w:szCs w:val="44"/>
        </w:rPr>
        <w:t>年部门预算信息公开</w:t>
      </w:r>
    </w:p>
    <w:p w14:paraId="6EC92BA8">
      <w:pPr>
        <w:ind w:firstLine="640" w:firstLineChars="200"/>
        <w:rPr>
          <w:rFonts w:ascii="仿宋" w:hAnsi="仿宋" w:eastAsia="仿宋" w:cs="Times New Roman"/>
          <w:sz w:val="32"/>
          <w:szCs w:val="32"/>
        </w:rPr>
      </w:pPr>
      <w:r>
        <w:rPr>
          <w:rFonts w:hint="eastAsia" w:ascii="仿宋" w:hAnsi="仿宋" w:eastAsia="仿宋" w:cs="仿宋"/>
          <w:sz w:val="32"/>
          <w:szCs w:val="32"/>
        </w:rPr>
        <w:t>按照《</w:t>
      </w:r>
      <w:r>
        <w:rPr>
          <w:rFonts w:hint="eastAsia" w:ascii="仿宋" w:hAnsi="仿宋" w:eastAsia="仿宋" w:cs="仿宋"/>
          <w:sz w:val="32"/>
          <w:szCs w:val="32"/>
          <w:lang w:eastAsia="zh-CN"/>
        </w:rPr>
        <w:t>中华人民共和国</w:t>
      </w:r>
      <w:r>
        <w:rPr>
          <w:rFonts w:hint="eastAsia" w:ascii="仿宋" w:hAnsi="仿宋" w:eastAsia="仿宋" w:cs="仿宋"/>
          <w:sz w:val="32"/>
          <w:szCs w:val="32"/>
        </w:rPr>
        <w:t>预算法》、《地方预决算公开操作规程》和《河北省省级预算公开办法》规定，现将中共馆陶县纪委</w:t>
      </w:r>
      <w:r>
        <w:rPr>
          <w:rFonts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年部门预算公开如下：</w:t>
      </w:r>
    </w:p>
    <w:p w14:paraId="041FAD29">
      <w:pPr>
        <w:ind w:firstLine="640"/>
        <w:rPr>
          <w:rFonts w:ascii="黑体" w:hAnsi="黑体" w:eastAsia="黑体" w:cs="Times New Roman"/>
          <w:sz w:val="32"/>
          <w:szCs w:val="32"/>
        </w:rPr>
      </w:pPr>
      <w:r>
        <w:rPr>
          <w:rFonts w:hint="eastAsia" w:ascii="黑体" w:hAnsi="黑体" w:eastAsia="黑体" w:cs="黑体"/>
          <w:sz w:val="32"/>
          <w:szCs w:val="32"/>
        </w:rPr>
        <w:t>一、部门职责及机构设置情况</w:t>
      </w:r>
    </w:p>
    <w:p w14:paraId="38C014BA">
      <w:pPr>
        <w:pStyle w:val="7"/>
        <w:widowControl/>
        <w:spacing w:line="27" w:lineRule="atLeast"/>
        <w:ind w:firstLine="643" w:firstLineChars="200"/>
        <w:jc w:val="both"/>
        <w:rPr>
          <w:rFonts w:ascii="黑体" w:hAnsi="黑体" w:eastAsia="黑体" w:cs="Times New Roman"/>
          <w:b/>
          <w:bCs/>
          <w:sz w:val="32"/>
          <w:szCs w:val="32"/>
        </w:rPr>
      </w:pPr>
      <w:r>
        <w:rPr>
          <w:rFonts w:hint="eastAsia" w:ascii="黑体" w:hAnsi="黑体" w:eastAsia="黑体" w:cs="黑体"/>
          <w:b/>
          <w:bCs/>
          <w:sz w:val="32"/>
          <w:szCs w:val="32"/>
          <w:shd w:val="clear" w:color="auto" w:fill="FFFFFF"/>
        </w:rPr>
        <w:t>部门职责：</w:t>
      </w:r>
    </w:p>
    <w:p w14:paraId="194FBC7C">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主管全县党的纪律检查工作。</w:t>
      </w:r>
    </w:p>
    <w:p w14:paraId="1417FB93">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主管全县行政监察工作。</w:t>
      </w:r>
    </w:p>
    <w:p w14:paraId="23DC3B7A">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检查并处理县委、县政府机关各部门、各乡镇党的组织和县委管理的党员领导干部以及省、部属驻馆企业、事业单位的党员领导干部违反党的章程及其他党内法规的案件，决定或取消对这些案件中的党员的处分；受理党员的控告和申诉，必要时直接查处下级党的纪律检查机关管辖范围内的比较重要的或复杂的案件。</w:t>
      </w:r>
    </w:p>
    <w:p w14:paraId="43F6544D">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调查处理县政府各部门及其工作人员、各乡镇政府及其领导成员、县属企事业单位主要负责人违反国家政策、法律法规以及违反政纪的行为，并根据责任人所犯错误的情节轻重，作出适当的行政处分；受理监察对象不服政纪处分的申诉，受理个人或单位对监察对象违纪行为的检举、控告。</w:t>
      </w:r>
    </w:p>
    <w:p w14:paraId="04CA4495">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负责作出关于维护党纪的决定，制定全县党风党纪教育规划，配合有关部门做好宣传党的纪检工作方针、政策和教育党员遵守纪律的工作。</w:t>
      </w:r>
    </w:p>
    <w:p w14:paraId="2319AA35">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会同有关部门做好行政监察工作方针、政策和法律法规的宣传工作，教育国家工作人员遵守法纪、为政清廉。</w:t>
      </w:r>
    </w:p>
    <w:p w14:paraId="19BE289B">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负责对党的纪律检查工作理论及有关问题进行调查研究，拟定纪检监察工作的有关规定。</w:t>
      </w:r>
    </w:p>
    <w:p w14:paraId="12B08273">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会同县直有关部门以及各乡镇党委、政府做好纪检监察干部的管理工作；审核乡镇纪委领导班子人选；组织和指导纪检监察系统干部的培训工作。</w:t>
      </w:r>
    </w:p>
    <w:p w14:paraId="0E80015C">
      <w:pPr>
        <w:numPr>
          <w:ilvl w:val="0"/>
          <w:numId w:val="1"/>
        </w:numPr>
        <w:spacing w:line="560" w:lineRule="exact"/>
        <w:ind w:firstLine="640" w:firstLineChars="200"/>
        <w:rPr>
          <w:rFonts w:ascii="仿宋_GB2312" w:eastAsia="仿宋_GB2312"/>
          <w:sz w:val="32"/>
          <w:szCs w:val="32"/>
        </w:rPr>
      </w:pPr>
      <w:r>
        <w:rPr>
          <w:rFonts w:hint="eastAsia" w:ascii="仿宋_GB2312" w:eastAsia="仿宋_GB2312"/>
          <w:sz w:val="32"/>
          <w:szCs w:val="32"/>
        </w:rPr>
        <w:t>承办市纪委、市监察局、县委、县政府授权和交办的其他工作。</w:t>
      </w:r>
    </w:p>
    <w:p w14:paraId="61277621">
      <w:pPr>
        <w:autoSpaceDE w:val="0"/>
        <w:autoSpaceDN w:val="0"/>
        <w:adjustRightInd w:val="0"/>
        <w:ind w:left="198" w:firstLine="643" w:firstLineChars="200"/>
        <w:jc w:val="left"/>
        <w:rPr>
          <w:rFonts w:ascii="方正仿宋_GBK" w:hAnsi="Times New Roman" w:eastAsia="方正仿宋_GBK" w:cs="Times New Roman"/>
          <w:b/>
          <w:bCs/>
          <w:sz w:val="32"/>
          <w:szCs w:val="32"/>
        </w:rPr>
      </w:pPr>
      <w:r>
        <w:rPr>
          <w:rFonts w:hint="eastAsia" w:ascii="方正仿宋_GBK" w:hAnsi="Times New Roman" w:eastAsia="方正仿宋_GBK" w:cs="方正仿宋_GBK"/>
          <w:b/>
          <w:bCs/>
          <w:sz w:val="32"/>
          <w:szCs w:val="32"/>
        </w:rPr>
        <w:t>机构设置：</w:t>
      </w:r>
    </w:p>
    <w:p w14:paraId="46C825D3">
      <w:pPr>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部门机构设置情况</w:t>
      </w:r>
    </w:p>
    <w:tbl>
      <w:tblPr>
        <w:tblStyle w:val="8"/>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43"/>
        <w:gridCol w:w="1134"/>
        <w:gridCol w:w="1276"/>
        <w:gridCol w:w="2902"/>
      </w:tblGrid>
      <w:tr w14:paraId="4CF2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43" w:type="dxa"/>
            <w:vMerge w:val="restart"/>
            <w:vAlign w:val="center"/>
          </w:tcPr>
          <w:p w14:paraId="4067D20E">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单位名称</w:t>
            </w:r>
          </w:p>
        </w:tc>
        <w:tc>
          <w:tcPr>
            <w:tcW w:w="1134" w:type="dxa"/>
            <w:vMerge w:val="restart"/>
            <w:vAlign w:val="center"/>
          </w:tcPr>
          <w:p w14:paraId="1624CD8F">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单位性质</w:t>
            </w:r>
          </w:p>
        </w:tc>
        <w:tc>
          <w:tcPr>
            <w:tcW w:w="1276" w:type="dxa"/>
            <w:vMerge w:val="restart"/>
            <w:vAlign w:val="center"/>
          </w:tcPr>
          <w:p w14:paraId="2DF0C1E3">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单位规格</w:t>
            </w:r>
          </w:p>
        </w:tc>
        <w:tc>
          <w:tcPr>
            <w:tcW w:w="2902" w:type="dxa"/>
            <w:vMerge w:val="restart"/>
            <w:vAlign w:val="center"/>
          </w:tcPr>
          <w:p w14:paraId="54B878E9">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经费保障形式</w:t>
            </w:r>
          </w:p>
        </w:tc>
      </w:tr>
      <w:tr w14:paraId="6290F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43" w:type="dxa"/>
            <w:vMerge w:val="continue"/>
            <w:vAlign w:val="center"/>
          </w:tcPr>
          <w:p w14:paraId="6C34A82C">
            <w:pPr>
              <w:spacing w:line="300" w:lineRule="exact"/>
              <w:jc w:val="left"/>
              <w:outlineLvl w:val="0"/>
              <w:rPr>
                <w:rFonts w:ascii="Times New Roman" w:hAnsi="Times New Roman" w:cs="Times New Roman"/>
              </w:rPr>
            </w:pPr>
          </w:p>
        </w:tc>
        <w:tc>
          <w:tcPr>
            <w:tcW w:w="1134" w:type="dxa"/>
            <w:vMerge w:val="continue"/>
            <w:vAlign w:val="center"/>
          </w:tcPr>
          <w:p w14:paraId="4A92D175">
            <w:pPr>
              <w:spacing w:line="300" w:lineRule="exact"/>
              <w:jc w:val="left"/>
              <w:outlineLvl w:val="0"/>
              <w:rPr>
                <w:rFonts w:ascii="Times New Roman" w:hAnsi="Times New Roman" w:cs="Times New Roman"/>
              </w:rPr>
            </w:pPr>
          </w:p>
        </w:tc>
        <w:tc>
          <w:tcPr>
            <w:tcW w:w="1276" w:type="dxa"/>
            <w:vMerge w:val="continue"/>
            <w:vAlign w:val="center"/>
          </w:tcPr>
          <w:p w14:paraId="73704CAA">
            <w:pPr>
              <w:spacing w:line="300" w:lineRule="exact"/>
              <w:jc w:val="left"/>
              <w:outlineLvl w:val="0"/>
              <w:rPr>
                <w:rFonts w:ascii="Times New Roman" w:hAnsi="Times New Roman" w:cs="Times New Roman"/>
              </w:rPr>
            </w:pPr>
          </w:p>
        </w:tc>
        <w:tc>
          <w:tcPr>
            <w:tcW w:w="2902" w:type="dxa"/>
            <w:vMerge w:val="continue"/>
            <w:vAlign w:val="center"/>
          </w:tcPr>
          <w:p w14:paraId="6EF337B7">
            <w:pPr>
              <w:spacing w:line="300" w:lineRule="exact"/>
              <w:jc w:val="left"/>
              <w:outlineLvl w:val="0"/>
              <w:rPr>
                <w:rFonts w:ascii="Times New Roman" w:hAnsi="Times New Roman" w:cs="Times New Roman"/>
              </w:rPr>
            </w:pPr>
          </w:p>
        </w:tc>
      </w:tr>
      <w:tr w14:paraId="002F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186FF388">
            <w:pPr>
              <w:spacing w:line="300" w:lineRule="exact"/>
              <w:jc w:val="left"/>
              <w:rPr>
                <w:rFonts w:ascii="Times New Roman" w:hAnsi="Times New Roman" w:eastAsia="方正书宋_GBK" w:cs="Times New Roman"/>
              </w:rPr>
            </w:pPr>
            <w:r>
              <w:rPr>
                <w:rFonts w:hint="eastAsia" w:ascii="Times New Roman" w:hAnsi="Times New Roman" w:eastAsia="方正书宋_GBK" w:cs="方正书宋_GBK"/>
              </w:rPr>
              <w:t>中共馆陶县纪律检查委员会</w:t>
            </w:r>
          </w:p>
        </w:tc>
        <w:tc>
          <w:tcPr>
            <w:tcW w:w="1134" w:type="dxa"/>
            <w:vAlign w:val="center"/>
          </w:tcPr>
          <w:p w14:paraId="4A967B01">
            <w:pPr>
              <w:spacing w:line="300" w:lineRule="exact"/>
              <w:ind w:firstLine="210" w:firstLineChars="100"/>
              <w:jc w:val="left"/>
              <w:rPr>
                <w:rFonts w:ascii="Times New Roman" w:hAnsi="Times New Roman" w:eastAsia="方正书宋_GBK" w:cs="Times New Roman"/>
              </w:rPr>
            </w:pPr>
            <w:r>
              <w:rPr>
                <w:rFonts w:hint="eastAsia" w:ascii="Times New Roman" w:hAnsi="Times New Roman" w:eastAsia="方正书宋_GBK" w:cs="方正书宋_GBK"/>
              </w:rPr>
              <w:t>行政</w:t>
            </w:r>
          </w:p>
        </w:tc>
        <w:tc>
          <w:tcPr>
            <w:tcW w:w="1276" w:type="dxa"/>
            <w:vAlign w:val="center"/>
          </w:tcPr>
          <w:p w14:paraId="5C97B8A5">
            <w:pPr>
              <w:spacing w:line="300" w:lineRule="exact"/>
              <w:ind w:firstLine="105" w:firstLineChars="50"/>
              <w:jc w:val="left"/>
              <w:rPr>
                <w:rFonts w:ascii="Times New Roman" w:hAnsi="Times New Roman" w:eastAsia="方正书宋_GBK" w:cs="Times New Roman"/>
              </w:rPr>
            </w:pPr>
            <w:r>
              <w:rPr>
                <w:rFonts w:hint="eastAsia" w:ascii="Times New Roman" w:hAnsi="Times New Roman" w:eastAsia="方正书宋_GBK" w:cs="方正书宋_GBK"/>
              </w:rPr>
              <w:t>正科级</w:t>
            </w:r>
          </w:p>
        </w:tc>
        <w:tc>
          <w:tcPr>
            <w:tcW w:w="2902" w:type="dxa"/>
            <w:vAlign w:val="center"/>
          </w:tcPr>
          <w:p w14:paraId="1B8C5C02">
            <w:pPr>
              <w:spacing w:line="300" w:lineRule="exact"/>
              <w:jc w:val="left"/>
              <w:rPr>
                <w:rFonts w:ascii="Times New Roman" w:hAnsi="Times New Roman" w:eastAsia="方正书宋_GBK" w:cs="Times New Roman"/>
              </w:rPr>
            </w:pPr>
            <w:r>
              <w:rPr>
                <w:rFonts w:hint="eastAsia" w:ascii="Times New Roman" w:hAnsi="Times New Roman" w:eastAsia="方正书宋_GBK" w:cs="Times New Roman"/>
              </w:rPr>
              <w:t>财政拨款</w:t>
            </w:r>
          </w:p>
        </w:tc>
      </w:tr>
      <w:tr w14:paraId="714B6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1F8DA7E7">
            <w:pPr>
              <w:spacing w:line="300" w:lineRule="exact"/>
              <w:jc w:val="left"/>
              <w:rPr>
                <w:rFonts w:ascii="Times New Roman" w:hAnsi="Times New Roman" w:eastAsia="方正书宋_GBK" w:cs="Times New Roman"/>
              </w:rPr>
            </w:pPr>
          </w:p>
        </w:tc>
        <w:tc>
          <w:tcPr>
            <w:tcW w:w="1134" w:type="dxa"/>
            <w:vAlign w:val="center"/>
          </w:tcPr>
          <w:p w14:paraId="3C30A89B">
            <w:pPr>
              <w:spacing w:line="300" w:lineRule="exact"/>
              <w:ind w:firstLine="210" w:firstLineChars="100"/>
              <w:jc w:val="left"/>
              <w:rPr>
                <w:rFonts w:ascii="Times New Roman" w:hAnsi="Times New Roman" w:eastAsia="方正书宋_GBK" w:cs="Times New Roman"/>
              </w:rPr>
            </w:pPr>
          </w:p>
        </w:tc>
        <w:tc>
          <w:tcPr>
            <w:tcW w:w="1276" w:type="dxa"/>
            <w:vAlign w:val="center"/>
          </w:tcPr>
          <w:p w14:paraId="22DBB462">
            <w:pPr>
              <w:spacing w:line="300" w:lineRule="exact"/>
              <w:ind w:firstLine="105" w:firstLineChars="50"/>
              <w:jc w:val="left"/>
              <w:rPr>
                <w:rFonts w:ascii="Times New Roman" w:hAnsi="Times New Roman" w:eastAsia="方正书宋_GBK" w:cs="Times New Roman"/>
              </w:rPr>
            </w:pPr>
          </w:p>
        </w:tc>
        <w:tc>
          <w:tcPr>
            <w:tcW w:w="2902" w:type="dxa"/>
            <w:vAlign w:val="center"/>
          </w:tcPr>
          <w:p w14:paraId="199F4BA7">
            <w:pPr>
              <w:spacing w:line="300" w:lineRule="exact"/>
              <w:jc w:val="left"/>
              <w:rPr>
                <w:rFonts w:ascii="Times New Roman" w:hAnsi="Times New Roman" w:eastAsia="方正书宋_GBK" w:cs="Times New Roman"/>
              </w:rPr>
            </w:pPr>
          </w:p>
        </w:tc>
      </w:tr>
      <w:tr w14:paraId="267C7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0C5A6F97">
            <w:pPr>
              <w:spacing w:line="300" w:lineRule="exact"/>
              <w:jc w:val="left"/>
              <w:rPr>
                <w:rFonts w:ascii="Times New Roman" w:hAnsi="Times New Roman" w:eastAsia="方正书宋_GBK" w:cs="Times New Roman"/>
              </w:rPr>
            </w:pPr>
          </w:p>
        </w:tc>
        <w:tc>
          <w:tcPr>
            <w:tcW w:w="1134" w:type="dxa"/>
            <w:vAlign w:val="center"/>
          </w:tcPr>
          <w:p w14:paraId="12865BC7">
            <w:pPr>
              <w:spacing w:line="300" w:lineRule="exact"/>
              <w:jc w:val="left"/>
              <w:rPr>
                <w:rFonts w:ascii="Times New Roman" w:hAnsi="Times New Roman" w:eastAsia="方正书宋_GBK" w:cs="Times New Roman"/>
              </w:rPr>
            </w:pPr>
          </w:p>
        </w:tc>
        <w:tc>
          <w:tcPr>
            <w:tcW w:w="1276" w:type="dxa"/>
            <w:vAlign w:val="center"/>
          </w:tcPr>
          <w:p w14:paraId="1F6994C2">
            <w:pPr>
              <w:spacing w:line="300" w:lineRule="exact"/>
              <w:jc w:val="left"/>
              <w:rPr>
                <w:rFonts w:ascii="Times New Roman" w:hAnsi="Times New Roman" w:eastAsia="方正书宋_GBK" w:cs="Times New Roman"/>
              </w:rPr>
            </w:pPr>
          </w:p>
        </w:tc>
        <w:tc>
          <w:tcPr>
            <w:tcW w:w="2902" w:type="dxa"/>
            <w:vAlign w:val="center"/>
          </w:tcPr>
          <w:p w14:paraId="1C4A4E2D">
            <w:pPr>
              <w:spacing w:line="300" w:lineRule="exact"/>
              <w:jc w:val="left"/>
              <w:rPr>
                <w:rFonts w:ascii="Times New Roman" w:hAnsi="Times New Roman" w:eastAsia="方正书宋_GBK" w:cs="Times New Roman"/>
              </w:rPr>
            </w:pPr>
          </w:p>
        </w:tc>
      </w:tr>
    </w:tbl>
    <w:p w14:paraId="7F7EE15F">
      <w:pPr>
        <w:ind w:firstLine="640" w:firstLineChars="200"/>
        <w:rPr>
          <w:rFonts w:ascii="黑体" w:hAnsi="黑体" w:eastAsia="黑体" w:cs="Times New Roman"/>
          <w:sz w:val="32"/>
          <w:szCs w:val="32"/>
        </w:rPr>
      </w:pPr>
      <w:r>
        <w:rPr>
          <w:rFonts w:hint="eastAsia" w:ascii="黑体" w:hAnsi="黑体" w:eastAsia="黑体" w:cs="黑体"/>
          <w:sz w:val="32"/>
          <w:szCs w:val="32"/>
        </w:rPr>
        <w:t>二、部门预算安排的总体情况</w:t>
      </w:r>
    </w:p>
    <w:p w14:paraId="25280DD6">
      <w:pPr>
        <w:ind w:firstLine="640"/>
        <w:rPr>
          <w:rFonts w:ascii="仿宋" w:hAnsi="仿宋" w:eastAsia="仿宋" w:cs="Times New Roman"/>
          <w:sz w:val="32"/>
          <w:szCs w:val="32"/>
        </w:rPr>
      </w:pPr>
      <w:r>
        <w:rPr>
          <w:rFonts w:hint="eastAsia" w:ascii="仿宋" w:hAnsi="仿宋" w:eastAsia="仿宋" w:cs="仿宋"/>
          <w:sz w:val="32"/>
          <w:szCs w:val="32"/>
        </w:rPr>
        <w:t>按照预算管理有关规定，目前我县部门预算的编制实行综合预算制度，即全部收入和支出都反映在预算中。中共馆陶县纪委机关及所属事业单位的收支包含在部门预算中。</w:t>
      </w:r>
    </w:p>
    <w:p w14:paraId="5C06D000">
      <w:pPr>
        <w:ind w:firstLine="64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、收入说明</w:t>
      </w:r>
    </w:p>
    <w:p w14:paraId="2B24BDA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反映本部门当年全部收入。201</w:t>
      </w:r>
      <w:r>
        <w:rPr>
          <w:rFonts w:hint="eastAsia" w:ascii="仿宋" w:hAnsi="仿宋" w:eastAsia="仿宋" w:cs="仿宋"/>
          <w:sz w:val="32"/>
          <w:szCs w:val="32"/>
          <w:lang w:val="en-US" w:eastAsia="zh-CN"/>
        </w:rPr>
        <w:t>9</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1188.72</w:t>
      </w:r>
      <w:r>
        <w:rPr>
          <w:rFonts w:hint="eastAsia" w:ascii="仿宋" w:hAnsi="仿宋" w:eastAsia="仿宋" w:cs="仿宋"/>
          <w:sz w:val="32"/>
          <w:szCs w:val="32"/>
        </w:rPr>
        <w:t>万元，其中：一般公共预算拨款</w:t>
      </w:r>
      <w:r>
        <w:rPr>
          <w:rFonts w:hint="eastAsia" w:ascii="仿宋" w:hAnsi="仿宋" w:eastAsia="仿宋" w:cs="仿宋"/>
          <w:sz w:val="32"/>
          <w:szCs w:val="32"/>
          <w:lang w:val="en-US" w:eastAsia="zh-CN"/>
        </w:rPr>
        <w:t>1120.52</w:t>
      </w:r>
      <w:r>
        <w:rPr>
          <w:rFonts w:hint="eastAsia" w:ascii="仿宋" w:hAnsi="仿宋" w:eastAsia="仿宋" w:cs="仿宋"/>
          <w:sz w:val="32"/>
          <w:szCs w:val="32"/>
        </w:rPr>
        <w:t>万元。基金预算收入</w:t>
      </w:r>
      <w:r>
        <w:rPr>
          <w:rFonts w:hint="eastAsia" w:ascii="仿宋" w:hAnsi="仿宋" w:eastAsia="仿宋" w:cs="仿宋"/>
          <w:sz w:val="32"/>
          <w:szCs w:val="32"/>
          <w:lang w:val="en-US" w:eastAsia="zh-CN"/>
        </w:rPr>
        <w:t>68.2</w:t>
      </w:r>
      <w:r>
        <w:rPr>
          <w:rFonts w:hint="eastAsia" w:ascii="仿宋" w:hAnsi="仿宋" w:eastAsia="仿宋" w:cs="仿宋"/>
          <w:sz w:val="32"/>
          <w:szCs w:val="32"/>
        </w:rPr>
        <w:t>万元。</w:t>
      </w:r>
    </w:p>
    <w:p w14:paraId="7EAC150B">
      <w:pPr>
        <w:ind w:firstLine="64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、支出说明</w:t>
      </w:r>
    </w:p>
    <w:p w14:paraId="6F1B2D2E">
      <w:pPr>
        <w:spacing w:line="560" w:lineRule="exact"/>
        <w:ind w:firstLine="640" w:firstLineChars="200"/>
        <w:rPr>
          <w:rFonts w:ascii="仿宋_GB2312" w:eastAsia="仿宋_GB2312"/>
          <w:sz w:val="32"/>
          <w:szCs w:val="32"/>
        </w:rPr>
      </w:pPr>
      <w:r>
        <w:rPr>
          <w:rFonts w:hint="eastAsia" w:ascii="仿宋" w:hAnsi="仿宋" w:eastAsia="仿宋" w:cs="仿宋"/>
          <w:sz w:val="32"/>
          <w:szCs w:val="32"/>
        </w:rPr>
        <w:t>收支预算总表支出栏、基本支出表、项目支出表按经济分类和支出功能分类科目编制，反映中共</w:t>
      </w:r>
      <w:r>
        <w:rPr>
          <w:rFonts w:hint="eastAsia" w:ascii="仿宋" w:hAnsi="仿宋" w:eastAsia="仿宋" w:cs="仿宋"/>
          <w:sz w:val="32"/>
          <w:szCs w:val="32"/>
          <w:lang w:val="en-US" w:eastAsia="zh-CN"/>
        </w:rPr>
        <w:t>馆陶县</w:t>
      </w:r>
      <w:r>
        <w:rPr>
          <w:rFonts w:hint="eastAsia" w:ascii="仿宋" w:hAnsi="仿宋" w:eastAsia="仿宋" w:cs="仿宋"/>
          <w:sz w:val="32"/>
          <w:szCs w:val="32"/>
        </w:rPr>
        <w:t>纪委部门年度部门预算中支出预算的总体情况。201</w:t>
      </w:r>
      <w:r>
        <w:rPr>
          <w:rFonts w:hint="eastAsia" w:ascii="仿宋" w:hAnsi="仿宋" w:eastAsia="仿宋" w:cs="仿宋"/>
          <w:sz w:val="32"/>
          <w:szCs w:val="32"/>
          <w:lang w:val="en-US" w:eastAsia="zh-CN"/>
        </w:rPr>
        <w:t>9</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1188.72</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793.52</w:t>
      </w:r>
      <w:r>
        <w:rPr>
          <w:rFonts w:hint="eastAsia" w:ascii="仿宋" w:hAnsi="仿宋" w:eastAsia="仿宋" w:cs="仿宋"/>
          <w:sz w:val="32"/>
          <w:szCs w:val="32"/>
        </w:rPr>
        <w:t>万元，包括人员经费</w:t>
      </w:r>
      <w:r>
        <w:rPr>
          <w:rFonts w:hint="eastAsia" w:ascii="仿宋" w:hAnsi="仿宋" w:eastAsia="仿宋" w:cs="仿宋"/>
          <w:sz w:val="32"/>
          <w:szCs w:val="32"/>
          <w:lang w:val="en-US" w:eastAsia="zh-CN"/>
        </w:rPr>
        <w:t>573.02</w:t>
      </w:r>
      <w:r>
        <w:rPr>
          <w:rFonts w:hint="eastAsia" w:ascii="仿宋" w:hAnsi="仿宋" w:eastAsia="仿宋" w:cs="仿宋"/>
          <w:sz w:val="32"/>
          <w:szCs w:val="32"/>
        </w:rPr>
        <w:t>万元和日常公用经费</w:t>
      </w:r>
      <w:r>
        <w:rPr>
          <w:rFonts w:hint="eastAsia" w:ascii="仿宋" w:hAnsi="仿宋" w:eastAsia="仿宋" w:cs="仿宋"/>
          <w:sz w:val="32"/>
          <w:szCs w:val="32"/>
          <w:lang w:val="en-US" w:eastAsia="zh-CN"/>
        </w:rPr>
        <w:t>220.5</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395.2</w:t>
      </w:r>
      <w:r>
        <w:rPr>
          <w:rFonts w:hint="eastAsia" w:ascii="仿宋" w:hAnsi="仿宋" w:eastAsia="仿宋" w:cs="仿宋"/>
          <w:sz w:val="32"/>
          <w:szCs w:val="32"/>
        </w:rPr>
        <w:t>万元，主要为各</w:t>
      </w:r>
      <w:r>
        <w:rPr>
          <w:rFonts w:hint="eastAsia" w:ascii="仿宋" w:hAnsi="仿宋" w:eastAsia="仿宋" w:cs="仿宋"/>
          <w:sz w:val="32"/>
          <w:szCs w:val="32"/>
          <w:lang w:val="en-US" w:eastAsia="zh-CN"/>
        </w:rPr>
        <w:t>专项办公室和</w:t>
      </w:r>
      <w:r>
        <w:rPr>
          <w:rFonts w:hint="eastAsia" w:ascii="仿宋" w:hAnsi="仿宋" w:eastAsia="仿宋" w:cs="仿宋"/>
          <w:sz w:val="32"/>
          <w:szCs w:val="32"/>
        </w:rPr>
        <w:t>专项工作经费等。</w:t>
      </w:r>
    </w:p>
    <w:p w14:paraId="27349FD4">
      <w:pPr>
        <w:ind w:firstLine="64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、比上年增减情况</w:t>
      </w:r>
    </w:p>
    <w:p w14:paraId="0FB48F3C">
      <w:pPr>
        <w:spacing w:line="560" w:lineRule="exact"/>
        <w:ind w:firstLine="640" w:firstLineChars="200"/>
        <w:rPr>
          <w:rFonts w:ascii="仿宋" w:hAnsi="仿宋" w:eastAsia="仿宋" w:cs="Times New Roman"/>
          <w:sz w:val="32"/>
          <w:szCs w:val="32"/>
        </w:rPr>
      </w:pPr>
      <w:r>
        <w:rPr>
          <w:rFonts w:hint="eastAsia"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年预算收支安排</w:t>
      </w:r>
      <w:r>
        <w:rPr>
          <w:rFonts w:hint="eastAsia" w:ascii="仿宋_GB2312" w:eastAsia="仿宋_GB2312"/>
          <w:sz w:val="32"/>
          <w:szCs w:val="32"/>
          <w:lang w:val="en-US" w:eastAsia="zh-CN"/>
        </w:rPr>
        <w:t>1188.72</w:t>
      </w:r>
      <w:r>
        <w:rPr>
          <w:rFonts w:hint="eastAsia" w:ascii="仿宋_GB2312" w:eastAsia="仿宋_GB2312"/>
          <w:sz w:val="32"/>
          <w:szCs w:val="32"/>
        </w:rPr>
        <w:t>万元，较上年增加了</w:t>
      </w:r>
      <w:r>
        <w:rPr>
          <w:rFonts w:hint="eastAsia" w:ascii="仿宋_GB2312" w:eastAsia="仿宋_GB2312"/>
          <w:sz w:val="32"/>
          <w:szCs w:val="32"/>
          <w:lang w:val="en-US" w:eastAsia="zh-CN"/>
        </w:rPr>
        <w:t>528.43</w:t>
      </w:r>
      <w:r>
        <w:rPr>
          <w:rFonts w:hint="eastAsia" w:ascii="仿宋_GB2312" w:eastAsia="仿宋_GB2312"/>
          <w:sz w:val="32"/>
          <w:szCs w:val="32"/>
        </w:rPr>
        <w:t>万元，其中人员经费增加</w:t>
      </w:r>
      <w:r>
        <w:rPr>
          <w:rFonts w:hint="eastAsia" w:ascii="仿宋_GB2312" w:eastAsia="仿宋_GB2312"/>
          <w:sz w:val="32"/>
          <w:szCs w:val="32"/>
          <w:lang w:val="en-US" w:eastAsia="zh-CN"/>
        </w:rPr>
        <w:t>213.23</w:t>
      </w:r>
      <w:r>
        <w:rPr>
          <w:rFonts w:hint="eastAsia" w:ascii="仿宋_GB2312" w:eastAsia="仿宋_GB2312"/>
          <w:sz w:val="32"/>
          <w:szCs w:val="32"/>
        </w:rPr>
        <w:t>万元，</w:t>
      </w:r>
      <w:r>
        <w:rPr>
          <w:rFonts w:hint="eastAsia" w:ascii="仿宋_GB2312" w:eastAsia="仿宋_GB2312"/>
          <w:sz w:val="32"/>
          <w:szCs w:val="32"/>
          <w:lang w:val="en-US" w:eastAsia="zh-CN"/>
        </w:rPr>
        <w:t>主要是社会保障费与公积金列入我单位预算；</w:t>
      </w:r>
      <w:r>
        <w:rPr>
          <w:rFonts w:hint="eastAsia" w:ascii="仿宋_GB2312" w:eastAsia="仿宋_GB2312"/>
          <w:sz w:val="32"/>
          <w:szCs w:val="32"/>
        </w:rPr>
        <w:t>公用经费</w:t>
      </w:r>
      <w:r>
        <w:rPr>
          <w:rFonts w:hint="eastAsia" w:ascii="仿宋_GB2312" w:eastAsia="仿宋_GB2312"/>
          <w:sz w:val="32"/>
          <w:szCs w:val="32"/>
          <w:lang w:val="en-US" w:eastAsia="zh-CN"/>
        </w:rPr>
        <w:t>增加120万元，主要是今年公务交通补贴列到日常公用支出和根据监察体制改革要求，县检察院划转人员编制，基本支出预算相应增加；</w:t>
      </w:r>
      <w:r>
        <w:rPr>
          <w:rFonts w:hint="eastAsia" w:ascii="仿宋_GB2312" w:eastAsia="仿宋_GB2312"/>
          <w:sz w:val="32"/>
          <w:szCs w:val="32"/>
        </w:rPr>
        <w:t>项目支出较上年增加</w:t>
      </w:r>
      <w:r>
        <w:rPr>
          <w:rFonts w:hint="eastAsia" w:ascii="仿宋_GB2312" w:eastAsia="仿宋_GB2312"/>
          <w:sz w:val="32"/>
          <w:szCs w:val="32"/>
          <w:lang w:val="en-US" w:eastAsia="zh-CN"/>
        </w:rPr>
        <w:t>195.2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变化主要原因，因监察体制改革我单位需增加执法执勤车辆同时我单位已重新核定了车辆编制，因此增加了公车购置费和运行费</w:t>
      </w:r>
      <w:r>
        <w:rPr>
          <w:rFonts w:hint="eastAsia" w:ascii="仿宋_GB2312" w:eastAsia="仿宋_GB2312"/>
          <w:sz w:val="32"/>
          <w:szCs w:val="32"/>
        </w:rPr>
        <w:t>。同去年比较变化原因说明：我单位人员正常升档和县委县政府安排的项目增加。</w:t>
      </w:r>
    </w:p>
    <w:p w14:paraId="0A02B8C6">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14:paraId="0D77D24D">
      <w:pPr>
        <w:autoSpaceDE w:val="0"/>
        <w:autoSpaceDN w:val="0"/>
        <w:adjustRightInd w:val="0"/>
        <w:spacing w:line="560" w:lineRule="exact"/>
        <w:ind w:firstLine="640" w:firstLineChars="200"/>
        <w:jc w:val="left"/>
        <w:rPr>
          <w:rFonts w:ascii="仿宋" w:hAnsi="仿宋" w:eastAsia="仿宋" w:cs="Times New Roman"/>
          <w:sz w:val="32"/>
          <w:szCs w:val="32"/>
        </w:rPr>
      </w:pPr>
      <w:r>
        <w:rPr>
          <w:rFonts w:hint="eastAsia" w:ascii="仿宋_GB2312" w:eastAsia="仿宋_GB2312"/>
          <w:sz w:val="32"/>
          <w:szCs w:val="32"/>
        </w:rPr>
        <w:t>机关运行经费共计安排</w:t>
      </w:r>
      <w:r>
        <w:rPr>
          <w:rFonts w:hint="eastAsia" w:ascii="仿宋_GB2312" w:eastAsia="仿宋_GB2312"/>
          <w:sz w:val="32"/>
          <w:szCs w:val="32"/>
          <w:lang w:val="en-US" w:eastAsia="zh-CN"/>
        </w:rPr>
        <w:t>220</w:t>
      </w:r>
      <w:r>
        <w:rPr>
          <w:rFonts w:hint="eastAsia" w:ascii="仿宋_GB2312" w:eastAsia="仿宋_GB2312"/>
          <w:sz w:val="32"/>
          <w:szCs w:val="32"/>
        </w:rPr>
        <w:t>.5万元，主要用于办公费、印刷费、差旅费、邮电费、公务用车维护费、维修费</w:t>
      </w:r>
      <w:r>
        <w:rPr>
          <w:rFonts w:hint="eastAsia" w:ascii="仿宋_GB2312" w:eastAsia="仿宋_GB2312"/>
          <w:sz w:val="32"/>
          <w:szCs w:val="32"/>
          <w:lang w:eastAsia="zh-CN"/>
        </w:rPr>
        <w:t>、</w:t>
      </w:r>
      <w:r>
        <w:rPr>
          <w:rFonts w:hint="eastAsia" w:ascii="仿宋_GB2312" w:eastAsia="仿宋_GB2312"/>
          <w:sz w:val="32"/>
          <w:szCs w:val="32"/>
          <w:lang w:val="en-US" w:eastAsia="zh-CN"/>
        </w:rPr>
        <w:t>公务交通补贴</w:t>
      </w:r>
      <w:r>
        <w:rPr>
          <w:rFonts w:hint="eastAsia" w:ascii="仿宋_GB2312" w:eastAsia="仿宋_GB2312"/>
          <w:sz w:val="32"/>
          <w:szCs w:val="32"/>
        </w:rPr>
        <w:t>等日常运行支出。</w:t>
      </w:r>
    </w:p>
    <w:p w14:paraId="228F109C">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14:paraId="58FA4AA1">
      <w:pPr>
        <w:spacing w:line="560" w:lineRule="exact"/>
        <w:ind w:firstLine="640" w:firstLineChars="200"/>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年本部门共安排“三公”经费</w:t>
      </w:r>
      <w:r>
        <w:rPr>
          <w:rFonts w:hint="eastAsia" w:ascii="仿宋_GB2312" w:eastAsia="仿宋_GB2312"/>
          <w:sz w:val="32"/>
          <w:szCs w:val="32"/>
          <w:lang w:val="en-US" w:eastAsia="zh-CN"/>
        </w:rPr>
        <w:t>104.41</w:t>
      </w:r>
      <w:r>
        <w:rPr>
          <w:rFonts w:hint="eastAsia" w:ascii="仿宋_GB2312" w:eastAsia="仿宋_GB2312"/>
          <w:sz w:val="32"/>
          <w:szCs w:val="32"/>
        </w:rPr>
        <w:t>万元，比上年</w:t>
      </w:r>
      <w:r>
        <w:rPr>
          <w:rFonts w:hint="eastAsia" w:ascii="仿宋_GB2312" w:eastAsia="仿宋_GB2312"/>
          <w:sz w:val="32"/>
          <w:szCs w:val="32"/>
          <w:lang w:val="en-US" w:eastAsia="zh-CN"/>
        </w:rPr>
        <w:t>增加100</w:t>
      </w:r>
      <w:r>
        <w:rPr>
          <w:rFonts w:hint="eastAsia" w:ascii="仿宋_GB2312" w:eastAsia="仿宋_GB2312"/>
          <w:sz w:val="32"/>
          <w:szCs w:val="32"/>
        </w:rPr>
        <w:t>万元，其中：因公出国（境）费0万元；</w:t>
      </w:r>
      <w:r>
        <w:rPr>
          <w:rFonts w:hint="eastAsia" w:ascii="仿宋" w:hAnsi="仿宋" w:eastAsia="仿宋" w:cs="仿宋"/>
          <w:sz w:val="32"/>
          <w:szCs w:val="32"/>
        </w:rPr>
        <w:t>公务用车购置及运维费</w:t>
      </w:r>
      <w:r>
        <w:rPr>
          <w:rFonts w:hint="eastAsia" w:ascii="仿宋" w:hAnsi="仿宋" w:eastAsia="仿宋" w:cs="仿宋"/>
          <w:sz w:val="32"/>
          <w:szCs w:val="32"/>
          <w:lang w:val="en-US" w:eastAsia="zh-CN"/>
        </w:rPr>
        <w:t>103.6</w:t>
      </w:r>
      <w:r>
        <w:rPr>
          <w:rFonts w:hint="eastAsia" w:ascii="仿宋" w:hAnsi="仿宋" w:eastAsia="仿宋" w:cs="仿宋"/>
          <w:sz w:val="32"/>
          <w:szCs w:val="32"/>
        </w:rPr>
        <w:t>万元（其中：公务用车购置费为</w:t>
      </w:r>
      <w:r>
        <w:rPr>
          <w:rFonts w:hint="eastAsia" w:ascii="仿宋" w:hAnsi="仿宋" w:eastAsia="仿宋" w:cs="仿宋"/>
          <w:sz w:val="32"/>
          <w:szCs w:val="32"/>
          <w:lang w:val="en-US" w:eastAsia="zh-CN"/>
        </w:rPr>
        <w:t>72</w:t>
      </w:r>
      <w:r>
        <w:rPr>
          <w:rFonts w:hint="eastAsia" w:ascii="仿宋" w:hAnsi="仿宋" w:eastAsia="仿宋" w:cs="仿宋"/>
          <w:sz w:val="32"/>
          <w:szCs w:val="32"/>
        </w:rPr>
        <w:t>万元，公务用车运维费</w:t>
      </w:r>
      <w:r>
        <w:rPr>
          <w:rFonts w:ascii="仿宋" w:hAnsi="仿宋" w:eastAsia="仿宋" w:cs="仿宋"/>
          <w:sz w:val="32"/>
          <w:szCs w:val="32"/>
        </w:rPr>
        <w:t>3</w:t>
      </w:r>
      <w:r>
        <w:rPr>
          <w:rFonts w:hint="eastAsia" w:ascii="仿宋" w:hAnsi="仿宋" w:eastAsia="仿宋" w:cs="仿宋"/>
          <w:sz w:val="32"/>
          <w:szCs w:val="32"/>
          <w:lang w:val="en-US" w:eastAsia="zh-CN"/>
        </w:rPr>
        <w:t>1</w:t>
      </w:r>
      <w:r>
        <w:rPr>
          <w:rFonts w:hint="eastAsia" w:ascii="仿宋" w:hAnsi="仿宋" w:eastAsia="仿宋" w:cs="仿宋"/>
          <w:sz w:val="32"/>
          <w:szCs w:val="32"/>
        </w:rPr>
        <w:t>.6万元</w:t>
      </w:r>
      <w:r>
        <w:rPr>
          <w:rFonts w:ascii="仿宋" w:hAnsi="仿宋" w:eastAsia="仿宋" w:cs="仿宋"/>
          <w:sz w:val="32"/>
          <w:szCs w:val="32"/>
        </w:rPr>
        <w:t>)</w:t>
      </w:r>
      <w:r>
        <w:rPr>
          <w:rFonts w:hint="eastAsia" w:ascii="仿宋_GB2312" w:eastAsia="仿宋_GB2312"/>
          <w:sz w:val="32"/>
          <w:szCs w:val="32"/>
        </w:rPr>
        <w:t>，比上年</w:t>
      </w:r>
      <w:r>
        <w:rPr>
          <w:rFonts w:hint="eastAsia" w:ascii="仿宋_GB2312" w:eastAsia="仿宋_GB2312"/>
          <w:sz w:val="32"/>
          <w:szCs w:val="32"/>
          <w:lang w:val="en-US" w:eastAsia="zh-CN"/>
        </w:rPr>
        <w:t>增加100</w:t>
      </w:r>
      <w:r>
        <w:rPr>
          <w:rFonts w:hint="eastAsia" w:ascii="仿宋_GB2312" w:eastAsia="仿宋_GB2312"/>
          <w:sz w:val="32"/>
          <w:szCs w:val="32"/>
        </w:rPr>
        <w:t>万元;公务接待费0.81万元，</w:t>
      </w:r>
      <w:r>
        <w:rPr>
          <w:rFonts w:hint="eastAsia" w:ascii="仿宋_GB2312" w:eastAsia="仿宋_GB2312"/>
          <w:sz w:val="32"/>
          <w:szCs w:val="32"/>
          <w:lang w:val="en-US" w:eastAsia="zh-CN"/>
        </w:rPr>
        <w:t>与上年无变化</w:t>
      </w:r>
      <w:r>
        <w:rPr>
          <w:rFonts w:hint="eastAsia" w:ascii="仿宋_GB2312" w:eastAsia="仿宋_GB2312"/>
          <w:sz w:val="32"/>
          <w:szCs w:val="32"/>
        </w:rPr>
        <w:t>。“三公”经费支出预</w:t>
      </w:r>
      <w:r>
        <w:rPr>
          <w:rFonts w:hint="eastAsia" w:ascii="仿宋_GB2312" w:eastAsia="仿宋_GB2312"/>
          <w:sz w:val="32"/>
          <w:szCs w:val="32"/>
          <w:lang w:val="en-US" w:eastAsia="zh-CN"/>
        </w:rPr>
        <w:t>算增加的</w:t>
      </w:r>
      <w:r>
        <w:rPr>
          <w:rFonts w:hint="eastAsia" w:ascii="仿宋_GB2312" w:eastAsia="仿宋_GB2312"/>
          <w:sz w:val="32"/>
          <w:szCs w:val="32"/>
        </w:rPr>
        <w:t>的原因主要是</w:t>
      </w:r>
      <w:r>
        <w:rPr>
          <w:rFonts w:hint="eastAsia" w:ascii="仿宋_GB2312" w:eastAsia="仿宋_GB2312"/>
          <w:sz w:val="32"/>
          <w:szCs w:val="32"/>
          <w:lang w:val="en-US" w:eastAsia="zh-CN"/>
        </w:rPr>
        <w:t>因监察体制改革我单位需增加执法执勤车辆同时我单位已重新核定了车辆编制，因此增加了公车购置费和运行费。</w:t>
      </w:r>
    </w:p>
    <w:p w14:paraId="127CDD47">
      <w:pPr>
        <w:ind w:firstLine="640"/>
        <w:rPr>
          <w:rFonts w:ascii="黑体" w:hAnsi="黑体" w:eastAsia="黑体" w:cs="Times New Roman"/>
          <w:sz w:val="32"/>
          <w:szCs w:val="32"/>
        </w:rPr>
      </w:pPr>
      <w:r>
        <w:rPr>
          <w:rFonts w:hint="eastAsia" w:ascii="黑体" w:hAnsi="黑体" w:eastAsia="黑体" w:cs="黑体"/>
          <w:sz w:val="32"/>
          <w:szCs w:val="32"/>
        </w:rPr>
        <w:t>五、绩效预算信息</w:t>
      </w:r>
    </w:p>
    <w:p w14:paraId="720E35EE">
      <w:pPr>
        <w:adjustRightInd w:val="0"/>
        <w:snapToGrid w:val="0"/>
        <w:spacing w:line="500" w:lineRule="exact"/>
        <w:ind w:firstLine="843" w:firstLineChars="300"/>
        <w:jc w:val="left"/>
        <w:rPr>
          <w:rFonts w:ascii="Times New Roman" w:hAnsi="Times New Roman" w:eastAsia="方正楷体_GBK" w:cs="Times New Roman"/>
          <w:b/>
          <w:bCs/>
          <w:sz w:val="28"/>
          <w:szCs w:val="28"/>
        </w:rPr>
      </w:pPr>
      <w:r>
        <w:rPr>
          <w:rFonts w:hint="eastAsia" w:ascii="Times New Roman" w:hAnsi="Times New Roman" w:eastAsia="方正楷体_GBK" w:cs="方正楷体_GBK"/>
          <w:b/>
          <w:bCs/>
          <w:sz w:val="28"/>
          <w:szCs w:val="28"/>
        </w:rPr>
        <w:t>总体目标：</w:t>
      </w:r>
    </w:p>
    <w:p w14:paraId="752FB3A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深入学习贯彻党的十九大精神，紧密团结在以习近平同志为核心的党中央周围，坚持以习近平</w:t>
      </w:r>
      <w:r>
        <w:rPr>
          <w:rFonts w:hint="eastAsia" w:ascii="仿宋" w:hAnsi="仿宋" w:eastAsia="仿宋" w:cs="仿宋"/>
          <w:sz w:val="32"/>
          <w:szCs w:val="32"/>
          <w:lang w:val="en-US" w:eastAsia="zh-CN"/>
        </w:rPr>
        <w:t>新时代</w:t>
      </w:r>
      <w:bookmarkStart w:id="0" w:name="_GoBack"/>
      <w:bookmarkEnd w:id="0"/>
      <w:r>
        <w:rPr>
          <w:rFonts w:hint="eastAsia" w:ascii="仿宋" w:hAnsi="仿宋" w:eastAsia="仿宋" w:cs="仿宋"/>
          <w:sz w:val="32"/>
          <w:szCs w:val="32"/>
        </w:rPr>
        <w:t>中国特色社会主义思想为统领，自觉践行“四个意识”，牢固树立“四个自信”，不忘初心、牢记使命，着力加强监督检查，持之以恒正风肃纪，深化运用“四种形态”、把纪律和规矩挺在前面，强化监督执纪问责、始终保持反腐败高压态势，坚持标本兼治，深化“三不”机制，坚定不移推动全面从严治党、党风廉政建设和反腐败斗争向纵深发展，为落实党的十九大部署，为建设宜居宜业宜游的生态旅游健康强县提供坚强保证。</w:t>
      </w:r>
    </w:p>
    <w:p w14:paraId="6E2DD659">
      <w:pPr>
        <w:adjustRightInd w:val="0"/>
        <w:snapToGrid w:val="0"/>
        <w:spacing w:line="500" w:lineRule="exact"/>
        <w:ind w:firstLine="562" w:firstLineChars="200"/>
        <w:jc w:val="left"/>
        <w:rPr>
          <w:rFonts w:ascii="Times New Roman" w:hAnsi="Times New Roman" w:eastAsia="方正楷体_GBK" w:cs="Times New Roman"/>
          <w:b/>
          <w:bCs/>
          <w:sz w:val="28"/>
          <w:szCs w:val="28"/>
        </w:rPr>
      </w:pPr>
      <w:r>
        <w:rPr>
          <w:rFonts w:hint="eastAsia" w:ascii="Times New Roman" w:hAnsi="Times New Roman" w:eastAsia="方正楷体_GBK" w:cs="方正楷体_GBK"/>
          <w:b/>
          <w:bCs/>
          <w:sz w:val="28"/>
          <w:szCs w:val="28"/>
        </w:rPr>
        <w:t>职责分类绩效目标：</w:t>
      </w:r>
    </w:p>
    <w:p w14:paraId="4E1D0595">
      <w:pPr>
        <w:adjustRightInd w:val="0"/>
        <w:snapToGrid w:val="0"/>
        <w:spacing w:line="560" w:lineRule="exact"/>
        <w:ind w:firstLine="561"/>
        <w:rPr>
          <w:rFonts w:ascii="仿宋" w:hAnsi="仿宋" w:eastAsia="仿宋" w:cs="Times New Roman"/>
          <w:sz w:val="32"/>
          <w:szCs w:val="32"/>
        </w:rPr>
      </w:pPr>
      <w:r>
        <w:rPr>
          <w:rFonts w:hint="eastAsia" w:ascii="仿宋" w:hAnsi="仿宋" w:eastAsia="仿宋" w:cs="仿宋"/>
          <w:sz w:val="32"/>
          <w:szCs w:val="32"/>
        </w:rPr>
        <w:t>（一）办案问责方面。维护党纪国法尊严，坚决惩处腐败分子，有效遏制腐败现象。</w:t>
      </w:r>
    </w:p>
    <w:p w14:paraId="0DC6DF0F">
      <w:pPr>
        <w:adjustRightInd w:val="0"/>
        <w:snapToGrid w:val="0"/>
        <w:spacing w:line="560" w:lineRule="exact"/>
        <w:ind w:firstLine="561"/>
        <w:rPr>
          <w:rFonts w:ascii="仿宋" w:hAnsi="仿宋" w:eastAsia="仿宋" w:cs="Times New Roman"/>
          <w:sz w:val="32"/>
          <w:szCs w:val="32"/>
        </w:rPr>
      </w:pPr>
      <w:r>
        <w:rPr>
          <w:rFonts w:hint="eastAsia" w:ascii="仿宋" w:hAnsi="仿宋" w:eastAsia="仿宋" w:cs="仿宋"/>
          <w:sz w:val="32"/>
          <w:szCs w:val="32"/>
        </w:rPr>
        <w:t>（二）监督检查巡察督查方面。加大问责力度，促进“两个责任”有效落实；巡察监督常态化、全覆盖。</w:t>
      </w:r>
    </w:p>
    <w:p w14:paraId="6BDC55A7">
      <w:pPr>
        <w:adjustRightInd w:val="0"/>
        <w:snapToGrid w:val="0"/>
        <w:spacing w:line="560" w:lineRule="exact"/>
        <w:ind w:firstLine="561"/>
        <w:rPr>
          <w:rFonts w:ascii="仿宋" w:hAnsi="仿宋" w:eastAsia="仿宋" w:cs="Times New Roman"/>
          <w:sz w:val="32"/>
          <w:szCs w:val="32"/>
        </w:rPr>
      </w:pPr>
      <w:r>
        <w:rPr>
          <w:rFonts w:hint="eastAsia" w:ascii="仿宋" w:hAnsi="仿宋" w:eastAsia="仿宋" w:cs="仿宋"/>
          <w:sz w:val="32"/>
          <w:szCs w:val="32"/>
        </w:rPr>
        <w:t>（三）党风廉政建设方面。积极发挥职能作用，加强党风廉政建设，营造风清气正、干事创业的工作氛围。</w:t>
      </w:r>
    </w:p>
    <w:p w14:paraId="61924FB9">
      <w:pPr>
        <w:adjustRightInd w:val="0"/>
        <w:snapToGrid w:val="0"/>
        <w:spacing w:line="560" w:lineRule="exact"/>
        <w:ind w:firstLine="561"/>
        <w:rPr>
          <w:rFonts w:ascii="仿宋" w:hAnsi="仿宋" w:eastAsia="仿宋" w:cs="Times New Roman"/>
          <w:sz w:val="32"/>
          <w:szCs w:val="32"/>
        </w:rPr>
      </w:pPr>
      <w:r>
        <w:rPr>
          <w:rFonts w:hint="eastAsia" w:ascii="仿宋" w:hAnsi="仿宋" w:eastAsia="仿宋" w:cs="仿宋"/>
          <w:sz w:val="32"/>
          <w:szCs w:val="32"/>
        </w:rPr>
        <w:t>（四）纪检监察事务管理方面。持续深化“三转”，做好“监督执纪问责”主业的保障和服务工作。</w:t>
      </w:r>
    </w:p>
    <w:p w14:paraId="5320C2F9">
      <w:pPr>
        <w:adjustRightInd w:val="0"/>
        <w:snapToGrid w:val="0"/>
        <w:spacing w:line="560" w:lineRule="exact"/>
        <w:ind w:firstLine="561"/>
        <w:rPr>
          <w:rFonts w:hint="eastAsia" w:ascii="仿宋" w:hAnsi="仿宋" w:eastAsia="仿宋" w:cs="仿宋"/>
          <w:sz w:val="32"/>
          <w:szCs w:val="32"/>
        </w:rPr>
      </w:pPr>
      <w:r>
        <w:rPr>
          <w:rFonts w:hint="eastAsia" w:ascii="仿宋" w:hAnsi="仿宋" w:eastAsia="仿宋" w:cs="仿宋"/>
          <w:sz w:val="32"/>
          <w:szCs w:val="32"/>
        </w:rPr>
        <w:t>（五）纪检监察干部管理方面。加强全县纪检监察系统领导班子、干部队伍和组织建设，打造一支高素质、高水平的纪检监察干部队伍。</w:t>
      </w:r>
    </w:p>
    <w:tbl>
      <w:tblPr>
        <w:tblStyle w:val="8"/>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24115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53332C54">
            <w:pPr>
              <w:spacing w:line="300" w:lineRule="exact"/>
              <w:jc w:val="left"/>
              <w:rPr>
                <w:rFonts w:ascii="方正小标宋_GBK" w:eastAsia="方正小标宋_GBK"/>
                <w:sz w:val="24"/>
              </w:rPr>
            </w:pPr>
            <w:r>
              <w:rPr>
                <w:rFonts w:ascii="方正小标宋_GBK" w:eastAsia="方正小标宋_GBK"/>
                <w:sz w:val="24"/>
              </w:rPr>
              <w:t>222</w:t>
            </w:r>
            <w:r>
              <w:rPr>
                <w:rFonts w:hint="eastAsia" w:ascii="方正小标宋_GBK" w:eastAsia="方正小标宋_GBK"/>
                <w:sz w:val="24"/>
              </w:rPr>
              <w:t>中共馆陶县纪律检查委员会</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24114096">
            <w:pPr>
              <w:spacing w:line="300" w:lineRule="exact"/>
              <w:jc w:val="right"/>
              <w:rPr>
                <w:rFonts w:ascii="方正书宋_GBK" w:eastAsia="方正书宋_GBK"/>
                <w:sz w:val="24"/>
              </w:rPr>
            </w:pPr>
            <w:r>
              <w:rPr>
                <w:rFonts w:hint="eastAsia" w:ascii="方正书宋_GBK" w:eastAsia="方正书宋_GBK"/>
                <w:sz w:val="24"/>
              </w:rPr>
              <w:t>单位：元</w:t>
            </w:r>
          </w:p>
        </w:tc>
      </w:tr>
      <w:tr w14:paraId="60443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2713CCE8">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35B0AA56">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067055E1">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65DE5375">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047D48AE">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4A081FB0">
            <w:pPr>
              <w:spacing w:line="300" w:lineRule="exact"/>
              <w:jc w:val="center"/>
              <w:rPr>
                <w:rFonts w:ascii="方正书宋_GBK" w:eastAsia="方正书宋_GBK"/>
                <w:b/>
              </w:rPr>
            </w:pPr>
            <w:r>
              <w:rPr>
                <w:rFonts w:hint="eastAsia" w:ascii="方正书宋_GBK" w:eastAsia="方正书宋_GBK"/>
                <w:b/>
              </w:rPr>
              <w:t>评价标准</w:t>
            </w:r>
          </w:p>
        </w:tc>
      </w:tr>
      <w:tr w14:paraId="5D3B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2467B6F1">
            <w:pPr>
              <w:spacing w:line="300" w:lineRule="exact"/>
              <w:jc w:val="left"/>
              <w:outlineLvl w:val="0"/>
            </w:pPr>
          </w:p>
        </w:tc>
        <w:tc>
          <w:tcPr>
            <w:tcW w:w="1276" w:type="dxa"/>
            <w:vMerge w:val="continue"/>
            <w:shd w:val="clear" w:color="auto" w:fill="auto"/>
            <w:vAlign w:val="center"/>
          </w:tcPr>
          <w:p w14:paraId="7CEEDCE1">
            <w:pPr>
              <w:spacing w:line="300" w:lineRule="exact"/>
              <w:jc w:val="left"/>
              <w:outlineLvl w:val="0"/>
            </w:pPr>
          </w:p>
        </w:tc>
        <w:tc>
          <w:tcPr>
            <w:tcW w:w="2976" w:type="dxa"/>
            <w:vMerge w:val="continue"/>
            <w:shd w:val="clear" w:color="auto" w:fill="auto"/>
            <w:vAlign w:val="center"/>
          </w:tcPr>
          <w:p w14:paraId="2D42B7AA">
            <w:pPr>
              <w:spacing w:line="300" w:lineRule="exact"/>
              <w:jc w:val="left"/>
              <w:outlineLvl w:val="0"/>
            </w:pPr>
          </w:p>
        </w:tc>
        <w:tc>
          <w:tcPr>
            <w:tcW w:w="2976" w:type="dxa"/>
            <w:vMerge w:val="continue"/>
            <w:shd w:val="clear" w:color="auto" w:fill="auto"/>
            <w:vAlign w:val="center"/>
          </w:tcPr>
          <w:p w14:paraId="7BC6CECF">
            <w:pPr>
              <w:spacing w:line="300" w:lineRule="exact"/>
              <w:jc w:val="left"/>
              <w:outlineLvl w:val="0"/>
            </w:pPr>
          </w:p>
        </w:tc>
        <w:tc>
          <w:tcPr>
            <w:tcW w:w="1417" w:type="dxa"/>
            <w:vMerge w:val="continue"/>
            <w:shd w:val="clear" w:color="auto" w:fill="auto"/>
            <w:vAlign w:val="center"/>
          </w:tcPr>
          <w:p w14:paraId="43496F68">
            <w:pPr>
              <w:spacing w:line="300" w:lineRule="exact"/>
              <w:jc w:val="left"/>
              <w:outlineLvl w:val="0"/>
            </w:pPr>
          </w:p>
        </w:tc>
        <w:tc>
          <w:tcPr>
            <w:tcW w:w="737" w:type="dxa"/>
            <w:shd w:val="clear" w:color="auto" w:fill="auto"/>
            <w:vAlign w:val="center"/>
          </w:tcPr>
          <w:p w14:paraId="528C6B64">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0BB730EC">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1F51822D">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53B49008">
            <w:pPr>
              <w:spacing w:line="300" w:lineRule="exact"/>
              <w:jc w:val="center"/>
              <w:rPr>
                <w:rFonts w:ascii="方正书宋_GBK" w:eastAsia="方正书宋_GBK"/>
                <w:b/>
              </w:rPr>
            </w:pPr>
            <w:r>
              <w:rPr>
                <w:rFonts w:hint="eastAsia" w:ascii="方正书宋_GBK" w:eastAsia="方正书宋_GBK"/>
                <w:b/>
              </w:rPr>
              <w:t>差</w:t>
            </w:r>
          </w:p>
        </w:tc>
      </w:tr>
      <w:tr w14:paraId="6D834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4520455">
            <w:pPr>
              <w:spacing w:line="300" w:lineRule="exact"/>
              <w:jc w:val="left"/>
              <w:rPr>
                <w:rFonts w:ascii="方正书宋_GBK" w:eastAsia="方正书宋_GBK"/>
                <w:b/>
              </w:rPr>
            </w:pPr>
            <w:r>
              <w:rPr>
                <w:rFonts w:hint="eastAsia" w:ascii="方正书宋_GBK" w:eastAsia="方正书宋_GBK"/>
                <w:b/>
              </w:rPr>
              <w:t>一、办案问责</w:t>
            </w:r>
          </w:p>
        </w:tc>
        <w:tc>
          <w:tcPr>
            <w:tcW w:w="1276" w:type="dxa"/>
            <w:shd w:val="clear" w:color="auto" w:fill="auto"/>
            <w:vAlign w:val="center"/>
          </w:tcPr>
          <w:p w14:paraId="71FA61E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lang w:val="en-US" w:eastAsia="zh-CN"/>
              </w:rPr>
              <w:t>70000</w:t>
            </w:r>
            <w:r>
              <w:rPr>
                <w:rFonts w:ascii="方正书宋_GBK" w:eastAsia="方正书宋_GBK"/>
              </w:rPr>
              <w:t>.00</w:t>
            </w:r>
          </w:p>
        </w:tc>
        <w:tc>
          <w:tcPr>
            <w:tcW w:w="2976" w:type="dxa"/>
            <w:shd w:val="clear" w:color="auto" w:fill="auto"/>
            <w:vAlign w:val="center"/>
          </w:tcPr>
          <w:p w14:paraId="270578CA">
            <w:pPr>
              <w:spacing w:line="300" w:lineRule="exact"/>
              <w:jc w:val="left"/>
              <w:rPr>
                <w:rFonts w:ascii="方正书宋_GBK" w:eastAsia="方正书宋_GBK"/>
              </w:rPr>
            </w:pPr>
            <w:r>
              <w:rPr>
                <w:rFonts w:hint="eastAsia" w:ascii="方正书宋_GBK" w:eastAsia="方正书宋_GBK"/>
              </w:rPr>
              <w:t>受理信访、举报，集中管理问题线索、组织协调案件查办，调查、审查违纪违法案件，对案件审理提出处理意见。</w:t>
            </w:r>
          </w:p>
        </w:tc>
        <w:tc>
          <w:tcPr>
            <w:tcW w:w="2976" w:type="dxa"/>
            <w:shd w:val="clear" w:color="auto" w:fill="auto"/>
            <w:vAlign w:val="center"/>
          </w:tcPr>
          <w:p w14:paraId="1B7F1F55">
            <w:pPr>
              <w:spacing w:line="300" w:lineRule="exact"/>
              <w:jc w:val="left"/>
              <w:rPr>
                <w:rFonts w:ascii="方正书宋_GBK" w:eastAsia="方正书宋_GBK"/>
              </w:rPr>
            </w:pPr>
            <w:r>
              <w:rPr>
                <w:rFonts w:hint="eastAsia" w:ascii="方正书宋_GBK" w:eastAsia="方正书宋_GBK"/>
              </w:rPr>
              <w:t>维护党纪国法尊严，坚决惩处腐败分子，有效遏制腐败现象。</w:t>
            </w:r>
          </w:p>
        </w:tc>
        <w:tc>
          <w:tcPr>
            <w:tcW w:w="1417" w:type="dxa"/>
            <w:shd w:val="clear" w:color="auto" w:fill="auto"/>
            <w:vAlign w:val="center"/>
          </w:tcPr>
          <w:p w14:paraId="2E82DC5D">
            <w:pPr>
              <w:spacing w:line="300" w:lineRule="exact"/>
              <w:jc w:val="left"/>
              <w:rPr>
                <w:rFonts w:ascii="方正书宋_GBK" w:eastAsia="方正书宋_GBK"/>
              </w:rPr>
            </w:pPr>
          </w:p>
        </w:tc>
        <w:tc>
          <w:tcPr>
            <w:tcW w:w="737" w:type="dxa"/>
            <w:shd w:val="clear" w:color="auto" w:fill="auto"/>
            <w:vAlign w:val="center"/>
          </w:tcPr>
          <w:p w14:paraId="6B8E4FF2">
            <w:pPr>
              <w:spacing w:line="300" w:lineRule="exact"/>
              <w:jc w:val="center"/>
              <w:rPr>
                <w:rFonts w:ascii="方正书宋_GBK" w:eastAsia="方正书宋_GBK"/>
              </w:rPr>
            </w:pPr>
          </w:p>
        </w:tc>
        <w:tc>
          <w:tcPr>
            <w:tcW w:w="737" w:type="dxa"/>
            <w:shd w:val="clear" w:color="auto" w:fill="auto"/>
            <w:vAlign w:val="center"/>
          </w:tcPr>
          <w:p w14:paraId="5892C8F3">
            <w:pPr>
              <w:spacing w:line="300" w:lineRule="exact"/>
              <w:jc w:val="center"/>
              <w:rPr>
                <w:rFonts w:ascii="方正书宋_GBK" w:eastAsia="方正书宋_GBK"/>
              </w:rPr>
            </w:pPr>
          </w:p>
        </w:tc>
        <w:tc>
          <w:tcPr>
            <w:tcW w:w="737" w:type="dxa"/>
            <w:shd w:val="clear" w:color="auto" w:fill="auto"/>
            <w:vAlign w:val="center"/>
          </w:tcPr>
          <w:p w14:paraId="55B7E39E">
            <w:pPr>
              <w:spacing w:line="300" w:lineRule="exact"/>
              <w:jc w:val="center"/>
              <w:rPr>
                <w:rFonts w:ascii="方正书宋_GBK" w:eastAsia="方正书宋_GBK"/>
              </w:rPr>
            </w:pPr>
          </w:p>
        </w:tc>
        <w:tc>
          <w:tcPr>
            <w:tcW w:w="737" w:type="dxa"/>
            <w:shd w:val="clear" w:color="auto" w:fill="auto"/>
            <w:vAlign w:val="center"/>
          </w:tcPr>
          <w:p w14:paraId="31FA11B3">
            <w:pPr>
              <w:spacing w:line="300" w:lineRule="exact"/>
              <w:jc w:val="center"/>
              <w:rPr>
                <w:rFonts w:ascii="方正书宋_GBK" w:eastAsia="方正书宋_GBK"/>
              </w:rPr>
            </w:pPr>
          </w:p>
        </w:tc>
      </w:tr>
      <w:tr w14:paraId="66395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5C86B62">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、案件查办</w:t>
            </w:r>
          </w:p>
        </w:tc>
        <w:tc>
          <w:tcPr>
            <w:tcW w:w="1276" w:type="dxa"/>
            <w:shd w:val="clear" w:color="auto" w:fill="auto"/>
            <w:vAlign w:val="center"/>
          </w:tcPr>
          <w:p w14:paraId="4E04FB9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lang w:val="en-US" w:eastAsia="zh-CN"/>
              </w:rPr>
              <w:t>70000</w:t>
            </w:r>
            <w:r>
              <w:rPr>
                <w:rFonts w:ascii="方正书宋_GBK" w:eastAsia="方正书宋_GBK"/>
              </w:rPr>
              <w:t>.00</w:t>
            </w:r>
          </w:p>
        </w:tc>
        <w:tc>
          <w:tcPr>
            <w:tcW w:w="2976" w:type="dxa"/>
            <w:shd w:val="clear" w:color="auto" w:fill="auto"/>
            <w:vAlign w:val="center"/>
          </w:tcPr>
          <w:p w14:paraId="5C17F4FB">
            <w:pPr>
              <w:spacing w:line="300" w:lineRule="exact"/>
              <w:jc w:val="left"/>
              <w:rPr>
                <w:rFonts w:ascii="方正书宋_GBK" w:eastAsia="方正书宋_GBK"/>
              </w:rPr>
            </w:pPr>
            <w:r>
              <w:rPr>
                <w:rFonts w:hint="eastAsia" w:ascii="方正书宋_GBK" w:eastAsia="方正书宋_GBK"/>
              </w:rPr>
              <w:t>对有关对象违反党纪政纪和违纪违法行为进行处理；组织协调案件查办工作</w:t>
            </w:r>
            <w:r>
              <w:rPr>
                <w:rFonts w:ascii="方正书宋_GBK" w:eastAsia="方正书宋_GBK"/>
              </w:rPr>
              <w:t>;</w:t>
            </w:r>
            <w:r>
              <w:rPr>
                <w:rFonts w:hint="eastAsia" w:ascii="方正书宋_GBK" w:eastAsia="方正书宋_GBK"/>
              </w:rPr>
              <w:t>承担县委反腐败协调小组办公室职能；承担县县监察局的行政复议、行政应诉及有关条规的起草工作。</w:t>
            </w:r>
          </w:p>
        </w:tc>
        <w:tc>
          <w:tcPr>
            <w:tcW w:w="2976" w:type="dxa"/>
            <w:shd w:val="clear" w:color="auto" w:fill="auto"/>
            <w:vAlign w:val="center"/>
          </w:tcPr>
          <w:p w14:paraId="37C0F9BF">
            <w:pPr>
              <w:spacing w:line="300" w:lineRule="exact"/>
              <w:jc w:val="left"/>
              <w:rPr>
                <w:rFonts w:ascii="方正书宋_GBK" w:eastAsia="方正书宋_GBK"/>
              </w:rPr>
            </w:pPr>
            <w:r>
              <w:rPr>
                <w:rFonts w:hint="eastAsia" w:ascii="方正书宋_GBK" w:eastAsia="方正书宋_GBK"/>
              </w:rPr>
              <w:t>维护党纪国法尊严，坚决惩处腐败分子，有效遏制腐败现象。</w:t>
            </w:r>
          </w:p>
        </w:tc>
        <w:tc>
          <w:tcPr>
            <w:tcW w:w="1417" w:type="dxa"/>
            <w:shd w:val="clear" w:color="auto" w:fill="auto"/>
            <w:vAlign w:val="center"/>
          </w:tcPr>
          <w:p w14:paraId="5A47B6A4">
            <w:pPr>
              <w:spacing w:line="300" w:lineRule="exact"/>
              <w:jc w:val="left"/>
              <w:rPr>
                <w:rFonts w:ascii="方正书宋_GBK" w:eastAsia="方正书宋_GBK"/>
              </w:rPr>
            </w:pPr>
            <w:r>
              <w:rPr>
                <w:rFonts w:hint="eastAsia" w:ascii="方正书宋_GBK" w:eastAsia="方正书宋_GBK"/>
              </w:rPr>
              <w:t>案件查办率</w:t>
            </w:r>
          </w:p>
        </w:tc>
        <w:tc>
          <w:tcPr>
            <w:tcW w:w="737" w:type="dxa"/>
            <w:shd w:val="clear" w:color="auto" w:fill="auto"/>
            <w:vAlign w:val="center"/>
          </w:tcPr>
          <w:p w14:paraId="1CB008F6">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089ABA55">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13EC2BD2">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3C057521">
            <w:pPr>
              <w:spacing w:line="300" w:lineRule="exact"/>
              <w:jc w:val="center"/>
              <w:rPr>
                <w:rFonts w:ascii="方正书宋_GBK" w:eastAsia="方正书宋_GBK"/>
              </w:rPr>
            </w:pPr>
            <w:r>
              <w:rPr>
                <w:rFonts w:ascii="方正书宋_GBK" w:eastAsia="方正书宋_GBK"/>
              </w:rPr>
              <w:t>&lt;70%</w:t>
            </w:r>
          </w:p>
        </w:tc>
      </w:tr>
      <w:tr w14:paraId="320F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0AC989C">
            <w:pPr>
              <w:spacing w:line="300" w:lineRule="exact"/>
              <w:jc w:val="left"/>
              <w:rPr>
                <w:rFonts w:ascii="方正书宋_GBK" w:eastAsia="方正书宋_GBK"/>
                <w:b/>
              </w:rPr>
            </w:pPr>
            <w:r>
              <w:rPr>
                <w:rFonts w:hint="eastAsia" w:ascii="方正书宋_GBK" w:eastAsia="方正书宋_GBK"/>
                <w:b/>
              </w:rPr>
              <w:t>二、党风廉政建设</w:t>
            </w:r>
          </w:p>
        </w:tc>
        <w:tc>
          <w:tcPr>
            <w:tcW w:w="1276" w:type="dxa"/>
            <w:shd w:val="clear" w:color="auto" w:fill="auto"/>
            <w:vAlign w:val="center"/>
          </w:tcPr>
          <w:p w14:paraId="51A04DC6">
            <w:pPr>
              <w:spacing w:line="300" w:lineRule="exact"/>
              <w:jc w:val="left"/>
              <w:rPr>
                <w:rFonts w:ascii="方正书宋_GBK" w:eastAsia="方正书宋_GBK"/>
              </w:rPr>
            </w:pPr>
          </w:p>
        </w:tc>
        <w:tc>
          <w:tcPr>
            <w:tcW w:w="2976" w:type="dxa"/>
            <w:shd w:val="clear" w:color="auto" w:fill="auto"/>
            <w:vAlign w:val="center"/>
          </w:tcPr>
          <w:p w14:paraId="2C9CFDD1">
            <w:pPr>
              <w:spacing w:line="300" w:lineRule="exact"/>
              <w:jc w:val="left"/>
              <w:rPr>
                <w:rFonts w:ascii="方正书宋_GBK" w:eastAsia="方正书宋_GBK"/>
              </w:rPr>
            </w:pPr>
            <w:r>
              <w:rPr>
                <w:rFonts w:hint="eastAsia" w:ascii="方正书宋_GBK" w:eastAsia="方正书宋_GBK"/>
              </w:rPr>
              <w:t>组织协调全县党风廉政建设和反腐败宣传、教育、课题研究等工作；承担县委惩治和预防腐败体系领导小组办公室和县预防腐败局的日常工作。</w:t>
            </w:r>
          </w:p>
        </w:tc>
        <w:tc>
          <w:tcPr>
            <w:tcW w:w="2976" w:type="dxa"/>
            <w:shd w:val="clear" w:color="auto" w:fill="auto"/>
            <w:vAlign w:val="center"/>
          </w:tcPr>
          <w:p w14:paraId="460AD42A">
            <w:pPr>
              <w:spacing w:line="300" w:lineRule="exact"/>
              <w:jc w:val="left"/>
              <w:rPr>
                <w:rFonts w:ascii="方正书宋_GBK" w:eastAsia="方正书宋_GBK"/>
              </w:rPr>
            </w:pPr>
            <w:r>
              <w:rPr>
                <w:rFonts w:hint="eastAsia" w:ascii="方正书宋_GBK" w:eastAsia="方正书宋_GBK"/>
              </w:rPr>
              <w:t>积极发挥职能作用，加强党风廉政建设，营造风清气正、干事创业的工作氛围。</w:t>
            </w:r>
          </w:p>
        </w:tc>
        <w:tc>
          <w:tcPr>
            <w:tcW w:w="1417" w:type="dxa"/>
            <w:shd w:val="clear" w:color="auto" w:fill="auto"/>
            <w:vAlign w:val="center"/>
          </w:tcPr>
          <w:p w14:paraId="78C4BAF7">
            <w:pPr>
              <w:spacing w:line="300" w:lineRule="exact"/>
              <w:jc w:val="left"/>
              <w:rPr>
                <w:rFonts w:ascii="方正书宋_GBK" w:eastAsia="方正书宋_GBK"/>
              </w:rPr>
            </w:pPr>
          </w:p>
        </w:tc>
        <w:tc>
          <w:tcPr>
            <w:tcW w:w="737" w:type="dxa"/>
            <w:shd w:val="clear" w:color="auto" w:fill="auto"/>
            <w:vAlign w:val="center"/>
          </w:tcPr>
          <w:p w14:paraId="06B4FD73">
            <w:pPr>
              <w:spacing w:line="300" w:lineRule="exact"/>
              <w:jc w:val="center"/>
              <w:rPr>
                <w:rFonts w:ascii="方正书宋_GBK" w:eastAsia="方正书宋_GBK"/>
              </w:rPr>
            </w:pPr>
          </w:p>
        </w:tc>
        <w:tc>
          <w:tcPr>
            <w:tcW w:w="737" w:type="dxa"/>
            <w:shd w:val="clear" w:color="auto" w:fill="auto"/>
            <w:vAlign w:val="center"/>
          </w:tcPr>
          <w:p w14:paraId="42CBB5E9">
            <w:pPr>
              <w:spacing w:line="300" w:lineRule="exact"/>
              <w:jc w:val="center"/>
              <w:rPr>
                <w:rFonts w:ascii="方正书宋_GBK" w:eastAsia="方正书宋_GBK"/>
              </w:rPr>
            </w:pPr>
          </w:p>
        </w:tc>
        <w:tc>
          <w:tcPr>
            <w:tcW w:w="737" w:type="dxa"/>
            <w:shd w:val="clear" w:color="auto" w:fill="auto"/>
            <w:vAlign w:val="center"/>
          </w:tcPr>
          <w:p w14:paraId="69DD8A0B">
            <w:pPr>
              <w:spacing w:line="300" w:lineRule="exact"/>
              <w:jc w:val="center"/>
              <w:rPr>
                <w:rFonts w:ascii="方正书宋_GBK" w:eastAsia="方正书宋_GBK"/>
              </w:rPr>
            </w:pPr>
          </w:p>
        </w:tc>
        <w:tc>
          <w:tcPr>
            <w:tcW w:w="737" w:type="dxa"/>
            <w:shd w:val="clear" w:color="auto" w:fill="auto"/>
            <w:vAlign w:val="center"/>
          </w:tcPr>
          <w:p w14:paraId="02173735">
            <w:pPr>
              <w:spacing w:line="300" w:lineRule="exact"/>
              <w:jc w:val="center"/>
              <w:rPr>
                <w:rFonts w:ascii="方正书宋_GBK" w:eastAsia="方正书宋_GBK"/>
              </w:rPr>
            </w:pPr>
          </w:p>
        </w:tc>
      </w:tr>
      <w:tr w14:paraId="777C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F7D9994">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、党风廉政建设</w:t>
            </w:r>
          </w:p>
        </w:tc>
        <w:tc>
          <w:tcPr>
            <w:tcW w:w="1276" w:type="dxa"/>
            <w:shd w:val="clear" w:color="auto" w:fill="auto"/>
            <w:vAlign w:val="center"/>
          </w:tcPr>
          <w:p w14:paraId="5107B5DF">
            <w:pPr>
              <w:spacing w:line="300" w:lineRule="exact"/>
              <w:jc w:val="left"/>
              <w:rPr>
                <w:rFonts w:ascii="方正书宋_GBK" w:eastAsia="方正书宋_GBK"/>
              </w:rPr>
            </w:pPr>
          </w:p>
        </w:tc>
        <w:tc>
          <w:tcPr>
            <w:tcW w:w="2976" w:type="dxa"/>
            <w:shd w:val="clear" w:color="auto" w:fill="auto"/>
            <w:vAlign w:val="center"/>
          </w:tcPr>
          <w:p w14:paraId="061EE9F6">
            <w:pPr>
              <w:spacing w:line="300" w:lineRule="exact"/>
              <w:jc w:val="left"/>
              <w:rPr>
                <w:rFonts w:ascii="方正书宋_GBK" w:eastAsia="方正书宋_GBK"/>
              </w:rPr>
            </w:pPr>
            <w:r>
              <w:rPr>
                <w:rFonts w:hint="eastAsia" w:ascii="方正书宋_GBK" w:eastAsia="方正书宋_GBK"/>
              </w:rPr>
              <w:t>组织协调全县党风廉政建设和反腐败宣传教育工作，开展对党员、公务员的廉洁自律教育。承担县委惩治和预防腐败体系领导小组办公室和县预防腐败局的日常工作。</w:t>
            </w:r>
          </w:p>
        </w:tc>
        <w:tc>
          <w:tcPr>
            <w:tcW w:w="2976" w:type="dxa"/>
            <w:shd w:val="clear" w:color="auto" w:fill="auto"/>
            <w:vAlign w:val="center"/>
          </w:tcPr>
          <w:p w14:paraId="2333D59F">
            <w:pPr>
              <w:spacing w:line="300" w:lineRule="exact"/>
              <w:jc w:val="left"/>
              <w:rPr>
                <w:rFonts w:ascii="方正书宋_GBK" w:eastAsia="方正书宋_GBK"/>
              </w:rPr>
            </w:pPr>
            <w:r>
              <w:rPr>
                <w:rFonts w:hint="eastAsia" w:ascii="方正书宋_GBK" w:eastAsia="方正书宋_GBK"/>
              </w:rPr>
              <w:t>积极发挥职能作用，加强党风廉政建设，营造风清气正、干事创业的工作氛围。</w:t>
            </w:r>
          </w:p>
        </w:tc>
        <w:tc>
          <w:tcPr>
            <w:tcW w:w="1417" w:type="dxa"/>
            <w:shd w:val="clear" w:color="auto" w:fill="auto"/>
            <w:vAlign w:val="center"/>
          </w:tcPr>
          <w:p w14:paraId="11E987AA">
            <w:pPr>
              <w:spacing w:line="300" w:lineRule="exact"/>
              <w:jc w:val="left"/>
              <w:rPr>
                <w:rFonts w:ascii="方正书宋_GBK" w:eastAsia="方正书宋_GBK"/>
              </w:rPr>
            </w:pPr>
            <w:r>
              <w:rPr>
                <w:rFonts w:hint="eastAsia" w:ascii="方正书宋_GBK" w:eastAsia="方正书宋_GBK"/>
              </w:rPr>
              <w:t>教育活动完成率</w:t>
            </w:r>
          </w:p>
        </w:tc>
        <w:tc>
          <w:tcPr>
            <w:tcW w:w="737" w:type="dxa"/>
            <w:shd w:val="clear" w:color="auto" w:fill="auto"/>
            <w:vAlign w:val="center"/>
          </w:tcPr>
          <w:p w14:paraId="4D1F0E2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4CD8BC21">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057CAF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1CCF28D8">
            <w:pPr>
              <w:spacing w:line="300" w:lineRule="exact"/>
              <w:jc w:val="center"/>
              <w:rPr>
                <w:rFonts w:ascii="方正书宋_GBK" w:eastAsia="方正书宋_GBK"/>
              </w:rPr>
            </w:pPr>
            <w:r>
              <w:rPr>
                <w:rFonts w:ascii="方正书宋_GBK" w:eastAsia="方正书宋_GBK"/>
              </w:rPr>
              <w:t>&lt;70%</w:t>
            </w:r>
          </w:p>
        </w:tc>
      </w:tr>
      <w:tr w14:paraId="29903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AAFCFE0">
            <w:pPr>
              <w:spacing w:line="300" w:lineRule="exact"/>
              <w:jc w:val="left"/>
              <w:rPr>
                <w:rFonts w:ascii="方正书宋_GBK" w:eastAsia="方正书宋_GBK"/>
                <w:b/>
              </w:rPr>
            </w:pPr>
            <w:r>
              <w:rPr>
                <w:rFonts w:hint="eastAsia" w:ascii="方正书宋_GBK" w:eastAsia="方正书宋_GBK"/>
                <w:b/>
              </w:rPr>
              <w:t>三、监督检查</w:t>
            </w:r>
          </w:p>
        </w:tc>
        <w:tc>
          <w:tcPr>
            <w:tcW w:w="1276" w:type="dxa"/>
            <w:shd w:val="clear" w:color="auto" w:fill="auto"/>
            <w:vAlign w:val="center"/>
          </w:tcPr>
          <w:p w14:paraId="5F27BDB0">
            <w:pPr>
              <w:spacing w:line="300" w:lineRule="exact"/>
              <w:jc w:val="left"/>
              <w:rPr>
                <w:rFonts w:ascii="方正书宋_GBK" w:eastAsia="方正书宋_GBK"/>
              </w:rPr>
            </w:pPr>
            <w:r>
              <w:rPr>
                <w:rFonts w:ascii="方正书宋_GBK" w:eastAsia="方正书宋_GBK"/>
              </w:rPr>
              <w:t>1300000.00</w:t>
            </w:r>
          </w:p>
        </w:tc>
        <w:tc>
          <w:tcPr>
            <w:tcW w:w="2976" w:type="dxa"/>
            <w:shd w:val="clear" w:color="auto" w:fill="auto"/>
            <w:vAlign w:val="center"/>
          </w:tcPr>
          <w:p w14:paraId="55BC5B9D">
            <w:pPr>
              <w:spacing w:line="300" w:lineRule="exact"/>
              <w:jc w:val="left"/>
              <w:rPr>
                <w:rFonts w:ascii="方正书宋_GBK" w:eastAsia="方正书宋_GBK"/>
              </w:rPr>
            </w:pPr>
            <w:r>
              <w:rPr>
                <w:rFonts w:hint="eastAsia" w:ascii="方正书宋_GBK" w:eastAsia="方正书宋_GBK"/>
              </w:rPr>
              <w:t>监督检查党内法规政策、国家法律法规、党风廉政建设等的执行情况；履行县政府纠正行业不正之风办公室职能；贯彻落实县委有关部署，开展常态化全覆盖监督。</w:t>
            </w:r>
          </w:p>
        </w:tc>
        <w:tc>
          <w:tcPr>
            <w:tcW w:w="2976" w:type="dxa"/>
            <w:shd w:val="clear" w:color="auto" w:fill="auto"/>
            <w:vAlign w:val="center"/>
          </w:tcPr>
          <w:p w14:paraId="4634A2C9">
            <w:pPr>
              <w:spacing w:line="300" w:lineRule="exact"/>
              <w:jc w:val="left"/>
              <w:rPr>
                <w:rFonts w:ascii="方正书宋_GBK" w:eastAsia="方正书宋_GBK"/>
              </w:rPr>
            </w:pPr>
            <w:r>
              <w:rPr>
                <w:rFonts w:hint="eastAsia" w:ascii="方正书宋_GBK" w:eastAsia="方正书宋_GBK"/>
              </w:rPr>
              <w:t>加大问责力度，促进</w:t>
            </w:r>
            <w:r>
              <w:rPr>
                <w:rFonts w:hint="cs" w:ascii="方正书宋_GBK" w:eastAsia="方正书宋_GBK"/>
              </w:rPr>
              <w:t>“</w:t>
            </w:r>
            <w:r>
              <w:rPr>
                <w:rFonts w:hint="eastAsia" w:ascii="方正书宋_GBK" w:eastAsia="方正书宋_GBK"/>
              </w:rPr>
              <w:t>两个责任</w:t>
            </w:r>
            <w:r>
              <w:rPr>
                <w:rFonts w:hint="cs" w:ascii="方正书宋_GBK" w:eastAsia="方正书宋_GBK"/>
              </w:rPr>
              <w:t>”</w:t>
            </w:r>
            <w:r>
              <w:rPr>
                <w:rFonts w:hint="eastAsia" w:ascii="方正书宋_GBK" w:eastAsia="方正书宋_GBK"/>
              </w:rPr>
              <w:t>有效落实。</w:t>
            </w:r>
          </w:p>
        </w:tc>
        <w:tc>
          <w:tcPr>
            <w:tcW w:w="1417" w:type="dxa"/>
            <w:shd w:val="clear" w:color="auto" w:fill="auto"/>
            <w:vAlign w:val="center"/>
          </w:tcPr>
          <w:p w14:paraId="3824D973">
            <w:pPr>
              <w:spacing w:line="300" w:lineRule="exact"/>
              <w:jc w:val="left"/>
              <w:rPr>
                <w:rFonts w:ascii="方正书宋_GBK" w:eastAsia="方正书宋_GBK"/>
              </w:rPr>
            </w:pPr>
          </w:p>
        </w:tc>
        <w:tc>
          <w:tcPr>
            <w:tcW w:w="737" w:type="dxa"/>
            <w:shd w:val="clear" w:color="auto" w:fill="auto"/>
            <w:vAlign w:val="center"/>
          </w:tcPr>
          <w:p w14:paraId="488F6556">
            <w:pPr>
              <w:spacing w:line="300" w:lineRule="exact"/>
              <w:jc w:val="center"/>
              <w:rPr>
                <w:rFonts w:ascii="方正书宋_GBK" w:eastAsia="方正书宋_GBK"/>
              </w:rPr>
            </w:pPr>
          </w:p>
        </w:tc>
        <w:tc>
          <w:tcPr>
            <w:tcW w:w="737" w:type="dxa"/>
            <w:shd w:val="clear" w:color="auto" w:fill="auto"/>
            <w:vAlign w:val="center"/>
          </w:tcPr>
          <w:p w14:paraId="1E390C8C">
            <w:pPr>
              <w:spacing w:line="300" w:lineRule="exact"/>
              <w:jc w:val="center"/>
              <w:rPr>
                <w:rFonts w:ascii="方正书宋_GBK" w:eastAsia="方正书宋_GBK"/>
              </w:rPr>
            </w:pPr>
          </w:p>
        </w:tc>
        <w:tc>
          <w:tcPr>
            <w:tcW w:w="737" w:type="dxa"/>
            <w:shd w:val="clear" w:color="auto" w:fill="auto"/>
            <w:vAlign w:val="center"/>
          </w:tcPr>
          <w:p w14:paraId="4E595BE3">
            <w:pPr>
              <w:spacing w:line="300" w:lineRule="exact"/>
              <w:jc w:val="center"/>
              <w:rPr>
                <w:rFonts w:ascii="方正书宋_GBK" w:eastAsia="方正书宋_GBK"/>
              </w:rPr>
            </w:pPr>
          </w:p>
        </w:tc>
        <w:tc>
          <w:tcPr>
            <w:tcW w:w="737" w:type="dxa"/>
            <w:shd w:val="clear" w:color="auto" w:fill="auto"/>
            <w:vAlign w:val="center"/>
          </w:tcPr>
          <w:p w14:paraId="1B2B7F7C">
            <w:pPr>
              <w:spacing w:line="300" w:lineRule="exact"/>
              <w:jc w:val="center"/>
              <w:rPr>
                <w:rFonts w:ascii="方正书宋_GBK" w:eastAsia="方正书宋_GBK"/>
              </w:rPr>
            </w:pPr>
          </w:p>
        </w:tc>
      </w:tr>
      <w:tr w14:paraId="30090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204B9A5">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、监督检查</w:t>
            </w:r>
          </w:p>
        </w:tc>
        <w:tc>
          <w:tcPr>
            <w:tcW w:w="1276" w:type="dxa"/>
            <w:shd w:val="clear" w:color="auto" w:fill="auto"/>
            <w:vAlign w:val="center"/>
          </w:tcPr>
          <w:p w14:paraId="337809E5">
            <w:pPr>
              <w:spacing w:line="300" w:lineRule="exact"/>
              <w:jc w:val="left"/>
              <w:rPr>
                <w:rFonts w:ascii="方正书宋_GBK" w:eastAsia="方正书宋_GBK"/>
              </w:rPr>
            </w:pPr>
            <w:r>
              <w:rPr>
                <w:rFonts w:ascii="方正书宋_GBK" w:eastAsia="方正书宋_GBK"/>
              </w:rPr>
              <w:t>1300000.00</w:t>
            </w:r>
          </w:p>
        </w:tc>
        <w:tc>
          <w:tcPr>
            <w:tcW w:w="2976" w:type="dxa"/>
            <w:shd w:val="clear" w:color="auto" w:fill="auto"/>
            <w:vAlign w:val="center"/>
          </w:tcPr>
          <w:p w14:paraId="0F8D1DD6">
            <w:pPr>
              <w:spacing w:line="300" w:lineRule="exact"/>
              <w:jc w:val="left"/>
              <w:rPr>
                <w:rFonts w:ascii="方正书宋_GBK" w:eastAsia="方正书宋_GBK"/>
              </w:rPr>
            </w:pPr>
            <w:r>
              <w:rPr>
                <w:rFonts w:hint="eastAsia" w:ascii="方正书宋_GBK" w:eastAsia="方正书宋_GBK"/>
              </w:rPr>
              <w:t>贯彻落实县委有关部署，开展常态化全覆盖监督有关工作；做好有关服务保障工作。</w:t>
            </w:r>
          </w:p>
        </w:tc>
        <w:tc>
          <w:tcPr>
            <w:tcW w:w="2976" w:type="dxa"/>
            <w:shd w:val="clear" w:color="auto" w:fill="auto"/>
            <w:vAlign w:val="center"/>
          </w:tcPr>
          <w:p w14:paraId="1DDE6BA7">
            <w:pPr>
              <w:spacing w:line="300" w:lineRule="exact"/>
              <w:jc w:val="left"/>
              <w:rPr>
                <w:rFonts w:ascii="方正书宋_GBK" w:eastAsia="方正书宋_GBK"/>
              </w:rPr>
            </w:pPr>
          </w:p>
        </w:tc>
        <w:tc>
          <w:tcPr>
            <w:tcW w:w="1417" w:type="dxa"/>
            <w:shd w:val="clear" w:color="auto" w:fill="auto"/>
            <w:vAlign w:val="center"/>
          </w:tcPr>
          <w:p w14:paraId="2F1FA2BA">
            <w:pPr>
              <w:spacing w:line="300" w:lineRule="exact"/>
              <w:jc w:val="left"/>
              <w:rPr>
                <w:rFonts w:ascii="方正书宋_GBK" w:eastAsia="方正书宋_GBK"/>
              </w:rPr>
            </w:pPr>
            <w:r>
              <w:rPr>
                <w:rFonts w:hint="eastAsia" w:ascii="方正书宋_GBK" w:eastAsia="方正书宋_GBK"/>
              </w:rPr>
              <w:t>监督检查工作</w:t>
            </w:r>
            <w:r>
              <w:rPr>
                <w:rFonts w:hint="eastAsia" w:ascii="方正书宋_GBK" w:eastAsia="方正书宋_GBK"/>
                <w:lang w:val="en-US" w:eastAsia="zh-CN"/>
              </w:rPr>
              <w:t>覆盖</w:t>
            </w:r>
            <w:r>
              <w:rPr>
                <w:rFonts w:hint="eastAsia" w:ascii="方正书宋_GBK" w:eastAsia="方正书宋_GBK"/>
              </w:rPr>
              <w:t>率</w:t>
            </w:r>
          </w:p>
        </w:tc>
        <w:tc>
          <w:tcPr>
            <w:tcW w:w="737" w:type="dxa"/>
            <w:shd w:val="clear" w:color="auto" w:fill="auto"/>
            <w:vAlign w:val="center"/>
          </w:tcPr>
          <w:p w14:paraId="1B911E5B">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7BC9931F">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shd w:val="clear" w:color="auto" w:fill="auto"/>
            <w:vAlign w:val="center"/>
          </w:tcPr>
          <w:p w14:paraId="6F976158">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70%</w:t>
            </w:r>
          </w:p>
        </w:tc>
        <w:tc>
          <w:tcPr>
            <w:tcW w:w="737" w:type="dxa"/>
            <w:shd w:val="clear" w:color="auto" w:fill="auto"/>
            <w:vAlign w:val="center"/>
          </w:tcPr>
          <w:p w14:paraId="2ABA7DA7">
            <w:pPr>
              <w:spacing w:line="300" w:lineRule="exact"/>
              <w:jc w:val="center"/>
              <w:rPr>
                <w:rFonts w:ascii="方正书宋_GBK" w:eastAsia="方正书宋_GBK"/>
              </w:rPr>
            </w:pPr>
            <w:r>
              <w:rPr>
                <w:rFonts w:ascii="方正书宋_GBK" w:eastAsia="方正书宋_GBK"/>
              </w:rPr>
              <w:t>&lt;70%</w:t>
            </w:r>
          </w:p>
        </w:tc>
      </w:tr>
      <w:tr w14:paraId="00AB8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B17ED4D">
            <w:pPr>
              <w:spacing w:line="300" w:lineRule="exact"/>
              <w:jc w:val="left"/>
              <w:rPr>
                <w:rFonts w:ascii="方正书宋_GBK" w:eastAsia="方正书宋_GBK"/>
                <w:b/>
              </w:rPr>
            </w:pPr>
            <w:r>
              <w:rPr>
                <w:rFonts w:hint="eastAsia" w:ascii="方正书宋_GBK" w:eastAsia="方正书宋_GBK"/>
                <w:b/>
              </w:rPr>
              <w:t>四、纪检事务管理</w:t>
            </w:r>
          </w:p>
        </w:tc>
        <w:tc>
          <w:tcPr>
            <w:tcW w:w="1276" w:type="dxa"/>
            <w:shd w:val="clear" w:color="auto" w:fill="auto"/>
            <w:vAlign w:val="center"/>
          </w:tcPr>
          <w:p w14:paraId="528A3ACE">
            <w:pPr>
              <w:spacing w:line="300" w:lineRule="exact"/>
              <w:jc w:val="left"/>
              <w:rPr>
                <w:rFonts w:ascii="方正书宋_GBK" w:eastAsia="方正书宋_GBK"/>
              </w:rPr>
            </w:pPr>
            <w:r>
              <w:rPr>
                <w:rFonts w:hint="eastAsia" w:ascii="方正书宋_GBK" w:eastAsia="方正书宋_GBK"/>
                <w:lang w:val="en-US" w:eastAsia="zh-CN"/>
              </w:rPr>
              <w:t>2482000</w:t>
            </w:r>
            <w:r>
              <w:rPr>
                <w:rFonts w:ascii="方正书宋_GBK" w:eastAsia="方正书宋_GBK"/>
              </w:rPr>
              <w:t>.00</w:t>
            </w:r>
          </w:p>
        </w:tc>
        <w:tc>
          <w:tcPr>
            <w:tcW w:w="2976" w:type="dxa"/>
            <w:shd w:val="clear" w:color="auto" w:fill="auto"/>
            <w:vAlign w:val="center"/>
          </w:tcPr>
          <w:p w14:paraId="13D52C47">
            <w:pPr>
              <w:spacing w:line="300" w:lineRule="exact"/>
              <w:jc w:val="left"/>
              <w:rPr>
                <w:rFonts w:ascii="方正书宋_GBK" w:eastAsia="方正书宋_GBK"/>
              </w:rPr>
            </w:pPr>
            <w:r>
              <w:rPr>
                <w:rFonts w:hint="eastAsia" w:ascii="方正书宋_GBK" w:eastAsia="方正书宋_GBK"/>
              </w:rPr>
              <w:t>纪检政策宣传，办公场所运行维护。</w:t>
            </w:r>
          </w:p>
        </w:tc>
        <w:tc>
          <w:tcPr>
            <w:tcW w:w="2976" w:type="dxa"/>
            <w:shd w:val="clear" w:color="auto" w:fill="auto"/>
            <w:vAlign w:val="center"/>
          </w:tcPr>
          <w:p w14:paraId="4C1AFB43">
            <w:pPr>
              <w:spacing w:line="300" w:lineRule="exact"/>
              <w:jc w:val="left"/>
              <w:rPr>
                <w:rFonts w:ascii="方正书宋_GBK" w:eastAsia="方正书宋_GBK"/>
              </w:rPr>
            </w:pPr>
            <w:r>
              <w:rPr>
                <w:rFonts w:hint="eastAsia" w:ascii="方正书宋_GBK" w:eastAsia="方正书宋_GBK"/>
              </w:rPr>
              <w:t>为案件查办、纪检监察业务、党风廉政建设提高服务和保障。</w:t>
            </w:r>
          </w:p>
        </w:tc>
        <w:tc>
          <w:tcPr>
            <w:tcW w:w="1417" w:type="dxa"/>
            <w:shd w:val="clear" w:color="auto" w:fill="auto"/>
            <w:vAlign w:val="center"/>
          </w:tcPr>
          <w:p w14:paraId="5E3BF10F">
            <w:pPr>
              <w:spacing w:line="300" w:lineRule="exact"/>
              <w:jc w:val="left"/>
              <w:rPr>
                <w:rFonts w:ascii="方正书宋_GBK" w:eastAsia="方正书宋_GBK"/>
              </w:rPr>
            </w:pPr>
          </w:p>
        </w:tc>
        <w:tc>
          <w:tcPr>
            <w:tcW w:w="737" w:type="dxa"/>
            <w:shd w:val="clear" w:color="auto" w:fill="auto"/>
            <w:vAlign w:val="center"/>
          </w:tcPr>
          <w:p w14:paraId="438BB2FC">
            <w:pPr>
              <w:spacing w:line="300" w:lineRule="exact"/>
              <w:jc w:val="center"/>
              <w:rPr>
                <w:rFonts w:ascii="方正书宋_GBK" w:eastAsia="方正书宋_GBK"/>
              </w:rPr>
            </w:pPr>
          </w:p>
        </w:tc>
        <w:tc>
          <w:tcPr>
            <w:tcW w:w="737" w:type="dxa"/>
            <w:shd w:val="clear" w:color="auto" w:fill="auto"/>
            <w:vAlign w:val="center"/>
          </w:tcPr>
          <w:p w14:paraId="784D70F5">
            <w:pPr>
              <w:spacing w:line="300" w:lineRule="exact"/>
              <w:jc w:val="center"/>
              <w:rPr>
                <w:rFonts w:ascii="方正书宋_GBK" w:eastAsia="方正书宋_GBK"/>
              </w:rPr>
            </w:pPr>
          </w:p>
        </w:tc>
        <w:tc>
          <w:tcPr>
            <w:tcW w:w="737" w:type="dxa"/>
            <w:shd w:val="clear" w:color="auto" w:fill="auto"/>
            <w:vAlign w:val="center"/>
          </w:tcPr>
          <w:p w14:paraId="0F128663">
            <w:pPr>
              <w:spacing w:line="300" w:lineRule="exact"/>
              <w:jc w:val="center"/>
              <w:rPr>
                <w:rFonts w:ascii="方正书宋_GBK" w:eastAsia="方正书宋_GBK"/>
              </w:rPr>
            </w:pPr>
          </w:p>
        </w:tc>
        <w:tc>
          <w:tcPr>
            <w:tcW w:w="737" w:type="dxa"/>
            <w:shd w:val="clear" w:color="auto" w:fill="auto"/>
            <w:vAlign w:val="center"/>
          </w:tcPr>
          <w:p w14:paraId="28613F41">
            <w:pPr>
              <w:spacing w:line="300" w:lineRule="exact"/>
              <w:jc w:val="center"/>
              <w:rPr>
                <w:rFonts w:ascii="方正书宋_GBK" w:eastAsia="方正书宋_GBK"/>
              </w:rPr>
            </w:pPr>
          </w:p>
        </w:tc>
      </w:tr>
      <w:tr w14:paraId="5FA7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61E6762">
            <w:pPr>
              <w:spacing w:line="300" w:lineRule="exact"/>
              <w:jc w:val="left"/>
              <w:rPr>
                <w:rFonts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、综合事务管理</w:t>
            </w:r>
          </w:p>
        </w:tc>
        <w:tc>
          <w:tcPr>
            <w:tcW w:w="1276" w:type="dxa"/>
            <w:shd w:val="clear" w:color="auto" w:fill="auto"/>
            <w:vAlign w:val="center"/>
          </w:tcPr>
          <w:p w14:paraId="318D803B">
            <w:pPr>
              <w:spacing w:line="300" w:lineRule="exact"/>
              <w:jc w:val="left"/>
              <w:rPr>
                <w:rFonts w:ascii="方正书宋_GBK" w:eastAsia="方正书宋_GBK"/>
              </w:rPr>
            </w:pPr>
            <w:r>
              <w:rPr>
                <w:rFonts w:hint="eastAsia" w:ascii="方正书宋_GBK" w:eastAsia="方正书宋_GBK"/>
                <w:lang w:val="en-US" w:eastAsia="zh-CN"/>
              </w:rPr>
              <w:t>2482000</w:t>
            </w:r>
            <w:r>
              <w:rPr>
                <w:rFonts w:ascii="方正书宋_GBK" w:eastAsia="方正书宋_GBK"/>
              </w:rPr>
              <w:t>.00</w:t>
            </w:r>
          </w:p>
        </w:tc>
        <w:tc>
          <w:tcPr>
            <w:tcW w:w="2976" w:type="dxa"/>
            <w:shd w:val="clear" w:color="auto" w:fill="auto"/>
            <w:vAlign w:val="center"/>
          </w:tcPr>
          <w:p w14:paraId="73ACD411">
            <w:pPr>
              <w:spacing w:line="300" w:lineRule="exact"/>
              <w:jc w:val="left"/>
              <w:rPr>
                <w:rFonts w:ascii="方正书宋_GBK" w:eastAsia="方正书宋_GBK"/>
              </w:rPr>
            </w:pPr>
            <w:r>
              <w:rPr>
                <w:rFonts w:hint="eastAsia" w:ascii="方正书宋_GBK" w:eastAsia="方正书宋_GBK"/>
              </w:rPr>
              <w:t>宣传党的纪检工作方针、政策，教育纪检干部遵守和执行党章以及党内法规、党的路线方针政策和决议、国家法规等，全面提高纪检监察干部队伍素质；负责办公场所运行维护。</w:t>
            </w:r>
          </w:p>
        </w:tc>
        <w:tc>
          <w:tcPr>
            <w:tcW w:w="2976" w:type="dxa"/>
            <w:shd w:val="clear" w:color="auto" w:fill="auto"/>
            <w:vAlign w:val="center"/>
          </w:tcPr>
          <w:p w14:paraId="0877D92F">
            <w:pPr>
              <w:spacing w:line="300" w:lineRule="exact"/>
              <w:jc w:val="left"/>
              <w:rPr>
                <w:rFonts w:ascii="方正书宋_GBK" w:eastAsia="方正书宋_GBK"/>
              </w:rPr>
            </w:pPr>
            <w:r>
              <w:rPr>
                <w:rFonts w:hint="eastAsia" w:ascii="方正书宋_GBK" w:eastAsia="方正书宋_GBK"/>
              </w:rPr>
              <w:t>为案件查办、纪检监察业务、党风廉政建设提高服务和保障。</w:t>
            </w:r>
          </w:p>
        </w:tc>
        <w:tc>
          <w:tcPr>
            <w:tcW w:w="1417" w:type="dxa"/>
            <w:shd w:val="clear" w:color="auto" w:fill="auto"/>
            <w:vAlign w:val="center"/>
          </w:tcPr>
          <w:p w14:paraId="28C35868">
            <w:pPr>
              <w:spacing w:line="300" w:lineRule="exact"/>
              <w:jc w:val="left"/>
              <w:rPr>
                <w:rFonts w:ascii="方正书宋_GBK" w:eastAsia="方正书宋_GBK"/>
              </w:rPr>
            </w:pPr>
            <w:r>
              <w:rPr>
                <w:rFonts w:hint="eastAsia" w:ascii="方正书宋_GBK" w:eastAsia="方正书宋_GBK"/>
              </w:rPr>
              <w:t>综合事务保障率</w:t>
            </w:r>
          </w:p>
        </w:tc>
        <w:tc>
          <w:tcPr>
            <w:tcW w:w="737" w:type="dxa"/>
            <w:shd w:val="clear" w:color="auto" w:fill="auto"/>
            <w:vAlign w:val="center"/>
          </w:tcPr>
          <w:p w14:paraId="796B32B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BB102E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shd w:val="clear" w:color="auto" w:fill="auto"/>
            <w:vAlign w:val="center"/>
          </w:tcPr>
          <w:p w14:paraId="545663C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shd w:val="clear" w:color="auto" w:fill="auto"/>
            <w:vAlign w:val="center"/>
          </w:tcPr>
          <w:p w14:paraId="21018047">
            <w:pPr>
              <w:spacing w:line="300" w:lineRule="exact"/>
              <w:jc w:val="center"/>
              <w:rPr>
                <w:rFonts w:ascii="方正书宋_GBK" w:eastAsia="方正书宋_GBK"/>
              </w:rPr>
            </w:pPr>
            <w:r>
              <w:rPr>
                <w:rFonts w:ascii="方正书宋_GBK" w:eastAsia="方正书宋_GBK"/>
              </w:rPr>
              <w:t>&lt;90%</w:t>
            </w:r>
          </w:p>
        </w:tc>
      </w:tr>
    </w:tbl>
    <w:p w14:paraId="7FFF3BAA">
      <w:pPr>
        <w:adjustRightInd w:val="0"/>
        <w:snapToGrid w:val="0"/>
        <w:spacing w:line="560" w:lineRule="exact"/>
        <w:ind w:firstLine="561"/>
        <w:rPr>
          <w:rFonts w:hint="eastAsia" w:ascii="仿宋" w:hAnsi="仿宋" w:eastAsia="仿宋" w:cs="仿宋"/>
          <w:sz w:val="32"/>
          <w:szCs w:val="32"/>
        </w:rPr>
      </w:pPr>
    </w:p>
    <w:p w14:paraId="742A0D91">
      <w:pPr>
        <w:autoSpaceDE w:val="0"/>
        <w:autoSpaceDN w:val="0"/>
        <w:adjustRightInd w:val="0"/>
        <w:ind w:firstLine="640" w:firstLineChars="200"/>
        <w:jc w:val="left"/>
        <w:rPr>
          <w:rFonts w:ascii="黑体" w:hAnsi="黑体" w:eastAsia="黑体" w:cs="黑体"/>
          <w:sz w:val="32"/>
          <w:szCs w:val="32"/>
        </w:rPr>
      </w:pPr>
      <w:r>
        <w:rPr>
          <w:rFonts w:hint="eastAsia" w:ascii="黑体" w:hAnsi="黑体" w:eastAsia="黑体" w:cs="黑体"/>
          <w:sz w:val="32"/>
          <w:szCs w:val="32"/>
        </w:rPr>
        <w:t>六、政府采购预算情况</w:t>
      </w:r>
    </w:p>
    <w:p w14:paraId="3976209B">
      <w:pPr>
        <w:ind w:firstLine="640"/>
        <w:rPr>
          <w:rFonts w:hint="eastAsia" w:ascii="仿宋_GB2312" w:hAnsi="黑体" w:eastAsia="仿宋_GB2312" w:cs="仿宋_GB2312"/>
          <w:sz w:val="32"/>
          <w:szCs w:val="32"/>
        </w:rPr>
      </w:pPr>
      <w:r>
        <w:rPr>
          <w:rFonts w:hint="eastAsia" w:ascii="仿宋_GB2312" w:hAnsi="黑体" w:eastAsia="仿宋_GB2312" w:cs="仿宋_GB2312"/>
          <w:sz w:val="32"/>
          <w:szCs w:val="32"/>
        </w:rPr>
        <w:t>201</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年我单位政府采购预算</w:t>
      </w:r>
      <w:r>
        <w:rPr>
          <w:rFonts w:hint="eastAsia" w:ascii="仿宋_GB2312" w:hAnsi="黑体" w:eastAsia="仿宋_GB2312" w:cs="仿宋_GB2312"/>
          <w:sz w:val="32"/>
          <w:szCs w:val="32"/>
          <w:lang w:val="en-US" w:eastAsia="zh-CN"/>
        </w:rPr>
        <w:t>72万元公务用车购置费</w:t>
      </w:r>
      <w:r>
        <w:rPr>
          <w:rFonts w:hint="eastAsia" w:ascii="仿宋_GB2312" w:hAnsi="黑体" w:eastAsia="仿宋_GB2312" w:cs="仿宋_GB2312"/>
          <w:sz w:val="32"/>
          <w:szCs w:val="32"/>
        </w:rPr>
        <w:t>。</w:t>
      </w:r>
    </w:p>
    <w:tbl>
      <w:tblPr>
        <w:tblStyle w:val="8"/>
        <w:tblW w:w="12950" w:type="dxa"/>
        <w:tblInd w:w="0" w:type="dxa"/>
        <w:shd w:val="clear" w:color="auto" w:fill="auto"/>
        <w:tblLayout w:type="fixed"/>
        <w:tblCellMar>
          <w:top w:w="0" w:type="dxa"/>
          <w:left w:w="0" w:type="dxa"/>
          <w:bottom w:w="0" w:type="dxa"/>
          <w:right w:w="0" w:type="dxa"/>
        </w:tblCellMar>
      </w:tblPr>
      <w:tblGrid>
        <w:gridCol w:w="2137"/>
        <w:gridCol w:w="589"/>
        <w:gridCol w:w="852"/>
        <w:gridCol w:w="852"/>
        <w:gridCol w:w="852"/>
        <w:gridCol w:w="852"/>
        <w:gridCol w:w="852"/>
        <w:gridCol w:w="852"/>
        <w:gridCol w:w="852"/>
        <w:gridCol w:w="852"/>
        <w:gridCol w:w="852"/>
        <w:gridCol w:w="852"/>
        <w:gridCol w:w="852"/>
        <w:gridCol w:w="852"/>
      </w:tblGrid>
      <w:tr w14:paraId="63F52C4A">
        <w:tblPrEx>
          <w:shd w:val="clear" w:color="auto" w:fill="auto"/>
          <w:tblCellMar>
            <w:top w:w="0" w:type="dxa"/>
            <w:left w:w="0" w:type="dxa"/>
            <w:bottom w:w="0" w:type="dxa"/>
            <w:right w:w="0" w:type="dxa"/>
          </w:tblCellMar>
        </w:tblPrEx>
        <w:trPr>
          <w:trHeight w:val="460" w:hRule="atLeast"/>
        </w:trPr>
        <w:tc>
          <w:tcPr>
            <w:tcW w:w="12950" w:type="dxa"/>
            <w:gridSpan w:val="14"/>
            <w:tcBorders>
              <w:top w:val="nil"/>
              <w:left w:val="nil"/>
              <w:bottom w:val="nil"/>
              <w:right w:val="nil"/>
            </w:tcBorders>
            <w:shd w:val="clear" w:color="auto" w:fill="auto"/>
            <w:noWrap/>
            <w:tcMar>
              <w:top w:w="10" w:type="dxa"/>
              <w:left w:w="10" w:type="dxa"/>
              <w:right w:w="10" w:type="dxa"/>
            </w:tcMar>
            <w:vAlign w:val="center"/>
          </w:tcPr>
          <w:p w14:paraId="4124B02A">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部门政府采购预算</w:t>
            </w:r>
          </w:p>
        </w:tc>
      </w:tr>
      <w:tr w14:paraId="51DCCF46">
        <w:tblPrEx>
          <w:shd w:val="clear" w:color="auto" w:fill="auto"/>
          <w:tblCellMar>
            <w:top w:w="0" w:type="dxa"/>
            <w:left w:w="0" w:type="dxa"/>
            <w:bottom w:w="0" w:type="dxa"/>
            <w:right w:w="0" w:type="dxa"/>
          </w:tblCellMar>
        </w:tblPrEx>
        <w:trPr>
          <w:trHeight w:val="460" w:hRule="atLeast"/>
        </w:trPr>
        <w:tc>
          <w:tcPr>
            <w:tcW w:w="2137" w:type="dxa"/>
            <w:tcBorders>
              <w:top w:val="nil"/>
              <w:left w:val="nil"/>
              <w:bottom w:val="nil"/>
              <w:right w:val="nil"/>
            </w:tcBorders>
            <w:shd w:val="clear" w:color="auto" w:fill="auto"/>
            <w:noWrap/>
            <w:tcMar>
              <w:top w:w="10" w:type="dxa"/>
              <w:left w:w="10" w:type="dxa"/>
              <w:right w:w="10" w:type="dxa"/>
            </w:tcMar>
            <w:vAlign w:val="center"/>
          </w:tcPr>
          <w:p w14:paraId="3F0979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馆陶县纪委</w:t>
            </w:r>
          </w:p>
        </w:tc>
        <w:tc>
          <w:tcPr>
            <w:tcW w:w="589" w:type="dxa"/>
            <w:tcBorders>
              <w:top w:val="nil"/>
              <w:left w:val="nil"/>
              <w:bottom w:val="nil"/>
              <w:right w:val="nil"/>
            </w:tcBorders>
            <w:shd w:val="clear" w:color="auto" w:fill="auto"/>
            <w:noWrap/>
            <w:tcMar>
              <w:top w:w="10" w:type="dxa"/>
              <w:left w:w="10" w:type="dxa"/>
              <w:right w:w="10" w:type="dxa"/>
            </w:tcMar>
            <w:vAlign w:val="center"/>
          </w:tcPr>
          <w:p w14:paraId="1C1BFE90">
            <w:pPr>
              <w:jc w:val="center"/>
              <w:rPr>
                <w:rFonts w:hint="eastAsia" w:ascii="宋体" w:hAnsi="宋体" w:eastAsia="宋体" w:cs="宋体"/>
                <w:i w:val="0"/>
                <w:color w:val="000000"/>
                <w:sz w:val="36"/>
                <w:szCs w:val="36"/>
                <w:u w:val="none"/>
              </w:rPr>
            </w:pPr>
          </w:p>
        </w:tc>
        <w:tc>
          <w:tcPr>
            <w:tcW w:w="852" w:type="dxa"/>
            <w:tcBorders>
              <w:top w:val="nil"/>
              <w:left w:val="nil"/>
              <w:bottom w:val="nil"/>
              <w:right w:val="nil"/>
            </w:tcBorders>
            <w:shd w:val="clear" w:color="auto" w:fill="auto"/>
            <w:noWrap/>
            <w:tcMar>
              <w:top w:w="10" w:type="dxa"/>
              <w:left w:w="10" w:type="dxa"/>
              <w:right w:w="10" w:type="dxa"/>
            </w:tcMar>
            <w:vAlign w:val="center"/>
          </w:tcPr>
          <w:p w14:paraId="12035F5D">
            <w:pPr>
              <w:jc w:val="center"/>
              <w:rPr>
                <w:rFonts w:hint="eastAsia" w:ascii="宋体" w:hAnsi="宋体" w:eastAsia="宋体" w:cs="宋体"/>
                <w:i w:val="0"/>
                <w:color w:val="000000"/>
                <w:sz w:val="36"/>
                <w:szCs w:val="36"/>
                <w:u w:val="none"/>
              </w:rPr>
            </w:pPr>
          </w:p>
        </w:tc>
        <w:tc>
          <w:tcPr>
            <w:tcW w:w="852" w:type="dxa"/>
            <w:tcBorders>
              <w:top w:val="nil"/>
              <w:left w:val="nil"/>
              <w:bottom w:val="nil"/>
              <w:right w:val="nil"/>
            </w:tcBorders>
            <w:shd w:val="clear" w:color="auto" w:fill="auto"/>
            <w:noWrap/>
            <w:tcMar>
              <w:top w:w="10" w:type="dxa"/>
              <w:left w:w="10" w:type="dxa"/>
              <w:right w:w="10" w:type="dxa"/>
            </w:tcMar>
            <w:vAlign w:val="center"/>
          </w:tcPr>
          <w:p w14:paraId="3159C469">
            <w:pPr>
              <w:jc w:val="center"/>
              <w:rPr>
                <w:rFonts w:hint="eastAsia" w:ascii="宋体" w:hAnsi="宋体" w:eastAsia="宋体" w:cs="宋体"/>
                <w:i w:val="0"/>
                <w:color w:val="000000"/>
                <w:sz w:val="36"/>
                <w:szCs w:val="36"/>
                <w:u w:val="none"/>
              </w:rPr>
            </w:pPr>
          </w:p>
        </w:tc>
        <w:tc>
          <w:tcPr>
            <w:tcW w:w="852" w:type="dxa"/>
            <w:tcBorders>
              <w:top w:val="nil"/>
              <w:left w:val="nil"/>
              <w:bottom w:val="nil"/>
              <w:right w:val="nil"/>
            </w:tcBorders>
            <w:shd w:val="clear" w:color="auto" w:fill="auto"/>
            <w:noWrap/>
            <w:tcMar>
              <w:top w:w="10" w:type="dxa"/>
              <w:left w:w="10" w:type="dxa"/>
              <w:right w:w="10" w:type="dxa"/>
            </w:tcMar>
            <w:vAlign w:val="center"/>
          </w:tcPr>
          <w:p w14:paraId="19E3208F">
            <w:pPr>
              <w:jc w:val="center"/>
              <w:rPr>
                <w:rFonts w:hint="eastAsia" w:ascii="宋体" w:hAnsi="宋体" w:eastAsia="宋体" w:cs="宋体"/>
                <w:i w:val="0"/>
                <w:color w:val="000000"/>
                <w:sz w:val="36"/>
                <w:szCs w:val="36"/>
                <w:u w:val="none"/>
              </w:rPr>
            </w:pPr>
          </w:p>
        </w:tc>
        <w:tc>
          <w:tcPr>
            <w:tcW w:w="852" w:type="dxa"/>
            <w:tcBorders>
              <w:top w:val="nil"/>
              <w:left w:val="nil"/>
              <w:bottom w:val="nil"/>
              <w:right w:val="nil"/>
            </w:tcBorders>
            <w:shd w:val="clear" w:color="auto" w:fill="auto"/>
            <w:noWrap/>
            <w:tcMar>
              <w:top w:w="10" w:type="dxa"/>
              <w:left w:w="10" w:type="dxa"/>
              <w:right w:w="10" w:type="dxa"/>
            </w:tcMar>
            <w:vAlign w:val="center"/>
          </w:tcPr>
          <w:p w14:paraId="0413E856">
            <w:pPr>
              <w:jc w:val="center"/>
              <w:rPr>
                <w:rFonts w:hint="eastAsia" w:ascii="宋体" w:hAnsi="宋体" w:eastAsia="宋体" w:cs="宋体"/>
                <w:i w:val="0"/>
                <w:color w:val="000000"/>
                <w:sz w:val="36"/>
                <w:szCs w:val="36"/>
                <w:u w:val="none"/>
              </w:rPr>
            </w:pPr>
          </w:p>
        </w:tc>
        <w:tc>
          <w:tcPr>
            <w:tcW w:w="852" w:type="dxa"/>
            <w:tcBorders>
              <w:top w:val="nil"/>
              <w:left w:val="nil"/>
              <w:bottom w:val="nil"/>
              <w:right w:val="nil"/>
            </w:tcBorders>
            <w:shd w:val="clear" w:color="auto" w:fill="auto"/>
            <w:noWrap/>
            <w:tcMar>
              <w:top w:w="10" w:type="dxa"/>
              <w:left w:w="10" w:type="dxa"/>
              <w:right w:w="10" w:type="dxa"/>
            </w:tcMar>
            <w:vAlign w:val="center"/>
          </w:tcPr>
          <w:p w14:paraId="6F6D72A6">
            <w:pPr>
              <w:jc w:val="center"/>
              <w:rPr>
                <w:rFonts w:hint="eastAsia" w:ascii="宋体" w:hAnsi="宋体" w:eastAsia="宋体" w:cs="宋体"/>
                <w:i w:val="0"/>
                <w:color w:val="000000"/>
                <w:sz w:val="36"/>
                <w:szCs w:val="36"/>
                <w:u w:val="none"/>
              </w:rPr>
            </w:pPr>
          </w:p>
        </w:tc>
        <w:tc>
          <w:tcPr>
            <w:tcW w:w="852" w:type="dxa"/>
            <w:tcBorders>
              <w:top w:val="nil"/>
              <w:left w:val="nil"/>
              <w:bottom w:val="nil"/>
              <w:right w:val="nil"/>
            </w:tcBorders>
            <w:shd w:val="clear" w:color="auto" w:fill="auto"/>
            <w:noWrap/>
            <w:tcMar>
              <w:top w:w="10" w:type="dxa"/>
              <w:left w:w="10" w:type="dxa"/>
              <w:right w:w="10" w:type="dxa"/>
            </w:tcMar>
            <w:vAlign w:val="center"/>
          </w:tcPr>
          <w:p w14:paraId="338ED052">
            <w:pPr>
              <w:jc w:val="center"/>
              <w:rPr>
                <w:rFonts w:hint="eastAsia" w:ascii="宋体" w:hAnsi="宋体" w:eastAsia="宋体" w:cs="宋体"/>
                <w:i w:val="0"/>
                <w:color w:val="000000"/>
                <w:sz w:val="36"/>
                <w:szCs w:val="36"/>
                <w:u w:val="none"/>
              </w:rPr>
            </w:pPr>
          </w:p>
        </w:tc>
        <w:tc>
          <w:tcPr>
            <w:tcW w:w="852" w:type="dxa"/>
            <w:tcBorders>
              <w:top w:val="nil"/>
              <w:left w:val="nil"/>
              <w:bottom w:val="nil"/>
              <w:right w:val="nil"/>
            </w:tcBorders>
            <w:shd w:val="clear" w:color="auto" w:fill="auto"/>
            <w:noWrap/>
            <w:tcMar>
              <w:top w:w="10" w:type="dxa"/>
              <w:left w:w="10" w:type="dxa"/>
              <w:right w:w="10" w:type="dxa"/>
            </w:tcMar>
            <w:vAlign w:val="center"/>
          </w:tcPr>
          <w:p w14:paraId="66BD8E9D">
            <w:pPr>
              <w:jc w:val="center"/>
              <w:rPr>
                <w:rFonts w:hint="eastAsia" w:ascii="宋体" w:hAnsi="宋体" w:eastAsia="宋体" w:cs="宋体"/>
                <w:i w:val="0"/>
                <w:color w:val="000000"/>
                <w:sz w:val="36"/>
                <w:szCs w:val="36"/>
                <w:u w:val="none"/>
              </w:rPr>
            </w:pPr>
          </w:p>
        </w:tc>
        <w:tc>
          <w:tcPr>
            <w:tcW w:w="3408" w:type="dxa"/>
            <w:gridSpan w:val="4"/>
            <w:tcBorders>
              <w:top w:val="nil"/>
              <w:left w:val="nil"/>
              <w:bottom w:val="nil"/>
              <w:right w:val="nil"/>
            </w:tcBorders>
            <w:shd w:val="clear" w:color="auto" w:fill="auto"/>
            <w:noWrap/>
            <w:tcMar>
              <w:top w:w="10" w:type="dxa"/>
              <w:left w:w="10" w:type="dxa"/>
              <w:right w:w="10" w:type="dxa"/>
            </w:tcMar>
            <w:vAlign w:val="center"/>
          </w:tcPr>
          <w:p w14:paraId="6A182B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c>
          <w:tcPr>
            <w:tcW w:w="852" w:type="dxa"/>
            <w:tcBorders>
              <w:top w:val="nil"/>
              <w:left w:val="nil"/>
              <w:bottom w:val="nil"/>
              <w:right w:val="nil"/>
            </w:tcBorders>
            <w:shd w:val="clear" w:color="auto" w:fill="auto"/>
            <w:noWrap/>
            <w:tcMar>
              <w:top w:w="10" w:type="dxa"/>
              <w:left w:w="10" w:type="dxa"/>
              <w:right w:w="10" w:type="dxa"/>
            </w:tcMar>
            <w:vAlign w:val="center"/>
          </w:tcPr>
          <w:p w14:paraId="041B026B">
            <w:pPr>
              <w:jc w:val="center"/>
              <w:rPr>
                <w:rFonts w:hint="eastAsia" w:ascii="宋体" w:hAnsi="宋体" w:eastAsia="宋体" w:cs="宋体"/>
                <w:i w:val="0"/>
                <w:color w:val="000000"/>
                <w:sz w:val="36"/>
                <w:szCs w:val="36"/>
                <w:u w:val="none"/>
              </w:rPr>
            </w:pPr>
          </w:p>
        </w:tc>
      </w:tr>
      <w:tr w14:paraId="3546C285">
        <w:tblPrEx>
          <w:tblCellMar>
            <w:top w:w="0" w:type="dxa"/>
            <w:left w:w="0" w:type="dxa"/>
            <w:bottom w:w="0" w:type="dxa"/>
            <w:right w:w="0" w:type="dxa"/>
          </w:tblCellMar>
        </w:tblPrEx>
        <w:trPr>
          <w:trHeight w:val="300"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B1386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政府采购项目来源</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70ED4F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采购物品名称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60AAFC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政府采购目录序号</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029AEA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数量单位</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30C976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4258CBA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596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2C2F4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政府采购金额</w:t>
            </w:r>
          </w:p>
        </w:tc>
      </w:tr>
      <w:tr w14:paraId="0965035B">
        <w:tblPrEx>
          <w:shd w:val="clear" w:color="auto" w:fill="auto"/>
          <w:tblCellMar>
            <w:top w:w="0" w:type="dxa"/>
            <w:left w:w="0" w:type="dxa"/>
            <w:bottom w:w="0" w:type="dxa"/>
            <w:right w:w="0" w:type="dxa"/>
          </w:tblCellMar>
        </w:tblPrEx>
        <w:trPr>
          <w:trHeight w:val="300" w:hRule="atLeast"/>
        </w:trPr>
        <w:tc>
          <w:tcPr>
            <w:tcW w:w="21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0CF157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497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预算资金</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468A01D0">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0B5BFCC7">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3100822F">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618BCC0F">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655B07F6">
            <w:pPr>
              <w:rPr>
                <w:rFonts w:hint="eastAsia" w:ascii="宋体" w:hAnsi="宋体" w:eastAsia="宋体" w:cs="宋体"/>
                <w:i w:val="0"/>
                <w:color w:val="000000"/>
                <w:sz w:val="24"/>
                <w:szCs w:val="24"/>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7A9E9ED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426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C6B2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当年部门预算安排资金</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36F3E7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其他渠道资金</w:t>
            </w:r>
          </w:p>
        </w:tc>
      </w:tr>
      <w:tr w14:paraId="70A6D3CB">
        <w:tblPrEx>
          <w:shd w:val="clear" w:color="auto" w:fill="auto"/>
          <w:tblCellMar>
            <w:top w:w="0" w:type="dxa"/>
            <w:left w:w="0" w:type="dxa"/>
            <w:bottom w:w="0" w:type="dxa"/>
            <w:right w:w="0" w:type="dxa"/>
          </w:tblCellMar>
        </w:tblPrEx>
        <w:trPr>
          <w:trHeight w:val="2560" w:hRule="atLeast"/>
        </w:trPr>
        <w:tc>
          <w:tcPr>
            <w:tcW w:w="21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6AB3D7">
            <w:pPr>
              <w:rPr>
                <w:rFonts w:hint="eastAsia" w:ascii="宋体" w:hAnsi="宋体" w:eastAsia="宋体" w:cs="宋体"/>
                <w:i w:val="0"/>
                <w:color w:val="000000"/>
                <w:sz w:val="24"/>
                <w:szCs w:val="24"/>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4139E">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5969A4E3">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6C1FC7E0">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23096232">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6B24AF85">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3A4DD869">
            <w:pPr>
              <w:rPr>
                <w:rFonts w:hint="eastAsia" w:ascii="宋体" w:hAnsi="宋体" w:eastAsia="宋体" w:cs="宋体"/>
                <w:i w:val="0"/>
                <w:color w:val="000000"/>
                <w:sz w:val="24"/>
                <w:szCs w:val="24"/>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5C97F197">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540049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7DF9C3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一般公共预算拨款</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532D87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基金预算拨款</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6F049C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财政专户核拨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7F3978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其他来源收入</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3504D063">
            <w:pPr>
              <w:rPr>
                <w:rFonts w:hint="eastAsia" w:ascii="宋体" w:hAnsi="宋体" w:eastAsia="宋体" w:cs="宋体"/>
                <w:i w:val="0"/>
                <w:color w:val="000000"/>
                <w:sz w:val="24"/>
                <w:szCs w:val="24"/>
                <w:u w:val="none"/>
              </w:rPr>
            </w:pPr>
          </w:p>
        </w:tc>
      </w:tr>
      <w:tr w14:paraId="2C06C36B">
        <w:tblPrEx>
          <w:shd w:val="clear" w:color="auto" w:fill="auto"/>
          <w:tblCellMar>
            <w:top w:w="0" w:type="dxa"/>
            <w:left w:w="0" w:type="dxa"/>
            <w:bottom w:w="0" w:type="dxa"/>
            <w:right w:w="0" w:type="dxa"/>
          </w:tblCellMar>
        </w:tblPrEx>
        <w:trPr>
          <w:trHeight w:val="72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31930F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    计</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216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C5B2243">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C781089">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6AB0FEB">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38DF701">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4D4929B">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E519E2B">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248353BA">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4B498D48">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497951AD">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7EBD84CA">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4B9474A3">
            <w:pPr>
              <w:rPr>
                <w:rFonts w:hint="eastAsia" w:ascii="宋体" w:hAnsi="宋体" w:eastAsia="宋体" w:cs="宋体"/>
                <w:i w:val="0"/>
                <w:color w:val="000000"/>
                <w:sz w:val="24"/>
                <w:szCs w:val="24"/>
                <w:u w:val="none"/>
              </w:rPr>
            </w:pPr>
          </w:p>
        </w:tc>
        <w:tc>
          <w:tcPr>
            <w:tcW w:w="852" w:type="dxa"/>
            <w:tcBorders>
              <w:top w:val="nil"/>
              <w:left w:val="single" w:color="000000" w:sz="4" w:space="0"/>
              <w:bottom w:val="single" w:color="000000" w:sz="4" w:space="0"/>
              <w:right w:val="single" w:color="000000" w:sz="4" w:space="0"/>
            </w:tcBorders>
            <w:shd w:val="clear" w:color="auto" w:fill="auto"/>
            <w:noWrap/>
            <w:tcMar>
              <w:top w:w="10" w:type="dxa"/>
              <w:left w:w="10" w:type="dxa"/>
              <w:right w:w="10" w:type="dxa"/>
            </w:tcMar>
            <w:textDirection w:val="tbRlV"/>
            <w:vAlign w:val="center"/>
          </w:tcPr>
          <w:p w14:paraId="37566884">
            <w:pPr>
              <w:rPr>
                <w:rFonts w:hint="eastAsia" w:ascii="宋体" w:hAnsi="宋体" w:eastAsia="宋体" w:cs="宋体"/>
                <w:i w:val="0"/>
                <w:color w:val="000000"/>
                <w:sz w:val="24"/>
                <w:szCs w:val="24"/>
                <w:u w:val="none"/>
              </w:rPr>
            </w:pPr>
          </w:p>
        </w:tc>
      </w:tr>
      <w:tr w14:paraId="315BB971">
        <w:tblPrEx>
          <w:shd w:val="clear" w:color="auto" w:fill="auto"/>
          <w:tblCellMar>
            <w:top w:w="0" w:type="dxa"/>
            <w:left w:w="0" w:type="dxa"/>
            <w:bottom w:w="0" w:type="dxa"/>
            <w:right w:w="0" w:type="dxa"/>
          </w:tblCellMar>
        </w:tblPrEx>
        <w:trPr>
          <w:trHeight w:val="660"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4F9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执法执勤车辆购置及运行费</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FE3415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BCAF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轿车</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6AA259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89B70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辆</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7453B4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9DC74B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E098A3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9A6B1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F1E7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0F7332A">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E5BE3A0">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92469BD">
            <w:pPr>
              <w:rPr>
                <w:rFonts w:hint="eastAsia" w:ascii="宋体" w:hAnsi="宋体" w:eastAsia="宋体" w:cs="宋体"/>
                <w:i w:val="0"/>
                <w:color w:val="000000"/>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1EC932E">
            <w:pPr>
              <w:rPr>
                <w:rFonts w:hint="eastAsia" w:ascii="宋体" w:hAnsi="宋体" w:eastAsia="宋体" w:cs="宋体"/>
                <w:i w:val="0"/>
                <w:color w:val="000000"/>
                <w:sz w:val="24"/>
                <w:szCs w:val="24"/>
                <w:u w:val="none"/>
              </w:rPr>
            </w:pPr>
          </w:p>
        </w:tc>
      </w:tr>
    </w:tbl>
    <w:p w14:paraId="562CAB99">
      <w:pPr>
        <w:ind w:firstLine="640"/>
        <w:rPr>
          <w:rFonts w:hint="eastAsia" w:ascii="仿宋_GB2312" w:hAnsi="黑体" w:eastAsia="仿宋_GB2312" w:cs="仿宋_GB2312"/>
          <w:sz w:val="32"/>
          <w:szCs w:val="32"/>
        </w:rPr>
      </w:pPr>
    </w:p>
    <w:p w14:paraId="2CE04355">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七、国有资产信息</w:t>
      </w:r>
    </w:p>
    <w:p w14:paraId="3B9BD952">
      <w:pPr>
        <w:ind w:firstLine="640"/>
        <w:rPr>
          <w:rFonts w:ascii="仿宋_GB2312" w:hAnsi="黑体" w:eastAsia="仿宋_GB2312" w:cs="Times New Roman"/>
          <w:sz w:val="32"/>
          <w:szCs w:val="32"/>
        </w:rPr>
      </w:pPr>
      <w:r>
        <w:rPr>
          <w:rFonts w:hint="eastAsia" w:ascii="仿宋_GB2312" w:hAnsi="黑体" w:eastAsia="仿宋_GB2312" w:cs="仿宋_GB2312"/>
          <w:sz w:val="32"/>
          <w:szCs w:val="32"/>
        </w:rPr>
        <w:t>中共馆陶县纪委（含所属单位）上年末固定资产金额为</w:t>
      </w:r>
      <w:r>
        <w:rPr>
          <w:rFonts w:hint="eastAsia" w:ascii="仿宋_GB2312" w:hAnsi="黑体" w:eastAsia="仿宋_GB2312" w:cs="仿宋_GB2312"/>
          <w:sz w:val="32"/>
          <w:szCs w:val="32"/>
          <w:lang w:val="en-US" w:eastAsia="zh-CN"/>
        </w:rPr>
        <w:t>54.86</w:t>
      </w:r>
      <w:r>
        <w:rPr>
          <w:rFonts w:hint="eastAsia" w:ascii="仿宋_GB2312" w:hAnsi="黑体" w:eastAsia="仿宋_GB2312" w:cs="仿宋_GB2312"/>
          <w:sz w:val="32"/>
          <w:szCs w:val="32"/>
        </w:rPr>
        <w:t>万元（</w:t>
      </w:r>
      <w:r>
        <w:rPr>
          <w:rFonts w:hint="eastAsia" w:ascii="Times New Roman" w:hAnsi="Times New Roman" w:eastAsia="方正仿宋_GBK" w:cs="方正仿宋_GBK"/>
          <w:sz w:val="32"/>
          <w:szCs w:val="32"/>
        </w:rPr>
        <w:t>详见下表），</w:t>
      </w:r>
      <w:r>
        <w:rPr>
          <w:rFonts w:hint="eastAsia" w:ascii="仿宋_GB2312" w:hAnsi="黑体" w:eastAsia="仿宋_GB2312" w:cs="仿宋_GB2312"/>
          <w:sz w:val="32"/>
          <w:szCs w:val="32"/>
        </w:rPr>
        <w:t>本年度</w:t>
      </w:r>
      <w:r>
        <w:rPr>
          <w:rFonts w:hint="eastAsia" w:ascii="仿宋_GB2312" w:hAnsi="黑体" w:eastAsia="仿宋_GB2312" w:cs="仿宋_GB2312"/>
          <w:sz w:val="32"/>
          <w:szCs w:val="32"/>
          <w:lang w:val="en-US" w:eastAsia="zh-CN"/>
        </w:rPr>
        <w:t>计划采购72万元</w:t>
      </w:r>
      <w:r>
        <w:rPr>
          <w:rFonts w:hint="eastAsia" w:ascii="仿宋_GB2312" w:hAnsi="黑体" w:eastAsia="仿宋_GB2312" w:cs="仿宋_GB2312"/>
          <w:sz w:val="32"/>
          <w:szCs w:val="32"/>
        </w:rPr>
        <w:t>。</w:t>
      </w:r>
    </w:p>
    <w:tbl>
      <w:tblPr>
        <w:tblStyle w:val="8"/>
        <w:tblW w:w="11295" w:type="dxa"/>
        <w:jc w:val="center"/>
        <w:tblLayout w:type="fixed"/>
        <w:tblCellMar>
          <w:top w:w="15" w:type="dxa"/>
          <w:left w:w="15" w:type="dxa"/>
          <w:bottom w:w="15" w:type="dxa"/>
          <w:right w:w="15" w:type="dxa"/>
        </w:tblCellMar>
      </w:tblPr>
      <w:tblGrid>
        <w:gridCol w:w="4191"/>
        <w:gridCol w:w="1103"/>
        <w:gridCol w:w="1344"/>
        <w:gridCol w:w="1635"/>
        <w:gridCol w:w="3022"/>
      </w:tblGrid>
      <w:tr w14:paraId="68BCFC53">
        <w:tblPrEx>
          <w:tblCellMar>
            <w:top w:w="15" w:type="dxa"/>
            <w:left w:w="15" w:type="dxa"/>
            <w:bottom w:w="15" w:type="dxa"/>
            <w:right w:w="15" w:type="dxa"/>
          </w:tblCellMar>
        </w:tblPrEx>
        <w:trPr>
          <w:trHeight w:val="540" w:hRule="atLeast"/>
          <w:jc w:val="center"/>
        </w:trPr>
        <w:tc>
          <w:tcPr>
            <w:tcW w:w="11295" w:type="dxa"/>
            <w:gridSpan w:val="5"/>
            <w:vAlign w:val="bottom"/>
          </w:tcPr>
          <w:p w14:paraId="2265E8D7">
            <w:pPr>
              <w:widowControl/>
              <w:jc w:val="center"/>
              <w:textAlignment w:val="bottom"/>
              <w:rPr>
                <w:rFonts w:ascii="宋体" w:cs="宋体"/>
                <w:b/>
                <w:color w:val="000000"/>
                <w:sz w:val="32"/>
                <w:szCs w:val="32"/>
              </w:rPr>
            </w:pPr>
            <w:r>
              <w:rPr>
                <w:rFonts w:hint="eastAsia" w:ascii="宋体" w:hAnsi="宋体" w:cs="宋体"/>
                <w:b/>
                <w:color w:val="000000"/>
                <w:kern w:val="0"/>
                <w:sz w:val="32"/>
                <w:szCs w:val="32"/>
              </w:rPr>
              <w:t>部门固定资产占用情况表</w:t>
            </w:r>
          </w:p>
        </w:tc>
      </w:tr>
      <w:tr w14:paraId="19FE678F">
        <w:tblPrEx>
          <w:tblCellMar>
            <w:top w:w="15" w:type="dxa"/>
            <w:left w:w="15" w:type="dxa"/>
            <w:bottom w:w="15" w:type="dxa"/>
            <w:right w:w="15" w:type="dxa"/>
          </w:tblCellMar>
        </w:tblPrEx>
        <w:trPr>
          <w:trHeight w:val="256" w:hRule="atLeast"/>
          <w:jc w:val="center"/>
        </w:trPr>
        <w:tc>
          <w:tcPr>
            <w:tcW w:w="4191" w:type="dxa"/>
            <w:vAlign w:val="bottom"/>
          </w:tcPr>
          <w:p w14:paraId="3E8896D2">
            <w:pPr>
              <w:rPr>
                <w:rFonts w:ascii="Arial" w:hAnsi="Arial" w:cs="Arial"/>
                <w:color w:val="000000"/>
                <w:sz w:val="20"/>
                <w:szCs w:val="20"/>
              </w:rPr>
            </w:pPr>
          </w:p>
        </w:tc>
        <w:tc>
          <w:tcPr>
            <w:tcW w:w="1103" w:type="dxa"/>
            <w:vAlign w:val="bottom"/>
          </w:tcPr>
          <w:p w14:paraId="3084EC2A">
            <w:pPr>
              <w:rPr>
                <w:rFonts w:ascii="Arial" w:hAnsi="Arial" w:cs="Arial"/>
                <w:color w:val="000000"/>
                <w:sz w:val="20"/>
                <w:szCs w:val="20"/>
              </w:rPr>
            </w:pPr>
          </w:p>
        </w:tc>
        <w:tc>
          <w:tcPr>
            <w:tcW w:w="1344" w:type="dxa"/>
            <w:vAlign w:val="bottom"/>
          </w:tcPr>
          <w:p w14:paraId="24233CF7">
            <w:pPr>
              <w:rPr>
                <w:rFonts w:ascii="Arial" w:hAnsi="Arial" w:cs="Arial"/>
                <w:color w:val="000000"/>
                <w:sz w:val="20"/>
                <w:szCs w:val="20"/>
              </w:rPr>
            </w:pPr>
          </w:p>
        </w:tc>
        <w:tc>
          <w:tcPr>
            <w:tcW w:w="1635" w:type="dxa"/>
            <w:vAlign w:val="bottom"/>
          </w:tcPr>
          <w:p w14:paraId="45437D7E">
            <w:pPr>
              <w:rPr>
                <w:rFonts w:ascii="Arial" w:hAnsi="Arial" w:cs="Arial"/>
                <w:color w:val="000000"/>
                <w:sz w:val="20"/>
                <w:szCs w:val="20"/>
              </w:rPr>
            </w:pPr>
          </w:p>
        </w:tc>
        <w:tc>
          <w:tcPr>
            <w:tcW w:w="3022" w:type="dxa"/>
            <w:vAlign w:val="bottom"/>
          </w:tcPr>
          <w:p w14:paraId="26E98331">
            <w:pPr>
              <w:rPr>
                <w:rFonts w:ascii="Arial" w:hAnsi="Arial" w:cs="Arial"/>
                <w:color w:val="000000"/>
                <w:sz w:val="20"/>
                <w:szCs w:val="20"/>
              </w:rPr>
            </w:pPr>
          </w:p>
        </w:tc>
      </w:tr>
      <w:tr w14:paraId="230CDD74">
        <w:tblPrEx>
          <w:tblCellMar>
            <w:top w:w="15" w:type="dxa"/>
            <w:left w:w="15" w:type="dxa"/>
            <w:bottom w:w="15" w:type="dxa"/>
            <w:right w:w="15" w:type="dxa"/>
          </w:tblCellMar>
        </w:tblPrEx>
        <w:trPr>
          <w:trHeight w:val="285" w:hRule="atLeast"/>
          <w:jc w:val="center"/>
        </w:trPr>
        <w:tc>
          <w:tcPr>
            <w:tcW w:w="4191" w:type="dxa"/>
            <w:tcBorders>
              <w:top w:val="single" w:color="000000" w:sz="4" w:space="0"/>
              <w:left w:val="single" w:color="000000" w:sz="4" w:space="0"/>
              <w:bottom w:val="single" w:color="000000" w:sz="4" w:space="0"/>
              <w:right w:val="single" w:color="000000" w:sz="4" w:space="0"/>
            </w:tcBorders>
            <w:vAlign w:val="bottom"/>
          </w:tcPr>
          <w:p w14:paraId="29F7EFAE">
            <w:pPr>
              <w:widowControl/>
              <w:jc w:val="left"/>
              <w:textAlignment w:val="bottom"/>
              <w:rPr>
                <w:rFonts w:ascii="宋体" w:cs="宋体"/>
                <w:color w:val="000000"/>
                <w:sz w:val="24"/>
                <w:szCs w:val="24"/>
              </w:rPr>
            </w:pPr>
            <w:r>
              <w:rPr>
                <w:rFonts w:hint="eastAsia" w:ascii="宋体" w:hAnsi="宋体" w:cs="宋体"/>
                <w:color w:val="000000"/>
                <w:kern w:val="0"/>
                <w:sz w:val="24"/>
                <w:szCs w:val="24"/>
              </w:rPr>
              <w:t>编制单位：馆陶县纪律检查委员会</w:t>
            </w:r>
          </w:p>
        </w:tc>
        <w:tc>
          <w:tcPr>
            <w:tcW w:w="1103" w:type="dxa"/>
            <w:tcBorders>
              <w:top w:val="single" w:color="000000" w:sz="4" w:space="0"/>
              <w:left w:val="single" w:color="000000" w:sz="4" w:space="0"/>
              <w:bottom w:val="single" w:color="000000" w:sz="4" w:space="0"/>
              <w:right w:val="single" w:color="000000" w:sz="4" w:space="0"/>
            </w:tcBorders>
            <w:vAlign w:val="bottom"/>
          </w:tcPr>
          <w:p w14:paraId="3767A0BD">
            <w:pPr>
              <w:rPr>
                <w:rFonts w:ascii="Arial" w:hAnsi="Arial" w:cs="Arial"/>
                <w:color w:val="000000"/>
                <w:sz w:val="20"/>
                <w:szCs w:val="20"/>
              </w:rPr>
            </w:pPr>
          </w:p>
        </w:tc>
        <w:tc>
          <w:tcPr>
            <w:tcW w:w="1344" w:type="dxa"/>
            <w:tcBorders>
              <w:top w:val="single" w:color="000000" w:sz="4" w:space="0"/>
              <w:left w:val="single" w:color="000000" w:sz="4" w:space="0"/>
              <w:bottom w:val="single" w:color="000000" w:sz="4" w:space="0"/>
              <w:right w:val="single" w:color="000000" w:sz="4" w:space="0"/>
            </w:tcBorders>
            <w:vAlign w:val="bottom"/>
          </w:tcPr>
          <w:p w14:paraId="70E7B3F9">
            <w:pPr>
              <w:rPr>
                <w:rFonts w:ascii="Arial" w:hAnsi="Arial" w:cs="Arial"/>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5A7B8621">
            <w:pPr>
              <w:widowControl/>
              <w:jc w:val="center"/>
              <w:textAlignment w:val="bottom"/>
              <w:rPr>
                <w:rFonts w:ascii="宋体" w:cs="宋体"/>
                <w:color w:val="000000"/>
                <w:sz w:val="24"/>
                <w:szCs w:val="24"/>
              </w:rPr>
            </w:pPr>
            <w:r>
              <w:rPr>
                <w:rFonts w:ascii="宋体" w:hAnsi="宋体" w:cs="宋体"/>
                <w:color w:val="000000"/>
                <w:kern w:val="0"/>
                <w:sz w:val="24"/>
                <w:szCs w:val="24"/>
              </w:rPr>
              <w:t>201</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年度</w:t>
            </w:r>
          </w:p>
        </w:tc>
        <w:tc>
          <w:tcPr>
            <w:tcW w:w="3022" w:type="dxa"/>
            <w:tcBorders>
              <w:top w:val="single" w:color="000000" w:sz="4" w:space="0"/>
              <w:left w:val="single" w:color="000000" w:sz="4" w:space="0"/>
              <w:bottom w:val="single" w:color="000000" w:sz="4" w:space="0"/>
              <w:right w:val="single" w:color="000000" w:sz="4" w:space="0"/>
            </w:tcBorders>
            <w:vAlign w:val="bottom"/>
          </w:tcPr>
          <w:p w14:paraId="117DA250">
            <w:pPr>
              <w:widowControl/>
              <w:jc w:val="right"/>
              <w:textAlignment w:val="bottom"/>
              <w:rPr>
                <w:rFonts w:ascii="宋体" w:cs="宋体"/>
                <w:color w:val="000000"/>
                <w:sz w:val="24"/>
                <w:szCs w:val="24"/>
              </w:rPr>
            </w:pPr>
            <w:r>
              <w:rPr>
                <w:rFonts w:hint="eastAsia" w:ascii="宋体" w:hAnsi="宋体" w:cs="宋体"/>
                <w:color w:val="000000"/>
                <w:kern w:val="0"/>
                <w:sz w:val="24"/>
                <w:szCs w:val="24"/>
              </w:rPr>
              <w:t>金额单位：元</w:t>
            </w:r>
          </w:p>
        </w:tc>
      </w:tr>
      <w:tr w14:paraId="11051255">
        <w:tblPrEx>
          <w:tblCellMar>
            <w:top w:w="15" w:type="dxa"/>
            <w:left w:w="15" w:type="dxa"/>
            <w:bottom w:w="15" w:type="dxa"/>
            <w:right w:w="15" w:type="dxa"/>
          </w:tblCellMar>
        </w:tblPrEx>
        <w:trPr>
          <w:trHeight w:val="390" w:hRule="atLeast"/>
          <w:jc w:val="center"/>
        </w:trPr>
        <w:tc>
          <w:tcPr>
            <w:tcW w:w="4191" w:type="dxa"/>
            <w:vMerge w:val="restart"/>
            <w:tcBorders>
              <w:top w:val="single" w:color="000000" w:sz="4" w:space="0"/>
              <w:left w:val="single" w:color="000000" w:sz="4" w:space="0"/>
              <w:bottom w:val="single" w:color="000000" w:sz="4" w:space="0"/>
              <w:right w:val="single" w:color="000000" w:sz="4" w:space="0"/>
            </w:tcBorders>
            <w:vAlign w:val="center"/>
          </w:tcPr>
          <w:p w14:paraId="60226E62">
            <w:pPr>
              <w:widowControl/>
              <w:jc w:val="center"/>
              <w:textAlignment w:val="center"/>
              <w:rPr>
                <w:rFonts w:ascii="宋体" w:cs="宋体"/>
                <w:color w:val="000000"/>
                <w:sz w:val="22"/>
              </w:rPr>
            </w:pPr>
            <w:r>
              <w:rPr>
                <w:rFonts w:hint="eastAsia" w:ascii="宋体" w:hAnsi="宋体" w:cs="宋体"/>
                <w:color w:val="000000"/>
                <w:kern w:val="0"/>
                <w:sz w:val="22"/>
              </w:rPr>
              <w:t>项　　目</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5237B37C">
            <w:pPr>
              <w:widowControl/>
              <w:jc w:val="center"/>
              <w:textAlignment w:val="center"/>
              <w:rPr>
                <w:rFonts w:ascii="宋体" w:cs="宋体"/>
                <w:color w:val="000000"/>
                <w:sz w:val="22"/>
              </w:rPr>
            </w:pPr>
            <w:r>
              <w:rPr>
                <w:rFonts w:hint="eastAsia" w:ascii="宋体" w:hAnsi="宋体" w:cs="宋体"/>
                <w:color w:val="000000"/>
                <w:kern w:val="0"/>
                <w:sz w:val="22"/>
              </w:rPr>
              <w:t>数量</w:t>
            </w:r>
          </w:p>
        </w:tc>
        <w:tc>
          <w:tcPr>
            <w:tcW w:w="4657" w:type="dxa"/>
            <w:gridSpan w:val="2"/>
            <w:tcBorders>
              <w:top w:val="single" w:color="000000" w:sz="4" w:space="0"/>
              <w:left w:val="single" w:color="000000" w:sz="4" w:space="0"/>
              <w:bottom w:val="single" w:color="000000" w:sz="4" w:space="0"/>
              <w:right w:val="single" w:color="000000" w:sz="4" w:space="0"/>
            </w:tcBorders>
            <w:vAlign w:val="center"/>
          </w:tcPr>
          <w:p w14:paraId="5CA14C55">
            <w:pPr>
              <w:widowControl/>
              <w:jc w:val="center"/>
              <w:textAlignment w:val="center"/>
              <w:rPr>
                <w:rFonts w:ascii="宋体" w:cs="宋体"/>
                <w:color w:val="000000"/>
                <w:sz w:val="22"/>
              </w:rPr>
            </w:pPr>
            <w:r>
              <w:rPr>
                <w:rFonts w:hint="eastAsia" w:ascii="宋体" w:hAnsi="宋体" w:cs="宋体"/>
                <w:color w:val="000000"/>
                <w:kern w:val="0"/>
                <w:sz w:val="22"/>
              </w:rPr>
              <w:t>价值</w:t>
            </w:r>
          </w:p>
        </w:tc>
      </w:tr>
      <w:tr w14:paraId="18F8FB9B">
        <w:tblPrEx>
          <w:tblCellMar>
            <w:top w:w="15" w:type="dxa"/>
            <w:left w:w="15" w:type="dxa"/>
            <w:bottom w:w="15" w:type="dxa"/>
            <w:right w:w="15" w:type="dxa"/>
          </w:tblCellMar>
        </w:tblPrEx>
        <w:trPr>
          <w:trHeight w:val="300" w:hRule="atLeast"/>
          <w:jc w:val="center"/>
        </w:trPr>
        <w:tc>
          <w:tcPr>
            <w:tcW w:w="4191" w:type="dxa"/>
            <w:vMerge w:val="continue"/>
            <w:tcBorders>
              <w:top w:val="single" w:color="000000" w:sz="4" w:space="0"/>
              <w:left w:val="single" w:color="000000" w:sz="4" w:space="0"/>
              <w:bottom w:val="single" w:color="000000" w:sz="4" w:space="0"/>
              <w:right w:val="single" w:color="000000" w:sz="4" w:space="0"/>
            </w:tcBorders>
            <w:vAlign w:val="center"/>
          </w:tcPr>
          <w:p w14:paraId="6BF35772">
            <w:pPr>
              <w:jc w:val="center"/>
              <w:rPr>
                <w:rFonts w:ascii="宋体" w:cs="宋体"/>
                <w:color w:val="000000"/>
                <w:sz w:val="22"/>
              </w:rPr>
            </w:pPr>
          </w:p>
        </w:tc>
        <w:tc>
          <w:tcPr>
            <w:tcW w:w="1103" w:type="dxa"/>
            <w:tcBorders>
              <w:top w:val="single" w:color="000000" w:sz="4" w:space="0"/>
              <w:left w:val="single" w:color="000000" w:sz="4" w:space="0"/>
              <w:bottom w:val="single" w:color="000000" w:sz="4" w:space="0"/>
              <w:right w:val="single" w:color="000000" w:sz="4" w:space="0"/>
            </w:tcBorders>
            <w:vAlign w:val="center"/>
          </w:tcPr>
          <w:p w14:paraId="1000C5F7">
            <w:pPr>
              <w:widowControl/>
              <w:jc w:val="center"/>
              <w:textAlignment w:val="center"/>
              <w:rPr>
                <w:rFonts w:ascii="宋体" w:cs="宋体"/>
                <w:color w:val="000000"/>
                <w:sz w:val="22"/>
              </w:rPr>
            </w:pPr>
            <w:r>
              <w:rPr>
                <w:rFonts w:hint="eastAsia" w:ascii="宋体" w:hAnsi="宋体" w:cs="宋体"/>
                <w:color w:val="000000"/>
                <w:kern w:val="0"/>
                <w:sz w:val="22"/>
              </w:rPr>
              <w:t>年初数</w:t>
            </w:r>
          </w:p>
        </w:tc>
        <w:tc>
          <w:tcPr>
            <w:tcW w:w="1344" w:type="dxa"/>
            <w:tcBorders>
              <w:top w:val="single" w:color="000000" w:sz="4" w:space="0"/>
              <w:left w:val="single" w:color="000000" w:sz="4" w:space="0"/>
              <w:bottom w:val="single" w:color="000000" w:sz="4" w:space="0"/>
              <w:right w:val="single" w:color="000000" w:sz="4" w:space="0"/>
            </w:tcBorders>
            <w:vAlign w:val="center"/>
          </w:tcPr>
          <w:p w14:paraId="7F9CA453">
            <w:pPr>
              <w:widowControl/>
              <w:jc w:val="center"/>
              <w:textAlignment w:val="center"/>
              <w:rPr>
                <w:rFonts w:ascii="宋体" w:cs="宋体"/>
                <w:color w:val="000000"/>
                <w:sz w:val="22"/>
              </w:rPr>
            </w:pPr>
            <w:r>
              <w:rPr>
                <w:rFonts w:hint="eastAsia" w:ascii="宋体" w:hAnsi="宋体" w:cs="宋体"/>
                <w:color w:val="000000"/>
                <w:kern w:val="0"/>
                <w:sz w:val="22"/>
              </w:rPr>
              <w:t>年末数</w:t>
            </w:r>
          </w:p>
        </w:tc>
        <w:tc>
          <w:tcPr>
            <w:tcW w:w="1635" w:type="dxa"/>
            <w:tcBorders>
              <w:top w:val="single" w:color="000000" w:sz="4" w:space="0"/>
              <w:left w:val="single" w:color="000000" w:sz="4" w:space="0"/>
              <w:bottom w:val="single" w:color="000000" w:sz="4" w:space="0"/>
              <w:right w:val="single" w:color="000000" w:sz="4" w:space="0"/>
            </w:tcBorders>
            <w:vAlign w:val="center"/>
          </w:tcPr>
          <w:p w14:paraId="71631208">
            <w:pPr>
              <w:widowControl/>
              <w:jc w:val="center"/>
              <w:textAlignment w:val="center"/>
              <w:rPr>
                <w:rFonts w:ascii="宋体" w:cs="宋体"/>
                <w:color w:val="000000"/>
                <w:sz w:val="22"/>
              </w:rPr>
            </w:pPr>
            <w:r>
              <w:rPr>
                <w:rFonts w:hint="eastAsia" w:ascii="宋体" w:hAnsi="宋体" w:cs="宋体"/>
                <w:color w:val="000000"/>
                <w:kern w:val="0"/>
                <w:sz w:val="22"/>
              </w:rPr>
              <w:t>年初数</w:t>
            </w:r>
          </w:p>
        </w:tc>
        <w:tc>
          <w:tcPr>
            <w:tcW w:w="3022" w:type="dxa"/>
            <w:tcBorders>
              <w:top w:val="single" w:color="000000" w:sz="4" w:space="0"/>
              <w:left w:val="single" w:color="000000" w:sz="4" w:space="0"/>
              <w:bottom w:val="single" w:color="000000" w:sz="4" w:space="0"/>
              <w:right w:val="single" w:color="000000" w:sz="4" w:space="0"/>
            </w:tcBorders>
            <w:vAlign w:val="center"/>
          </w:tcPr>
          <w:p w14:paraId="227200CF">
            <w:pPr>
              <w:widowControl/>
              <w:jc w:val="center"/>
              <w:textAlignment w:val="center"/>
              <w:rPr>
                <w:rFonts w:ascii="宋体" w:cs="宋体"/>
                <w:color w:val="000000"/>
                <w:sz w:val="22"/>
              </w:rPr>
            </w:pPr>
            <w:r>
              <w:rPr>
                <w:rFonts w:hint="eastAsia" w:ascii="宋体" w:hAnsi="宋体" w:cs="宋体"/>
                <w:color w:val="000000"/>
                <w:kern w:val="0"/>
                <w:sz w:val="22"/>
              </w:rPr>
              <w:t>年末数</w:t>
            </w:r>
          </w:p>
        </w:tc>
      </w:tr>
      <w:tr w14:paraId="5804A2D4">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7BC9BFC0">
            <w:pPr>
              <w:widowControl/>
              <w:jc w:val="center"/>
              <w:textAlignment w:val="center"/>
              <w:rPr>
                <w:rFonts w:ascii="宋体" w:cs="宋体"/>
                <w:color w:val="000000"/>
                <w:sz w:val="22"/>
              </w:rPr>
            </w:pPr>
            <w:r>
              <w:rPr>
                <w:rFonts w:hint="eastAsia" w:ascii="宋体" w:hAnsi="宋体" w:cs="宋体"/>
                <w:color w:val="000000"/>
                <w:kern w:val="0"/>
                <w:sz w:val="22"/>
              </w:rPr>
              <w:t>资产总额</w:t>
            </w:r>
          </w:p>
        </w:tc>
        <w:tc>
          <w:tcPr>
            <w:tcW w:w="1103" w:type="dxa"/>
            <w:tcBorders>
              <w:top w:val="single" w:color="000000" w:sz="4" w:space="0"/>
              <w:left w:val="single" w:color="000000" w:sz="4" w:space="0"/>
              <w:bottom w:val="single" w:color="000000" w:sz="4" w:space="0"/>
              <w:right w:val="single" w:color="000000" w:sz="4" w:space="0"/>
            </w:tcBorders>
            <w:vAlign w:val="center"/>
          </w:tcPr>
          <w:p w14:paraId="3B4ECD3C">
            <w:pPr>
              <w:widowControl/>
              <w:jc w:val="center"/>
              <w:textAlignment w:val="center"/>
              <w:rPr>
                <w:rFonts w:ascii="宋体" w:cs="宋体"/>
                <w:color w:val="000000"/>
                <w:sz w:val="22"/>
              </w:rPr>
            </w:pPr>
            <w:r>
              <w:rPr>
                <w:rFonts w:ascii="宋体" w:hAnsi="宋体" w:cs="宋体"/>
                <w:color w:val="000000"/>
                <w:kern w:val="0"/>
                <w:sz w:val="22"/>
              </w:rPr>
              <w:t>—</w:t>
            </w:r>
          </w:p>
        </w:tc>
        <w:tc>
          <w:tcPr>
            <w:tcW w:w="1344" w:type="dxa"/>
            <w:tcBorders>
              <w:top w:val="single" w:color="000000" w:sz="4" w:space="0"/>
              <w:left w:val="single" w:color="000000" w:sz="4" w:space="0"/>
              <w:bottom w:val="single" w:color="000000" w:sz="4" w:space="0"/>
              <w:right w:val="single" w:color="000000" w:sz="4" w:space="0"/>
            </w:tcBorders>
            <w:vAlign w:val="center"/>
          </w:tcPr>
          <w:p w14:paraId="031C8FBF">
            <w:pPr>
              <w:widowControl/>
              <w:jc w:val="center"/>
              <w:textAlignment w:val="center"/>
              <w:rPr>
                <w:rFonts w:ascii="宋体" w:cs="宋体"/>
                <w:color w:val="000000"/>
                <w:sz w:val="22"/>
              </w:rPr>
            </w:pPr>
            <w:r>
              <w:rPr>
                <w:rFonts w:ascii="宋体" w:hAnsi="宋体" w:cs="宋体"/>
                <w:color w:val="000000"/>
                <w:kern w:val="0"/>
                <w:sz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61AA772C">
            <w:pPr>
              <w:widowControl/>
              <w:jc w:val="right"/>
              <w:textAlignment w:val="center"/>
              <w:rPr>
                <w:rFonts w:ascii="宋体" w:cs="宋体"/>
                <w:color w:val="000000"/>
                <w:sz w:val="22"/>
              </w:rPr>
            </w:pPr>
            <w:r>
              <w:rPr>
                <w:rFonts w:hint="eastAsia" w:ascii="宋体" w:hAnsi="宋体" w:cs="宋体"/>
                <w:color w:val="000000"/>
                <w:kern w:val="0"/>
                <w:sz w:val="22"/>
                <w:szCs w:val="22"/>
                <w:lang w:val="en-US" w:eastAsia="zh-CN"/>
              </w:rPr>
              <w:t>548597</w:t>
            </w:r>
            <w:r>
              <w:rPr>
                <w:rFonts w:hint="eastAsia" w:ascii="宋体" w:hAnsi="宋体" w:cs="宋体"/>
                <w:color w:val="000000"/>
                <w:kern w:val="0"/>
                <w:sz w:val="22"/>
                <w:szCs w:val="22"/>
              </w:rPr>
              <w:t>.00</w:t>
            </w:r>
          </w:p>
        </w:tc>
        <w:tc>
          <w:tcPr>
            <w:tcW w:w="3022" w:type="dxa"/>
            <w:tcBorders>
              <w:top w:val="single" w:color="000000" w:sz="4" w:space="0"/>
              <w:left w:val="single" w:color="000000" w:sz="4" w:space="0"/>
              <w:bottom w:val="single" w:color="000000" w:sz="4" w:space="0"/>
              <w:right w:val="single" w:color="000000" w:sz="4" w:space="0"/>
            </w:tcBorders>
            <w:vAlign w:val="center"/>
          </w:tcPr>
          <w:p w14:paraId="1C3A7F89">
            <w:pPr>
              <w:widowControl/>
              <w:jc w:val="right"/>
              <w:textAlignment w:val="center"/>
              <w:rPr>
                <w:rFonts w:ascii="宋体" w:cs="宋体"/>
                <w:color w:val="000000"/>
                <w:sz w:val="22"/>
              </w:rPr>
            </w:pPr>
            <w:r>
              <w:rPr>
                <w:rFonts w:hint="eastAsia" w:ascii="宋体" w:hAnsi="宋体" w:cs="宋体"/>
                <w:color w:val="000000"/>
                <w:kern w:val="0"/>
                <w:sz w:val="22"/>
                <w:szCs w:val="22"/>
              </w:rPr>
              <w:t>753710.00</w:t>
            </w:r>
          </w:p>
        </w:tc>
      </w:tr>
      <w:tr w14:paraId="45F612C6">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3C76AB31">
            <w:pPr>
              <w:widowControl/>
              <w:jc w:val="left"/>
              <w:textAlignment w:val="center"/>
              <w:rPr>
                <w:rFonts w:ascii="宋体" w:cs="宋体"/>
                <w:color w:val="000000"/>
                <w:sz w:val="22"/>
              </w:rPr>
            </w:pPr>
            <w:r>
              <w:rPr>
                <w:rFonts w:ascii="宋体" w:hAnsi="宋体" w:cs="宋体"/>
                <w:color w:val="000000"/>
                <w:kern w:val="0"/>
                <w:sz w:val="22"/>
              </w:rPr>
              <w:t xml:space="preserve">  1</w:t>
            </w:r>
            <w:r>
              <w:rPr>
                <w:rFonts w:hint="eastAsia" w:ascii="宋体" w:hAnsi="宋体" w:cs="宋体"/>
                <w:color w:val="000000"/>
                <w:kern w:val="0"/>
                <w:sz w:val="22"/>
              </w:rPr>
              <w:t>、房屋（平方米）</w:t>
            </w:r>
          </w:p>
        </w:tc>
        <w:tc>
          <w:tcPr>
            <w:tcW w:w="1103" w:type="dxa"/>
            <w:tcBorders>
              <w:top w:val="single" w:color="000000" w:sz="4" w:space="0"/>
              <w:left w:val="single" w:color="000000" w:sz="4" w:space="0"/>
              <w:bottom w:val="single" w:color="000000" w:sz="4" w:space="0"/>
              <w:right w:val="single" w:color="000000" w:sz="4" w:space="0"/>
            </w:tcBorders>
            <w:vAlign w:val="center"/>
          </w:tcPr>
          <w:p w14:paraId="4EA860DD">
            <w:pPr>
              <w:widowControl/>
              <w:jc w:val="right"/>
              <w:textAlignment w:val="center"/>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52329656">
            <w:pPr>
              <w:widowControl/>
              <w:jc w:val="right"/>
              <w:textAlignment w:val="center"/>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4B4C6235">
            <w:pPr>
              <w:widowControl/>
              <w:jc w:val="right"/>
              <w:textAlignment w:val="center"/>
              <w:rPr>
                <w:rFonts w:ascii="宋体" w:cs="宋体"/>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0FDE5C69">
            <w:pPr>
              <w:widowControl/>
              <w:jc w:val="right"/>
              <w:textAlignment w:val="center"/>
              <w:rPr>
                <w:rFonts w:ascii="宋体" w:cs="宋体"/>
                <w:color w:val="000000"/>
                <w:sz w:val="22"/>
              </w:rPr>
            </w:pPr>
          </w:p>
        </w:tc>
      </w:tr>
      <w:tr w14:paraId="7335E848">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5E8DB0B7">
            <w:pPr>
              <w:widowControl/>
              <w:jc w:val="left"/>
              <w:textAlignment w:val="center"/>
              <w:rPr>
                <w:rFonts w:ascii="宋体" w:cs="宋体"/>
                <w:color w:val="000000"/>
                <w:sz w:val="22"/>
              </w:rPr>
            </w:pPr>
            <w:r>
              <w:rPr>
                <w:rFonts w:ascii="宋体" w:hAnsi="宋体" w:cs="宋体"/>
                <w:color w:val="000000"/>
                <w:kern w:val="0"/>
                <w:sz w:val="22"/>
              </w:rPr>
              <w:t xml:space="preserve">        1.</w:t>
            </w:r>
            <w:r>
              <w:rPr>
                <w:rFonts w:hint="eastAsia" w:ascii="宋体" w:hAnsi="宋体" w:cs="宋体"/>
                <w:color w:val="000000"/>
                <w:kern w:val="0"/>
                <w:sz w:val="22"/>
              </w:rPr>
              <w:t>办公用房</w:t>
            </w:r>
          </w:p>
        </w:tc>
        <w:tc>
          <w:tcPr>
            <w:tcW w:w="1103" w:type="dxa"/>
            <w:tcBorders>
              <w:top w:val="single" w:color="000000" w:sz="4" w:space="0"/>
              <w:left w:val="single" w:color="000000" w:sz="4" w:space="0"/>
              <w:bottom w:val="single" w:color="000000" w:sz="4" w:space="0"/>
              <w:right w:val="single" w:color="000000" w:sz="4" w:space="0"/>
            </w:tcBorders>
            <w:vAlign w:val="center"/>
          </w:tcPr>
          <w:p w14:paraId="17DE10B7">
            <w:pPr>
              <w:widowControl/>
              <w:jc w:val="right"/>
              <w:textAlignment w:val="center"/>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34668F26">
            <w:pPr>
              <w:widowControl/>
              <w:jc w:val="right"/>
              <w:textAlignment w:val="center"/>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722D137B">
            <w:pPr>
              <w:widowControl/>
              <w:jc w:val="right"/>
              <w:textAlignment w:val="center"/>
              <w:rPr>
                <w:rFonts w:ascii="宋体" w:cs="宋体"/>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1DE6F5BF">
            <w:pPr>
              <w:widowControl/>
              <w:textAlignment w:val="center"/>
              <w:rPr>
                <w:rFonts w:ascii="宋体" w:cs="宋体"/>
                <w:color w:val="000000"/>
                <w:sz w:val="22"/>
              </w:rPr>
            </w:pPr>
          </w:p>
        </w:tc>
      </w:tr>
      <w:tr w14:paraId="15A6DBA5">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67AB1B6D">
            <w:pPr>
              <w:widowControl/>
              <w:jc w:val="left"/>
              <w:textAlignment w:val="center"/>
              <w:rPr>
                <w:rFonts w:ascii="宋体" w:cs="宋体"/>
                <w:color w:val="000000"/>
                <w:sz w:val="22"/>
              </w:rPr>
            </w:pPr>
            <w:r>
              <w:rPr>
                <w:rFonts w:hint="eastAsia" w:ascii="宋体" w:hAnsi="宋体" w:cs="宋体"/>
                <w:color w:val="000000"/>
                <w:kern w:val="0"/>
                <w:sz w:val="22"/>
              </w:rPr>
              <w:t>　　</w:t>
            </w:r>
            <w:r>
              <w:rPr>
                <w:rFonts w:ascii="宋体" w:hAnsi="宋体" w:cs="宋体"/>
                <w:color w:val="000000"/>
                <w:kern w:val="0"/>
                <w:sz w:val="22"/>
              </w:rPr>
              <w:t xml:space="preserve">    2.</w:t>
            </w:r>
            <w:r>
              <w:rPr>
                <w:rFonts w:hint="eastAsia" w:ascii="宋体" w:hAnsi="宋体" w:cs="宋体"/>
                <w:color w:val="000000"/>
                <w:kern w:val="0"/>
                <w:sz w:val="22"/>
              </w:rPr>
              <w:t>业务用房</w:t>
            </w:r>
          </w:p>
        </w:tc>
        <w:tc>
          <w:tcPr>
            <w:tcW w:w="1103" w:type="dxa"/>
            <w:tcBorders>
              <w:top w:val="single" w:color="000000" w:sz="4" w:space="0"/>
              <w:left w:val="single" w:color="000000" w:sz="4" w:space="0"/>
              <w:bottom w:val="single" w:color="000000" w:sz="4" w:space="0"/>
              <w:right w:val="single" w:color="000000" w:sz="4" w:space="0"/>
            </w:tcBorders>
            <w:vAlign w:val="center"/>
          </w:tcPr>
          <w:p w14:paraId="2E8B7DAD">
            <w:pPr>
              <w:jc w:val="right"/>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4A5919B0">
            <w:pPr>
              <w:jc w:val="right"/>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200AF3C7">
            <w:pPr>
              <w:jc w:val="right"/>
              <w:rPr>
                <w:rFonts w:ascii="宋体" w:cs="宋体"/>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57BAA3E8">
            <w:pPr>
              <w:jc w:val="right"/>
              <w:rPr>
                <w:rFonts w:ascii="宋体" w:cs="宋体"/>
                <w:color w:val="000000"/>
                <w:sz w:val="22"/>
              </w:rPr>
            </w:pPr>
          </w:p>
        </w:tc>
      </w:tr>
      <w:tr w14:paraId="71578346">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048977F2">
            <w:pPr>
              <w:widowControl/>
              <w:jc w:val="left"/>
              <w:textAlignment w:val="center"/>
              <w:rPr>
                <w:rFonts w:ascii="宋体" w:cs="宋体"/>
                <w:color w:val="000000"/>
                <w:sz w:val="22"/>
              </w:rPr>
            </w:pPr>
            <w:r>
              <w:rPr>
                <w:rFonts w:hint="eastAsia" w:ascii="宋体" w:hAnsi="宋体" w:cs="宋体"/>
                <w:color w:val="000000"/>
                <w:kern w:val="0"/>
                <w:sz w:val="22"/>
              </w:rPr>
              <w:t>　　</w:t>
            </w:r>
            <w:r>
              <w:rPr>
                <w:rFonts w:ascii="宋体" w:hAnsi="宋体" w:cs="宋体"/>
                <w:color w:val="000000"/>
                <w:kern w:val="0"/>
                <w:sz w:val="22"/>
              </w:rPr>
              <w:t xml:space="preserve">   3.</w:t>
            </w:r>
            <w:r>
              <w:rPr>
                <w:rFonts w:hint="eastAsia" w:ascii="宋体" w:hAnsi="宋体" w:cs="宋体"/>
                <w:color w:val="000000"/>
                <w:kern w:val="0"/>
                <w:sz w:val="22"/>
              </w:rPr>
              <w:t>其他（不含构筑物）</w:t>
            </w:r>
          </w:p>
        </w:tc>
        <w:tc>
          <w:tcPr>
            <w:tcW w:w="1103" w:type="dxa"/>
            <w:tcBorders>
              <w:top w:val="single" w:color="000000" w:sz="4" w:space="0"/>
              <w:left w:val="single" w:color="000000" w:sz="4" w:space="0"/>
              <w:bottom w:val="single" w:color="000000" w:sz="4" w:space="0"/>
              <w:right w:val="single" w:color="000000" w:sz="4" w:space="0"/>
            </w:tcBorders>
            <w:vAlign w:val="center"/>
          </w:tcPr>
          <w:p w14:paraId="0B94A1E6">
            <w:pPr>
              <w:jc w:val="right"/>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4FDB0C91">
            <w:pPr>
              <w:jc w:val="right"/>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F39E978">
            <w:pPr>
              <w:jc w:val="right"/>
              <w:rPr>
                <w:rFonts w:ascii="宋体" w:cs="宋体"/>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5924CBAD">
            <w:pPr>
              <w:jc w:val="right"/>
              <w:rPr>
                <w:rFonts w:ascii="宋体" w:cs="宋体"/>
                <w:color w:val="000000"/>
                <w:sz w:val="22"/>
              </w:rPr>
            </w:pPr>
          </w:p>
        </w:tc>
      </w:tr>
      <w:tr w14:paraId="37BACAB5">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4EABD321">
            <w:pPr>
              <w:widowControl/>
              <w:jc w:val="left"/>
              <w:textAlignment w:val="center"/>
              <w:rPr>
                <w:rFonts w:ascii="宋体" w:cs="宋体"/>
                <w:color w:val="000000"/>
                <w:sz w:val="22"/>
              </w:rPr>
            </w:pPr>
            <w:r>
              <w:rPr>
                <w:rFonts w:ascii="宋体" w:hAnsi="宋体" w:cs="宋体"/>
                <w:color w:val="000000"/>
                <w:kern w:val="0"/>
                <w:sz w:val="22"/>
              </w:rPr>
              <w:t xml:space="preserve">  2</w:t>
            </w:r>
            <w:r>
              <w:rPr>
                <w:rFonts w:hint="eastAsia" w:ascii="宋体" w:hAnsi="宋体" w:cs="宋体"/>
                <w:color w:val="000000"/>
                <w:kern w:val="0"/>
                <w:sz w:val="22"/>
              </w:rPr>
              <w:t>、车辆（台、辆）</w:t>
            </w:r>
          </w:p>
        </w:tc>
        <w:tc>
          <w:tcPr>
            <w:tcW w:w="1103" w:type="dxa"/>
            <w:tcBorders>
              <w:top w:val="single" w:color="000000" w:sz="4" w:space="0"/>
              <w:left w:val="single" w:color="000000" w:sz="4" w:space="0"/>
              <w:bottom w:val="single" w:color="000000" w:sz="4" w:space="0"/>
              <w:right w:val="single" w:color="000000" w:sz="4" w:space="0"/>
            </w:tcBorders>
            <w:vAlign w:val="center"/>
          </w:tcPr>
          <w:p w14:paraId="1C516E68">
            <w:pPr>
              <w:jc w:val="right"/>
              <w:rPr>
                <w:rFonts w:ascii="宋体" w:cs="宋体"/>
                <w:color w:val="000000"/>
                <w:sz w:val="22"/>
              </w:rPr>
            </w:pPr>
            <w:r>
              <w:rPr>
                <w:rFonts w:hint="eastAsia" w:ascii="宋体" w:cs="宋体"/>
                <w:color w:val="000000"/>
                <w:sz w:val="22"/>
              </w:rPr>
              <w:t>1</w:t>
            </w:r>
          </w:p>
        </w:tc>
        <w:tc>
          <w:tcPr>
            <w:tcW w:w="1344" w:type="dxa"/>
            <w:tcBorders>
              <w:top w:val="single" w:color="000000" w:sz="4" w:space="0"/>
              <w:left w:val="single" w:color="000000" w:sz="4" w:space="0"/>
              <w:bottom w:val="single" w:color="000000" w:sz="4" w:space="0"/>
              <w:right w:val="single" w:color="000000" w:sz="4" w:space="0"/>
            </w:tcBorders>
            <w:vAlign w:val="center"/>
          </w:tcPr>
          <w:p w14:paraId="01A0C70F">
            <w:pPr>
              <w:jc w:val="right"/>
              <w:rPr>
                <w:rFonts w:ascii="宋体" w:cs="宋体"/>
                <w:color w:val="000000"/>
                <w:sz w:val="22"/>
              </w:rPr>
            </w:pPr>
            <w:r>
              <w:rPr>
                <w:rFonts w:hint="eastAsia" w:ascii="宋体" w:cs="宋体"/>
                <w:color w:val="000000"/>
                <w:sz w:val="22"/>
              </w:rPr>
              <w:t>1</w:t>
            </w:r>
          </w:p>
        </w:tc>
        <w:tc>
          <w:tcPr>
            <w:tcW w:w="1635" w:type="dxa"/>
            <w:tcBorders>
              <w:top w:val="single" w:color="000000" w:sz="4" w:space="0"/>
              <w:left w:val="single" w:color="000000" w:sz="4" w:space="0"/>
              <w:bottom w:val="single" w:color="000000" w:sz="4" w:space="0"/>
              <w:right w:val="single" w:color="000000" w:sz="4" w:space="0"/>
            </w:tcBorders>
            <w:vAlign w:val="center"/>
          </w:tcPr>
          <w:p w14:paraId="180C8320">
            <w:pPr>
              <w:widowControl/>
              <w:jc w:val="right"/>
              <w:textAlignment w:val="center"/>
              <w:rPr>
                <w:rFonts w:ascii="宋体" w:cs="宋体"/>
                <w:color w:val="000000"/>
                <w:sz w:val="22"/>
              </w:rPr>
            </w:pPr>
            <w:r>
              <w:rPr>
                <w:rFonts w:hint="eastAsia" w:ascii="宋体" w:hAnsi="宋体" w:cs="宋体"/>
                <w:color w:val="000000"/>
                <w:kern w:val="0"/>
                <w:sz w:val="22"/>
                <w:szCs w:val="22"/>
              </w:rPr>
              <w:t>208000.00</w:t>
            </w:r>
          </w:p>
        </w:tc>
        <w:tc>
          <w:tcPr>
            <w:tcW w:w="3022" w:type="dxa"/>
            <w:tcBorders>
              <w:top w:val="single" w:color="000000" w:sz="4" w:space="0"/>
              <w:left w:val="single" w:color="000000" w:sz="4" w:space="0"/>
              <w:bottom w:val="single" w:color="000000" w:sz="4" w:space="0"/>
              <w:right w:val="single" w:color="000000" w:sz="4" w:space="0"/>
            </w:tcBorders>
            <w:vAlign w:val="center"/>
          </w:tcPr>
          <w:p w14:paraId="1F07FDB6">
            <w:pPr>
              <w:widowControl/>
              <w:jc w:val="right"/>
              <w:textAlignment w:val="center"/>
              <w:rPr>
                <w:rFonts w:ascii="宋体" w:cs="宋体"/>
                <w:color w:val="000000"/>
                <w:sz w:val="22"/>
              </w:rPr>
            </w:pPr>
            <w:r>
              <w:rPr>
                <w:rFonts w:hint="eastAsia" w:ascii="宋体" w:hAnsi="宋体" w:cs="宋体"/>
                <w:color w:val="000000"/>
                <w:kern w:val="0"/>
                <w:sz w:val="22"/>
                <w:szCs w:val="22"/>
              </w:rPr>
              <w:t>208000.00</w:t>
            </w:r>
          </w:p>
        </w:tc>
      </w:tr>
      <w:tr w14:paraId="36D1D507">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500143B8">
            <w:pPr>
              <w:widowControl/>
              <w:jc w:val="left"/>
              <w:textAlignment w:val="center"/>
              <w:rPr>
                <w:rFonts w:ascii="宋体" w:cs="宋体"/>
                <w:color w:val="000000"/>
                <w:sz w:val="22"/>
              </w:rPr>
            </w:pPr>
            <w:r>
              <w:rPr>
                <w:rFonts w:ascii="宋体" w:hAnsi="宋体" w:cs="宋体"/>
                <w:color w:val="000000"/>
                <w:kern w:val="0"/>
                <w:sz w:val="22"/>
              </w:rPr>
              <w:t xml:space="preserve">  3</w:t>
            </w:r>
            <w:r>
              <w:rPr>
                <w:rFonts w:hint="eastAsia" w:ascii="宋体" w:hAnsi="宋体" w:cs="宋体"/>
                <w:color w:val="000000"/>
                <w:kern w:val="0"/>
                <w:sz w:val="22"/>
              </w:rPr>
              <w:t>、单价</w:t>
            </w:r>
            <w:r>
              <w:rPr>
                <w:rFonts w:ascii="宋体" w:hAnsi="宋体" w:cs="宋体"/>
                <w:color w:val="000000"/>
                <w:kern w:val="0"/>
                <w:sz w:val="22"/>
              </w:rPr>
              <w:t>50</w:t>
            </w:r>
            <w:r>
              <w:rPr>
                <w:rFonts w:hint="eastAsia" w:ascii="宋体" w:hAnsi="宋体" w:cs="宋体"/>
                <w:color w:val="000000"/>
                <w:kern w:val="0"/>
                <w:sz w:val="22"/>
              </w:rPr>
              <w:t>万元（含）以上的通用设备（台、套…）</w:t>
            </w:r>
          </w:p>
        </w:tc>
        <w:tc>
          <w:tcPr>
            <w:tcW w:w="1103" w:type="dxa"/>
            <w:tcBorders>
              <w:top w:val="single" w:color="000000" w:sz="4" w:space="0"/>
              <w:left w:val="single" w:color="000000" w:sz="4" w:space="0"/>
              <w:bottom w:val="single" w:color="000000" w:sz="4" w:space="0"/>
              <w:right w:val="single" w:color="000000" w:sz="4" w:space="0"/>
            </w:tcBorders>
            <w:vAlign w:val="center"/>
          </w:tcPr>
          <w:p w14:paraId="2F4B2FB4">
            <w:pPr>
              <w:jc w:val="right"/>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11231894">
            <w:pPr>
              <w:jc w:val="right"/>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0118E6B">
            <w:pPr>
              <w:jc w:val="right"/>
              <w:rPr>
                <w:rFonts w:ascii="宋体" w:cs="宋体"/>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0F88983D">
            <w:pPr>
              <w:jc w:val="right"/>
              <w:rPr>
                <w:rFonts w:ascii="宋体" w:cs="宋体"/>
                <w:color w:val="000000"/>
                <w:sz w:val="22"/>
              </w:rPr>
            </w:pPr>
          </w:p>
        </w:tc>
      </w:tr>
      <w:tr w14:paraId="50515550">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267CA303">
            <w:pPr>
              <w:widowControl/>
              <w:jc w:val="left"/>
              <w:textAlignment w:val="center"/>
              <w:rPr>
                <w:rFonts w:ascii="宋体" w:cs="宋体"/>
                <w:color w:val="000000"/>
                <w:sz w:val="22"/>
              </w:rPr>
            </w:pPr>
            <w:r>
              <w:rPr>
                <w:rFonts w:ascii="宋体" w:hAnsi="宋体" w:cs="宋体"/>
                <w:color w:val="000000"/>
                <w:kern w:val="0"/>
                <w:sz w:val="22"/>
              </w:rPr>
              <w:t xml:space="preserve">  4</w:t>
            </w:r>
            <w:r>
              <w:rPr>
                <w:rFonts w:hint="eastAsia" w:ascii="宋体" w:hAnsi="宋体" w:cs="宋体"/>
                <w:color w:val="000000"/>
                <w:kern w:val="0"/>
                <w:sz w:val="22"/>
              </w:rPr>
              <w:t>、单价</w:t>
            </w:r>
            <w:r>
              <w:rPr>
                <w:rFonts w:ascii="宋体" w:hAnsi="宋体" w:cs="宋体"/>
                <w:color w:val="000000"/>
                <w:kern w:val="0"/>
                <w:sz w:val="22"/>
              </w:rPr>
              <w:t>100</w:t>
            </w:r>
            <w:r>
              <w:rPr>
                <w:rFonts w:hint="eastAsia" w:ascii="宋体" w:hAnsi="宋体" w:cs="宋体"/>
                <w:color w:val="000000"/>
                <w:kern w:val="0"/>
                <w:sz w:val="22"/>
              </w:rPr>
              <w:t>万元（含）以上的专用设备（台、套…）</w:t>
            </w:r>
          </w:p>
        </w:tc>
        <w:tc>
          <w:tcPr>
            <w:tcW w:w="1103" w:type="dxa"/>
            <w:tcBorders>
              <w:top w:val="single" w:color="000000" w:sz="4" w:space="0"/>
              <w:left w:val="single" w:color="000000" w:sz="4" w:space="0"/>
              <w:bottom w:val="single" w:color="000000" w:sz="4" w:space="0"/>
              <w:right w:val="single" w:color="000000" w:sz="4" w:space="0"/>
            </w:tcBorders>
            <w:vAlign w:val="center"/>
          </w:tcPr>
          <w:p w14:paraId="3F117E2F">
            <w:pPr>
              <w:jc w:val="right"/>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1C808A5">
            <w:pPr>
              <w:jc w:val="right"/>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14D8FC7E">
            <w:pPr>
              <w:jc w:val="right"/>
              <w:rPr>
                <w:rFonts w:ascii="宋体" w:cs="宋体"/>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43101221">
            <w:pPr>
              <w:jc w:val="right"/>
              <w:rPr>
                <w:rFonts w:ascii="宋体" w:cs="宋体"/>
                <w:color w:val="000000"/>
                <w:sz w:val="22"/>
              </w:rPr>
            </w:pPr>
          </w:p>
        </w:tc>
      </w:tr>
      <w:tr w14:paraId="28E9A549">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67C7D253">
            <w:pPr>
              <w:widowControl/>
              <w:jc w:val="left"/>
              <w:textAlignment w:val="center"/>
              <w:rPr>
                <w:rFonts w:ascii="宋体" w:cs="宋体"/>
                <w:color w:val="000000"/>
                <w:sz w:val="22"/>
              </w:rPr>
            </w:pPr>
            <w:r>
              <w:rPr>
                <w:rFonts w:ascii="宋体" w:hAnsi="宋体" w:cs="宋体"/>
                <w:color w:val="000000"/>
                <w:kern w:val="0"/>
                <w:sz w:val="22"/>
              </w:rPr>
              <w:t xml:space="preserve">  5</w:t>
            </w:r>
            <w:r>
              <w:rPr>
                <w:rFonts w:hint="eastAsia" w:ascii="宋体" w:hAnsi="宋体" w:cs="宋体"/>
                <w:color w:val="000000"/>
                <w:kern w:val="0"/>
                <w:sz w:val="22"/>
              </w:rPr>
              <w:t>、其他固定资产</w:t>
            </w:r>
          </w:p>
        </w:tc>
        <w:tc>
          <w:tcPr>
            <w:tcW w:w="1103" w:type="dxa"/>
            <w:tcBorders>
              <w:top w:val="single" w:color="000000" w:sz="4" w:space="0"/>
              <w:left w:val="single" w:color="000000" w:sz="4" w:space="0"/>
              <w:bottom w:val="single" w:color="000000" w:sz="4" w:space="0"/>
              <w:right w:val="single" w:color="000000" w:sz="4" w:space="0"/>
            </w:tcBorders>
            <w:vAlign w:val="center"/>
          </w:tcPr>
          <w:p w14:paraId="222B5782">
            <w:pPr>
              <w:widowControl/>
              <w:jc w:val="center"/>
              <w:textAlignment w:val="center"/>
              <w:rPr>
                <w:rFonts w:ascii="宋体" w:cs="宋体"/>
                <w:color w:val="000000"/>
                <w:sz w:val="22"/>
              </w:rPr>
            </w:pPr>
            <w:r>
              <w:rPr>
                <w:rFonts w:ascii="宋体" w:hAnsi="宋体" w:cs="宋体"/>
                <w:color w:val="000000"/>
                <w:kern w:val="0"/>
                <w:sz w:val="22"/>
              </w:rPr>
              <w:t>—</w:t>
            </w:r>
          </w:p>
        </w:tc>
        <w:tc>
          <w:tcPr>
            <w:tcW w:w="1344" w:type="dxa"/>
            <w:tcBorders>
              <w:top w:val="single" w:color="000000" w:sz="4" w:space="0"/>
              <w:left w:val="single" w:color="000000" w:sz="4" w:space="0"/>
              <w:bottom w:val="single" w:color="000000" w:sz="4" w:space="0"/>
              <w:right w:val="single" w:color="000000" w:sz="4" w:space="0"/>
            </w:tcBorders>
            <w:vAlign w:val="center"/>
          </w:tcPr>
          <w:p w14:paraId="1A411378">
            <w:pPr>
              <w:widowControl/>
              <w:jc w:val="center"/>
              <w:textAlignment w:val="center"/>
              <w:rPr>
                <w:rFonts w:ascii="宋体" w:cs="宋体"/>
                <w:color w:val="000000"/>
                <w:sz w:val="22"/>
              </w:rPr>
            </w:pPr>
            <w:r>
              <w:rPr>
                <w:rFonts w:ascii="宋体" w:hAnsi="宋体" w:cs="宋体"/>
                <w:color w:val="000000"/>
                <w:kern w:val="0"/>
                <w:sz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7E595FCD">
            <w:pPr>
              <w:widowControl/>
              <w:jc w:val="right"/>
              <w:textAlignment w:val="center"/>
              <w:rPr>
                <w:rFonts w:ascii="宋体" w:cs="宋体"/>
                <w:color w:val="000000"/>
                <w:sz w:val="22"/>
              </w:rPr>
            </w:pPr>
            <w:r>
              <w:rPr>
                <w:rFonts w:hint="eastAsia" w:ascii="宋体" w:hAnsi="宋体" w:cs="宋体"/>
                <w:color w:val="000000"/>
                <w:kern w:val="0"/>
                <w:sz w:val="22"/>
                <w:szCs w:val="22"/>
                <w:lang w:val="en-US" w:eastAsia="zh-CN"/>
              </w:rPr>
              <w:t>340597</w:t>
            </w:r>
            <w:r>
              <w:rPr>
                <w:rFonts w:hint="eastAsia" w:ascii="宋体" w:hAnsi="宋体" w:cs="宋体"/>
                <w:color w:val="000000"/>
                <w:kern w:val="0"/>
                <w:sz w:val="22"/>
                <w:szCs w:val="22"/>
              </w:rPr>
              <w:t>.00</w:t>
            </w:r>
          </w:p>
        </w:tc>
        <w:tc>
          <w:tcPr>
            <w:tcW w:w="3022" w:type="dxa"/>
            <w:tcBorders>
              <w:top w:val="single" w:color="000000" w:sz="4" w:space="0"/>
              <w:left w:val="single" w:color="000000" w:sz="4" w:space="0"/>
              <w:bottom w:val="single" w:color="000000" w:sz="4" w:space="0"/>
              <w:right w:val="single" w:color="000000" w:sz="4" w:space="0"/>
            </w:tcBorders>
            <w:vAlign w:val="center"/>
          </w:tcPr>
          <w:p w14:paraId="56BE50B1">
            <w:pPr>
              <w:widowControl/>
              <w:jc w:val="right"/>
              <w:textAlignment w:val="center"/>
              <w:rPr>
                <w:rFonts w:ascii="宋体" w:cs="宋体"/>
                <w:color w:val="000000"/>
                <w:sz w:val="22"/>
              </w:rPr>
            </w:pPr>
            <w:r>
              <w:rPr>
                <w:rFonts w:hint="eastAsia" w:ascii="宋体" w:hAnsi="宋体" w:cs="宋体"/>
                <w:color w:val="000000"/>
                <w:kern w:val="0"/>
                <w:sz w:val="22"/>
                <w:szCs w:val="22"/>
                <w:lang w:val="en-US" w:eastAsia="zh-CN"/>
              </w:rPr>
              <w:t>545710</w:t>
            </w:r>
            <w:r>
              <w:rPr>
                <w:rFonts w:hint="eastAsia" w:ascii="宋体" w:hAnsi="宋体" w:cs="宋体"/>
                <w:color w:val="000000"/>
                <w:kern w:val="0"/>
                <w:sz w:val="22"/>
                <w:szCs w:val="22"/>
              </w:rPr>
              <w:t>.00</w:t>
            </w:r>
          </w:p>
        </w:tc>
      </w:tr>
    </w:tbl>
    <w:p w14:paraId="08DAA4A0">
      <w:pPr>
        <w:autoSpaceDE w:val="0"/>
        <w:autoSpaceDN w:val="0"/>
        <w:adjustRightInd w:val="0"/>
        <w:jc w:val="left"/>
        <w:rPr>
          <w:rFonts w:ascii="黑体" w:hAnsi="黑体" w:eastAsia="黑体" w:cs="黑体"/>
          <w:sz w:val="32"/>
          <w:szCs w:val="32"/>
        </w:rPr>
      </w:pPr>
    </w:p>
    <w:p w14:paraId="360F1761">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八、名词解释</w:t>
      </w:r>
    </w:p>
    <w:p w14:paraId="65A74C85">
      <w:pPr>
        <w:tabs>
          <w:tab w:val="left" w:pos="11490"/>
        </w:tabs>
        <w:ind w:firstLine="643" w:firstLineChars="200"/>
        <w:rPr>
          <w:rFonts w:ascii="仿宋" w:hAnsi="仿宋" w:eastAsia="仿宋" w:cs="Times New Roman"/>
          <w:sz w:val="32"/>
          <w:szCs w:val="32"/>
        </w:rPr>
      </w:pPr>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、一般公共预算拨款收入：</w:t>
      </w:r>
      <w:r>
        <w:rPr>
          <w:rFonts w:hint="eastAsia" w:ascii="仿宋" w:hAnsi="仿宋" w:eastAsia="仿宋" w:cs="仿宋"/>
          <w:sz w:val="32"/>
          <w:szCs w:val="32"/>
        </w:rPr>
        <w:t>指县级财政当年拨付的资金。</w:t>
      </w:r>
    </w:p>
    <w:p w14:paraId="0117CFD4">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w:t>
      </w:r>
      <w:r>
        <w:rPr>
          <w:rFonts w:hint="eastAsia" w:ascii="Times New Roman" w:hAnsi="Times New Roman" w:eastAsia="方正仿宋_GBK" w:cs="方正仿宋_GBK"/>
          <w:b/>
          <w:bCs/>
          <w:sz w:val="32"/>
          <w:szCs w:val="32"/>
        </w:rPr>
        <w:t>、事业收入：</w:t>
      </w:r>
      <w:r>
        <w:rPr>
          <w:rFonts w:hint="eastAsia" w:ascii="仿宋" w:hAnsi="仿宋" w:eastAsia="仿宋" w:cs="仿宋"/>
          <w:sz w:val="32"/>
          <w:szCs w:val="32"/>
        </w:rPr>
        <w:t>指事业单位开展专业业务活动及辅助活动所取得的收入。</w:t>
      </w:r>
    </w:p>
    <w:p w14:paraId="6FF6286C">
      <w:pPr>
        <w:tabs>
          <w:tab w:val="left" w:pos="11490"/>
        </w:tabs>
        <w:ind w:firstLine="643" w:firstLineChars="200"/>
        <w:rPr>
          <w:rFonts w:ascii="仿宋" w:hAnsi="仿宋" w:eastAsia="仿宋" w:cs="Times New Roman"/>
          <w:b/>
          <w:bCs/>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方正仿宋_GBK"/>
          <w:b/>
          <w:bCs/>
          <w:sz w:val="32"/>
          <w:szCs w:val="32"/>
        </w:rPr>
        <w:t>、其他收入：</w:t>
      </w:r>
      <w:r>
        <w:rPr>
          <w:rFonts w:hint="eastAsia" w:ascii="仿宋" w:hAnsi="仿宋" w:eastAsia="仿宋" w:cs="仿宋"/>
          <w:sz w:val="32"/>
          <w:szCs w:val="32"/>
        </w:rPr>
        <w:t>指除“一般公共预算拨款收入”、“事业收入”等以外的收入。主要是按规定动用的租房收入、存款利息收入等。</w:t>
      </w:r>
    </w:p>
    <w:p w14:paraId="3BC17C33">
      <w:pPr>
        <w:tabs>
          <w:tab w:val="left" w:pos="11490"/>
        </w:tabs>
        <w:ind w:firstLine="643" w:firstLineChars="200"/>
        <w:rPr>
          <w:rFonts w:ascii="仿宋" w:hAnsi="仿宋" w:eastAsia="仿宋" w:cs="Times New Roman"/>
          <w:sz w:val="32"/>
          <w:szCs w:val="32"/>
        </w:rPr>
      </w:pPr>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、基本支出：</w:t>
      </w:r>
      <w:r>
        <w:rPr>
          <w:rFonts w:hint="eastAsia" w:ascii="仿宋" w:hAnsi="仿宋" w:eastAsia="仿宋" w:cs="仿宋"/>
          <w:sz w:val="32"/>
          <w:szCs w:val="32"/>
        </w:rPr>
        <w:t>指为保障机构正常运转、完成日常工作任务而发生的人员支出和公用支出。</w:t>
      </w:r>
    </w:p>
    <w:p w14:paraId="247F84C0">
      <w:pPr>
        <w:tabs>
          <w:tab w:val="left" w:pos="11490"/>
        </w:tabs>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5</w:t>
      </w:r>
      <w:r>
        <w:rPr>
          <w:rFonts w:hint="eastAsia" w:ascii="Times New Roman" w:hAnsi="Times New Roman" w:eastAsia="方正仿宋_GBK" w:cs="方正仿宋_GBK"/>
          <w:b/>
          <w:bCs/>
          <w:sz w:val="32"/>
          <w:szCs w:val="32"/>
        </w:rPr>
        <w:t>、项目支出：</w:t>
      </w:r>
      <w:r>
        <w:rPr>
          <w:rFonts w:hint="eastAsia" w:ascii="仿宋" w:hAnsi="仿宋" w:eastAsia="仿宋" w:cs="仿宋"/>
          <w:sz w:val="32"/>
          <w:szCs w:val="32"/>
        </w:rPr>
        <w:t>指在基本支出之外为完成特定行政任务和事业发展目标所发生的支出。</w:t>
      </w:r>
    </w:p>
    <w:p w14:paraId="5B2D7617">
      <w:pPr>
        <w:tabs>
          <w:tab w:val="left" w:pos="11490"/>
        </w:tabs>
        <w:ind w:firstLine="643" w:firstLineChars="200"/>
        <w:rPr>
          <w:rFonts w:ascii="仿宋_GB2312" w:hAnsi="Times New Roman" w:eastAsia="仿宋_GB2312"/>
          <w:sz w:val="32"/>
          <w:szCs w:val="32"/>
        </w:rPr>
      </w:pPr>
      <w:r>
        <w:rPr>
          <w:rFonts w:ascii="Times New Roman" w:hAnsi="Times New Roman" w:eastAsia="方正仿宋_GBK" w:cs="Times New Roman"/>
          <w:b/>
          <w:bCs/>
          <w:sz w:val="32"/>
          <w:szCs w:val="32"/>
        </w:rPr>
        <w:t>6</w:t>
      </w:r>
      <w:r>
        <w:rPr>
          <w:rFonts w:hint="eastAsia" w:ascii="Times New Roman" w:hAnsi="Times New Roman" w:eastAsia="方正仿宋_GBK" w:cs="方正仿宋_GBK"/>
          <w:b/>
          <w:bCs/>
          <w:sz w:val="32"/>
          <w:szCs w:val="32"/>
        </w:rPr>
        <w:t>、</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三公</w:t>
      </w:r>
      <w:r>
        <w:rPr>
          <w:rFonts w:ascii="Times New Roman" w:hAnsi="Times New Roman" w:eastAsia="方正仿宋_GBK" w:cs="Times New Roman"/>
          <w:b/>
          <w:bCs/>
          <w:sz w:val="32"/>
          <w:szCs w:val="32"/>
        </w:rPr>
        <w:t>”</w:t>
      </w:r>
      <w:r>
        <w:rPr>
          <w:rFonts w:hint="eastAsia" w:ascii="Times New Roman" w:hAnsi="Times New Roman" w:eastAsia="方正仿宋_GBK" w:cs="方正仿宋_GBK"/>
          <w:b/>
          <w:bCs/>
          <w:sz w:val="32"/>
          <w:szCs w:val="32"/>
        </w:rPr>
        <w:t>经费：</w:t>
      </w:r>
      <w:r>
        <w:rPr>
          <w:rFonts w:hint="eastAsia" w:ascii="仿宋_GB2312" w:hAnsi="Times New Roman" w:eastAsia="仿宋_GB2312"/>
          <w:sz w:val="32"/>
          <w:szCs w:val="32"/>
        </w:rPr>
        <w:t>纳入县级财政预算管理的</w:t>
      </w:r>
      <w:r>
        <w:rPr>
          <w:rFonts w:ascii="仿宋_GB2312" w:hAnsi="Times New Roman" w:eastAsia="仿宋_GB2312"/>
          <w:sz w:val="32"/>
          <w:szCs w:val="32"/>
        </w:rPr>
        <w:t>“</w:t>
      </w:r>
      <w:r>
        <w:rPr>
          <w:rFonts w:hint="eastAsia" w:ascii="仿宋_GB2312" w:hAnsi="Times New Roman" w:eastAsia="仿宋_GB2312"/>
          <w:sz w:val="32"/>
          <w:szCs w:val="32"/>
        </w:rPr>
        <w:t>三公</w:t>
      </w:r>
      <w:r>
        <w:rPr>
          <w:rFonts w:ascii="仿宋_GB2312" w:hAnsi="Times New Roman" w:eastAsia="仿宋_GB2312"/>
          <w:sz w:val="32"/>
          <w:szCs w:val="32"/>
        </w:rPr>
        <w:t>”</w:t>
      </w:r>
      <w:r>
        <w:rPr>
          <w:rFonts w:hint="eastAsia" w:ascii="仿宋_GB2312" w:hAnsi="Times New Roman" w:eastAsia="仿宋_GB2312"/>
          <w:sz w:val="32"/>
          <w:szCs w:val="32"/>
        </w:rPr>
        <w:t>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5F3EEAA">
      <w:pPr>
        <w:tabs>
          <w:tab w:val="left" w:pos="11490"/>
        </w:tabs>
        <w:ind w:firstLine="643" w:firstLineChars="200"/>
        <w:rPr>
          <w:rFonts w:ascii="仿宋" w:hAnsi="仿宋" w:eastAsia="仿宋" w:cs="Times New Roman"/>
          <w:sz w:val="32"/>
          <w:szCs w:val="32"/>
        </w:rPr>
      </w:pPr>
      <w:r>
        <w:rPr>
          <w:rFonts w:hint="eastAsia" w:ascii="Times New Roman" w:hAnsi="Times New Roman" w:eastAsia="方正仿宋_GBK" w:cs="方正仿宋_GBK"/>
          <w:b/>
          <w:bCs/>
          <w:sz w:val="32"/>
          <w:szCs w:val="32"/>
        </w:rPr>
        <w:t>7、机关运行费：</w:t>
      </w:r>
      <w:r>
        <w:rPr>
          <w:rFonts w:hint="eastAsia" w:ascii="仿宋" w:hAnsi="仿宋" w:eastAsia="仿宋" w:cs="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3E996F">
      <w:pPr>
        <w:tabs>
          <w:tab w:val="left" w:pos="11490"/>
        </w:tabs>
        <w:ind w:firstLine="643" w:firstLineChars="200"/>
        <w:rPr>
          <w:rFonts w:ascii="仿宋" w:hAnsi="仿宋" w:eastAsia="仿宋" w:cs="Times New Roman"/>
          <w:sz w:val="32"/>
          <w:szCs w:val="32"/>
        </w:rPr>
      </w:pPr>
      <w:r>
        <w:rPr>
          <w:rFonts w:hint="eastAsia" w:ascii="Times New Roman" w:hAnsi="Times New Roman" w:eastAsia="方正仿宋_GBK" w:cs="方正仿宋_GBK"/>
          <w:b/>
          <w:bCs/>
          <w:sz w:val="32"/>
          <w:szCs w:val="32"/>
        </w:rPr>
        <w:t>8、上年结转：</w:t>
      </w:r>
      <w:r>
        <w:rPr>
          <w:rFonts w:hint="eastAsia" w:ascii="仿宋" w:hAnsi="仿宋" w:eastAsia="仿宋" w:cs="仿宋"/>
          <w:sz w:val="32"/>
          <w:szCs w:val="32"/>
        </w:rPr>
        <w:t>指以前年度尚未完成、结转到本年仍按原规定用途继续使用的资金。</w:t>
      </w:r>
    </w:p>
    <w:p w14:paraId="295150D2">
      <w:pPr>
        <w:tabs>
          <w:tab w:val="left" w:pos="11490"/>
        </w:tabs>
        <w:ind w:firstLine="643" w:firstLineChars="200"/>
        <w:rPr>
          <w:rFonts w:ascii="仿宋" w:hAnsi="仿宋" w:eastAsia="仿宋" w:cs="Times New Roman"/>
          <w:sz w:val="32"/>
          <w:szCs w:val="32"/>
        </w:rPr>
      </w:pPr>
      <w:r>
        <w:rPr>
          <w:rFonts w:hint="eastAsia" w:ascii="Times New Roman" w:hAnsi="Times New Roman" w:eastAsia="方正仿宋_GBK" w:cs="方正仿宋_GBK"/>
          <w:b/>
          <w:bCs/>
          <w:sz w:val="32"/>
          <w:szCs w:val="32"/>
        </w:rPr>
        <w:t>9、事业单位经营支出：</w:t>
      </w:r>
      <w:r>
        <w:rPr>
          <w:rFonts w:hint="eastAsia" w:ascii="仿宋" w:hAnsi="仿宋" w:eastAsia="仿宋" w:cs="仿宋"/>
          <w:sz w:val="32"/>
          <w:szCs w:val="32"/>
        </w:rPr>
        <w:t>指事业单位在专业业务活动及其辅助活动之外开展非独立核算经营活动发生的支出。</w:t>
      </w:r>
    </w:p>
    <w:p w14:paraId="05B0E533">
      <w:pPr>
        <w:autoSpaceDE w:val="0"/>
        <w:autoSpaceDN w:val="0"/>
        <w:adjustRightInd w:val="0"/>
        <w:ind w:firstLine="630" w:firstLineChars="196"/>
        <w:jc w:val="left"/>
        <w:rPr>
          <w:rFonts w:ascii="黑体" w:hAnsi="黑体" w:eastAsia="黑体" w:cs="Times New Roman"/>
          <w:b/>
          <w:bCs/>
          <w:sz w:val="32"/>
          <w:szCs w:val="32"/>
        </w:rPr>
      </w:pPr>
      <w:r>
        <w:rPr>
          <w:rFonts w:hint="eastAsia" w:ascii="黑体" w:hAnsi="黑体" w:eastAsia="黑体" w:cs="黑体"/>
          <w:b/>
          <w:bCs/>
          <w:sz w:val="32"/>
          <w:szCs w:val="32"/>
        </w:rPr>
        <w:t>九、其他需要说明的事项</w:t>
      </w:r>
    </w:p>
    <w:p w14:paraId="375EEBEF">
      <w:pPr>
        <w:ind w:firstLine="640" w:firstLineChars="200"/>
        <w:rPr>
          <w:rFonts w:ascii="仿宋" w:hAnsi="仿宋" w:eastAsia="仿宋" w:cs="Times New Roman"/>
          <w:sz w:val="32"/>
          <w:szCs w:val="32"/>
        </w:rPr>
      </w:pPr>
      <w:r>
        <w:rPr>
          <w:rFonts w:hint="eastAsia" w:ascii="仿宋" w:hAnsi="仿宋" w:eastAsia="仿宋" w:cs="仿宋"/>
          <w:sz w:val="32"/>
          <w:szCs w:val="32"/>
        </w:rPr>
        <w:t>我部门无其他需要说明的事项。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A5155C-AAE7-47E8-9EF7-382A84653934}"/>
  </w:font>
  <w:font w:name="黑体">
    <w:panose1 w:val="02010609060101010101"/>
    <w:charset w:val="86"/>
    <w:family w:val="auto"/>
    <w:pitch w:val="default"/>
    <w:sig w:usb0="800002BF" w:usb1="38CF7CFA" w:usb2="00000016" w:usb3="00000000" w:csb0="00040001" w:csb1="00000000"/>
    <w:embedRegular r:id="rId2" w:fontKey="{801D4373-48F4-4B4C-8010-1D9159246E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3" w:fontKey="{9F77E93C-3A41-4206-A978-2F967F273872}"/>
  </w:font>
  <w:font w:name="仿宋">
    <w:panose1 w:val="02010609060101010101"/>
    <w:charset w:val="86"/>
    <w:family w:val="modern"/>
    <w:pitch w:val="default"/>
    <w:sig w:usb0="800002BF" w:usb1="38CF7CFA" w:usb2="00000016" w:usb3="00000000" w:csb0="00040001" w:csb1="00000000"/>
    <w:embedRegular r:id="rId4" w:fontKey="{14A1FD6A-93C0-4A60-9DFD-666B36FAB008}"/>
  </w:font>
  <w:font w:name="仿宋_GB2312">
    <w:panose1 w:val="02010609030101010101"/>
    <w:charset w:val="86"/>
    <w:family w:val="modern"/>
    <w:pitch w:val="default"/>
    <w:sig w:usb0="00000001" w:usb1="080E0000" w:usb2="00000000" w:usb3="00000000" w:csb0="00040000" w:csb1="00000000"/>
    <w:embedRegular r:id="rId5" w:fontKey="{F39B1518-687B-4319-996E-1DC23665198F}"/>
  </w:font>
  <w:font w:name="方正仿宋_GBK">
    <w:panose1 w:val="02000000000000000000"/>
    <w:charset w:val="86"/>
    <w:family w:val="script"/>
    <w:pitch w:val="default"/>
    <w:sig w:usb0="00000001" w:usb1="080E0000" w:usb2="00000000" w:usb3="00000000" w:csb0="00040000" w:csb1="00000000"/>
    <w:embedRegular r:id="rId6" w:fontKey="{E510234E-AA94-4B1B-955C-3EC684938598}"/>
  </w:font>
  <w:font w:name="方正书宋_GBK">
    <w:panose1 w:val="02000000000000000000"/>
    <w:charset w:val="86"/>
    <w:family w:val="script"/>
    <w:pitch w:val="default"/>
    <w:sig w:usb0="00000001" w:usb1="080E0000" w:usb2="00000000" w:usb3="00000000" w:csb0="00040000" w:csb1="00000000"/>
    <w:embedRegular r:id="rId7" w:fontKey="{09C65783-248B-4BB1-811F-CF54797F7616}"/>
  </w:font>
  <w:font w:name="方正楷体_GBK">
    <w:panose1 w:val="02000000000000000000"/>
    <w:charset w:val="86"/>
    <w:family w:val="script"/>
    <w:pitch w:val="default"/>
    <w:sig w:usb0="00000001" w:usb1="080E0000" w:usb2="00000000" w:usb3="00000000" w:csb0="00040000" w:csb1="00000000"/>
    <w:embedRegular r:id="rId8" w:fontKey="{225F5A1B-75D9-4E0F-A41D-74764413CC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13928"/>
    <w:multiLevelType w:val="singleLevel"/>
    <w:tmpl w:val="16C139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00F66032"/>
    <w:rsid w:val="00037AF6"/>
    <w:rsid w:val="00075D5F"/>
    <w:rsid w:val="000B529B"/>
    <w:rsid w:val="000C3A19"/>
    <w:rsid w:val="001245BB"/>
    <w:rsid w:val="001251A3"/>
    <w:rsid w:val="001F7873"/>
    <w:rsid w:val="00223594"/>
    <w:rsid w:val="00236EA5"/>
    <w:rsid w:val="00241FD4"/>
    <w:rsid w:val="00251B12"/>
    <w:rsid w:val="00264A67"/>
    <w:rsid w:val="00296113"/>
    <w:rsid w:val="002A673A"/>
    <w:rsid w:val="002B1D2B"/>
    <w:rsid w:val="002C4A6C"/>
    <w:rsid w:val="002C5E13"/>
    <w:rsid w:val="002C62BC"/>
    <w:rsid w:val="002C6A22"/>
    <w:rsid w:val="002D1FBF"/>
    <w:rsid w:val="002E0EB8"/>
    <w:rsid w:val="002F29CB"/>
    <w:rsid w:val="002F3E58"/>
    <w:rsid w:val="0030542C"/>
    <w:rsid w:val="00305456"/>
    <w:rsid w:val="00311B7A"/>
    <w:rsid w:val="00322364"/>
    <w:rsid w:val="0033381A"/>
    <w:rsid w:val="00394638"/>
    <w:rsid w:val="00424943"/>
    <w:rsid w:val="0043175C"/>
    <w:rsid w:val="00437296"/>
    <w:rsid w:val="00437F40"/>
    <w:rsid w:val="00451590"/>
    <w:rsid w:val="00451871"/>
    <w:rsid w:val="004706DE"/>
    <w:rsid w:val="00472923"/>
    <w:rsid w:val="004B0C3A"/>
    <w:rsid w:val="004D5788"/>
    <w:rsid w:val="004E3066"/>
    <w:rsid w:val="004E74CD"/>
    <w:rsid w:val="00522632"/>
    <w:rsid w:val="00572067"/>
    <w:rsid w:val="00573562"/>
    <w:rsid w:val="00590ECE"/>
    <w:rsid w:val="00614A29"/>
    <w:rsid w:val="00624BAE"/>
    <w:rsid w:val="00673D76"/>
    <w:rsid w:val="006854F0"/>
    <w:rsid w:val="006B1C4A"/>
    <w:rsid w:val="006B610D"/>
    <w:rsid w:val="006E49F5"/>
    <w:rsid w:val="006E71A9"/>
    <w:rsid w:val="007013C8"/>
    <w:rsid w:val="00753836"/>
    <w:rsid w:val="0075393C"/>
    <w:rsid w:val="00754592"/>
    <w:rsid w:val="00776C08"/>
    <w:rsid w:val="007C219A"/>
    <w:rsid w:val="007E1DA8"/>
    <w:rsid w:val="007F6C26"/>
    <w:rsid w:val="0080261A"/>
    <w:rsid w:val="00813208"/>
    <w:rsid w:val="008334AE"/>
    <w:rsid w:val="00834858"/>
    <w:rsid w:val="00836FED"/>
    <w:rsid w:val="0083724E"/>
    <w:rsid w:val="00845CD2"/>
    <w:rsid w:val="00852B0D"/>
    <w:rsid w:val="00881692"/>
    <w:rsid w:val="00882D76"/>
    <w:rsid w:val="008A6576"/>
    <w:rsid w:val="008B3CC5"/>
    <w:rsid w:val="008B52CD"/>
    <w:rsid w:val="008E4261"/>
    <w:rsid w:val="008F4662"/>
    <w:rsid w:val="00905D08"/>
    <w:rsid w:val="00925753"/>
    <w:rsid w:val="009425F4"/>
    <w:rsid w:val="00966C5C"/>
    <w:rsid w:val="00973104"/>
    <w:rsid w:val="00995BF0"/>
    <w:rsid w:val="009A16D5"/>
    <w:rsid w:val="009A353D"/>
    <w:rsid w:val="009B0B77"/>
    <w:rsid w:val="009B511E"/>
    <w:rsid w:val="00A44E3D"/>
    <w:rsid w:val="00A4552E"/>
    <w:rsid w:val="00A72D2E"/>
    <w:rsid w:val="00A73C6F"/>
    <w:rsid w:val="00A74447"/>
    <w:rsid w:val="00A74CE5"/>
    <w:rsid w:val="00A911E7"/>
    <w:rsid w:val="00A939D9"/>
    <w:rsid w:val="00B15CE6"/>
    <w:rsid w:val="00B20712"/>
    <w:rsid w:val="00B43238"/>
    <w:rsid w:val="00B45DD3"/>
    <w:rsid w:val="00B54F5D"/>
    <w:rsid w:val="00B75216"/>
    <w:rsid w:val="00B91D52"/>
    <w:rsid w:val="00B9490F"/>
    <w:rsid w:val="00BA1ACD"/>
    <w:rsid w:val="00BD09F8"/>
    <w:rsid w:val="00BD618E"/>
    <w:rsid w:val="00C45F7F"/>
    <w:rsid w:val="00C87F46"/>
    <w:rsid w:val="00CA7176"/>
    <w:rsid w:val="00CC75B0"/>
    <w:rsid w:val="00CD2773"/>
    <w:rsid w:val="00CE143B"/>
    <w:rsid w:val="00D27003"/>
    <w:rsid w:val="00DE189C"/>
    <w:rsid w:val="00E00BE9"/>
    <w:rsid w:val="00E132D1"/>
    <w:rsid w:val="00E167C7"/>
    <w:rsid w:val="00E231CE"/>
    <w:rsid w:val="00E60900"/>
    <w:rsid w:val="00EC47F6"/>
    <w:rsid w:val="00F66032"/>
    <w:rsid w:val="00F87C1E"/>
    <w:rsid w:val="00F958C2"/>
    <w:rsid w:val="00FC6FD7"/>
    <w:rsid w:val="028C78F0"/>
    <w:rsid w:val="07636494"/>
    <w:rsid w:val="184D22B0"/>
    <w:rsid w:val="22272FEB"/>
    <w:rsid w:val="318B0161"/>
    <w:rsid w:val="43371B75"/>
    <w:rsid w:val="4492532A"/>
    <w:rsid w:val="4A2875E4"/>
    <w:rsid w:val="4A4D346E"/>
    <w:rsid w:val="503F1B00"/>
    <w:rsid w:val="56A524E1"/>
    <w:rsid w:val="62756049"/>
    <w:rsid w:val="72F1659E"/>
    <w:rsid w:val="768246D8"/>
    <w:rsid w:val="77B874AE"/>
    <w:rsid w:val="77BC1B5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iPriority w:val="99"/>
    <w:rPr>
      <w:sz w:val="18"/>
      <w:szCs w:val="18"/>
    </w:rPr>
  </w:style>
  <w:style w:type="paragraph" w:styleId="3">
    <w:name w:val="footer"/>
    <w:basedOn w:val="1"/>
    <w:link w:val="12"/>
    <w:qFormat/>
    <w:uiPriority w:val="99"/>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toc 1"/>
    <w:basedOn w:val="1"/>
    <w:next w:val="1"/>
    <w:semiHidden/>
    <w:qFormat/>
    <w:uiPriority w:val="99"/>
    <w:rPr>
      <w:rFonts w:ascii="Times New Roman" w:hAnsi="Times New Roman" w:cs="Times New Roman"/>
    </w:rPr>
  </w:style>
  <w:style w:type="paragraph" w:styleId="6">
    <w:name w:val="toc 2"/>
    <w:basedOn w:val="1"/>
    <w:next w:val="1"/>
    <w:semiHidden/>
    <w:qFormat/>
    <w:uiPriority w:val="99"/>
    <w:pPr>
      <w:ind w:left="420" w:leftChars="200"/>
    </w:pPr>
    <w:rPr>
      <w:rFonts w:ascii="Times New Roman" w:hAnsi="Times New Roman" w:cs="Times New Roman"/>
    </w:rPr>
  </w:style>
  <w:style w:type="paragraph" w:styleId="7">
    <w:name w:val="Normal (Web)"/>
    <w:basedOn w:val="1"/>
    <w:qFormat/>
    <w:uiPriority w:val="99"/>
    <w:pPr>
      <w:jc w:val="left"/>
    </w:pPr>
    <w:rPr>
      <w:kern w:val="0"/>
      <w:sz w:val="24"/>
      <w:szCs w:val="24"/>
    </w:rPr>
  </w:style>
  <w:style w:type="character" w:styleId="10">
    <w:name w:val="Strong"/>
    <w:basedOn w:val="9"/>
    <w:qFormat/>
    <w:locked/>
    <w:uiPriority w:val="99"/>
    <w:rPr>
      <w:b/>
      <w:bCs/>
    </w:rPr>
  </w:style>
  <w:style w:type="character" w:customStyle="1" w:styleId="11">
    <w:name w:val="页眉 Char"/>
    <w:basedOn w:val="9"/>
    <w:link w:val="4"/>
    <w:qFormat/>
    <w:locked/>
    <w:uiPriority w:val="99"/>
    <w:rPr>
      <w:rFonts w:ascii="Times New Roman" w:hAnsi="Times New Roman" w:eastAsia="宋体" w:cs="Times New Roman"/>
      <w:sz w:val="18"/>
      <w:szCs w:val="18"/>
    </w:rPr>
  </w:style>
  <w:style w:type="character" w:customStyle="1" w:styleId="12">
    <w:name w:val="页脚 Char"/>
    <w:basedOn w:val="9"/>
    <w:link w:val="3"/>
    <w:qFormat/>
    <w:locked/>
    <w:uiPriority w:val="99"/>
    <w:rPr>
      <w:rFonts w:ascii="Times New Roman" w:hAnsi="Times New Roman" w:eastAsia="宋体" w:cs="Times New Roman"/>
      <w:sz w:val="18"/>
      <w:szCs w:val="18"/>
    </w:rPr>
  </w:style>
  <w:style w:type="character" w:customStyle="1" w:styleId="13">
    <w:name w:val="批注框文本 Char"/>
    <w:basedOn w:val="9"/>
    <w:link w:val="2"/>
    <w:semiHidden/>
    <w:qFormat/>
    <w:locked/>
    <w:uiPriority w:val="99"/>
    <w:rPr>
      <w:sz w:val="18"/>
      <w:szCs w:val="18"/>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2545</Words>
  <Characters>2693</Characters>
  <Lines>4</Lines>
  <Paragraphs>8</Paragraphs>
  <TotalTime>10</TotalTime>
  <ScaleCrop>false</ScaleCrop>
  <LinksUpToDate>false</LinksUpToDate>
  <CharactersWithSpaces>2698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2017-01-13T03:22:00Z</dcterms:created>
  <dc:creator>guest</dc:creator>
  <cp:lastModifiedBy>王立群</cp:lastModifiedBy>
  <cp:lastPrinted>2018-02-12T03:44:00Z</cp:lastPrinted>
  <dcterms:modified xsi:type="dcterms:W3CDTF">2026-05-18T10:56:15Z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BF63F2D0447344D1B4AA58D864C666E3_12</vt:lpwstr>
  </property>
  <property fmtid="{D5CDD505-2E9C-101B-9397-08002B2CF9AE}" pid="4" name="KSOTemplateDocerSaveRecord">
    <vt:lpwstr>eyJoZGlkIjoiMGFkNjI3NWFjZjc5ZGNiMzM2ODUyYjM1N2VkYTRiNmYiLCJ1c2VySWQiOiIxNjc0NDYyOTI4In0=</vt:lpwstr>
  </property>
</Properties>
</file>