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14</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227.80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44.50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8.88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r>
              <w:t xml:space="preserve">160.42</w:t>
            </w: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14.00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227.80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227.80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227.80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227.80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227.80</w:t>
            </w:r>
          </w:p>
        </w:tc>
        <w:tc>
          <w:tcPr>
            <w:tcW w:w="1134" w:type="dxa"/>
            <w:vAlign w:val="center"/>
          </w:tcPr>
          <w:p>
            <w:pPr>
              <w:pStyle w:val="单元格样式7"/>
            </w:pPr>
            <w:r>
              <w:t xml:space="preserve">227.80</w:t>
            </w:r>
          </w:p>
        </w:tc>
        <w:tc>
          <w:tcPr>
            <w:tcW w:w="1134" w:type="dxa"/>
            <w:vAlign w:val="center"/>
          </w:tcPr>
          <w:p>
            <w:pPr>
              <w:pStyle w:val="单元格样式7"/>
            </w:pPr>
            <w:r>
              <w:t xml:space="preserve">227.80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44.50</w:t>
            </w:r>
          </w:p>
        </w:tc>
        <w:tc>
          <w:tcPr>
            <w:tcW w:w="1134" w:type="dxa"/>
            <w:vAlign w:val="center"/>
          </w:tcPr>
          <w:p>
            <w:pPr>
              <w:pStyle w:val="单元格样式4"/>
            </w:pPr>
            <w:r>
              <w:t xml:space="preserve">44.50</w:t>
            </w:r>
          </w:p>
        </w:tc>
        <w:tc>
          <w:tcPr>
            <w:tcW w:w="1134" w:type="dxa"/>
            <w:vAlign w:val="center"/>
          </w:tcPr>
          <w:p>
            <w:pPr>
              <w:pStyle w:val="单元格样式4"/>
            </w:pPr>
            <w:r>
              <w:t xml:space="preserve">44.50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44.50</w:t>
            </w:r>
          </w:p>
        </w:tc>
        <w:tc>
          <w:tcPr>
            <w:tcW w:w="1134" w:type="dxa"/>
            <w:vAlign w:val="center"/>
          </w:tcPr>
          <w:p>
            <w:pPr>
              <w:pStyle w:val="单元格样式4"/>
            </w:pPr>
            <w:r>
              <w:t xml:space="preserve">44.50</w:t>
            </w:r>
          </w:p>
        </w:tc>
        <w:tc>
          <w:tcPr>
            <w:tcW w:w="1134" w:type="dxa"/>
            <w:vAlign w:val="center"/>
          </w:tcPr>
          <w:p>
            <w:pPr>
              <w:pStyle w:val="单元格样式4"/>
            </w:pPr>
            <w:r>
              <w:t xml:space="preserve">44.50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26.50</w:t>
            </w:r>
          </w:p>
        </w:tc>
        <w:tc>
          <w:tcPr>
            <w:tcW w:w="1134" w:type="dxa"/>
            <w:vAlign w:val="center"/>
          </w:tcPr>
          <w:p>
            <w:pPr>
              <w:pStyle w:val="单元格样式4"/>
            </w:pPr>
            <w:r>
              <w:t xml:space="preserve">26.50</w:t>
            </w:r>
          </w:p>
        </w:tc>
        <w:tc>
          <w:tcPr>
            <w:tcW w:w="1134" w:type="dxa"/>
            <w:vAlign w:val="center"/>
          </w:tcPr>
          <w:p>
            <w:pPr>
              <w:pStyle w:val="单元格样式4"/>
            </w:pPr>
            <w:r>
              <w:t xml:space="preserve">26.50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216</w:t>
            </w:r>
          </w:p>
        </w:tc>
        <w:tc>
          <w:tcPr>
            <w:tcW w:w="1559" w:type="dxa"/>
            <w:vAlign w:val="center"/>
          </w:tcPr>
          <w:p>
            <w:pPr>
              <w:pStyle w:val="单元格样式2"/>
            </w:pPr>
            <w:r>
              <w:t xml:space="preserve">商业服务业等支出</w:t>
            </w:r>
          </w:p>
        </w:tc>
        <w:tc>
          <w:tcPr>
            <w:tcW w:w="1134" w:type="dxa"/>
            <w:vAlign w:val="center"/>
          </w:tcPr>
          <w:p>
            <w:pPr>
              <w:pStyle w:val="单元格样式4"/>
            </w:pPr>
            <w:r>
              <w:t xml:space="preserve">160.42</w:t>
            </w:r>
          </w:p>
        </w:tc>
        <w:tc>
          <w:tcPr>
            <w:tcW w:w="1134" w:type="dxa"/>
            <w:vAlign w:val="center"/>
          </w:tcPr>
          <w:p>
            <w:pPr>
              <w:pStyle w:val="单元格样式4"/>
            </w:pPr>
            <w:r>
              <w:t xml:space="preserve">160.42</w:t>
            </w:r>
          </w:p>
        </w:tc>
        <w:tc>
          <w:tcPr>
            <w:tcW w:w="1134" w:type="dxa"/>
            <w:vAlign w:val="center"/>
          </w:tcPr>
          <w:p>
            <w:pPr>
              <w:pStyle w:val="单元格样式4"/>
            </w:pPr>
            <w:r>
              <w:t xml:space="preserve">160.42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21602</w:t>
            </w:r>
          </w:p>
        </w:tc>
        <w:tc>
          <w:tcPr>
            <w:tcW w:w="1559" w:type="dxa"/>
            <w:vAlign w:val="center"/>
          </w:tcPr>
          <w:p>
            <w:pPr>
              <w:pStyle w:val="单元格样式2"/>
            </w:pPr>
            <w:r>
              <w:t xml:space="preserve">商业流通事务</w:t>
            </w:r>
          </w:p>
        </w:tc>
        <w:tc>
          <w:tcPr>
            <w:tcW w:w="1134" w:type="dxa"/>
            <w:vAlign w:val="center"/>
          </w:tcPr>
          <w:p>
            <w:pPr>
              <w:pStyle w:val="单元格样式4"/>
            </w:pPr>
            <w:r>
              <w:t xml:space="preserve">160.42</w:t>
            </w:r>
          </w:p>
        </w:tc>
        <w:tc>
          <w:tcPr>
            <w:tcW w:w="1134" w:type="dxa"/>
            <w:vAlign w:val="center"/>
          </w:tcPr>
          <w:p>
            <w:pPr>
              <w:pStyle w:val="单元格样式4"/>
            </w:pPr>
            <w:r>
              <w:t xml:space="preserve">160.42</w:t>
            </w:r>
          </w:p>
        </w:tc>
        <w:tc>
          <w:tcPr>
            <w:tcW w:w="1134" w:type="dxa"/>
            <w:vAlign w:val="center"/>
          </w:tcPr>
          <w:p>
            <w:pPr>
              <w:pStyle w:val="单元格样式4"/>
            </w:pPr>
            <w:r>
              <w:t xml:space="preserve">160.42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2160201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159.42</w:t>
            </w:r>
          </w:p>
        </w:tc>
        <w:tc>
          <w:tcPr>
            <w:tcW w:w="1134" w:type="dxa"/>
            <w:vAlign w:val="center"/>
          </w:tcPr>
          <w:p>
            <w:pPr>
              <w:pStyle w:val="单元格样式4"/>
            </w:pPr>
            <w:r>
              <w:t xml:space="preserve">159.42</w:t>
            </w:r>
          </w:p>
        </w:tc>
        <w:tc>
          <w:tcPr>
            <w:tcW w:w="1134" w:type="dxa"/>
            <w:vAlign w:val="center"/>
          </w:tcPr>
          <w:p>
            <w:pPr>
              <w:pStyle w:val="单元格样式4"/>
            </w:pPr>
            <w:r>
              <w:t xml:space="preserve">159.42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2160250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227.80</w:t>
            </w:r>
          </w:p>
        </w:tc>
        <w:tc>
          <w:tcPr>
            <w:tcW w:w="1361" w:type="dxa"/>
            <w:vAlign w:val="center"/>
          </w:tcPr>
          <w:p>
            <w:pPr>
              <w:pStyle w:val="单元格样式7"/>
            </w:pPr>
            <w:r>
              <w:t xml:space="preserve">193.76</w:t>
            </w:r>
          </w:p>
        </w:tc>
        <w:tc>
          <w:tcPr>
            <w:tcW w:w="1361" w:type="dxa"/>
            <w:vAlign w:val="center"/>
          </w:tcPr>
          <w:p>
            <w:pPr>
              <w:pStyle w:val="单元格样式7"/>
            </w:pPr>
            <w:r>
              <w:t xml:space="preserve">34.04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44.50</w:t>
            </w:r>
          </w:p>
        </w:tc>
        <w:tc>
          <w:tcPr>
            <w:tcW w:w="1361" w:type="dxa"/>
            <w:vAlign w:val="center"/>
          </w:tcPr>
          <w:p>
            <w:pPr>
              <w:pStyle w:val="单元格样式4"/>
            </w:pPr>
            <w:r>
              <w:t xml:space="preserve">44.50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44.50</w:t>
            </w:r>
          </w:p>
        </w:tc>
        <w:tc>
          <w:tcPr>
            <w:tcW w:w="1361" w:type="dxa"/>
            <w:vAlign w:val="center"/>
          </w:tcPr>
          <w:p>
            <w:pPr>
              <w:pStyle w:val="单元格样式4"/>
            </w:pPr>
            <w:r>
              <w:t xml:space="preserve">44.50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18.00</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26.50</w:t>
            </w:r>
          </w:p>
        </w:tc>
        <w:tc>
          <w:tcPr>
            <w:tcW w:w="1361" w:type="dxa"/>
            <w:vAlign w:val="center"/>
          </w:tcPr>
          <w:p>
            <w:pPr>
              <w:pStyle w:val="单元格样式4"/>
            </w:pPr>
            <w:r>
              <w:t xml:space="preserve">26.50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8.88</w:t>
            </w: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8.88</w:t>
            </w: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8.88</w:t>
            </w: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1361" w:type="dxa"/>
            <w:vAlign w:val="center"/>
          </w:tcPr>
          <w:p>
            <w:pPr>
              <w:pStyle w:val="单元格样式4"/>
            </w:pPr>
            <w:r>
              <w:t xml:space="preserve">160.42</w:t>
            </w:r>
          </w:p>
        </w:tc>
        <w:tc>
          <w:tcPr>
            <w:tcW w:w="1361" w:type="dxa"/>
            <w:vAlign w:val="center"/>
          </w:tcPr>
          <w:p>
            <w:pPr>
              <w:pStyle w:val="单元格样式4"/>
            </w:pPr>
            <w:r>
              <w:t xml:space="preserve">126.38</w:t>
            </w:r>
          </w:p>
        </w:tc>
        <w:tc>
          <w:tcPr>
            <w:tcW w:w="1361" w:type="dxa"/>
            <w:vAlign w:val="center"/>
          </w:tcPr>
          <w:p>
            <w:pPr>
              <w:pStyle w:val="单元格样式4"/>
            </w:pPr>
            <w:r>
              <w:t xml:space="preserve">34.04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21602</w:t>
            </w:r>
          </w:p>
        </w:tc>
        <w:tc>
          <w:tcPr>
            <w:tcW w:w="4535" w:type="dxa"/>
            <w:vAlign w:val="center"/>
          </w:tcPr>
          <w:p>
            <w:pPr>
              <w:pStyle w:val="单元格样式2"/>
            </w:pPr>
            <w:r>
              <w:t xml:space="preserve">商业流通事务</w:t>
            </w:r>
          </w:p>
        </w:tc>
        <w:tc>
          <w:tcPr>
            <w:tcW w:w="1361" w:type="dxa"/>
            <w:vAlign w:val="center"/>
          </w:tcPr>
          <w:p>
            <w:pPr>
              <w:pStyle w:val="单元格样式4"/>
            </w:pPr>
            <w:r>
              <w:t xml:space="preserve">160.42</w:t>
            </w:r>
          </w:p>
        </w:tc>
        <w:tc>
          <w:tcPr>
            <w:tcW w:w="1361" w:type="dxa"/>
            <w:vAlign w:val="center"/>
          </w:tcPr>
          <w:p>
            <w:pPr>
              <w:pStyle w:val="单元格样式4"/>
            </w:pPr>
            <w:r>
              <w:t xml:space="preserve">126.38</w:t>
            </w:r>
          </w:p>
        </w:tc>
        <w:tc>
          <w:tcPr>
            <w:tcW w:w="1361" w:type="dxa"/>
            <w:vAlign w:val="center"/>
          </w:tcPr>
          <w:p>
            <w:pPr>
              <w:pStyle w:val="单元格样式4"/>
            </w:pPr>
            <w:r>
              <w:t xml:space="preserve">34.04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2160201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159.42</w:t>
            </w:r>
          </w:p>
        </w:tc>
        <w:tc>
          <w:tcPr>
            <w:tcW w:w="1361" w:type="dxa"/>
            <w:vAlign w:val="center"/>
          </w:tcPr>
          <w:p>
            <w:pPr>
              <w:pStyle w:val="单元格样式4"/>
            </w:pPr>
            <w:r>
              <w:t xml:space="preserve">126.38</w:t>
            </w:r>
          </w:p>
        </w:tc>
        <w:tc>
          <w:tcPr>
            <w:tcW w:w="1361" w:type="dxa"/>
            <w:vAlign w:val="center"/>
          </w:tcPr>
          <w:p>
            <w:pPr>
              <w:pStyle w:val="单元格样式4"/>
            </w:pPr>
            <w:r>
              <w:t xml:space="preserve">33.04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2160250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14.00</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14.00</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14.00</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227.80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44.50</w:t>
            </w:r>
          </w:p>
        </w:tc>
        <w:tc>
          <w:tcPr>
            <w:tcW w:w="1474" w:type="dxa"/>
            <w:vAlign w:val="center"/>
          </w:tcPr>
          <w:p>
            <w:pPr>
              <w:pStyle w:val="单元格样式4"/>
            </w:pPr>
            <w:r>
              <w:t xml:space="preserve">44.50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8.88</w:t>
            </w:r>
          </w:p>
        </w:tc>
        <w:tc>
          <w:tcPr>
            <w:tcW w:w="1474" w:type="dxa"/>
            <w:vAlign w:val="center"/>
          </w:tcPr>
          <w:p>
            <w:pPr>
              <w:pStyle w:val="单元格样式4"/>
            </w:pPr>
            <w:r>
              <w:t xml:space="preserve">8.88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r>
              <w:t xml:space="preserve">160.42</w:t>
            </w:r>
          </w:p>
        </w:tc>
        <w:tc>
          <w:tcPr>
            <w:tcW w:w="1474" w:type="dxa"/>
            <w:vAlign w:val="center"/>
          </w:tcPr>
          <w:p>
            <w:pPr>
              <w:pStyle w:val="单元格样式4"/>
            </w:pPr>
            <w:r>
              <w:t xml:space="preserve">160.42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14.00</w:t>
            </w:r>
          </w:p>
        </w:tc>
        <w:tc>
          <w:tcPr>
            <w:tcW w:w="1474" w:type="dxa"/>
            <w:vAlign w:val="center"/>
          </w:tcPr>
          <w:p>
            <w:pPr>
              <w:pStyle w:val="单元格样式4"/>
            </w:pPr>
            <w:r>
              <w:t xml:space="preserve">14.00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227.80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227.80</w:t>
            </w:r>
          </w:p>
        </w:tc>
        <w:tc>
          <w:tcPr>
            <w:tcW w:w="1474" w:type="dxa"/>
            <w:vAlign w:val="center"/>
          </w:tcPr>
          <w:p>
            <w:pPr>
              <w:pStyle w:val="单元格样式7"/>
            </w:pPr>
            <w:r>
              <w:t xml:space="preserve">227.80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227.80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227.80</w:t>
            </w:r>
          </w:p>
        </w:tc>
        <w:tc>
          <w:tcPr>
            <w:tcW w:w="1474" w:type="dxa"/>
            <w:vAlign w:val="center"/>
          </w:tcPr>
          <w:p>
            <w:pPr>
              <w:pStyle w:val="单元格样式7"/>
            </w:pPr>
            <w:r>
              <w:t xml:space="preserve">227.80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227.80</w:t>
            </w:r>
          </w:p>
        </w:tc>
        <w:tc>
          <w:tcPr>
            <w:tcW w:w="2551" w:type="dxa"/>
            <w:vAlign w:val="center"/>
          </w:tcPr>
          <w:p>
            <w:pPr>
              <w:pStyle w:val="单元格样式7"/>
            </w:pPr>
            <w:r>
              <w:t xml:space="preserve">193.76</w:t>
            </w:r>
          </w:p>
        </w:tc>
        <w:tc>
          <w:tcPr>
            <w:tcW w:w="2551" w:type="dxa"/>
            <w:vAlign w:val="center"/>
          </w:tcPr>
          <w:p>
            <w:pPr>
              <w:pStyle w:val="单元格样式7"/>
            </w:pPr>
            <w:r>
              <w:t xml:space="preserve">34.04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44.50</w:t>
            </w:r>
          </w:p>
        </w:tc>
        <w:tc>
          <w:tcPr>
            <w:tcW w:w="2551" w:type="dxa"/>
            <w:vAlign w:val="center"/>
          </w:tcPr>
          <w:p>
            <w:pPr>
              <w:pStyle w:val="单元格样式4"/>
            </w:pPr>
            <w:r>
              <w:t xml:space="preserve">44.50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44.50</w:t>
            </w:r>
          </w:p>
        </w:tc>
        <w:tc>
          <w:tcPr>
            <w:tcW w:w="2551" w:type="dxa"/>
            <w:vAlign w:val="center"/>
          </w:tcPr>
          <w:p>
            <w:pPr>
              <w:pStyle w:val="单元格样式4"/>
            </w:pPr>
            <w:r>
              <w:t xml:space="preserve">44.50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18.00</w:t>
            </w:r>
          </w:p>
        </w:tc>
        <w:tc>
          <w:tcPr>
            <w:tcW w:w="2551" w:type="dxa"/>
            <w:vAlign w:val="center"/>
          </w:tcPr>
          <w:p>
            <w:pPr>
              <w:pStyle w:val="单元格样式4"/>
            </w:pPr>
            <w:r>
              <w:t xml:space="preserve">18.00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26.50</w:t>
            </w:r>
          </w:p>
        </w:tc>
        <w:tc>
          <w:tcPr>
            <w:tcW w:w="2551" w:type="dxa"/>
            <w:vAlign w:val="center"/>
          </w:tcPr>
          <w:p>
            <w:pPr>
              <w:pStyle w:val="单元格样式4"/>
            </w:pPr>
            <w:r>
              <w:t xml:space="preserve">26.50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2551" w:type="dxa"/>
            <w:vAlign w:val="center"/>
          </w:tcPr>
          <w:p>
            <w:pPr>
              <w:pStyle w:val="单元格样式4"/>
            </w:pPr>
            <w:r>
              <w:t xml:space="preserve">160.42</w:t>
            </w:r>
          </w:p>
        </w:tc>
        <w:tc>
          <w:tcPr>
            <w:tcW w:w="2551" w:type="dxa"/>
            <w:vAlign w:val="center"/>
          </w:tcPr>
          <w:p>
            <w:pPr>
              <w:pStyle w:val="单元格样式4"/>
            </w:pPr>
            <w:r>
              <w:t xml:space="preserve">126.38</w:t>
            </w:r>
          </w:p>
        </w:tc>
        <w:tc>
          <w:tcPr>
            <w:tcW w:w="2551" w:type="dxa"/>
            <w:vAlign w:val="center"/>
          </w:tcPr>
          <w:p>
            <w:pPr>
              <w:pStyle w:val="单元格样式4"/>
            </w:pPr>
            <w:r>
              <w:t xml:space="preserve">34.04</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21602</w:t>
            </w:r>
          </w:p>
        </w:tc>
        <w:tc>
          <w:tcPr>
            <w:tcW w:w="4535" w:type="dxa"/>
            <w:vAlign w:val="center"/>
          </w:tcPr>
          <w:p>
            <w:pPr>
              <w:pStyle w:val="单元格样式2"/>
            </w:pPr>
            <w:r>
              <w:t xml:space="preserve">商业流通事务</w:t>
            </w:r>
          </w:p>
        </w:tc>
        <w:tc>
          <w:tcPr>
            <w:tcW w:w="2551" w:type="dxa"/>
            <w:vAlign w:val="center"/>
          </w:tcPr>
          <w:p>
            <w:pPr>
              <w:pStyle w:val="单元格样式4"/>
            </w:pPr>
            <w:r>
              <w:t xml:space="preserve">160.42</w:t>
            </w:r>
          </w:p>
        </w:tc>
        <w:tc>
          <w:tcPr>
            <w:tcW w:w="2551" w:type="dxa"/>
            <w:vAlign w:val="center"/>
          </w:tcPr>
          <w:p>
            <w:pPr>
              <w:pStyle w:val="单元格样式4"/>
            </w:pPr>
            <w:r>
              <w:t xml:space="preserve">126.38</w:t>
            </w:r>
          </w:p>
        </w:tc>
        <w:tc>
          <w:tcPr>
            <w:tcW w:w="2551" w:type="dxa"/>
            <w:vAlign w:val="center"/>
          </w:tcPr>
          <w:p>
            <w:pPr>
              <w:pStyle w:val="单元格样式4"/>
            </w:pPr>
            <w:r>
              <w:t xml:space="preserve">34.04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2160201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159.42</w:t>
            </w:r>
          </w:p>
        </w:tc>
        <w:tc>
          <w:tcPr>
            <w:tcW w:w="2551" w:type="dxa"/>
            <w:vAlign w:val="center"/>
          </w:tcPr>
          <w:p>
            <w:pPr>
              <w:pStyle w:val="单元格样式4"/>
            </w:pPr>
            <w:r>
              <w:t xml:space="preserve">126.38</w:t>
            </w:r>
          </w:p>
        </w:tc>
        <w:tc>
          <w:tcPr>
            <w:tcW w:w="2551" w:type="dxa"/>
            <w:vAlign w:val="center"/>
          </w:tcPr>
          <w:p>
            <w:pPr>
              <w:pStyle w:val="单元格样式4"/>
            </w:pPr>
            <w:r>
              <w:t xml:space="preserve">33.04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2160250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193.76</w:t>
            </w:r>
          </w:p>
        </w:tc>
        <w:tc>
          <w:tcPr>
            <w:tcW w:w="2551" w:type="dxa"/>
            <w:vAlign w:val="center"/>
          </w:tcPr>
          <w:p>
            <w:pPr>
              <w:pStyle w:val="单元格样式7"/>
            </w:pPr>
            <w:r>
              <w:t xml:space="preserve">190.04</w:t>
            </w:r>
          </w:p>
        </w:tc>
        <w:tc>
          <w:tcPr>
            <w:tcW w:w="2551" w:type="dxa"/>
            <w:vAlign w:val="center"/>
          </w:tcPr>
          <w:p>
            <w:pPr>
              <w:pStyle w:val="单元格样式7"/>
            </w:pPr>
            <w:r>
              <w:t xml:space="preserve">3.72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190.04</w:t>
            </w:r>
          </w:p>
        </w:tc>
        <w:tc>
          <w:tcPr>
            <w:tcW w:w="2551" w:type="dxa"/>
            <w:vAlign w:val="center"/>
          </w:tcPr>
          <w:p>
            <w:pPr>
              <w:pStyle w:val="单元格样式4"/>
            </w:pPr>
            <w:r>
              <w:t xml:space="preserve">190.04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75.00</w:t>
            </w:r>
          </w:p>
        </w:tc>
        <w:tc>
          <w:tcPr>
            <w:tcW w:w="2551" w:type="dxa"/>
            <w:vAlign w:val="center"/>
          </w:tcPr>
          <w:p>
            <w:pPr>
              <w:pStyle w:val="单元格样式4"/>
            </w:pPr>
            <w:r>
              <w:t xml:space="preserve">75.00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7.11</w:t>
            </w:r>
          </w:p>
        </w:tc>
        <w:tc>
          <w:tcPr>
            <w:tcW w:w="2551" w:type="dxa"/>
            <w:vAlign w:val="center"/>
          </w:tcPr>
          <w:p>
            <w:pPr>
              <w:pStyle w:val="单元格样式4"/>
            </w:pPr>
            <w:r>
              <w:t xml:space="preserve">7.11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40.05</w:t>
            </w:r>
          </w:p>
        </w:tc>
        <w:tc>
          <w:tcPr>
            <w:tcW w:w="2551" w:type="dxa"/>
            <w:vAlign w:val="center"/>
          </w:tcPr>
          <w:p>
            <w:pPr>
              <w:pStyle w:val="单元格样式4"/>
            </w:pPr>
            <w:r>
              <w:t xml:space="preserve">40.05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18.00</w:t>
            </w:r>
          </w:p>
        </w:tc>
        <w:tc>
          <w:tcPr>
            <w:tcW w:w="2551" w:type="dxa"/>
            <w:vAlign w:val="center"/>
          </w:tcPr>
          <w:p>
            <w:pPr>
              <w:pStyle w:val="单元格样式4"/>
            </w:pPr>
            <w:r>
              <w:t xml:space="preserve">18.00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26.50</w:t>
            </w:r>
          </w:p>
        </w:tc>
        <w:tc>
          <w:tcPr>
            <w:tcW w:w="2551" w:type="dxa"/>
            <w:vAlign w:val="center"/>
          </w:tcPr>
          <w:p>
            <w:pPr>
              <w:pStyle w:val="单元格样式4"/>
            </w:pPr>
            <w:r>
              <w:t xml:space="preserve">26.50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0.50</w:t>
            </w:r>
          </w:p>
        </w:tc>
        <w:tc>
          <w:tcPr>
            <w:tcW w:w="2551" w:type="dxa"/>
            <w:vAlign w:val="center"/>
          </w:tcPr>
          <w:p>
            <w:pPr>
              <w:pStyle w:val="单元格样式4"/>
            </w:pPr>
            <w:r>
              <w:t xml:space="preserve">0.50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2.52</w:t>
            </w:r>
          </w:p>
        </w:tc>
        <w:tc>
          <w:tcPr>
            <w:tcW w:w="2551" w:type="dxa"/>
            <w:vAlign w:val="center"/>
          </w:tcPr>
          <w:p>
            <w:pPr>
              <w:pStyle w:val="单元格样式4"/>
            </w:pPr>
          </w:p>
        </w:tc>
        <w:tc>
          <w:tcPr>
            <w:tcW w:w="2551" w:type="dxa"/>
            <w:vAlign w:val="center"/>
          </w:tcPr>
          <w:p>
            <w:pPr>
              <w:pStyle w:val="单元格样式4"/>
            </w:pPr>
            <w:r>
              <w:t xml:space="preserve">2.52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2.52</w:t>
            </w:r>
          </w:p>
        </w:tc>
        <w:tc>
          <w:tcPr>
            <w:tcW w:w="2551" w:type="dxa"/>
            <w:vAlign w:val="center"/>
          </w:tcPr>
          <w:p>
            <w:pPr>
              <w:pStyle w:val="单元格样式4"/>
            </w:pPr>
          </w:p>
        </w:tc>
        <w:tc>
          <w:tcPr>
            <w:tcW w:w="2551" w:type="dxa"/>
            <w:vAlign w:val="center"/>
          </w:tcPr>
          <w:p>
            <w:pPr>
              <w:pStyle w:val="单元格样式4"/>
            </w:pPr>
            <w:r>
              <w:t xml:space="preserve">2.52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馆陶县供销社联合社2025年部门预算信息公开情况说明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馆陶县供销社联合社2025年部门预算信息公开情况说明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按照《中华人民共和国预算法》、《地方预决算公开操作规程》和《关于进一步推进预算公开工作的实施意见》规定，现将馆陶县供销社联合社2025年部门预算公开如下：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基层社改革发展攻坚任务的职责。一是领办创办农民专业合作社。建设一批以专业合作服务为特色的管理规范、辐射带动能力强、与农民利用联结紧密的示范社。二是大力发展乡镇和村级综合服务社。选择基础条件好的,按照标准高、功能全、服务优、管理好的要求重点扶持发展,培育典型。 </w:t>
      </w:r>
    </w:p>
    <w:p>
      <w:pPr>
        <w:pStyle w:val="插入文本样式-插入预算公开部门职责文件"/>
      </w:pPr>
      <w:r>
        <w:t xml:space="preserve">（二）安全维稳业务提升攻坚任务的职责。一是强重视。充分认识安全维稳统筹业务对加快发展的推动作用，抓服务、重宣传、强管理。二是严要求。坚持安全维稳与统筹业务两手抓两手硬，重检查、严整改,杜绝安全责任事故。三是强维稳。深挖隐患原因，从源头防范化解，做好信访稳定工作。</w:t>
      </w:r>
    </w:p>
    <w:p>
      <w:pPr>
        <w:pStyle w:val="插入文本样式-插入预算公开部门职责文件"/>
      </w:pPr>
      <w:r>
        <w:t xml:space="preserve">（三）全面提升供销系统为农服务建设职责。围绕省市供销社深化为农服务改革精神，突出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力服务馆陶三农和乡村振兴工作大局，全面提升县供销系统为农服务能力。</w:t>
      </w:r>
    </w:p>
    <w:p>
      <w:pPr>
        <w:pStyle w:val="插入文本样式-插入预算公开部门职责文件"/>
      </w:pPr>
      <w:r>
        <w:t xml:space="preserve">（四）打造“为农服务3公里服务圈”职责。依托乡镇为农服务中心和为农服务专业合作社通过土地流转、土地托管等服务等方式，打造“为农服务3公里服务圈”，解决为农服务“最后一公里”问题。</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馆陶县供销社联合社本级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按照预算管理有关规定，目前部门预算的编制实行综合预算管理，即全部收入和支出都反映在预算中。馆陶县供销社联合社机关及所属事业单位的收支包含在部门预算中。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227.80万元，其中：一般公共预算收入227.80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馆陶县供销社联合社年度部门预算中支出预算的总体情况。2025年支出预算227.80万元，其中基本支出193.76万元，包括人员经费190.04万元和日常公用经费3.72万元；项目支出34.04万元，主要为供销社军转干和38号文人员基本医疗保险1万元、为农服务中心建设资金10万元、供销社维稳及综合改革经费19.2万元、供销社专项办公经费3.84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2025年预算收支安排227.80万元，较2024年预算减少55.17万元，其中：基本支出减少49.41万元，主要为人员经费减少。项目支出减少5.76万元，主要为供销社维稳及综合改革经费、供销社专项办公经费减少。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2025年，我部门机关运行经费共计安排3.72万元，主要用于日常维修、办公用房水电费、办公用房取暖费、办公用房物业管理费等日常运行支出。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无增减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2025年,县供销社将坚持以习近平新时代中国特色社会主义思想为指导，按照稳中求进的总基调，深化供销改革，创新服务模式，提升服务水平，为建设“活力新城、魅力馆陶”贡献供销力量。</w:t>
      </w:r>
    </w:p>
    <w:p>
      <w:pPr>
        <w:pStyle w:val="插入文本样式-插入总体目标文件"/>
      </w:pPr>
      <w:r>
        <w:t xml:space="preserve">一、2025年基础性工作</w:t>
      </w:r>
    </w:p>
    <w:p>
      <w:pPr>
        <w:pStyle w:val="插入文本样式-插入总体目标文件"/>
      </w:pPr>
      <w:r>
        <w:t xml:space="preserve">一是抓好信访维稳。供销社历史遗留信访问题较多，按照“不给政府添乱，找准机会发展”的原则，结合县人社局，拿出切实可行的方案，积极推进盐业公司执法人员划转安置到位，因事而异，分类施策，消除盐业公司、马头棉厂的群体性上访和单体访隐患，全力保证供销系统下岗职工稳定。同时，持续加大对下属企业危旧车间、围墙和机关办公楼等部位的安全隐患排查力度，等确保不出现安全事故。</w:t>
      </w:r>
    </w:p>
    <w:p>
      <w:pPr>
        <w:pStyle w:val="插入文本样式-插入总体目标文件"/>
      </w:pPr>
      <w:r>
        <w:t xml:space="preserve">二是深化供销改革。根据《邯郸市供销社综合改革实施方案》，结合我县实际，制定我县具体实施意见，围绕土地托管、配方施肥、浅埋滴灌、高标准农田等工作提升供销服务水平。 </w:t>
      </w:r>
    </w:p>
    <w:p>
      <w:pPr>
        <w:pStyle w:val="插入文本样式-插入总体目标文件"/>
      </w:pPr>
      <w:r>
        <w:t xml:space="preserve">二、2025年拟打造特色亮点工作</w:t>
      </w:r>
    </w:p>
    <w:p>
      <w:pPr>
        <w:pStyle w:val="插入文本样式-插入总体目标文件"/>
      </w:pPr>
      <w:r>
        <w:t xml:space="preserve">积极开展综合服务平台建设工作，引进新的经营业态。按照省、市社年度工作安排，结合我县实际，与市社达成合作意向，2025年拟在县城商业和居民集聚区积极布点，设立供销便利店3-5家，统一供销形象，统一调货配货，统一结算分成，提升供销社的社会形象和辐射力，提升居民幸福感。</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1、供销社维稳及改革</w:t>
      </w:r>
    </w:p>
    <w:p>
      <w:pPr>
        <w:pStyle w:val="插入文本样式-插入职责分类绩效目标文件"/>
      </w:pPr>
      <w:r>
        <w:t xml:space="preserve">绩效目标：提升供销服务水平，构建为农服务体系，稳定下岗职工，解决信访维稳问题。</w:t>
      </w:r>
    </w:p>
    <w:p>
      <w:pPr>
        <w:pStyle w:val="插入文本样式-插入职责分类绩效目标文件"/>
      </w:pPr>
      <w:r>
        <w:t xml:space="preserve">绩效指标：全面排查化解信访和安全隐患，成立工作专班，持续加大下属企业信访隐患稳定和安全隐患的排查，化解隐患达到全覆盖，达到覆盖率100%，工作完成及时率达标率，综合改革工作全市争优创先，全面提高服务对象满意度占比98%以上。</w:t>
      </w:r>
    </w:p>
    <w:p>
      <w:pPr>
        <w:pStyle w:val="插入文本样式-插入职责分类绩效目标文件"/>
      </w:pPr>
      <w:r>
        <w:t xml:space="preserve">2、为农服务中心建设</w:t>
      </w:r>
    </w:p>
    <w:p>
      <w:pPr>
        <w:pStyle w:val="插入文本样式-插入职责分类绩效目标文件"/>
      </w:pPr>
      <w:r>
        <w:t xml:space="preserve">绩效目标：保障为农服务中心及村级服务站正常运转，提高为农服务质量</w:t>
      </w:r>
    </w:p>
    <w:p>
      <w:pPr>
        <w:pStyle w:val="插入文本样式-插入职责分类绩效目标文件"/>
      </w:pPr>
      <w:r>
        <w:t xml:space="preserve">绩效指标：保障为农服务中心及村级服务站正常运转，10个以上，保障为农服务中心及村级服务站正常运转数量占应维护村级服务站数量的百分比95%以上，全面提高服务对象满意度占比98%以上。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完善制度建设。</w:t>
      </w:r>
    </w:p>
    <w:p>
      <w:pPr>
        <w:pStyle w:val="插入文本样式-插入实现年度发展规划目标的保障措施文件"/>
      </w:pPr>
      <w:r>
        <w:t xml:space="preserve">包括制定完善预算绩效管理制度、资金管理办法、工作保障制度等，为全年预算绩效目标的实现奠定制度基础。</w:t>
      </w:r>
    </w:p>
    <w:p>
      <w:pPr>
        <w:pStyle w:val="插入文本样式-插入实现年度发展规划目标的保障措施文件"/>
      </w:pPr>
      <w:r>
        <w:t xml:space="preserve">加强支出管理。</w:t>
      </w:r>
    </w:p>
    <w:p>
      <w:pPr>
        <w:pStyle w:val="插入文本样式-插入实现年度发展规划目标的保障措施文件"/>
      </w:pPr>
      <w:r>
        <w:t xml:space="preserve">通过优化支出结构、编细编实预算、加快履行政府采购手续、尽快启动项目、及时支付资金、6月底前细化代编预算、按规定及时下达资金等多种措施，确保支出进度达标。</w:t>
      </w:r>
    </w:p>
    <w:p>
      <w:pPr>
        <w:pStyle w:val="插入文本样式-插入实现年度发展规划目标的保障措施文件"/>
      </w:pPr>
      <w:r>
        <w:t xml:space="preserve">加强绩效运行监控。</w:t>
      </w:r>
    </w:p>
    <w:p>
      <w:pPr>
        <w:pStyle w:val="插入文本样式-插入实现年度发展规划目标的保障措施文件"/>
      </w:pPr>
      <w:r>
        <w:t xml:space="preserve">按要求开展绩效运行监控，发现问题及时采取措施，确保绩效目标如期保质实现。</w:t>
      </w:r>
    </w:p>
    <w:p>
      <w:pPr>
        <w:pStyle w:val="插入文本样式-插入实现年度发展规划目标的保障措施文件"/>
      </w:pPr>
      <w:r>
        <w:t xml:space="preserve">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规范财务资产管理。</w:t>
      </w:r>
    </w:p>
    <w:p>
      <w:pPr>
        <w:pStyle w:val="插入文本样式-插入实现年度发展规划目标的保障措施文件"/>
      </w:pPr>
      <w:r>
        <w:t xml:space="preserve">完善财务管理制度，严格审批程序，加强固定资产登记、使用和报废处置管理，做到支出合理，物尽其用。</w:t>
      </w:r>
    </w:p>
    <w:p>
      <w:pPr>
        <w:pStyle w:val="插入文本样式-插入实现年度发展规划目标的保障措施文件"/>
      </w:pPr>
      <w:r>
        <w:t xml:space="preserve">加强内部监督。</w:t>
      </w:r>
    </w:p>
    <w:p>
      <w:pPr>
        <w:pStyle w:val="插入文本样式-插入实现年度发展规划目标的保障措施文件"/>
      </w:pPr>
      <w:r>
        <w:t xml:space="preserve">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加强宣传培训调研等。</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加强人员培训，提高本部门职工业务素质；加强调研，提出优化财政资金配置、提高资金使用效益的意见；加大宣传力度，强化预算绩效管理意识，促进预算绩效管理水平进一步提升。</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1、供销社维稳及综合改革经费绩效目标表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13043325P000037100043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供销社维稳及综合改革经费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及时发放下岗职工生活补助，缴纳复原干部社会保险，稳定下岗职工、企业的复原干部和转业志愿兵，解决信访维稳问题。</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1.及时发放下岗职工生活补助，缴纳复原干部社会保险，稳定下岗职工、企业的复原干部和转业志愿兵，解决信访维稳问题。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解决供销系统信访遗留问题数量</w:t>
            </w:r>
          </w:p>
        </w:tc>
        <w:tc>
          <w:tcPr>
            <w:tcW w:w="5386" w:type="dxa"/>
            <w:vAlign w:val="center"/>
          </w:tcPr>
          <w:p>
            <w:pPr>
              <w:pStyle w:val="单元格样式2"/>
            </w:pPr>
            <w:r>
              <w:t xml:space="preserve">全面排查化解信访和安全隐患的数量</w:t>
            </w:r>
          </w:p>
        </w:tc>
        <w:tc>
          <w:tcPr>
            <w:tcW w:w="2268" w:type="dxa"/>
            <w:vAlign w:val="center"/>
          </w:tcPr>
          <w:p>
            <w:pPr>
              <w:pStyle w:val="单元格样式2"/>
            </w:pPr>
            <w:r>
              <w:t xml:space="preserve">≥5件</w:t>
            </w:r>
          </w:p>
        </w:tc>
        <w:tc>
          <w:tcPr>
            <w:tcW w:w="1276" w:type="dxa"/>
            <w:vAlign w:val="center"/>
          </w:tcPr>
          <w:p>
            <w:pPr>
              <w:pStyle w:val="单元格样式2"/>
            </w:pPr>
            <w:r>
              <w:t xml:space="preserve">冀劳社[2007]38号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实际发放补助占应补偿数的比例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支付及时率</w:t>
            </w:r>
          </w:p>
        </w:tc>
        <w:tc>
          <w:tcPr>
            <w:tcW w:w="5386" w:type="dxa"/>
            <w:vAlign w:val="center"/>
          </w:tcPr>
          <w:p>
            <w:pPr>
              <w:pStyle w:val="单元格样式2"/>
            </w:pPr>
            <w:r>
              <w:t xml:space="preserve">实际发放补助时间占应发补助时间的比例</w:t>
            </w:r>
          </w:p>
        </w:tc>
        <w:tc>
          <w:tcPr>
            <w:tcW w:w="2268" w:type="dxa"/>
            <w:vAlign w:val="center"/>
          </w:tcPr>
          <w:p>
            <w:pPr>
              <w:pStyle w:val="单元格样式2"/>
            </w:pPr>
            <w:r>
              <w:t xml:space="preserve">100%</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维稳工作成本</w:t>
            </w:r>
          </w:p>
        </w:tc>
        <w:tc>
          <w:tcPr>
            <w:tcW w:w="5386" w:type="dxa"/>
            <w:vAlign w:val="center"/>
          </w:tcPr>
          <w:p>
            <w:pPr>
              <w:pStyle w:val="单元格样式2"/>
            </w:pPr>
            <w:r>
              <w:t xml:space="preserve">按照工作需要，维稳及综合改革资金实际成本</w:t>
            </w:r>
          </w:p>
        </w:tc>
        <w:tc>
          <w:tcPr>
            <w:tcW w:w="2268" w:type="dxa"/>
            <w:vAlign w:val="center"/>
          </w:tcPr>
          <w:p>
            <w:pPr>
              <w:pStyle w:val="单元格样式2"/>
            </w:pPr>
            <w:r>
              <w:t xml:space="preserve">30万元</w:t>
            </w:r>
          </w:p>
        </w:tc>
        <w:tc>
          <w:tcPr>
            <w:tcW w:w="1276" w:type="dxa"/>
            <w:vAlign w:val="center"/>
          </w:tcPr>
          <w:p>
            <w:pPr>
              <w:pStyle w:val="单元格样式2"/>
            </w:pPr>
            <w:r>
              <w:t xml:space="preserve">供销社维稳及综合改革经费测算表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增加下岗职工收入</w:t>
            </w:r>
          </w:p>
        </w:tc>
        <w:tc>
          <w:tcPr>
            <w:tcW w:w="5386" w:type="dxa"/>
            <w:vAlign w:val="center"/>
          </w:tcPr>
          <w:p>
            <w:pPr>
              <w:pStyle w:val="单元格样式2"/>
            </w:pPr>
            <w:r>
              <w:t xml:space="preserve">发放下岗职工生活补助，提高下岗职工收入比率</w:t>
            </w:r>
          </w:p>
        </w:tc>
        <w:tc>
          <w:tcPr>
            <w:tcW w:w="2268" w:type="dxa"/>
            <w:vAlign w:val="center"/>
          </w:tcPr>
          <w:p>
            <w:pPr>
              <w:pStyle w:val="单元格样式2"/>
            </w:pPr>
            <w:r>
              <w:t xml:space="preserve">≥10%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降低上访群众投诉率</w:t>
            </w:r>
          </w:p>
        </w:tc>
        <w:tc>
          <w:tcPr>
            <w:tcW w:w="5386" w:type="dxa"/>
            <w:vAlign w:val="center"/>
          </w:tcPr>
          <w:p>
            <w:pPr>
              <w:pStyle w:val="单元格样式2"/>
            </w:pPr>
            <w:r>
              <w:t xml:space="preserve">按时发放生活补助，降低下岗职工向政府或信访部门上防投诉比例</w:t>
            </w:r>
          </w:p>
        </w:tc>
        <w:tc>
          <w:tcPr>
            <w:tcW w:w="2268" w:type="dxa"/>
            <w:vAlign w:val="center"/>
          </w:tcPr>
          <w:p>
            <w:pPr>
              <w:pStyle w:val="单元格样式2"/>
            </w:pPr>
            <w:r>
              <w:t xml:space="preserve">≥1%</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职工对慰问补助发放工作的满意度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2、供销社专项办公经费绩效目标表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13043325P00003910004E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供销社专项办公经费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缴纳下岗职工生活补助、遗嘱补助、工伤补助，解决信访维稳问题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1.缴纳下岗职工生活补助、遗嘱补助、工伤补助，解决信访维稳问题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保障下岗职工数量</w:t>
            </w:r>
          </w:p>
        </w:tc>
        <w:tc>
          <w:tcPr>
            <w:tcW w:w="5386" w:type="dxa"/>
            <w:vAlign w:val="center"/>
          </w:tcPr>
          <w:p>
            <w:pPr>
              <w:pStyle w:val="单元格样式2"/>
            </w:pPr>
            <w:r>
              <w:t xml:space="preserve">保障下岗职工的人数</w:t>
            </w:r>
          </w:p>
        </w:tc>
        <w:tc>
          <w:tcPr>
            <w:tcW w:w="2268" w:type="dxa"/>
            <w:vAlign w:val="center"/>
          </w:tcPr>
          <w:p>
            <w:pPr>
              <w:pStyle w:val="单元格样式2"/>
            </w:pPr>
            <w:r>
              <w:t xml:space="preserve">≥50人</w:t>
            </w:r>
          </w:p>
        </w:tc>
        <w:tc>
          <w:tcPr>
            <w:tcW w:w="1276" w:type="dxa"/>
            <w:vAlign w:val="center"/>
          </w:tcPr>
          <w:p>
            <w:pPr>
              <w:pStyle w:val="单元格样式2"/>
            </w:pPr>
            <w:r>
              <w:t xml:space="preserve">工作计划、馆编办字[2017]8号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补助发放到位率</w:t>
            </w:r>
          </w:p>
        </w:tc>
        <w:tc>
          <w:tcPr>
            <w:tcW w:w="5386" w:type="dxa"/>
            <w:vAlign w:val="center"/>
          </w:tcPr>
          <w:p>
            <w:pPr>
              <w:pStyle w:val="单元格样式2"/>
            </w:pPr>
            <w:r>
              <w:t xml:space="preserve">实际发放补助占应发放补助数人比例</w:t>
            </w:r>
          </w:p>
        </w:tc>
        <w:tc>
          <w:tcPr>
            <w:tcW w:w="2268" w:type="dxa"/>
            <w:vAlign w:val="center"/>
          </w:tcPr>
          <w:p>
            <w:pPr>
              <w:pStyle w:val="单元格样式2"/>
            </w:pPr>
            <w:r>
              <w:t xml:space="preserve">≥95%</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及时发放率</w:t>
            </w:r>
          </w:p>
        </w:tc>
        <w:tc>
          <w:tcPr>
            <w:tcW w:w="5386" w:type="dxa"/>
            <w:vAlign w:val="center"/>
          </w:tcPr>
          <w:p>
            <w:pPr>
              <w:pStyle w:val="单元格样式2"/>
            </w:pPr>
            <w:r>
              <w:t xml:space="preserve">实际发放时间占预计发放时间的比例</w:t>
            </w:r>
          </w:p>
        </w:tc>
        <w:tc>
          <w:tcPr>
            <w:tcW w:w="2268" w:type="dxa"/>
            <w:vAlign w:val="center"/>
          </w:tcPr>
          <w:p>
            <w:pPr>
              <w:pStyle w:val="单元格样式2"/>
            </w:pPr>
            <w:r>
              <w:t xml:space="preserve">100%</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经费成本</w:t>
            </w:r>
          </w:p>
        </w:tc>
        <w:tc>
          <w:tcPr>
            <w:tcW w:w="5386" w:type="dxa"/>
            <w:vAlign w:val="center"/>
          </w:tcPr>
          <w:p>
            <w:pPr>
              <w:pStyle w:val="单元格样式2"/>
            </w:pPr>
            <w:r>
              <w:t xml:space="preserve">按照规定发放补助金额</w:t>
            </w:r>
          </w:p>
        </w:tc>
        <w:tc>
          <w:tcPr>
            <w:tcW w:w="2268" w:type="dxa"/>
            <w:vAlign w:val="center"/>
          </w:tcPr>
          <w:p>
            <w:pPr>
              <w:pStyle w:val="单元格样式2"/>
            </w:pPr>
            <w:r>
              <w:t xml:space="preserve">6万元</w:t>
            </w:r>
          </w:p>
        </w:tc>
        <w:tc>
          <w:tcPr>
            <w:tcW w:w="1276" w:type="dxa"/>
            <w:vAlign w:val="center"/>
          </w:tcPr>
          <w:p>
            <w:pPr>
              <w:pStyle w:val="单元格样式2"/>
            </w:pPr>
            <w:r>
              <w:t xml:space="preserve">供销社专项办公经费测算表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增加下岗职工收入</w:t>
            </w:r>
          </w:p>
        </w:tc>
        <w:tc>
          <w:tcPr>
            <w:tcW w:w="5386" w:type="dxa"/>
            <w:vAlign w:val="center"/>
          </w:tcPr>
          <w:p>
            <w:pPr>
              <w:pStyle w:val="单元格样式2"/>
            </w:pPr>
            <w:r>
              <w:t xml:space="preserve">该项目实施后提高下岗职工人收入增加比率</w:t>
            </w:r>
          </w:p>
        </w:tc>
        <w:tc>
          <w:tcPr>
            <w:tcW w:w="2268" w:type="dxa"/>
            <w:vAlign w:val="center"/>
          </w:tcPr>
          <w:p>
            <w:pPr>
              <w:pStyle w:val="单元格样式2"/>
            </w:pPr>
            <w:r>
              <w:t xml:space="preserve">≥10%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降低上访群众投诉率</w:t>
            </w:r>
          </w:p>
        </w:tc>
        <w:tc>
          <w:tcPr>
            <w:tcW w:w="5386" w:type="dxa"/>
            <w:vAlign w:val="center"/>
          </w:tcPr>
          <w:p>
            <w:pPr>
              <w:pStyle w:val="单元格样式2"/>
            </w:pPr>
            <w:r>
              <w:t xml:space="preserve">降低下岗职工向政府或信访部门上访投诉比例</w:t>
            </w:r>
          </w:p>
        </w:tc>
        <w:tc>
          <w:tcPr>
            <w:tcW w:w="2268" w:type="dxa"/>
            <w:vAlign w:val="center"/>
          </w:tcPr>
          <w:p>
            <w:pPr>
              <w:pStyle w:val="单元格样式2"/>
            </w:pPr>
            <w:r>
              <w:t xml:space="preserve">≤1%</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下岗职工满意度</w:t>
            </w:r>
          </w:p>
        </w:tc>
        <w:tc>
          <w:tcPr>
            <w:tcW w:w="5386" w:type="dxa"/>
            <w:vAlign w:val="center"/>
          </w:tcPr>
          <w:p>
            <w:pPr>
              <w:pStyle w:val="单元格样式2"/>
            </w:pPr>
            <w:r>
              <w:t xml:space="preserve">下岗职工对于补助发放工作的满意度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3、供销社军转干和38号文人员基本医疗保险绩效目标表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13043325P00004010004J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供销社军转干和38号文人员基本医疗保险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该资金主要用于缴纳军转干和38号文人员基本医疗保险费，使军转干和38号文人员生活得到保障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1.该资金主要用于缴纳军转干和38号文人员基本医疗保险费，使军转干和38号文人员生活得到保障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缴纳保险人数</w:t>
            </w:r>
          </w:p>
        </w:tc>
        <w:tc>
          <w:tcPr>
            <w:tcW w:w="5386" w:type="dxa"/>
            <w:vAlign w:val="center"/>
          </w:tcPr>
          <w:p>
            <w:pPr>
              <w:pStyle w:val="单元格样式2"/>
            </w:pPr>
            <w:r>
              <w:t xml:space="preserve">军转干和38号文人员缴纳保险总人数</w:t>
            </w:r>
          </w:p>
        </w:tc>
        <w:tc>
          <w:tcPr>
            <w:tcW w:w="2268" w:type="dxa"/>
            <w:vAlign w:val="center"/>
          </w:tcPr>
          <w:p>
            <w:pPr>
              <w:pStyle w:val="单元格样式2"/>
            </w:pPr>
            <w:r>
              <w:t xml:space="preserve">22人</w:t>
            </w:r>
          </w:p>
        </w:tc>
        <w:tc>
          <w:tcPr>
            <w:tcW w:w="1276" w:type="dxa"/>
            <w:vAlign w:val="center"/>
          </w:tcPr>
          <w:p>
            <w:pPr>
              <w:pStyle w:val="单元格样式2"/>
            </w:pPr>
            <w:r>
              <w:t xml:space="preserve">工作计划、冀老社[2007]38号文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保险缴纳覆盖率</w:t>
            </w:r>
          </w:p>
        </w:tc>
        <w:tc>
          <w:tcPr>
            <w:tcW w:w="5386" w:type="dxa"/>
            <w:vAlign w:val="center"/>
          </w:tcPr>
          <w:p>
            <w:pPr>
              <w:pStyle w:val="单元格样式2"/>
            </w:pPr>
            <w:r>
              <w:t xml:space="preserve">保险缴纳人数占总人数的比例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完税证明</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保险缴纳及时率</w:t>
            </w:r>
          </w:p>
        </w:tc>
        <w:tc>
          <w:tcPr>
            <w:tcW w:w="5386" w:type="dxa"/>
            <w:vAlign w:val="center"/>
          </w:tcPr>
          <w:p>
            <w:pPr>
              <w:pStyle w:val="单元格样式2"/>
            </w:pPr>
            <w:r>
              <w:t xml:space="preserve">保险实际缴纳时间占预计缴纳时间的比例</w:t>
            </w:r>
          </w:p>
        </w:tc>
        <w:tc>
          <w:tcPr>
            <w:tcW w:w="2268" w:type="dxa"/>
            <w:vAlign w:val="center"/>
          </w:tcPr>
          <w:p>
            <w:pPr>
              <w:pStyle w:val="单元格样式2"/>
            </w:pPr>
            <w:r>
              <w:t xml:space="preserve">100%</w:t>
            </w:r>
          </w:p>
        </w:tc>
        <w:tc>
          <w:tcPr>
            <w:tcW w:w="1276" w:type="dxa"/>
            <w:vAlign w:val="center"/>
          </w:tcPr>
          <w:p>
            <w:pPr>
              <w:pStyle w:val="单元格样式2"/>
            </w:pPr>
            <w:r>
              <w:t xml:space="preserve">完税证明</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缴纳保险成本</w:t>
            </w:r>
          </w:p>
        </w:tc>
        <w:tc>
          <w:tcPr>
            <w:tcW w:w="5386" w:type="dxa"/>
            <w:vAlign w:val="center"/>
          </w:tcPr>
          <w:p>
            <w:pPr>
              <w:pStyle w:val="单元格样式2"/>
            </w:pPr>
            <w:r>
              <w:t xml:space="preserve">供销社军转干和38号文人员基本医疗缴纳保险总成本</w:t>
            </w:r>
          </w:p>
        </w:tc>
        <w:tc>
          <w:tcPr>
            <w:tcW w:w="2268" w:type="dxa"/>
            <w:vAlign w:val="center"/>
          </w:tcPr>
          <w:p>
            <w:pPr>
              <w:pStyle w:val="单元格样式2"/>
            </w:pPr>
            <w:r>
              <w:t xml:space="preserve">≤1万元</w:t>
            </w:r>
          </w:p>
        </w:tc>
        <w:tc>
          <w:tcPr>
            <w:tcW w:w="1276" w:type="dxa"/>
            <w:vAlign w:val="center"/>
          </w:tcPr>
          <w:p>
            <w:pPr>
              <w:pStyle w:val="单元格样式2"/>
            </w:pPr>
            <w:r>
              <w:t xml:space="preserve">工作计划、冀老社[2007]38号文、明细表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改善村生活水平</w:t>
            </w:r>
          </w:p>
        </w:tc>
        <w:tc>
          <w:tcPr>
            <w:tcW w:w="5386" w:type="dxa"/>
            <w:vAlign w:val="center"/>
          </w:tcPr>
          <w:p>
            <w:pPr>
              <w:pStyle w:val="单元格样式2"/>
            </w:pPr>
            <w:r>
              <w:t xml:space="preserve">通过缴纳保险，改善供销社军转干和38号文人员总体生活水平</w:t>
            </w:r>
          </w:p>
        </w:tc>
        <w:tc>
          <w:tcPr>
            <w:tcW w:w="2268" w:type="dxa"/>
            <w:vAlign w:val="center"/>
          </w:tcPr>
          <w:p>
            <w:pPr>
              <w:pStyle w:val="单元格样式2"/>
            </w:pPr>
            <w:r>
              <w:t xml:space="preserve">≥5%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促进和谐稳定</w:t>
            </w:r>
          </w:p>
        </w:tc>
        <w:tc>
          <w:tcPr>
            <w:tcW w:w="5386" w:type="dxa"/>
            <w:vAlign w:val="center"/>
          </w:tcPr>
          <w:p>
            <w:pPr>
              <w:pStyle w:val="单元格样式2"/>
            </w:pPr>
            <w:r>
              <w:t xml:space="preserve">通过缴纳保险，促进供销社军转干和38号文人员的和谐稳定</w:t>
            </w:r>
          </w:p>
        </w:tc>
        <w:tc>
          <w:tcPr>
            <w:tcW w:w="2268" w:type="dxa"/>
            <w:vAlign w:val="center"/>
          </w:tcPr>
          <w:p>
            <w:pPr>
              <w:pStyle w:val="单元格样式2"/>
            </w:pPr>
            <w:r>
              <w:t xml:space="preserve">≥5%</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军转干和38号文人员满意度</w:t>
            </w:r>
          </w:p>
        </w:tc>
        <w:tc>
          <w:tcPr>
            <w:tcW w:w="5386" w:type="dxa"/>
            <w:vAlign w:val="center"/>
          </w:tcPr>
          <w:p>
            <w:pPr>
              <w:pStyle w:val="单元格样式2"/>
            </w:pPr>
            <w:r>
              <w:t xml:space="preserve">军转干和38号文人员对基本医疗保险缴纳工作的满意度</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4、为农服务中心建设资金绩效目标表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13043325P00003810004Q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为农服务中心建设资金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及时拨付资金，保障为农服务中心及村级服务站正常运转，提高为农服务质量。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1.及时拨付资金，保障为农服务中心及村级服务站正常运转，提高为农服务质量。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保障为农服务中心及村级服务站正常运转</w:t>
            </w:r>
          </w:p>
        </w:tc>
        <w:tc>
          <w:tcPr>
            <w:tcW w:w="5386" w:type="dxa"/>
            <w:vAlign w:val="center"/>
          </w:tcPr>
          <w:p>
            <w:pPr>
              <w:pStyle w:val="单元格样式2"/>
            </w:pPr>
            <w:r>
              <w:t xml:space="preserve">保障乡镇为农服务中心及村级服务站正常运转数量</w:t>
            </w:r>
          </w:p>
        </w:tc>
        <w:tc>
          <w:tcPr>
            <w:tcW w:w="2268" w:type="dxa"/>
            <w:vAlign w:val="center"/>
          </w:tcPr>
          <w:p>
            <w:pPr>
              <w:pStyle w:val="单元格样式2"/>
            </w:pPr>
            <w:r>
              <w:t xml:space="preserve">10个</w:t>
            </w:r>
          </w:p>
        </w:tc>
        <w:tc>
          <w:tcPr>
            <w:tcW w:w="1276" w:type="dxa"/>
            <w:vAlign w:val="center"/>
          </w:tcPr>
          <w:p>
            <w:pPr>
              <w:pStyle w:val="单元格样式2"/>
            </w:pPr>
            <w:r>
              <w:t xml:space="preserve">工作计划，馆政办字[2019]22号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项目完成质量达标率</w:t>
            </w:r>
          </w:p>
        </w:tc>
        <w:tc>
          <w:tcPr>
            <w:tcW w:w="5386" w:type="dxa"/>
            <w:vAlign w:val="center"/>
          </w:tcPr>
          <w:p>
            <w:pPr>
              <w:pStyle w:val="单元格样式2"/>
            </w:pPr>
            <w:r>
              <w:t xml:space="preserve">为农服务中心验收合格数量占总建设数量的比例</w:t>
            </w:r>
          </w:p>
        </w:tc>
        <w:tc>
          <w:tcPr>
            <w:tcW w:w="2268" w:type="dxa"/>
            <w:vAlign w:val="center"/>
          </w:tcPr>
          <w:p>
            <w:pPr>
              <w:pStyle w:val="单元格样式2"/>
            </w:pPr>
            <w:r>
              <w:t xml:space="preserve">100%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支付及时率</w:t>
            </w:r>
          </w:p>
        </w:tc>
        <w:tc>
          <w:tcPr>
            <w:tcW w:w="5386" w:type="dxa"/>
            <w:vAlign w:val="center"/>
          </w:tcPr>
          <w:p>
            <w:pPr>
              <w:pStyle w:val="单元格样式2"/>
            </w:pPr>
            <w:r>
              <w:t xml:space="preserve">实际支付时间占预计支付时间的比例</w:t>
            </w:r>
          </w:p>
        </w:tc>
        <w:tc>
          <w:tcPr>
            <w:tcW w:w="2268" w:type="dxa"/>
            <w:vAlign w:val="center"/>
          </w:tcPr>
          <w:p>
            <w:pPr>
              <w:pStyle w:val="单元格样式2"/>
            </w:pPr>
            <w:r>
              <w:t xml:space="preserve">100%</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运转资金</w:t>
            </w:r>
          </w:p>
        </w:tc>
        <w:tc>
          <w:tcPr>
            <w:tcW w:w="5386" w:type="dxa"/>
            <w:vAlign w:val="center"/>
          </w:tcPr>
          <w:p>
            <w:pPr>
              <w:pStyle w:val="单元格样式2"/>
            </w:pPr>
            <w:r>
              <w:t xml:space="preserve">为农服务中心、村级服务站运转所需资金</w:t>
            </w:r>
          </w:p>
          <w:p>
            <w:pPr>
              <w:pStyle w:val="单元格样式2"/>
            </w:pPr>
          </w:p>
        </w:tc>
        <w:tc>
          <w:tcPr>
            <w:tcW w:w="2268" w:type="dxa"/>
            <w:vAlign w:val="center"/>
          </w:tcPr>
          <w:p>
            <w:pPr>
              <w:pStyle w:val="单元格样式2"/>
            </w:pPr>
            <w:r>
              <w:t xml:space="preserve">10万元</w:t>
            </w:r>
          </w:p>
        </w:tc>
        <w:tc>
          <w:tcPr>
            <w:tcW w:w="1276" w:type="dxa"/>
            <w:vAlign w:val="center"/>
          </w:tcPr>
          <w:p>
            <w:pPr>
              <w:pStyle w:val="单元格样式2"/>
            </w:pPr>
            <w:r>
              <w:t xml:space="preserve">为农服务中心建设资金测算表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提高经济效率</w:t>
            </w:r>
          </w:p>
        </w:tc>
        <w:tc>
          <w:tcPr>
            <w:tcW w:w="5386" w:type="dxa"/>
            <w:vAlign w:val="center"/>
          </w:tcPr>
          <w:p>
            <w:pPr>
              <w:pStyle w:val="单元格样式2"/>
            </w:pPr>
            <w:r>
              <w:t xml:space="preserve">积极开展土地托管、测土施肥业务，减轻农户负担，提高农户收入，实现供销服务及农业生产服务一体化提高经济效率</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提高群众获得感</w:t>
            </w:r>
          </w:p>
        </w:tc>
        <w:tc>
          <w:tcPr>
            <w:tcW w:w="5386" w:type="dxa"/>
            <w:vAlign w:val="center"/>
          </w:tcPr>
          <w:p>
            <w:pPr>
              <w:pStyle w:val="单元格样式2"/>
            </w:pPr>
            <w:r>
              <w:t xml:space="preserve">依托为农服务中心开展土地托管、配方施肥服务，解决为农服务"最后一公里“问题；依托村级服务站，不断拓展服务范围、提升服务能力和群众幸福感、获得感。</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农民对于为农服务中心建设的满意度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1.20</w:t>
            </w:r>
          </w:p>
        </w:tc>
        <w:tc>
          <w:tcPr>
            <w:tcW w:w="964" w:type="dxa"/>
            <w:vAlign w:val="center"/>
          </w:tcPr>
          <w:p>
            <w:pPr>
              <w:pStyle w:val="单元格样式7"/>
            </w:pPr>
            <w:r>
              <w:t xml:space="preserve">1.20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0.50</w:t>
            </w:r>
          </w:p>
        </w:tc>
      </w:tr>
      <w:tr>
        <w:trPr>
          <w:cantSplit/>
          <w:trHeight w:hRule="auto" w:val="0"/>
          <w:jc w:val="center"/>
        </w:trPr>
        <w:tc>
          <w:tcPr>
            <w:tcW w:w="1701" w:type="dxa"/>
            <w:vAlign w:val="center"/>
          </w:tcPr>
          <w:p>
            <w:pPr>
              <w:pStyle w:val="单元格样式6"/>
            </w:pPr>
            <w:r>
              <w:t xml:space="preserve">馆陶县供销社联合社本级小计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1.20</w:t>
            </w:r>
          </w:p>
        </w:tc>
        <w:tc>
          <w:tcPr>
            <w:tcW w:w="964" w:type="dxa"/>
            <w:vAlign w:val="center"/>
          </w:tcPr>
          <w:p>
            <w:pPr>
              <w:pStyle w:val="单元格样式7"/>
            </w:pPr>
            <w:r>
              <w:t xml:space="preserve">1.20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0.50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3.72</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0.35</w:t>
            </w:r>
          </w:p>
        </w:tc>
        <w:tc>
          <w:tcPr>
            <w:tcW w:w="964" w:type="dxa"/>
            <w:vAlign w:val="center"/>
          </w:tcPr>
          <w:p>
            <w:pPr>
              <w:pStyle w:val="单元格样式4"/>
            </w:pPr>
            <w:r>
              <w:t xml:space="preserve">0.70</w:t>
            </w:r>
          </w:p>
        </w:tc>
        <w:tc>
          <w:tcPr>
            <w:tcW w:w="964" w:type="dxa"/>
            <w:vAlign w:val="center"/>
          </w:tcPr>
          <w:p>
            <w:pPr>
              <w:pStyle w:val="单元格样式4"/>
            </w:pPr>
            <w:r>
              <w:t xml:space="preserve">0.70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3.72</w:t>
            </w:r>
          </w:p>
        </w:tc>
        <w:tc>
          <w:tcPr>
            <w:tcW w:w="1134" w:type="dxa"/>
            <w:vAlign w:val="center"/>
          </w:tcPr>
          <w:p>
            <w:pPr>
              <w:pStyle w:val="单元格样式2"/>
            </w:pPr>
            <w:r>
              <w:t xml:space="preserve">多功能一体机</w:t>
            </w:r>
          </w:p>
        </w:tc>
        <w:tc>
          <w:tcPr>
            <w:tcW w:w="1134" w:type="dxa"/>
            <w:vAlign w:val="center"/>
          </w:tcPr>
          <w:p>
            <w:pPr>
              <w:pStyle w:val="单元格样式2"/>
            </w:pPr>
            <w:r>
              <w:t xml:space="preserve">A02020400</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0.25</w:t>
            </w:r>
          </w:p>
        </w:tc>
        <w:tc>
          <w:tcPr>
            <w:tcW w:w="964"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馆陶县供销社联合社（含所属单位）上年末固定资产金额为0.00万元（详见下表）。本年度拟购置固定资产总额为0.00万元，已按要求列入政府采购预算，详见政府采购预算表。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975馆陶县供销社联合社</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2025-03-05T17:40:45Z</dcterms:created>
  <dcterms:modified xsi:type="dcterms:W3CDTF">2025-03-05T17:40:45Z</dcterms:modified>
</cp:coreProperties>
</file>